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5B24E6" w14:textId="77777777" w:rsidR="001A1AFC" w:rsidRPr="001A1AFC" w:rsidRDefault="001A1AFC" w:rsidP="001A1AFC">
      <w:pPr>
        <w:adjustRightInd/>
        <w:snapToGrid/>
        <w:spacing w:after="160" w:line="720" w:lineRule="auto"/>
        <w:ind w:firstLineChars="0" w:firstLine="0"/>
        <w:jc w:val="right"/>
        <w:outlineLvl w:val="0"/>
        <w:rPr>
          <w:rFonts w:asciiTheme="minorHAnsi" w:eastAsiaTheme="minorEastAsia" w:hAnsiTheme="minorHAnsi" w:hint="eastAsia"/>
          <w:b/>
          <w:spacing w:val="-16"/>
          <w:sz w:val="44"/>
          <w:szCs w:val="44"/>
        </w:rPr>
      </w:pPr>
      <w:bookmarkStart w:id="0" w:name="_Toc204862705"/>
      <w:bookmarkStart w:id="1" w:name="_Toc207695616"/>
      <w:bookmarkStart w:id="2" w:name="_Toc200371335"/>
      <w:bookmarkStart w:id="3" w:name="_Toc177990137"/>
      <w:bookmarkStart w:id="4" w:name="_Hlk172453324"/>
      <w:r w:rsidRPr="001A1AFC">
        <w:rPr>
          <w:rFonts w:asciiTheme="minorHAnsi" w:eastAsiaTheme="minorEastAsia" w:hAnsiTheme="minorHAnsi" w:hint="eastAsia"/>
          <w:b/>
          <w:noProof/>
          <w:spacing w:val="-16"/>
          <w:sz w:val="44"/>
          <w:szCs w:val="44"/>
          <w14:ligatures w14:val="none"/>
        </w:rPr>
        <w:drawing>
          <wp:inline distT="0" distB="0" distL="0" distR="0" wp14:anchorId="1AFA26E7" wp14:editId="09B31ECC">
            <wp:extent cx="2185841" cy="1260000"/>
            <wp:effectExtent l="0" t="0" r="5080" b="0"/>
            <wp:docPr id="165761664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616643" name="图片 1657616643"/>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85841" cy="1260000"/>
                    </a:xfrm>
                    <a:prstGeom prst="rect">
                      <a:avLst/>
                    </a:prstGeom>
                  </pic:spPr>
                </pic:pic>
              </a:graphicData>
            </a:graphic>
          </wp:inline>
        </w:drawing>
      </w:r>
    </w:p>
    <w:p w14:paraId="3CA36FE2" w14:textId="77777777" w:rsidR="001A1AFC" w:rsidRPr="001A1AFC" w:rsidRDefault="001A1AFC" w:rsidP="001A1AFC">
      <w:pPr>
        <w:adjustRightInd/>
        <w:snapToGrid/>
        <w:spacing w:beforeLines="50" w:before="156" w:afterLines="50" w:after="156" w:line="240" w:lineRule="auto"/>
        <w:ind w:firstLineChars="0" w:firstLine="0"/>
        <w:jc w:val="center"/>
        <w:outlineLvl w:val="0"/>
        <w:rPr>
          <w:rFonts w:ascii="宋体" w:hAnsi="宋体" w:hint="eastAsia"/>
          <w:b/>
          <w:spacing w:val="-16"/>
          <w:sz w:val="44"/>
          <w:szCs w:val="44"/>
        </w:rPr>
      </w:pPr>
    </w:p>
    <w:p w14:paraId="65081341" w14:textId="77777777" w:rsidR="001A1AFC" w:rsidRPr="001A1AFC" w:rsidRDefault="001A1AFC" w:rsidP="001A1AFC">
      <w:pPr>
        <w:adjustRightInd/>
        <w:snapToGrid/>
        <w:spacing w:beforeLines="25" w:before="78" w:afterLines="25" w:after="78" w:line="240" w:lineRule="auto"/>
        <w:ind w:firstLineChars="0" w:firstLine="0"/>
        <w:jc w:val="center"/>
        <w:rPr>
          <w:rFonts w:ascii="宋体" w:hAnsi="宋体" w:hint="eastAsia"/>
          <w:b/>
          <w:spacing w:val="-16"/>
          <w:sz w:val="44"/>
          <w:szCs w:val="44"/>
        </w:rPr>
      </w:pPr>
      <w:r w:rsidRPr="001A1AFC">
        <w:rPr>
          <w:rFonts w:ascii="宋体" w:hAnsi="宋体" w:hint="eastAsia"/>
          <w:b/>
          <w:spacing w:val="-16"/>
          <w:sz w:val="44"/>
          <w:szCs w:val="44"/>
        </w:rPr>
        <w:t>锦州市杨兴加油站有限公司</w:t>
      </w:r>
    </w:p>
    <w:p w14:paraId="01D7A2DF" w14:textId="77777777" w:rsidR="001A1AFC" w:rsidRPr="001A1AFC" w:rsidRDefault="001A1AFC" w:rsidP="001A1AFC">
      <w:pPr>
        <w:adjustRightInd/>
        <w:snapToGrid/>
        <w:spacing w:line="240" w:lineRule="auto"/>
        <w:ind w:firstLineChars="0" w:firstLine="0"/>
        <w:jc w:val="center"/>
        <w:rPr>
          <w:rFonts w:ascii="宋体" w:hAnsi="宋体" w:hint="eastAsia"/>
          <w:b/>
          <w:spacing w:val="-16"/>
          <w:sz w:val="52"/>
          <w:szCs w:val="52"/>
        </w:rPr>
      </w:pPr>
      <w:r w:rsidRPr="001A1AFC">
        <w:rPr>
          <w:rFonts w:ascii="宋体" w:hAnsi="宋体" w:hint="eastAsia"/>
          <w:b/>
          <w:spacing w:val="-16"/>
          <w:sz w:val="52"/>
          <w:szCs w:val="52"/>
        </w:rPr>
        <w:t>工艺管线改造项目</w:t>
      </w:r>
    </w:p>
    <w:p w14:paraId="488FFAF6" w14:textId="77777777" w:rsidR="001A1AFC" w:rsidRPr="001A1AFC" w:rsidRDefault="001A1AFC" w:rsidP="001A1AFC">
      <w:pPr>
        <w:adjustRightInd/>
        <w:snapToGrid/>
        <w:spacing w:beforeLines="50" w:before="156" w:afterLines="50" w:after="156" w:line="240" w:lineRule="auto"/>
        <w:ind w:firstLineChars="0" w:firstLine="0"/>
        <w:jc w:val="center"/>
        <w:rPr>
          <w:rFonts w:ascii="宋体" w:hAnsi="宋体" w:hint="eastAsia"/>
          <w:b/>
          <w:sz w:val="52"/>
          <w:szCs w:val="52"/>
        </w:rPr>
      </w:pPr>
      <w:r w:rsidRPr="001A1AFC">
        <w:rPr>
          <w:rFonts w:ascii="宋体" w:hAnsi="宋体" w:hint="eastAsia"/>
          <w:b/>
          <w:sz w:val="52"/>
          <w:szCs w:val="52"/>
        </w:rPr>
        <w:t>设立安全评价报告</w:t>
      </w:r>
    </w:p>
    <w:p w14:paraId="569B80D1" w14:textId="77777777" w:rsidR="001A1AFC" w:rsidRPr="001A1AFC" w:rsidRDefault="001A1AFC" w:rsidP="001A1AFC">
      <w:pPr>
        <w:adjustRightInd/>
        <w:snapToGrid/>
        <w:spacing w:line="240" w:lineRule="auto"/>
        <w:ind w:firstLineChars="0" w:firstLine="0"/>
        <w:jc w:val="center"/>
        <w:rPr>
          <w:rFonts w:ascii="宋体" w:hAnsi="宋体" w:hint="eastAsia"/>
          <w:b/>
          <w:sz w:val="32"/>
          <w:szCs w:val="32"/>
        </w:rPr>
      </w:pPr>
      <w:r w:rsidRPr="001A1AFC">
        <w:rPr>
          <w:rFonts w:ascii="宋体" w:hAnsi="宋体" w:hint="eastAsia"/>
          <w:b/>
          <w:sz w:val="32"/>
          <w:szCs w:val="32"/>
        </w:rPr>
        <w:t>（备案稿）</w:t>
      </w:r>
    </w:p>
    <w:p w14:paraId="26A9AD6A" w14:textId="77777777" w:rsidR="001A1AFC" w:rsidRPr="001A1AFC" w:rsidRDefault="001A1AFC" w:rsidP="001A1AFC">
      <w:pPr>
        <w:adjustRightInd/>
        <w:spacing w:beforeLines="25" w:before="78" w:afterLines="25" w:after="78" w:line="240" w:lineRule="auto"/>
        <w:ind w:firstLineChars="0" w:firstLine="0"/>
        <w:jc w:val="left"/>
        <w:rPr>
          <w:rFonts w:ascii="宋体" w:hAnsi="宋体" w:hint="eastAsia"/>
          <w:b/>
          <w:sz w:val="32"/>
          <w:szCs w:val="32"/>
        </w:rPr>
      </w:pPr>
    </w:p>
    <w:p w14:paraId="566E8D07" w14:textId="77777777" w:rsidR="001A1AFC" w:rsidRPr="001A1AFC" w:rsidRDefault="001A1AFC" w:rsidP="001A1AFC">
      <w:pPr>
        <w:adjustRightInd/>
        <w:spacing w:beforeLines="25" w:before="78" w:afterLines="25" w:after="78" w:line="240" w:lineRule="auto"/>
        <w:ind w:firstLineChars="0" w:firstLine="0"/>
        <w:jc w:val="left"/>
        <w:rPr>
          <w:rFonts w:asciiTheme="minorHAnsi" w:eastAsiaTheme="minorEastAsia" w:hAnsiTheme="minorHAnsi" w:hint="eastAsia"/>
          <w:b/>
          <w:sz w:val="32"/>
          <w:szCs w:val="32"/>
        </w:rPr>
      </w:pPr>
    </w:p>
    <w:p w14:paraId="6A25375B" w14:textId="77777777" w:rsidR="001A1AFC" w:rsidRPr="001A1AFC" w:rsidRDefault="001A1AFC" w:rsidP="001A1AFC">
      <w:pPr>
        <w:adjustRightInd/>
        <w:snapToGrid/>
        <w:ind w:firstLineChars="400" w:firstLine="1280"/>
        <w:rPr>
          <w:rFonts w:ascii="仿宋" w:eastAsia="仿宋" w:hAnsi="仿宋" w:hint="eastAsia"/>
          <w:color w:val="000000"/>
          <w:kern w:val="0"/>
          <w:sz w:val="32"/>
        </w:rPr>
      </w:pPr>
      <w:r w:rsidRPr="001A1AFC">
        <w:rPr>
          <w:rFonts w:ascii="仿宋" w:eastAsia="仿宋" w:hAnsi="仿宋" w:hint="eastAsia"/>
          <w:color w:val="000000"/>
          <w:kern w:val="0"/>
          <w:sz w:val="32"/>
        </w:rPr>
        <w:t>建设单位：锦州市杨兴加油站有限公司</w:t>
      </w:r>
    </w:p>
    <w:p w14:paraId="30C99AE4" w14:textId="77777777" w:rsidR="001A1AFC" w:rsidRPr="001A1AFC" w:rsidRDefault="001A1AFC" w:rsidP="001A1AFC">
      <w:pPr>
        <w:adjustRightInd/>
        <w:snapToGrid/>
        <w:ind w:firstLineChars="400" w:firstLine="1280"/>
        <w:rPr>
          <w:rFonts w:ascii="仿宋" w:eastAsia="仿宋" w:hAnsi="仿宋" w:hint="eastAsia"/>
          <w:color w:val="000000"/>
          <w:kern w:val="0"/>
          <w:sz w:val="32"/>
        </w:rPr>
      </w:pPr>
      <w:r w:rsidRPr="001A1AFC">
        <w:rPr>
          <w:rFonts w:ascii="仿宋" w:eastAsia="仿宋" w:hAnsi="仿宋" w:hint="eastAsia"/>
          <w:color w:val="000000"/>
          <w:kern w:val="0"/>
          <w:sz w:val="32"/>
        </w:rPr>
        <w:t>建设单位法定代表人：徐国跃</w:t>
      </w:r>
    </w:p>
    <w:p w14:paraId="4147E7D5" w14:textId="77777777" w:rsidR="001A1AFC" w:rsidRPr="001A1AFC" w:rsidRDefault="001A1AFC" w:rsidP="001A1AFC">
      <w:pPr>
        <w:adjustRightInd/>
        <w:snapToGrid/>
        <w:ind w:firstLineChars="400" w:firstLine="1280"/>
        <w:rPr>
          <w:rFonts w:ascii="仿宋" w:eastAsia="仿宋" w:hAnsi="仿宋" w:hint="eastAsia"/>
          <w:color w:val="000000"/>
          <w:kern w:val="0"/>
          <w:sz w:val="32"/>
        </w:rPr>
      </w:pPr>
      <w:r w:rsidRPr="001A1AFC">
        <w:rPr>
          <w:rFonts w:ascii="仿宋" w:eastAsia="仿宋" w:hAnsi="仿宋" w:hint="eastAsia"/>
          <w:color w:val="000000"/>
          <w:kern w:val="0"/>
          <w:sz w:val="32"/>
        </w:rPr>
        <w:t>建设项目单位：锦州市杨兴加油站有限公司</w:t>
      </w:r>
    </w:p>
    <w:p w14:paraId="7E95A965" w14:textId="77777777" w:rsidR="001A1AFC" w:rsidRPr="001A1AFC" w:rsidRDefault="001A1AFC" w:rsidP="001A1AFC">
      <w:pPr>
        <w:adjustRightInd/>
        <w:snapToGrid/>
        <w:ind w:firstLineChars="400" w:firstLine="1280"/>
        <w:rPr>
          <w:rFonts w:ascii="仿宋" w:eastAsia="仿宋" w:hAnsi="仿宋" w:hint="eastAsia"/>
          <w:color w:val="000000"/>
          <w:kern w:val="0"/>
          <w:sz w:val="32"/>
        </w:rPr>
      </w:pPr>
      <w:r w:rsidRPr="001A1AFC">
        <w:rPr>
          <w:rFonts w:ascii="仿宋" w:eastAsia="仿宋" w:hAnsi="仿宋" w:hint="eastAsia"/>
          <w:color w:val="000000"/>
          <w:kern w:val="0"/>
          <w:sz w:val="32"/>
        </w:rPr>
        <w:t>建设项目单位主要负责人：徐国跃</w:t>
      </w:r>
    </w:p>
    <w:p w14:paraId="4E9091C9" w14:textId="77777777" w:rsidR="001A1AFC" w:rsidRPr="001A1AFC" w:rsidRDefault="001A1AFC" w:rsidP="001A1AFC">
      <w:pPr>
        <w:adjustRightInd/>
        <w:snapToGrid/>
        <w:ind w:firstLineChars="400" w:firstLine="1280"/>
        <w:rPr>
          <w:rFonts w:ascii="仿宋" w:eastAsia="仿宋" w:hAnsi="仿宋" w:hint="eastAsia"/>
          <w:color w:val="000000"/>
          <w:kern w:val="0"/>
          <w:sz w:val="32"/>
        </w:rPr>
      </w:pPr>
      <w:r w:rsidRPr="001A1AFC">
        <w:rPr>
          <w:rFonts w:ascii="仿宋" w:eastAsia="仿宋" w:hAnsi="仿宋" w:hint="eastAsia"/>
          <w:color w:val="000000"/>
          <w:kern w:val="0"/>
          <w:sz w:val="32"/>
        </w:rPr>
        <w:t>建设项目单位联系人：王鹏</w:t>
      </w:r>
    </w:p>
    <w:p w14:paraId="1B359CDF" w14:textId="77777777" w:rsidR="001A1AFC" w:rsidRPr="001A1AFC" w:rsidRDefault="001A1AFC" w:rsidP="001A1AFC">
      <w:pPr>
        <w:adjustRightInd/>
        <w:snapToGrid/>
        <w:ind w:firstLineChars="400" w:firstLine="1280"/>
        <w:rPr>
          <w:rFonts w:ascii="仿宋" w:eastAsia="仿宋" w:hAnsi="仿宋" w:hint="eastAsia"/>
          <w:color w:val="000000"/>
          <w:kern w:val="0"/>
          <w:sz w:val="32"/>
        </w:rPr>
      </w:pPr>
      <w:r w:rsidRPr="001A1AFC">
        <w:rPr>
          <w:rFonts w:ascii="仿宋" w:eastAsia="仿宋" w:hAnsi="仿宋" w:hint="eastAsia"/>
          <w:color w:val="000000"/>
          <w:kern w:val="0"/>
          <w:sz w:val="32"/>
        </w:rPr>
        <w:t>建设项目单位联系电话：18941629293</w:t>
      </w:r>
    </w:p>
    <w:p w14:paraId="72CFCA1C" w14:textId="77777777" w:rsidR="001A1AFC" w:rsidRPr="001A1AFC" w:rsidRDefault="001A1AFC" w:rsidP="001A1AFC">
      <w:pPr>
        <w:adjustRightInd/>
        <w:ind w:firstLineChars="0" w:firstLine="0"/>
        <w:jc w:val="left"/>
        <w:rPr>
          <w:rFonts w:ascii="仿宋" w:eastAsia="仿宋" w:hAnsi="仿宋" w:hint="eastAsia"/>
          <w:color w:val="000000"/>
          <w:kern w:val="0"/>
          <w:sz w:val="32"/>
        </w:rPr>
      </w:pPr>
    </w:p>
    <w:p w14:paraId="28898FBB" w14:textId="77777777" w:rsidR="001A1AFC" w:rsidRPr="001A1AFC" w:rsidRDefault="001A1AFC" w:rsidP="001A1AFC">
      <w:pPr>
        <w:adjustRightInd/>
        <w:ind w:firstLineChars="0" w:firstLine="0"/>
        <w:jc w:val="center"/>
        <w:rPr>
          <w:rFonts w:ascii="仿宋" w:eastAsia="仿宋" w:hAnsi="仿宋" w:hint="eastAsia"/>
          <w:color w:val="000000"/>
          <w:kern w:val="0"/>
          <w:szCs w:val="28"/>
        </w:rPr>
      </w:pPr>
      <w:r w:rsidRPr="001A1AFC">
        <w:rPr>
          <w:rFonts w:ascii="仿宋" w:eastAsia="仿宋" w:hAnsi="仿宋" w:hint="eastAsia"/>
          <w:color w:val="000000"/>
          <w:kern w:val="0"/>
          <w:szCs w:val="28"/>
        </w:rPr>
        <w:t>（建设单位公章）</w:t>
      </w:r>
    </w:p>
    <w:p w14:paraId="405BC0A4" w14:textId="77777777" w:rsidR="001A1AFC" w:rsidRPr="001A1AFC" w:rsidRDefault="001A1AFC" w:rsidP="001A1AFC">
      <w:pPr>
        <w:adjustRightInd/>
        <w:ind w:firstLineChars="0" w:firstLine="0"/>
        <w:jc w:val="center"/>
        <w:rPr>
          <w:rFonts w:ascii="仿宋" w:eastAsia="仿宋" w:hAnsi="仿宋" w:hint="eastAsia"/>
          <w:color w:val="000000"/>
          <w:kern w:val="0"/>
          <w:szCs w:val="28"/>
        </w:rPr>
      </w:pPr>
      <w:r w:rsidRPr="001A1AFC">
        <w:rPr>
          <w:rFonts w:ascii="仿宋" w:eastAsia="仿宋" w:hAnsi="仿宋" w:hint="eastAsia"/>
          <w:color w:val="000000"/>
          <w:kern w:val="0"/>
          <w:szCs w:val="28"/>
        </w:rPr>
        <w:t>2025年09月16日</w:t>
      </w:r>
      <w:bookmarkEnd w:id="4"/>
    </w:p>
    <w:p w14:paraId="7E603EEE" w14:textId="77777777" w:rsidR="001A1AFC" w:rsidRDefault="001A1AFC">
      <w:pPr>
        <w:pStyle w:val="ae"/>
      </w:pPr>
    </w:p>
    <w:p w14:paraId="6418EBE8" w14:textId="77777777" w:rsidR="001A1AFC" w:rsidRPr="001A1AFC" w:rsidRDefault="001A1AFC" w:rsidP="001A1AFC">
      <w:pPr>
        <w:adjustRightInd/>
        <w:ind w:firstLineChars="0" w:firstLine="0"/>
        <w:jc w:val="right"/>
        <w:rPr>
          <w:rFonts w:eastAsia="等线" w:cs="Times New Roman"/>
          <w:b/>
          <w:szCs w:val="28"/>
        </w:rPr>
      </w:pPr>
      <w:r w:rsidRPr="001A1AFC">
        <w:rPr>
          <w:rFonts w:eastAsia="等线" w:cs="Times New Roman" w:hint="eastAsia"/>
          <w:b/>
          <w:szCs w:val="28"/>
        </w:rPr>
        <w:lastRenderedPageBreak/>
        <w:t>NCAP/WH-YP-2025-016</w:t>
      </w:r>
    </w:p>
    <w:p w14:paraId="2B1F19BF" w14:textId="77777777" w:rsidR="001A1AFC" w:rsidRPr="001A1AFC" w:rsidRDefault="001A1AFC" w:rsidP="001A1AFC">
      <w:pPr>
        <w:adjustRightInd/>
        <w:snapToGrid/>
        <w:spacing w:beforeLines="50" w:before="156" w:afterLines="50" w:after="156" w:line="240" w:lineRule="auto"/>
        <w:ind w:firstLineChars="0" w:firstLine="0"/>
        <w:jc w:val="center"/>
        <w:rPr>
          <w:rFonts w:ascii="宋体" w:hAnsi="宋体" w:cs="Times New Roman" w:hint="eastAsia"/>
          <w:color w:val="000000"/>
          <w:kern w:val="0"/>
          <w:sz w:val="32"/>
          <w:szCs w:val="32"/>
        </w:rPr>
      </w:pPr>
    </w:p>
    <w:p w14:paraId="632B6E87" w14:textId="77777777" w:rsidR="001A1AFC" w:rsidRPr="001A1AFC" w:rsidRDefault="001A1AFC" w:rsidP="001A1AFC">
      <w:pPr>
        <w:adjustRightInd/>
        <w:snapToGrid/>
        <w:spacing w:beforeLines="50" w:before="156" w:afterLines="50" w:after="156" w:line="240" w:lineRule="auto"/>
        <w:ind w:firstLineChars="0" w:firstLine="0"/>
        <w:jc w:val="center"/>
        <w:rPr>
          <w:rFonts w:ascii="宋体" w:hAnsi="宋体" w:cs="Times New Roman" w:hint="eastAsia"/>
          <w:color w:val="000000"/>
          <w:kern w:val="0"/>
          <w:sz w:val="32"/>
          <w:szCs w:val="32"/>
        </w:rPr>
      </w:pPr>
    </w:p>
    <w:p w14:paraId="143C2F73" w14:textId="77777777" w:rsidR="001A1AFC" w:rsidRPr="001A1AFC" w:rsidRDefault="001A1AFC" w:rsidP="001A1AFC">
      <w:pPr>
        <w:adjustRightInd/>
        <w:snapToGrid/>
        <w:spacing w:beforeLines="25" w:before="78" w:afterLines="25" w:after="78" w:line="240" w:lineRule="auto"/>
        <w:ind w:firstLineChars="0" w:firstLine="0"/>
        <w:jc w:val="center"/>
        <w:outlineLvl w:val="0"/>
        <w:rPr>
          <w:rFonts w:ascii="宋体" w:hAnsi="宋体" w:cs="Times New Roman" w:hint="eastAsia"/>
          <w:b/>
          <w:spacing w:val="-16"/>
          <w:sz w:val="44"/>
          <w:szCs w:val="44"/>
        </w:rPr>
      </w:pPr>
      <w:r w:rsidRPr="001A1AFC">
        <w:rPr>
          <w:rFonts w:ascii="宋体" w:hAnsi="宋体" w:cs="Times New Roman" w:hint="eastAsia"/>
          <w:b/>
          <w:spacing w:val="-16"/>
          <w:sz w:val="44"/>
          <w:szCs w:val="44"/>
        </w:rPr>
        <w:t>锦州市杨兴加油站有限公司</w:t>
      </w:r>
    </w:p>
    <w:p w14:paraId="63F512A9" w14:textId="77777777" w:rsidR="001A1AFC" w:rsidRPr="001A1AFC" w:rsidRDefault="001A1AFC" w:rsidP="001A1AFC">
      <w:pPr>
        <w:adjustRightInd/>
        <w:snapToGrid/>
        <w:spacing w:line="240" w:lineRule="auto"/>
        <w:ind w:firstLineChars="0" w:firstLine="0"/>
        <w:jc w:val="center"/>
        <w:outlineLvl w:val="0"/>
        <w:rPr>
          <w:rFonts w:ascii="宋体" w:hAnsi="宋体" w:cs="Times New Roman" w:hint="eastAsia"/>
          <w:b/>
          <w:spacing w:val="-16"/>
          <w:sz w:val="52"/>
          <w:szCs w:val="52"/>
        </w:rPr>
      </w:pPr>
      <w:r w:rsidRPr="001A1AFC">
        <w:rPr>
          <w:rFonts w:ascii="宋体" w:hAnsi="宋体" w:cs="Times New Roman" w:hint="eastAsia"/>
          <w:b/>
          <w:spacing w:val="-16"/>
          <w:sz w:val="52"/>
          <w:szCs w:val="52"/>
        </w:rPr>
        <w:t>工艺管线改造项目</w:t>
      </w:r>
    </w:p>
    <w:p w14:paraId="4BD9CCF6" w14:textId="77777777" w:rsidR="001A1AFC" w:rsidRPr="001A1AFC" w:rsidRDefault="001A1AFC" w:rsidP="001A1AFC">
      <w:pPr>
        <w:adjustRightInd/>
        <w:snapToGrid/>
        <w:spacing w:beforeLines="50" w:before="156" w:afterLines="50" w:after="156" w:line="240" w:lineRule="auto"/>
        <w:ind w:firstLineChars="0" w:firstLine="0"/>
        <w:jc w:val="center"/>
        <w:outlineLvl w:val="0"/>
        <w:rPr>
          <w:rFonts w:ascii="宋体" w:hAnsi="宋体" w:cs="Times New Roman" w:hint="eastAsia"/>
          <w:b/>
          <w:sz w:val="52"/>
          <w:szCs w:val="52"/>
        </w:rPr>
      </w:pPr>
      <w:r w:rsidRPr="001A1AFC">
        <w:rPr>
          <w:rFonts w:ascii="宋体" w:hAnsi="宋体" w:cs="Times New Roman" w:hint="eastAsia"/>
          <w:b/>
          <w:sz w:val="52"/>
          <w:szCs w:val="52"/>
        </w:rPr>
        <w:t>设立安全评价报告</w:t>
      </w:r>
    </w:p>
    <w:p w14:paraId="7D98E4F6" w14:textId="77777777" w:rsidR="001A1AFC" w:rsidRPr="001A1AFC" w:rsidRDefault="001A1AFC" w:rsidP="001A1AFC">
      <w:pPr>
        <w:adjustRightInd/>
        <w:snapToGrid/>
        <w:spacing w:beforeLines="50" w:before="156" w:afterLines="50" w:after="156" w:line="240" w:lineRule="auto"/>
        <w:ind w:firstLineChars="0" w:firstLine="0"/>
        <w:jc w:val="center"/>
        <w:rPr>
          <w:rFonts w:ascii="宋体" w:hAnsi="宋体" w:cs="Times New Roman" w:hint="eastAsia"/>
          <w:b/>
          <w:sz w:val="32"/>
          <w:szCs w:val="32"/>
        </w:rPr>
      </w:pPr>
    </w:p>
    <w:p w14:paraId="6D94AB46" w14:textId="77777777" w:rsidR="001A1AFC" w:rsidRPr="001A1AFC" w:rsidRDefault="001A1AFC" w:rsidP="001A1AFC">
      <w:pPr>
        <w:adjustRightInd/>
        <w:snapToGrid/>
        <w:spacing w:beforeLines="50" w:before="156" w:afterLines="50" w:after="156" w:line="240" w:lineRule="auto"/>
        <w:ind w:firstLineChars="0" w:firstLine="0"/>
        <w:jc w:val="center"/>
        <w:rPr>
          <w:rFonts w:ascii="宋体" w:hAnsi="宋体" w:cs="Times New Roman" w:hint="eastAsia"/>
          <w:b/>
          <w:sz w:val="32"/>
          <w:szCs w:val="32"/>
        </w:rPr>
      </w:pPr>
    </w:p>
    <w:p w14:paraId="7B7B8AA5" w14:textId="77777777" w:rsidR="001A1AFC" w:rsidRPr="001A1AFC" w:rsidRDefault="001A1AFC" w:rsidP="001A1AFC">
      <w:pPr>
        <w:adjustRightInd/>
        <w:snapToGrid/>
        <w:ind w:firstLineChars="400" w:firstLine="1280"/>
        <w:rPr>
          <w:rFonts w:ascii="仿宋" w:eastAsia="仿宋" w:hAnsi="仿宋" w:cs="Times New Roman" w:hint="eastAsia"/>
          <w:color w:val="000000"/>
          <w:kern w:val="0"/>
          <w:sz w:val="32"/>
        </w:rPr>
      </w:pPr>
      <w:r w:rsidRPr="001A1AFC">
        <w:rPr>
          <w:rFonts w:ascii="仿宋" w:eastAsia="仿宋" w:hAnsi="仿宋" w:cs="Times New Roman" w:hint="eastAsia"/>
          <w:color w:val="000000"/>
          <w:kern w:val="0"/>
          <w:sz w:val="32"/>
        </w:rPr>
        <w:t>评价机构名称：辽宁诺诚安全科技有限公司</w:t>
      </w:r>
    </w:p>
    <w:p w14:paraId="4D82E3A3" w14:textId="77777777" w:rsidR="001A1AFC" w:rsidRPr="001A1AFC" w:rsidRDefault="001A1AFC" w:rsidP="001A1AFC">
      <w:pPr>
        <w:adjustRightInd/>
        <w:snapToGrid/>
        <w:ind w:firstLineChars="400" w:firstLine="1280"/>
        <w:rPr>
          <w:rFonts w:ascii="仿宋" w:eastAsia="仿宋" w:hAnsi="仿宋" w:cs="Times New Roman" w:hint="eastAsia"/>
          <w:color w:val="000000"/>
          <w:kern w:val="0"/>
          <w:sz w:val="32"/>
        </w:rPr>
      </w:pPr>
      <w:r w:rsidRPr="001A1AFC">
        <w:rPr>
          <w:rFonts w:ascii="仿宋" w:eastAsia="仿宋" w:hAnsi="仿宋" w:cs="Times New Roman" w:hint="eastAsia"/>
          <w:color w:val="000000"/>
          <w:kern w:val="0"/>
          <w:sz w:val="32"/>
        </w:rPr>
        <w:t>资质证书编号：APJ-（辽）-021</w:t>
      </w:r>
    </w:p>
    <w:p w14:paraId="3163BC42" w14:textId="77777777" w:rsidR="001A1AFC" w:rsidRPr="001A1AFC" w:rsidRDefault="001A1AFC" w:rsidP="001A1AFC">
      <w:pPr>
        <w:adjustRightInd/>
        <w:snapToGrid/>
        <w:ind w:firstLineChars="400" w:firstLine="1280"/>
        <w:rPr>
          <w:rFonts w:ascii="仿宋" w:eastAsia="仿宋" w:hAnsi="仿宋" w:cs="Times New Roman" w:hint="eastAsia"/>
          <w:color w:val="000000"/>
          <w:kern w:val="0"/>
          <w:sz w:val="32"/>
        </w:rPr>
      </w:pPr>
      <w:r w:rsidRPr="001A1AFC">
        <w:rPr>
          <w:rFonts w:ascii="仿宋" w:eastAsia="仿宋" w:hAnsi="仿宋" w:cs="Times New Roman" w:hint="eastAsia"/>
          <w:color w:val="000000"/>
          <w:kern w:val="0"/>
          <w:sz w:val="32"/>
        </w:rPr>
        <w:t>法定代表人：孙同辉</w:t>
      </w:r>
    </w:p>
    <w:p w14:paraId="5A39F3DC" w14:textId="77777777" w:rsidR="001A1AFC" w:rsidRPr="001A1AFC" w:rsidRDefault="001A1AFC" w:rsidP="001A1AFC">
      <w:pPr>
        <w:adjustRightInd/>
        <w:snapToGrid/>
        <w:ind w:firstLineChars="400" w:firstLine="1280"/>
        <w:rPr>
          <w:rFonts w:ascii="仿宋" w:eastAsia="仿宋" w:hAnsi="仿宋" w:cs="Times New Roman" w:hint="eastAsia"/>
          <w:color w:val="000000"/>
          <w:kern w:val="0"/>
          <w:sz w:val="32"/>
        </w:rPr>
      </w:pPr>
      <w:r w:rsidRPr="001A1AFC">
        <w:rPr>
          <w:rFonts w:ascii="仿宋" w:eastAsia="仿宋" w:hAnsi="仿宋" w:cs="Times New Roman" w:hint="eastAsia"/>
          <w:color w:val="000000"/>
          <w:kern w:val="0"/>
          <w:sz w:val="32"/>
        </w:rPr>
        <w:t>审核定稿人：林存广</w:t>
      </w:r>
    </w:p>
    <w:p w14:paraId="7C4D2E7D" w14:textId="77777777" w:rsidR="001A1AFC" w:rsidRPr="001A1AFC" w:rsidRDefault="001A1AFC" w:rsidP="001A1AFC">
      <w:pPr>
        <w:adjustRightInd/>
        <w:snapToGrid/>
        <w:ind w:firstLineChars="400" w:firstLine="1280"/>
        <w:rPr>
          <w:rFonts w:ascii="仿宋" w:eastAsia="仿宋" w:hAnsi="仿宋" w:cs="Times New Roman" w:hint="eastAsia"/>
          <w:color w:val="000000"/>
          <w:kern w:val="0"/>
          <w:sz w:val="32"/>
        </w:rPr>
      </w:pPr>
      <w:r w:rsidRPr="001A1AFC">
        <w:rPr>
          <w:rFonts w:ascii="仿宋" w:eastAsia="仿宋" w:hAnsi="仿宋" w:cs="Times New Roman" w:hint="eastAsia"/>
          <w:color w:val="000000"/>
          <w:kern w:val="0"/>
          <w:sz w:val="32"/>
        </w:rPr>
        <w:t>评价负责人：佟城城</w:t>
      </w:r>
    </w:p>
    <w:p w14:paraId="37FD5D02" w14:textId="77777777" w:rsidR="001A1AFC" w:rsidRPr="001A1AFC" w:rsidRDefault="001A1AFC" w:rsidP="001A1AFC">
      <w:pPr>
        <w:adjustRightInd/>
        <w:snapToGrid/>
        <w:ind w:firstLineChars="400" w:firstLine="1280"/>
        <w:rPr>
          <w:rFonts w:ascii="仿宋" w:eastAsia="仿宋" w:hAnsi="仿宋" w:cs="Times New Roman" w:hint="eastAsia"/>
          <w:color w:val="000000"/>
          <w:kern w:val="0"/>
          <w:sz w:val="32"/>
        </w:rPr>
      </w:pPr>
      <w:r w:rsidRPr="001A1AFC">
        <w:rPr>
          <w:rFonts w:ascii="仿宋" w:eastAsia="仿宋" w:hAnsi="仿宋" w:cs="Times New Roman" w:hint="eastAsia"/>
          <w:color w:val="000000"/>
          <w:kern w:val="0"/>
          <w:sz w:val="32"/>
        </w:rPr>
        <w:t>评价机构联系电话:024-31028189</w:t>
      </w:r>
    </w:p>
    <w:p w14:paraId="0DE5E946" w14:textId="77777777" w:rsidR="001A1AFC" w:rsidRPr="001A1AFC" w:rsidRDefault="001A1AFC" w:rsidP="001A1AFC">
      <w:pPr>
        <w:adjustRightInd/>
        <w:snapToGrid/>
        <w:ind w:firstLineChars="0" w:firstLine="0"/>
        <w:jc w:val="left"/>
        <w:rPr>
          <w:rFonts w:ascii="仿宋" w:eastAsia="仿宋" w:hAnsi="仿宋" w:cs="Times New Roman" w:hint="eastAsia"/>
          <w:color w:val="000000"/>
          <w:kern w:val="0"/>
          <w:sz w:val="32"/>
        </w:rPr>
      </w:pPr>
    </w:p>
    <w:p w14:paraId="4832EA36" w14:textId="77777777" w:rsidR="001A1AFC" w:rsidRPr="001A1AFC" w:rsidRDefault="001A1AFC" w:rsidP="001A1AFC">
      <w:pPr>
        <w:adjustRightInd/>
        <w:snapToGrid/>
        <w:ind w:firstLineChars="0" w:firstLine="0"/>
        <w:jc w:val="left"/>
        <w:rPr>
          <w:rFonts w:ascii="仿宋" w:eastAsia="仿宋" w:hAnsi="仿宋" w:cs="Times New Roman" w:hint="eastAsia"/>
          <w:color w:val="000000"/>
          <w:kern w:val="0"/>
          <w:sz w:val="32"/>
        </w:rPr>
      </w:pPr>
    </w:p>
    <w:p w14:paraId="644FF3E7" w14:textId="77777777" w:rsidR="001A1AFC" w:rsidRPr="001A1AFC" w:rsidRDefault="001A1AFC" w:rsidP="001A1AFC">
      <w:pPr>
        <w:adjustRightInd/>
        <w:snapToGrid/>
        <w:ind w:firstLineChars="0" w:firstLine="0"/>
        <w:jc w:val="left"/>
        <w:rPr>
          <w:rFonts w:ascii="仿宋" w:eastAsia="仿宋" w:hAnsi="仿宋" w:cs="Times New Roman" w:hint="eastAsia"/>
          <w:color w:val="000000"/>
          <w:kern w:val="0"/>
          <w:sz w:val="32"/>
        </w:rPr>
      </w:pPr>
    </w:p>
    <w:p w14:paraId="6A4CE066" w14:textId="77777777" w:rsidR="001A1AFC" w:rsidRPr="001A1AFC" w:rsidRDefault="001A1AFC" w:rsidP="001A1AFC">
      <w:pPr>
        <w:adjustRightInd/>
        <w:snapToGrid/>
        <w:ind w:firstLineChars="0" w:firstLine="0"/>
        <w:jc w:val="center"/>
        <w:rPr>
          <w:rFonts w:ascii="仿宋" w:eastAsia="仿宋" w:hAnsi="仿宋" w:cs="Times New Roman" w:hint="eastAsia"/>
          <w:color w:val="000000"/>
          <w:kern w:val="0"/>
          <w:sz w:val="32"/>
          <w:szCs w:val="32"/>
        </w:rPr>
      </w:pPr>
      <w:r w:rsidRPr="001A1AFC">
        <w:rPr>
          <w:rFonts w:ascii="仿宋" w:eastAsia="仿宋" w:hAnsi="仿宋" w:cs="Times New Roman" w:hint="eastAsia"/>
          <w:color w:val="000000"/>
          <w:kern w:val="0"/>
          <w:sz w:val="32"/>
          <w:szCs w:val="32"/>
        </w:rPr>
        <w:t>（安全评价机构公章）</w:t>
      </w:r>
    </w:p>
    <w:p w14:paraId="22499015" w14:textId="77777777" w:rsidR="001A1AFC" w:rsidRPr="001A1AFC" w:rsidRDefault="001A1AFC" w:rsidP="001A1AFC">
      <w:pPr>
        <w:adjustRightInd/>
        <w:snapToGrid/>
        <w:ind w:firstLineChars="0" w:firstLine="0"/>
        <w:jc w:val="center"/>
        <w:rPr>
          <w:rFonts w:ascii="宋体" w:hAnsi="宋体" w:cs="Times New Roman" w:hint="eastAsia"/>
          <w:sz w:val="32"/>
          <w:szCs w:val="32"/>
        </w:rPr>
      </w:pPr>
      <w:r w:rsidRPr="001A1AFC">
        <w:rPr>
          <w:rFonts w:ascii="仿宋" w:eastAsia="仿宋" w:hAnsi="仿宋" w:cs="Times New Roman" w:hint="eastAsia"/>
          <w:color w:val="000000"/>
          <w:kern w:val="0"/>
          <w:sz w:val="32"/>
          <w:szCs w:val="32"/>
        </w:rPr>
        <w:t>2025年09月16日</w:t>
      </w:r>
    </w:p>
    <w:p w14:paraId="6C1F6FEE" w14:textId="17504B2A" w:rsidR="00EF4562" w:rsidRDefault="00000000">
      <w:pPr>
        <w:pStyle w:val="ae"/>
        <w:rPr>
          <w:rFonts w:hint="eastAsia"/>
        </w:rPr>
      </w:pPr>
      <w:r>
        <w:rPr>
          <w:rFonts w:hint="eastAsia"/>
        </w:rPr>
        <w:lastRenderedPageBreak/>
        <w:t>前  言</w:t>
      </w:r>
      <w:bookmarkEnd w:id="0"/>
      <w:bookmarkEnd w:id="1"/>
      <w:bookmarkEnd w:id="2"/>
      <w:bookmarkEnd w:id="3"/>
    </w:p>
    <w:p w14:paraId="0D15F9D8" w14:textId="77777777" w:rsidR="00EF4562" w:rsidRDefault="00000000">
      <w:pPr>
        <w:ind w:firstLine="560"/>
      </w:pPr>
      <w:r>
        <w:rPr>
          <w:rFonts w:hint="eastAsia"/>
        </w:rPr>
        <w:t>锦州市杨兴加油站有限公司（以下称杨兴加油站）成立于</w:t>
      </w:r>
      <w:r>
        <w:t>20</w:t>
      </w:r>
      <w:r>
        <w:rPr>
          <w:rFonts w:hint="eastAsia"/>
        </w:rPr>
        <w:t>04</w:t>
      </w:r>
      <w:r>
        <w:rPr>
          <w:rFonts w:hint="eastAsia"/>
        </w:rPr>
        <w:t>年</w:t>
      </w:r>
      <w:r>
        <w:t>0</w:t>
      </w:r>
      <w:r>
        <w:rPr>
          <w:rFonts w:hint="eastAsia"/>
        </w:rPr>
        <w:t>9</w:t>
      </w:r>
      <w:r>
        <w:rPr>
          <w:rFonts w:hint="eastAsia"/>
        </w:rPr>
        <w:t>月</w:t>
      </w:r>
      <w:r>
        <w:rPr>
          <w:rFonts w:hint="eastAsia"/>
        </w:rPr>
        <w:t>14</w:t>
      </w:r>
      <w:r>
        <w:rPr>
          <w:rFonts w:hint="eastAsia"/>
        </w:rPr>
        <w:t>日，注册场所位于辽宁省锦州市太和区锦汤路</w:t>
      </w:r>
      <w:r>
        <w:rPr>
          <w:rFonts w:hint="eastAsia"/>
        </w:rPr>
        <w:t>6</w:t>
      </w:r>
      <w:r>
        <w:rPr>
          <w:rFonts w:hint="eastAsia"/>
        </w:rPr>
        <w:t>号，类型为有限责任公司，法定代表人为徐国跃。</w:t>
      </w:r>
    </w:p>
    <w:p w14:paraId="1F1E9B07" w14:textId="77777777" w:rsidR="00EF4562" w:rsidRDefault="00000000">
      <w:pPr>
        <w:ind w:firstLine="560"/>
      </w:pPr>
      <w:r>
        <w:rPr>
          <w:rFonts w:hint="eastAsia"/>
        </w:rPr>
        <w:t>2023</w:t>
      </w:r>
      <w:r>
        <w:rPr>
          <w:rFonts w:hint="eastAsia"/>
        </w:rPr>
        <w:t>年</w:t>
      </w:r>
      <w:r>
        <w:rPr>
          <w:rFonts w:hint="eastAsia"/>
        </w:rPr>
        <w:t>08</w:t>
      </w:r>
      <w:r>
        <w:rPr>
          <w:rFonts w:hint="eastAsia"/>
        </w:rPr>
        <w:t>月</w:t>
      </w:r>
      <w:r>
        <w:rPr>
          <w:rFonts w:hint="eastAsia"/>
        </w:rPr>
        <w:t>29</w:t>
      </w:r>
      <w:r>
        <w:rPr>
          <w:rFonts w:hint="eastAsia"/>
        </w:rPr>
        <w:t>日，杨兴加油站取得锦州市应急管理局为其颁发的《危险化学品经营许可证》，有效期至</w:t>
      </w:r>
      <w:r>
        <w:rPr>
          <w:rFonts w:hint="eastAsia"/>
        </w:rPr>
        <w:t>2026</w:t>
      </w:r>
      <w:r>
        <w:rPr>
          <w:rFonts w:hint="eastAsia"/>
        </w:rPr>
        <w:t>年</w:t>
      </w:r>
      <w:r>
        <w:rPr>
          <w:rFonts w:hint="eastAsia"/>
        </w:rPr>
        <w:t>08</w:t>
      </w:r>
      <w:r>
        <w:rPr>
          <w:rFonts w:hint="eastAsia"/>
        </w:rPr>
        <w:t>月</w:t>
      </w:r>
      <w:r>
        <w:rPr>
          <w:rFonts w:hint="eastAsia"/>
        </w:rPr>
        <w:t>31</w:t>
      </w:r>
      <w:r>
        <w:rPr>
          <w:rFonts w:hint="eastAsia"/>
        </w:rPr>
        <w:t>日，证书编号：辽锦危化经字</w:t>
      </w:r>
      <w:r>
        <w:rPr>
          <w:rFonts w:hint="eastAsia"/>
        </w:rPr>
        <w:t>[2023]100295</w:t>
      </w:r>
      <w:r>
        <w:rPr>
          <w:rFonts w:hint="eastAsia"/>
        </w:rPr>
        <w:t>，许可范围：汽油、柴油。</w:t>
      </w:r>
    </w:p>
    <w:p w14:paraId="742E20EC" w14:textId="77777777" w:rsidR="00EF4562" w:rsidRDefault="00000000">
      <w:pPr>
        <w:ind w:firstLine="560"/>
        <w:rPr>
          <w:rFonts w:cs="Times New Roman"/>
          <w:szCs w:val="28"/>
          <w14:ligatures w14:val="none"/>
        </w:rPr>
      </w:pPr>
      <w:r>
        <w:rPr>
          <w:rFonts w:cs="Times New Roman" w:hint="eastAsia"/>
          <w:szCs w:val="28"/>
          <w14:ligatures w14:val="none"/>
        </w:rPr>
        <w:t>杨兴加油站加油部分设有</w:t>
      </w:r>
      <w:r>
        <w:rPr>
          <w:rFonts w:cs="Times New Roman" w:hint="eastAsia"/>
          <w:szCs w:val="28"/>
          <w14:ligatures w14:val="none"/>
        </w:rPr>
        <w:t>2</w:t>
      </w:r>
      <w:r>
        <w:rPr>
          <w:rFonts w:cs="Times New Roman" w:hint="eastAsia"/>
          <w:szCs w:val="28"/>
          <w14:ligatures w14:val="none"/>
        </w:rPr>
        <w:t>座</w:t>
      </w:r>
      <w:r>
        <w:rPr>
          <w:rFonts w:cs="Times New Roman" w:hint="eastAsia"/>
          <w:szCs w:val="28"/>
          <w14:ligatures w14:val="none"/>
        </w:rPr>
        <w:t>35m</w:t>
      </w:r>
      <w:r>
        <w:rPr>
          <w:rFonts w:cs="Times New Roman" w:hint="eastAsia"/>
          <w:szCs w:val="28"/>
          <w:vertAlign w:val="superscript"/>
          <w14:ligatures w14:val="none"/>
        </w:rPr>
        <w:t>3</w:t>
      </w:r>
      <w:r>
        <w:rPr>
          <w:rFonts w:cs="Times New Roman" w:hint="eastAsia"/>
          <w:szCs w:val="28"/>
          <w14:ligatures w14:val="none"/>
        </w:rPr>
        <w:t>车用乙醇汽油储罐及</w:t>
      </w:r>
      <w:r>
        <w:rPr>
          <w:rFonts w:cs="Times New Roman" w:hint="eastAsia"/>
          <w:szCs w:val="28"/>
          <w14:ligatures w14:val="none"/>
        </w:rPr>
        <w:t>4</w:t>
      </w:r>
      <w:r>
        <w:rPr>
          <w:rFonts w:cs="Times New Roman" w:hint="eastAsia"/>
          <w:szCs w:val="28"/>
          <w14:ligatures w14:val="none"/>
        </w:rPr>
        <w:t>座</w:t>
      </w:r>
      <w:r>
        <w:rPr>
          <w:rFonts w:cs="Times New Roman" w:hint="eastAsia"/>
          <w:szCs w:val="28"/>
          <w14:ligatures w14:val="none"/>
        </w:rPr>
        <w:t>40m</w:t>
      </w:r>
      <w:r>
        <w:rPr>
          <w:rFonts w:cs="Times New Roman" w:hint="eastAsia"/>
          <w:szCs w:val="28"/>
          <w:vertAlign w:val="superscript"/>
          <w14:ligatures w14:val="none"/>
        </w:rPr>
        <w:t>3</w:t>
      </w:r>
      <w:r>
        <w:rPr>
          <w:rFonts w:cs="Times New Roman" w:hint="eastAsia"/>
          <w:szCs w:val="28"/>
          <w14:ligatures w14:val="none"/>
        </w:rPr>
        <w:t>柴油储罐，油罐总容积为</w:t>
      </w:r>
      <w:r>
        <w:rPr>
          <w:rFonts w:cs="Times New Roman" w:hint="eastAsia"/>
          <w:szCs w:val="28"/>
          <w14:ligatures w14:val="none"/>
        </w:rPr>
        <w:t>150m</w:t>
      </w:r>
      <w:r>
        <w:rPr>
          <w:rFonts w:cs="Times New Roman" w:hint="eastAsia"/>
          <w:szCs w:val="28"/>
          <w:vertAlign w:val="superscript"/>
          <w14:ligatures w14:val="none"/>
        </w:rPr>
        <w:t>3</w:t>
      </w:r>
      <w:r>
        <w:rPr>
          <w:rFonts w:cs="Times New Roman" w:hint="eastAsia"/>
          <w:szCs w:val="28"/>
          <w14:ligatures w14:val="none"/>
        </w:rPr>
        <w:t>（柴油罐容积折半计入），加气部分设有</w:t>
      </w:r>
      <w:r>
        <w:rPr>
          <w:rFonts w:cs="Times New Roman" w:hint="eastAsia"/>
          <w:szCs w:val="28"/>
          <w14:ligatures w14:val="none"/>
        </w:rPr>
        <w:t>1</w:t>
      </w:r>
      <w:r>
        <w:rPr>
          <w:rFonts w:cs="Times New Roman" w:hint="eastAsia"/>
          <w:szCs w:val="28"/>
          <w14:ligatures w14:val="none"/>
        </w:rPr>
        <w:t>座</w:t>
      </w:r>
      <w:r>
        <w:rPr>
          <w:rFonts w:cs="Times New Roman" w:hint="eastAsia"/>
          <w:szCs w:val="28"/>
          <w14:ligatures w14:val="none"/>
        </w:rPr>
        <w:t>60m</w:t>
      </w:r>
      <w:r>
        <w:rPr>
          <w:rFonts w:cs="Times New Roman" w:hint="eastAsia"/>
          <w:szCs w:val="28"/>
          <w:vertAlign w:val="superscript"/>
          <w14:ligatures w14:val="none"/>
        </w:rPr>
        <w:t>3</w:t>
      </w:r>
      <w:r>
        <w:rPr>
          <w:rFonts w:cs="Times New Roman" w:hint="eastAsia"/>
          <w:szCs w:val="28"/>
          <w14:ligatures w14:val="none"/>
        </w:rPr>
        <w:t>LNG</w:t>
      </w:r>
      <w:r>
        <w:rPr>
          <w:rFonts w:cs="Times New Roman" w:hint="eastAsia"/>
          <w:szCs w:val="28"/>
          <w14:ligatures w14:val="none"/>
        </w:rPr>
        <w:t>储罐，按《汽车加油加气加氢站技术标准》（</w:t>
      </w:r>
      <w:r>
        <w:rPr>
          <w:rFonts w:cs="Times New Roman" w:hint="eastAsia"/>
          <w:szCs w:val="28"/>
          <w14:ligatures w14:val="none"/>
        </w:rPr>
        <w:t>GB50156-2021</w:t>
      </w:r>
      <w:r>
        <w:rPr>
          <w:rFonts w:cs="Times New Roman" w:hint="eastAsia"/>
          <w:szCs w:val="28"/>
          <w14:ligatures w14:val="none"/>
        </w:rPr>
        <w:t>）第</w:t>
      </w:r>
      <w:r>
        <w:rPr>
          <w:rFonts w:cs="Times New Roman" w:hint="eastAsia"/>
          <w:szCs w:val="28"/>
          <w14:ligatures w14:val="none"/>
        </w:rPr>
        <w:t>3.0.16</w:t>
      </w:r>
      <w:r>
        <w:rPr>
          <w:rFonts w:cs="Times New Roman" w:hint="eastAsia"/>
          <w:szCs w:val="28"/>
          <w14:ligatures w14:val="none"/>
        </w:rPr>
        <w:t>条规定，该站为一级加油与</w:t>
      </w:r>
      <w:r>
        <w:rPr>
          <w:rFonts w:cs="Times New Roman" w:hint="eastAsia"/>
          <w:szCs w:val="28"/>
          <w14:ligatures w14:val="none"/>
        </w:rPr>
        <w:t>LNG</w:t>
      </w:r>
      <w:r>
        <w:rPr>
          <w:rFonts w:cs="Times New Roman" w:hint="eastAsia"/>
          <w:szCs w:val="28"/>
          <w14:ligatures w14:val="none"/>
        </w:rPr>
        <w:t>加气合建站。</w:t>
      </w:r>
    </w:p>
    <w:p w14:paraId="28B20595" w14:textId="77777777" w:rsidR="00EF4562" w:rsidRDefault="00000000">
      <w:pPr>
        <w:ind w:firstLine="560"/>
        <w:rPr>
          <w:rFonts w:cs="Times New Roman"/>
          <w:szCs w:val="28"/>
          <w14:ligatures w14:val="none"/>
        </w:rPr>
      </w:pPr>
      <w:r>
        <w:rPr>
          <w:rFonts w:cs="Times New Roman" w:hint="eastAsia"/>
          <w:szCs w:val="28"/>
          <w14:ligatures w14:val="none"/>
        </w:rPr>
        <w:t>杨兴加油站原有</w:t>
      </w:r>
      <w:r>
        <w:rPr>
          <w:rFonts w:cs="Times New Roman" w:hint="eastAsia"/>
          <w:szCs w:val="28"/>
          <w14:ligatures w14:val="none"/>
        </w:rPr>
        <w:t>2</w:t>
      </w:r>
      <w:r>
        <w:rPr>
          <w:rFonts w:cs="Times New Roman" w:hint="eastAsia"/>
          <w:szCs w:val="28"/>
          <w14:ligatures w14:val="none"/>
        </w:rPr>
        <w:t>台双枪单油品自吸式车用乙醇汽油加油机和</w:t>
      </w:r>
      <w:r>
        <w:rPr>
          <w:rFonts w:cs="Times New Roman" w:hint="eastAsia"/>
          <w:szCs w:val="28"/>
          <w14:ligatures w14:val="none"/>
        </w:rPr>
        <w:t>4</w:t>
      </w:r>
      <w:r>
        <w:rPr>
          <w:rFonts w:cs="Times New Roman" w:hint="eastAsia"/>
          <w:szCs w:val="28"/>
          <w14:ligatures w14:val="none"/>
        </w:rPr>
        <w:t>台双枪单油品自吸式柴油加油机，现拟拆除</w:t>
      </w:r>
      <w:r>
        <w:rPr>
          <w:rFonts w:cs="Times New Roman" w:hint="eastAsia"/>
          <w:szCs w:val="28"/>
          <w14:ligatures w14:val="none"/>
        </w:rPr>
        <w:t>J103</w:t>
      </w:r>
      <w:r>
        <w:rPr>
          <w:rFonts w:cs="Times New Roman" w:hint="eastAsia"/>
          <w:szCs w:val="28"/>
          <w14:ligatures w14:val="none"/>
        </w:rPr>
        <w:t>号柴油加油机，并在原基础上安装</w:t>
      </w:r>
      <w:r>
        <w:rPr>
          <w:rFonts w:cs="Times New Roman" w:hint="eastAsia"/>
          <w:szCs w:val="28"/>
          <w14:ligatures w14:val="none"/>
        </w:rPr>
        <w:t>1</w:t>
      </w:r>
      <w:r>
        <w:rPr>
          <w:rFonts w:cs="Times New Roman" w:hint="eastAsia"/>
          <w:szCs w:val="28"/>
          <w14:ligatures w14:val="none"/>
        </w:rPr>
        <w:t>台四枪双油品自吸式柴油加油机；拆除</w:t>
      </w:r>
      <w:r>
        <w:rPr>
          <w:rFonts w:cs="Times New Roman" w:hint="eastAsia"/>
          <w:szCs w:val="28"/>
          <w14:ligatures w14:val="none"/>
        </w:rPr>
        <w:t>J101</w:t>
      </w:r>
      <w:r>
        <w:rPr>
          <w:rFonts w:cs="Times New Roman" w:hint="eastAsia"/>
          <w:szCs w:val="28"/>
          <w14:ligatures w14:val="none"/>
        </w:rPr>
        <w:t>号柴油加油机，并在原基础上安装</w:t>
      </w:r>
      <w:r>
        <w:rPr>
          <w:rFonts w:cs="Times New Roman" w:hint="eastAsia"/>
          <w:szCs w:val="28"/>
          <w14:ligatures w14:val="none"/>
        </w:rPr>
        <w:t>1</w:t>
      </w:r>
      <w:r>
        <w:rPr>
          <w:rFonts w:cs="Times New Roman" w:hint="eastAsia"/>
          <w:szCs w:val="28"/>
          <w14:ligatures w14:val="none"/>
        </w:rPr>
        <w:t>台四枪双油品自吸式车用乙醇汽油加油机，并增加油气回收管线；所有加油管线重新敷设。新增加油机均为非自助加油机。本次改造只涉及加油机及管线部分，油罐总容积不变，仍为一级加油与</w:t>
      </w:r>
      <w:r>
        <w:rPr>
          <w:rFonts w:cs="Times New Roman" w:hint="eastAsia"/>
          <w:szCs w:val="28"/>
          <w14:ligatures w14:val="none"/>
        </w:rPr>
        <w:t>LNG</w:t>
      </w:r>
      <w:r>
        <w:rPr>
          <w:rFonts w:cs="Times New Roman" w:hint="eastAsia"/>
          <w:szCs w:val="28"/>
          <w14:ligatures w14:val="none"/>
        </w:rPr>
        <w:t>加气合建站。</w:t>
      </w:r>
    </w:p>
    <w:p w14:paraId="508CE4BE" w14:textId="77777777" w:rsidR="00EF4562" w:rsidRDefault="00000000">
      <w:pPr>
        <w:ind w:firstLine="560"/>
      </w:pPr>
      <w:r>
        <w:rPr>
          <w:rFonts w:hint="eastAsia"/>
        </w:rPr>
        <w:t>根据《危险化学品目录（</w:t>
      </w:r>
      <w:r>
        <w:rPr>
          <w:rFonts w:hint="eastAsia"/>
        </w:rPr>
        <w:t>2015</w:t>
      </w:r>
      <w:r>
        <w:rPr>
          <w:rFonts w:hint="eastAsia"/>
        </w:rPr>
        <w:t>版）》（国家安全生产监督管理总局等十部门公告</w:t>
      </w:r>
      <w:r>
        <w:rPr>
          <w:rFonts w:hint="eastAsia"/>
        </w:rPr>
        <w:t>[2015]</w:t>
      </w:r>
      <w:r>
        <w:rPr>
          <w:rFonts w:hint="eastAsia"/>
        </w:rPr>
        <w:t>第</w:t>
      </w:r>
      <w:r>
        <w:rPr>
          <w:rFonts w:hint="eastAsia"/>
        </w:rPr>
        <w:t>5</w:t>
      </w:r>
      <w:r>
        <w:rPr>
          <w:rFonts w:hint="eastAsia"/>
        </w:rPr>
        <w:t>号，</w:t>
      </w:r>
      <w:r>
        <w:rPr>
          <w:rFonts w:hint="eastAsia"/>
        </w:rPr>
        <w:t>2015</w:t>
      </w:r>
      <w:r>
        <w:rPr>
          <w:rFonts w:hint="eastAsia"/>
        </w:rPr>
        <w:t>年</w:t>
      </w:r>
      <w:r>
        <w:rPr>
          <w:rFonts w:hint="eastAsia"/>
        </w:rPr>
        <w:t>5</w:t>
      </w:r>
      <w:r>
        <w:rPr>
          <w:rFonts w:hint="eastAsia"/>
        </w:rPr>
        <w:t>月</w:t>
      </w:r>
      <w:r>
        <w:rPr>
          <w:rFonts w:hint="eastAsia"/>
        </w:rPr>
        <w:t>1</w:t>
      </w:r>
      <w:r>
        <w:rPr>
          <w:rFonts w:hint="eastAsia"/>
        </w:rPr>
        <w:t>日起实施）及《关于调整危险化学品目录（</w:t>
      </w:r>
      <w:r>
        <w:rPr>
          <w:rFonts w:hint="eastAsia"/>
        </w:rPr>
        <w:t>2015</w:t>
      </w:r>
      <w:r>
        <w:rPr>
          <w:rFonts w:hint="eastAsia"/>
        </w:rPr>
        <w:t>版）的公告》（中华人民共和国应急管理部等十部门公告</w:t>
      </w:r>
      <w:r>
        <w:rPr>
          <w:rFonts w:hint="eastAsia"/>
        </w:rPr>
        <w:t>2022</w:t>
      </w:r>
      <w:r>
        <w:rPr>
          <w:rFonts w:hint="eastAsia"/>
        </w:rPr>
        <w:t>年第</w:t>
      </w:r>
      <w:r>
        <w:rPr>
          <w:rFonts w:hint="eastAsia"/>
        </w:rPr>
        <w:t>8</w:t>
      </w:r>
      <w:r>
        <w:rPr>
          <w:rFonts w:hint="eastAsia"/>
        </w:rPr>
        <w:t>号，</w:t>
      </w:r>
      <w:r>
        <w:rPr>
          <w:rFonts w:hint="eastAsia"/>
        </w:rPr>
        <w:t>2023</w:t>
      </w:r>
      <w:r>
        <w:rPr>
          <w:rFonts w:hint="eastAsia"/>
        </w:rPr>
        <w:t>年</w:t>
      </w:r>
      <w:r>
        <w:rPr>
          <w:rFonts w:hint="eastAsia"/>
        </w:rPr>
        <w:t>01</w:t>
      </w:r>
      <w:r>
        <w:rPr>
          <w:rFonts w:hint="eastAsia"/>
        </w:rPr>
        <w:t>月</w:t>
      </w:r>
      <w:r>
        <w:rPr>
          <w:rFonts w:hint="eastAsia"/>
        </w:rPr>
        <w:t>01</w:t>
      </w:r>
      <w:r>
        <w:rPr>
          <w:rFonts w:hint="eastAsia"/>
        </w:rPr>
        <w:t>日实施），该项目涉及的车用乙醇汽油、柴油均属于危险化学品。因此，该项目属于危险化学品改建项目。</w:t>
      </w:r>
    </w:p>
    <w:p w14:paraId="48302F08" w14:textId="77777777" w:rsidR="00EF4562" w:rsidRDefault="00000000">
      <w:pPr>
        <w:ind w:firstLine="560"/>
      </w:pPr>
      <w:r>
        <w:rPr>
          <w:rFonts w:hint="eastAsia"/>
        </w:rPr>
        <w:t>本项目涉及的车用乙醇汽油为重点监管的危险化学品，不涉及重点监管危险化工工艺，不构成危险化学品重大危险源。</w:t>
      </w:r>
    </w:p>
    <w:p w14:paraId="7B890FDB" w14:textId="77777777" w:rsidR="00EF4562" w:rsidRDefault="00000000">
      <w:pPr>
        <w:ind w:firstLine="560"/>
      </w:pPr>
      <w:r>
        <w:rPr>
          <w:rFonts w:hint="eastAsia"/>
        </w:rPr>
        <w:t>根据《中华人民共和国安全生产法》（中华人民共和国主席令</w:t>
      </w:r>
      <w:r>
        <w:rPr>
          <w:rFonts w:hint="eastAsia"/>
        </w:rPr>
        <w:t>[2021]</w:t>
      </w:r>
      <w:r>
        <w:rPr>
          <w:rFonts w:hint="eastAsia"/>
        </w:rPr>
        <w:t>第八</w:t>
      </w:r>
      <w:r>
        <w:rPr>
          <w:rFonts w:hint="eastAsia"/>
        </w:rPr>
        <w:lastRenderedPageBreak/>
        <w:t>十八号，</w:t>
      </w:r>
      <w:r>
        <w:rPr>
          <w:rFonts w:hint="eastAsia"/>
        </w:rPr>
        <w:t>2021</w:t>
      </w:r>
      <w:r>
        <w:rPr>
          <w:rFonts w:hint="eastAsia"/>
        </w:rPr>
        <w:t>年</w:t>
      </w:r>
      <w:r>
        <w:rPr>
          <w:rFonts w:hint="eastAsia"/>
        </w:rPr>
        <w:t>09</w:t>
      </w:r>
      <w:r>
        <w:rPr>
          <w:rFonts w:hint="eastAsia"/>
        </w:rPr>
        <w:t>月</w:t>
      </w:r>
      <w:r>
        <w:rPr>
          <w:rFonts w:hint="eastAsia"/>
        </w:rPr>
        <w:t>01</w:t>
      </w:r>
      <w:r>
        <w:rPr>
          <w:rFonts w:hint="eastAsia"/>
        </w:rPr>
        <w:t>日施行）第三十一条：生产经营单位新建、改建、扩建工程项目的安全设施，必须与主体工程同时设计、同时施工、同时投入生产和使用。《危险化学品建设项目安全监督管理办法》（原安监总局令</w:t>
      </w:r>
      <w:r>
        <w:rPr>
          <w:rFonts w:hint="eastAsia"/>
        </w:rPr>
        <w:t xml:space="preserve">[2012] </w:t>
      </w:r>
      <w:r>
        <w:rPr>
          <w:rFonts w:hint="eastAsia"/>
        </w:rPr>
        <w:t>第</w:t>
      </w:r>
      <w:r>
        <w:rPr>
          <w:rFonts w:hint="eastAsia"/>
        </w:rPr>
        <w:t>45</w:t>
      </w:r>
      <w:r>
        <w:rPr>
          <w:rFonts w:hint="eastAsia"/>
        </w:rPr>
        <w:t>号，根据原国家安全生产监督管理总局令</w:t>
      </w:r>
      <w:r>
        <w:rPr>
          <w:rFonts w:hint="eastAsia"/>
        </w:rPr>
        <w:t>[2015]</w:t>
      </w:r>
      <w:r>
        <w:rPr>
          <w:rFonts w:hint="eastAsia"/>
        </w:rPr>
        <w:t>第</w:t>
      </w:r>
      <w:r>
        <w:rPr>
          <w:rFonts w:hint="eastAsia"/>
        </w:rPr>
        <w:t>79</w:t>
      </w:r>
      <w:r>
        <w:rPr>
          <w:rFonts w:hint="eastAsia"/>
        </w:rPr>
        <w:t>号修正）第八条：建设单位应当在建设项目的可行性研究阶段，委托具备相应资质的安全评价机构对建设项目进行安全评价。为此，锦州市杨兴加油站有限公司委托辽宁诺诚安全科技有限公司对其工艺管线改造项目进行设立安全评价。</w:t>
      </w:r>
    </w:p>
    <w:p w14:paraId="54324F7A" w14:textId="77777777" w:rsidR="00EF4562" w:rsidRDefault="00000000">
      <w:pPr>
        <w:ind w:firstLine="560"/>
      </w:pPr>
      <w:r>
        <w:rPr>
          <w:rFonts w:hint="eastAsia"/>
        </w:rPr>
        <w:t>接受委托后，我公司专业技术人员即深入现场进行全面调研和现场勘验并根据国家有关安全生产方面的法律、法规规定、国家或行业标准，按照科学性、公正性、合法性、针对性的原则开展安全评价工作，编制完成了《</w:t>
      </w:r>
      <w:bookmarkStart w:id="5" w:name="_Hlk204696517"/>
      <w:r>
        <w:rPr>
          <w:rFonts w:hint="eastAsia"/>
        </w:rPr>
        <w:t>锦州市杨兴加油站有限公司工艺管线改造项目设立安全评价报告</w:t>
      </w:r>
      <w:bookmarkEnd w:id="5"/>
      <w:r>
        <w:rPr>
          <w:rFonts w:hint="eastAsia"/>
        </w:rPr>
        <w:t>》。</w:t>
      </w:r>
    </w:p>
    <w:p w14:paraId="291FCC2B" w14:textId="77777777" w:rsidR="00EF4562" w:rsidRDefault="00000000">
      <w:pPr>
        <w:ind w:firstLine="560"/>
        <w:sectPr w:rsidR="00EF4562">
          <w:headerReference w:type="even" r:id="rId10"/>
          <w:headerReference w:type="default" r:id="rId11"/>
          <w:footerReference w:type="even" r:id="rId12"/>
          <w:footerReference w:type="default" r:id="rId13"/>
          <w:headerReference w:type="first" r:id="rId14"/>
          <w:footerReference w:type="first" r:id="rId15"/>
          <w:pgSz w:w="11906" w:h="16838"/>
          <w:pgMar w:top="1418" w:right="1134" w:bottom="1134" w:left="1588" w:header="851" w:footer="992" w:gutter="0"/>
          <w:cols w:space="425"/>
          <w:docGrid w:type="linesAndChars" w:linePitch="312"/>
        </w:sectPr>
      </w:pPr>
      <w:r>
        <w:rPr>
          <w:rFonts w:hint="eastAsia"/>
        </w:rPr>
        <w:t>在现场调查、资料收集以及报告编制过程中，得到了锦州市杨兴加油站有限公司领导、安全管理人员的大力支持和帮助，在此致以衷心的感谢！</w:t>
      </w:r>
    </w:p>
    <w:sdt>
      <w:sdtPr>
        <w:rPr>
          <w:rFonts w:ascii="Times New Roman" w:eastAsia="宋体" w:hAnsi="Times New Roman" w:cstheme="minorBidi"/>
          <w:color w:val="auto"/>
          <w:kern w:val="2"/>
          <w:sz w:val="28"/>
          <w:szCs w:val="24"/>
          <w:lang w:val="zh-CN"/>
          <w14:ligatures w14:val="standardContextual"/>
        </w:rPr>
        <w:id w:val="992690857"/>
        <w:docPartObj>
          <w:docPartGallery w:val="Table of Contents"/>
          <w:docPartUnique/>
        </w:docPartObj>
      </w:sdtPr>
      <w:sdtEndPr>
        <w:rPr>
          <w:b/>
          <w:bCs/>
        </w:rPr>
      </w:sdtEndPr>
      <w:sdtContent>
        <w:p w14:paraId="43E86716" w14:textId="77777777" w:rsidR="00EF4562" w:rsidRDefault="00000000">
          <w:pPr>
            <w:pStyle w:val="TOC10"/>
            <w:spacing w:beforeLines="50" w:before="156" w:afterLines="50" w:after="156" w:line="360" w:lineRule="auto"/>
            <w:jc w:val="center"/>
            <w:rPr>
              <w:rFonts w:ascii="黑体" w:eastAsia="黑体" w:hAnsi="黑体" w:hint="eastAsia"/>
              <w:b/>
              <w:bCs/>
              <w:color w:val="auto"/>
            </w:rPr>
          </w:pPr>
          <w:r>
            <w:rPr>
              <w:rFonts w:ascii="黑体" w:eastAsia="黑体" w:hAnsi="黑体"/>
              <w:b/>
              <w:bCs/>
              <w:color w:val="auto"/>
              <w:lang w:val="zh-CN"/>
            </w:rPr>
            <w:t>目</w:t>
          </w:r>
          <w:r>
            <w:rPr>
              <w:rFonts w:ascii="黑体" w:eastAsia="黑体" w:hAnsi="黑体" w:hint="eastAsia"/>
              <w:b/>
              <w:bCs/>
              <w:color w:val="auto"/>
              <w:lang w:val="zh-CN"/>
            </w:rPr>
            <w:t xml:space="preserve">  </w:t>
          </w:r>
          <w:r>
            <w:rPr>
              <w:rFonts w:ascii="黑体" w:eastAsia="黑体" w:hAnsi="黑体"/>
              <w:b/>
              <w:bCs/>
              <w:color w:val="auto"/>
              <w:lang w:val="zh-CN"/>
            </w:rPr>
            <w:t>录</w:t>
          </w:r>
        </w:p>
        <w:p w14:paraId="45C78C30" w14:textId="5AF959BE" w:rsidR="00EF4562" w:rsidRDefault="00000000">
          <w:pPr>
            <w:pStyle w:val="TOC1"/>
            <w:rPr>
              <w:rFonts w:cs="Times New Roman"/>
              <w:b w:val="0"/>
              <w:bCs w:val="0"/>
              <w:szCs w:val="28"/>
            </w:rPr>
          </w:pPr>
          <w:r>
            <w:fldChar w:fldCharType="begin"/>
          </w:r>
          <w:r>
            <w:instrText xml:space="preserve"> </w:instrText>
          </w:r>
          <w:r>
            <w:rPr>
              <w:rFonts w:hint="eastAsia"/>
            </w:rPr>
            <w:instrText>TOC \o "1-2" \h \z \u</w:instrText>
          </w:r>
          <w:r>
            <w:instrText xml:space="preserve"> </w:instrText>
          </w:r>
          <w:r>
            <w:fldChar w:fldCharType="separate"/>
          </w:r>
          <w:hyperlink w:anchor="_Toc207695617" w:history="1">
            <w:r w:rsidR="00EF4562">
              <w:rPr>
                <w:rStyle w:val="ac"/>
                <w:rFonts w:cs="Times New Roman"/>
                <w:szCs w:val="28"/>
              </w:rPr>
              <w:t>1</w:t>
            </w:r>
            <w:r w:rsidR="00EF4562">
              <w:rPr>
                <w:rStyle w:val="ac"/>
                <w:rFonts w:cs="Times New Roman"/>
                <w:szCs w:val="28"/>
              </w:rPr>
              <w:t>安全评价工作经过</w:t>
            </w:r>
            <w:r w:rsidR="00EF4562">
              <w:rPr>
                <w:rFonts w:cs="Times New Roman"/>
                <w:szCs w:val="28"/>
              </w:rPr>
              <w:tab/>
            </w:r>
            <w:r w:rsidR="00EF4562">
              <w:rPr>
                <w:rFonts w:cs="Times New Roman"/>
                <w:szCs w:val="28"/>
              </w:rPr>
              <w:fldChar w:fldCharType="begin"/>
            </w:r>
            <w:r w:rsidR="00EF4562">
              <w:rPr>
                <w:rFonts w:cs="Times New Roman"/>
                <w:szCs w:val="28"/>
              </w:rPr>
              <w:instrText xml:space="preserve"> PAGEREF _Toc207695617 \h </w:instrText>
            </w:r>
            <w:r w:rsidR="00EF4562">
              <w:rPr>
                <w:rFonts w:cs="Times New Roman"/>
                <w:szCs w:val="28"/>
              </w:rPr>
            </w:r>
            <w:r w:rsidR="00EF4562">
              <w:rPr>
                <w:rFonts w:cs="Times New Roman"/>
                <w:szCs w:val="28"/>
              </w:rPr>
              <w:fldChar w:fldCharType="separate"/>
            </w:r>
            <w:r w:rsidR="00EF4562">
              <w:rPr>
                <w:rFonts w:cs="Times New Roman"/>
                <w:noProof/>
                <w:szCs w:val="28"/>
              </w:rPr>
              <w:t>1</w:t>
            </w:r>
            <w:r w:rsidR="00EF4562">
              <w:rPr>
                <w:rFonts w:cs="Times New Roman"/>
                <w:szCs w:val="28"/>
              </w:rPr>
              <w:fldChar w:fldCharType="end"/>
            </w:r>
          </w:hyperlink>
        </w:p>
        <w:p w14:paraId="1359D512" w14:textId="2B5D1D85" w:rsidR="00EF4562" w:rsidRDefault="00EF4562">
          <w:pPr>
            <w:pStyle w:val="TOC2"/>
            <w:tabs>
              <w:tab w:val="right" w:leader="dot" w:pos="9174"/>
            </w:tabs>
            <w:ind w:leftChars="0" w:left="0" w:firstLineChars="100" w:firstLine="280"/>
            <w:rPr>
              <w:rStyle w:val="ac"/>
            </w:rPr>
          </w:pPr>
          <w:hyperlink w:anchor="_Toc207695618" w:history="1">
            <w:r>
              <w:rPr>
                <w:rStyle w:val="ac"/>
                <w:rFonts w:eastAsia="黑体" w:cs="Times New Roman"/>
                <w:szCs w:val="28"/>
              </w:rPr>
              <w:t>1.1</w:t>
            </w:r>
            <w:r>
              <w:rPr>
                <w:rStyle w:val="ac"/>
                <w:rFonts w:eastAsia="黑体" w:cs="Times New Roman"/>
                <w:szCs w:val="28"/>
              </w:rPr>
              <w:t>前期准备情况</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_Toc207695618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1</w:t>
            </w:r>
            <w:r>
              <w:rPr>
                <w:rStyle w:val="ac"/>
                <w:rFonts w:hint="eastAsia"/>
              </w:rPr>
              <w:fldChar w:fldCharType="end"/>
            </w:r>
          </w:hyperlink>
        </w:p>
        <w:p w14:paraId="784FDFE3" w14:textId="3EF9F6AE" w:rsidR="00EF4562" w:rsidRDefault="00EF4562">
          <w:pPr>
            <w:pStyle w:val="TOC2"/>
            <w:tabs>
              <w:tab w:val="right" w:leader="dot" w:pos="9174"/>
            </w:tabs>
            <w:ind w:leftChars="0" w:left="0" w:firstLineChars="100" w:firstLine="280"/>
            <w:rPr>
              <w:rStyle w:val="ac"/>
            </w:rPr>
          </w:pPr>
          <w:hyperlink w:anchor="_Toc207695619" w:history="1">
            <w:r>
              <w:rPr>
                <w:rStyle w:val="ac"/>
                <w:rFonts w:eastAsia="黑体" w:cs="Times New Roman"/>
                <w:szCs w:val="28"/>
              </w:rPr>
              <w:t>1.2</w:t>
            </w:r>
            <w:r>
              <w:rPr>
                <w:rStyle w:val="ac"/>
                <w:rFonts w:eastAsia="黑体" w:cs="Times New Roman"/>
                <w:szCs w:val="28"/>
              </w:rPr>
              <w:t>安全评价目的</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_Toc207695619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1</w:t>
            </w:r>
            <w:r>
              <w:rPr>
                <w:rStyle w:val="ac"/>
                <w:rFonts w:hint="eastAsia"/>
              </w:rPr>
              <w:fldChar w:fldCharType="end"/>
            </w:r>
          </w:hyperlink>
        </w:p>
        <w:p w14:paraId="2B4D0B31" w14:textId="471E5970" w:rsidR="00EF4562" w:rsidRDefault="00EF4562">
          <w:pPr>
            <w:pStyle w:val="TOC2"/>
            <w:tabs>
              <w:tab w:val="right" w:leader="dot" w:pos="9174"/>
            </w:tabs>
            <w:ind w:leftChars="0" w:left="0" w:firstLineChars="100" w:firstLine="280"/>
            <w:rPr>
              <w:rStyle w:val="ac"/>
            </w:rPr>
          </w:pPr>
          <w:hyperlink w:anchor="_Toc207695620" w:history="1">
            <w:r>
              <w:rPr>
                <w:rStyle w:val="ac"/>
                <w:rFonts w:eastAsia="黑体" w:cs="Times New Roman"/>
                <w:szCs w:val="28"/>
              </w:rPr>
              <w:t>1.3</w:t>
            </w:r>
            <w:r>
              <w:rPr>
                <w:rStyle w:val="ac"/>
                <w:rFonts w:eastAsia="黑体" w:cs="Times New Roman"/>
                <w:szCs w:val="28"/>
              </w:rPr>
              <w:t>评价对象和范围</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_Toc207695620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1</w:t>
            </w:r>
            <w:r>
              <w:rPr>
                <w:rStyle w:val="ac"/>
                <w:rFonts w:hint="eastAsia"/>
              </w:rPr>
              <w:fldChar w:fldCharType="end"/>
            </w:r>
          </w:hyperlink>
        </w:p>
        <w:p w14:paraId="45B316DD" w14:textId="7ED8FA77" w:rsidR="00EF4562" w:rsidRDefault="00EF4562">
          <w:pPr>
            <w:pStyle w:val="TOC2"/>
            <w:tabs>
              <w:tab w:val="right" w:leader="dot" w:pos="9174"/>
            </w:tabs>
            <w:ind w:leftChars="0" w:left="0" w:firstLineChars="100" w:firstLine="280"/>
            <w:rPr>
              <w:rStyle w:val="ac"/>
            </w:rPr>
          </w:pPr>
          <w:hyperlink w:anchor="_Toc207695621" w:history="1">
            <w:r>
              <w:rPr>
                <w:rStyle w:val="ac"/>
                <w:rFonts w:eastAsia="黑体" w:cs="Times New Roman"/>
                <w:szCs w:val="28"/>
              </w:rPr>
              <w:t>1.4</w:t>
            </w:r>
            <w:r>
              <w:rPr>
                <w:rStyle w:val="ac"/>
                <w:rFonts w:eastAsia="黑体" w:cs="Times New Roman"/>
                <w:szCs w:val="28"/>
              </w:rPr>
              <w:t>工作经过和程序</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_Toc207695621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2</w:t>
            </w:r>
            <w:r>
              <w:rPr>
                <w:rStyle w:val="ac"/>
                <w:rFonts w:hint="eastAsia"/>
              </w:rPr>
              <w:fldChar w:fldCharType="end"/>
            </w:r>
          </w:hyperlink>
        </w:p>
        <w:p w14:paraId="028101BE" w14:textId="555EFBC8" w:rsidR="00EF4562" w:rsidRDefault="00EF4562">
          <w:pPr>
            <w:pStyle w:val="TOC1"/>
            <w:rPr>
              <w:rFonts w:cs="Times New Roman"/>
              <w:b w:val="0"/>
              <w:bCs w:val="0"/>
              <w:szCs w:val="28"/>
            </w:rPr>
          </w:pPr>
          <w:hyperlink w:anchor="_Toc207695622" w:history="1">
            <w:r>
              <w:rPr>
                <w:rStyle w:val="ac"/>
                <w:rFonts w:cs="Times New Roman"/>
                <w:szCs w:val="28"/>
              </w:rPr>
              <w:t>2</w:t>
            </w:r>
            <w:r>
              <w:rPr>
                <w:rStyle w:val="ac"/>
                <w:rFonts w:cs="Times New Roman"/>
                <w:szCs w:val="28"/>
              </w:rPr>
              <w:t>建设项目概况</w:t>
            </w:r>
            <w:r>
              <w:rPr>
                <w:rFonts w:cs="Times New Roman"/>
                <w:szCs w:val="28"/>
              </w:rPr>
              <w:tab/>
            </w:r>
            <w:r>
              <w:rPr>
                <w:rFonts w:cs="Times New Roman"/>
                <w:szCs w:val="28"/>
              </w:rPr>
              <w:fldChar w:fldCharType="begin"/>
            </w:r>
            <w:r>
              <w:rPr>
                <w:rFonts w:cs="Times New Roman"/>
                <w:szCs w:val="28"/>
              </w:rPr>
              <w:instrText xml:space="preserve"> PAGEREF _Toc207695622 \h </w:instrText>
            </w:r>
            <w:r>
              <w:rPr>
                <w:rFonts w:cs="Times New Roman"/>
                <w:szCs w:val="28"/>
              </w:rPr>
            </w:r>
            <w:r>
              <w:rPr>
                <w:rFonts w:cs="Times New Roman"/>
                <w:szCs w:val="28"/>
              </w:rPr>
              <w:fldChar w:fldCharType="separate"/>
            </w:r>
            <w:r>
              <w:rPr>
                <w:rFonts w:cs="Times New Roman"/>
                <w:noProof/>
                <w:szCs w:val="28"/>
              </w:rPr>
              <w:t>4</w:t>
            </w:r>
            <w:r>
              <w:rPr>
                <w:rFonts w:cs="Times New Roman"/>
                <w:szCs w:val="28"/>
              </w:rPr>
              <w:fldChar w:fldCharType="end"/>
            </w:r>
          </w:hyperlink>
        </w:p>
        <w:p w14:paraId="2A2C8741" w14:textId="40D615A5" w:rsidR="00EF4562" w:rsidRDefault="00EF4562">
          <w:pPr>
            <w:pStyle w:val="TOC2"/>
            <w:tabs>
              <w:tab w:val="right" w:leader="dot" w:pos="9174"/>
            </w:tabs>
            <w:ind w:leftChars="0" w:left="0" w:firstLineChars="100" w:firstLine="280"/>
            <w:rPr>
              <w:rStyle w:val="ac"/>
            </w:rPr>
          </w:pPr>
          <w:hyperlink w:anchor="_Toc207695623" w:history="1">
            <w:r>
              <w:rPr>
                <w:rStyle w:val="ac"/>
                <w:rFonts w:eastAsia="黑体" w:cs="Times New Roman"/>
                <w:szCs w:val="28"/>
              </w:rPr>
              <w:t>2.1</w:t>
            </w:r>
            <w:r>
              <w:rPr>
                <w:rStyle w:val="ac"/>
                <w:rFonts w:eastAsia="黑体" w:cs="Times New Roman"/>
                <w:szCs w:val="28"/>
              </w:rPr>
              <w:t>建设项目设计上采用的主要技术、工艺和国内、外同类建设项目水平对比情况</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_Toc207695623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5</w:t>
            </w:r>
            <w:r>
              <w:rPr>
                <w:rStyle w:val="ac"/>
                <w:rFonts w:hint="eastAsia"/>
              </w:rPr>
              <w:fldChar w:fldCharType="end"/>
            </w:r>
          </w:hyperlink>
        </w:p>
        <w:p w14:paraId="094D890F" w14:textId="2C5A4CE8" w:rsidR="00EF4562" w:rsidRDefault="00EF4562">
          <w:pPr>
            <w:pStyle w:val="TOC2"/>
            <w:tabs>
              <w:tab w:val="right" w:leader="dot" w:pos="9174"/>
            </w:tabs>
            <w:ind w:leftChars="0" w:left="0" w:firstLineChars="100" w:firstLine="280"/>
            <w:rPr>
              <w:rStyle w:val="ac"/>
            </w:rPr>
          </w:pPr>
          <w:hyperlink w:anchor="_Toc207695624" w:history="1">
            <w:r>
              <w:rPr>
                <w:rStyle w:val="ac"/>
                <w:rFonts w:eastAsia="黑体" w:cs="Times New Roman"/>
                <w:szCs w:val="28"/>
              </w:rPr>
              <w:t>2.2</w:t>
            </w:r>
            <w:r>
              <w:rPr>
                <w:rStyle w:val="ac"/>
                <w:rFonts w:eastAsia="黑体" w:cs="Times New Roman"/>
                <w:szCs w:val="28"/>
              </w:rPr>
              <w:t>建设项目所在的地理位置、用地面积和生产或者储存规模</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_Toc207695624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7</w:t>
            </w:r>
            <w:r>
              <w:rPr>
                <w:rStyle w:val="ac"/>
                <w:rFonts w:hint="eastAsia"/>
              </w:rPr>
              <w:fldChar w:fldCharType="end"/>
            </w:r>
          </w:hyperlink>
        </w:p>
        <w:p w14:paraId="7E8FB0A7" w14:textId="3CB9D59C" w:rsidR="00EF4562" w:rsidRDefault="00EF4562">
          <w:pPr>
            <w:pStyle w:val="TOC2"/>
            <w:tabs>
              <w:tab w:val="right" w:leader="dot" w:pos="9174"/>
            </w:tabs>
            <w:ind w:leftChars="0" w:left="0" w:firstLineChars="100" w:firstLine="280"/>
            <w:rPr>
              <w:rStyle w:val="ac"/>
            </w:rPr>
          </w:pPr>
          <w:hyperlink w:anchor="_Toc207695625" w:history="1">
            <w:r>
              <w:rPr>
                <w:rStyle w:val="ac"/>
                <w:rFonts w:eastAsia="黑体" w:cs="Times New Roman"/>
                <w:szCs w:val="28"/>
              </w:rPr>
              <w:t>2.3</w:t>
            </w:r>
            <w:r>
              <w:rPr>
                <w:rStyle w:val="ac"/>
                <w:rFonts w:eastAsia="黑体" w:cs="Times New Roman"/>
                <w:szCs w:val="28"/>
              </w:rPr>
              <w:t>建设项目涉及的主要原辅材料和品种名称、数量、储存</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_Toc207695625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8</w:t>
            </w:r>
            <w:r>
              <w:rPr>
                <w:rStyle w:val="ac"/>
                <w:rFonts w:hint="eastAsia"/>
              </w:rPr>
              <w:fldChar w:fldCharType="end"/>
            </w:r>
          </w:hyperlink>
        </w:p>
        <w:p w14:paraId="6978FD50" w14:textId="2045E256" w:rsidR="00EF4562" w:rsidRDefault="00EF4562">
          <w:pPr>
            <w:pStyle w:val="TOC2"/>
            <w:tabs>
              <w:tab w:val="right" w:leader="dot" w:pos="9174"/>
            </w:tabs>
            <w:ind w:leftChars="0" w:left="0" w:firstLineChars="100" w:firstLine="280"/>
            <w:rPr>
              <w:rStyle w:val="ac"/>
            </w:rPr>
          </w:pPr>
          <w:hyperlink w:anchor="_Toc207695626" w:history="1">
            <w:r>
              <w:rPr>
                <w:rStyle w:val="ac"/>
                <w:rFonts w:eastAsia="黑体" w:cs="Times New Roman"/>
                <w:szCs w:val="28"/>
              </w:rPr>
              <w:t>2.4</w:t>
            </w:r>
            <w:r>
              <w:rPr>
                <w:rStyle w:val="ac"/>
                <w:rFonts w:eastAsia="黑体" w:cs="Times New Roman"/>
                <w:szCs w:val="28"/>
              </w:rPr>
              <w:t>建设项目选择的工艺流程和选用的主要设备和设施的布局及其上下游生产装置的关系</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_Toc207695626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8</w:t>
            </w:r>
            <w:r>
              <w:rPr>
                <w:rStyle w:val="ac"/>
                <w:rFonts w:hint="eastAsia"/>
              </w:rPr>
              <w:fldChar w:fldCharType="end"/>
            </w:r>
          </w:hyperlink>
        </w:p>
        <w:p w14:paraId="619ACFA2" w14:textId="500DEADF" w:rsidR="00EF4562" w:rsidRDefault="00EF4562">
          <w:pPr>
            <w:pStyle w:val="TOC2"/>
            <w:tabs>
              <w:tab w:val="right" w:leader="dot" w:pos="9174"/>
            </w:tabs>
            <w:ind w:leftChars="0" w:left="0" w:firstLineChars="100" w:firstLine="280"/>
            <w:rPr>
              <w:rStyle w:val="ac"/>
            </w:rPr>
          </w:pPr>
          <w:hyperlink w:anchor="_Toc207695627" w:history="1">
            <w:r>
              <w:rPr>
                <w:rStyle w:val="ac"/>
                <w:rFonts w:eastAsia="黑体" w:cs="Times New Roman"/>
                <w:szCs w:val="28"/>
              </w:rPr>
              <w:t>2.5</w:t>
            </w:r>
            <w:r>
              <w:rPr>
                <w:rStyle w:val="ac"/>
                <w:rFonts w:eastAsia="黑体" w:cs="Times New Roman"/>
                <w:szCs w:val="28"/>
              </w:rPr>
              <w:t>建设项目配套和辅助工程名称、能力、介质来源</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_Toc207695627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13</w:t>
            </w:r>
            <w:r>
              <w:rPr>
                <w:rStyle w:val="ac"/>
                <w:rFonts w:hint="eastAsia"/>
              </w:rPr>
              <w:fldChar w:fldCharType="end"/>
            </w:r>
          </w:hyperlink>
        </w:p>
        <w:p w14:paraId="0B1C776F" w14:textId="120D507D" w:rsidR="00EF4562" w:rsidRDefault="00EF4562">
          <w:pPr>
            <w:pStyle w:val="TOC2"/>
            <w:tabs>
              <w:tab w:val="right" w:leader="dot" w:pos="9174"/>
            </w:tabs>
            <w:ind w:leftChars="0" w:left="0" w:firstLineChars="100" w:firstLine="280"/>
            <w:rPr>
              <w:rStyle w:val="ac"/>
            </w:rPr>
          </w:pPr>
          <w:hyperlink w:anchor="_Toc207695628" w:history="1">
            <w:r>
              <w:rPr>
                <w:rStyle w:val="ac"/>
                <w:rFonts w:eastAsia="黑体" w:cs="Times New Roman"/>
                <w:szCs w:val="28"/>
              </w:rPr>
              <w:t>2.6</w:t>
            </w:r>
            <w:r>
              <w:rPr>
                <w:rStyle w:val="ac"/>
                <w:rFonts w:eastAsia="黑体" w:cs="Times New Roman"/>
                <w:szCs w:val="28"/>
              </w:rPr>
              <w:t>建设项目选用的主要装置（设备）设施名称、型号、材质、数量和主要特种设备</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_Toc207695628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16</w:t>
            </w:r>
            <w:r>
              <w:rPr>
                <w:rStyle w:val="ac"/>
                <w:rFonts w:hint="eastAsia"/>
              </w:rPr>
              <w:fldChar w:fldCharType="end"/>
            </w:r>
          </w:hyperlink>
        </w:p>
        <w:p w14:paraId="5E1EA148" w14:textId="50DED739" w:rsidR="00EF4562" w:rsidRDefault="00EF4562">
          <w:pPr>
            <w:pStyle w:val="TOC2"/>
            <w:tabs>
              <w:tab w:val="right" w:leader="dot" w:pos="9174"/>
            </w:tabs>
            <w:ind w:leftChars="0" w:left="0" w:firstLineChars="100" w:firstLine="280"/>
            <w:rPr>
              <w:rFonts w:eastAsia="黑体" w:cs="Times New Roman"/>
              <w:szCs w:val="28"/>
            </w:rPr>
          </w:pPr>
          <w:hyperlink w:anchor="_Toc207695629" w:history="1">
            <w:r>
              <w:rPr>
                <w:rStyle w:val="ac"/>
                <w:rFonts w:eastAsia="黑体" w:cs="Times New Roman"/>
                <w:szCs w:val="28"/>
              </w:rPr>
              <w:t>2.7</w:t>
            </w:r>
            <w:r>
              <w:rPr>
                <w:rStyle w:val="ac"/>
                <w:rFonts w:eastAsia="黑体" w:cs="Times New Roman"/>
                <w:szCs w:val="28"/>
              </w:rPr>
              <w:t>劳动定员</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_Toc207695629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17</w:t>
            </w:r>
            <w:r>
              <w:rPr>
                <w:rStyle w:val="ac"/>
                <w:rFonts w:hint="eastAsia"/>
              </w:rPr>
              <w:fldChar w:fldCharType="end"/>
            </w:r>
          </w:hyperlink>
        </w:p>
        <w:p w14:paraId="581E3DB1" w14:textId="0AE6F5BE" w:rsidR="00EF4562" w:rsidRDefault="00EF4562">
          <w:pPr>
            <w:pStyle w:val="TOC1"/>
            <w:rPr>
              <w:rFonts w:cs="Times New Roman"/>
              <w:b w:val="0"/>
              <w:bCs w:val="0"/>
              <w:szCs w:val="28"/>
            </w:rPr>
          </w:pPr>
          <w:hyperlink w:anchor="_Toc207695630" w:history="1">
            <w:r>
              <w:rPr>
                <w:rStyle w:val="ac"/>
                <w:rFonts w:cs="Times New Roman"/>
                <w:szCs w:val="28"/>
              </w:rPr>
              <w:t>3</w:t>
            </w:r>
            <w:r>
              <w:rPr>
                <w:rStyle w:val="ac"/>
                <w:rFonts w:cs="Times New Roman"/>
                <w:szCs w:val="28"/>
              </w:rPr>
              <w:t>原料、中间产品、最终产品或者储存的危险化学品的理化性能指标</w:t>
            </w:r>
            <w:r>
              <w:rPr>
                <w:rFonts w:cs="Times New Roman"/>
                <w:szCs w:val="28"/>
              </w:rPr>
              <w:tab/>
            </w:r>
            <w:r>
              <w:rPr>
                <w:rFonts w:cs="Times New Roman"/>
                <w:szCs w:val="28"/>
              </w:rPr>
              <w:fldChar w:fldCharType="begin"/>
            </w:r>
            <w:r>
              <w:rPr>
                <w:rFonts w:cs="Times New Roman"/>
                <w:szCs w:val="28"/>
              </w:rPr>
              <w:instrText xml:space="preserve"> PAGEREF _Toc207695630 \h </w:instrText>
            </w:r>
            <w:r>
              <w:rPr>
                <w:rFonts w:cs="Times New Roman"/>
                <w:szCs w:val="28"/>
              </w:rPr>
            </w:r>
            <w:r>
              <w:rPr>
                <w:rFonts w:cs="Times New Roman"/>
                <w:szCs w:val="28"/>
              </w:rPr>
              <w:fldChar w:fldCharType="separate"/>
            </w:r>
            <w:r>
              <w:rPr>
                <w:rFonts w:cs="Times New Roman"/>
                <w:noProof/>
                <w:szCs w:val="28"/>
              </w:rPr>
              <w:t>18</w:t>
            </w:r>
            <w:r>
              <w:rPr>
                <w:rFonts w:cs="Times New Roman"/>
                <w:szCs w:val="28"/>
              </w:rPr>
              <w:fldChar w:fldCharType="end"/>
            </w:r>
          </w:hyperlink>
        </w:p>
        <w:p w14:paraId="1B3196C8" w14:textId="73A90F99" w:rsidR="00EF4562" w:rsidRDefault="00EF4562">
          <w:pPr>
            <w:pStyle w:val="TOC1"/>
            <w:rPr>
              <w:rFonts w:cs="Times New Roman"/>
              <w:b w:val="0"/>
              <w:bCs w:val="0"/>
              <w:szCs w:val="28"/>
            </w:rPr>
          </w:pPr>
          <w:hyperlink w:anchor="_Toc207695631" w:history="1">
            <w:r>
              <w:rPr>
                <w:rStyle w:val="ac"/>
                <w:rFonts w:cs="Times New Roman"/>
                <w:szCs w:val="28"/>
              </w:rPr>
              <w:t>4</w:t>
            </w:r>
            <w:r>
              <w:rPr>
                <w:rStyle w:val="ac"/>
                <w:rFonts w:cs="Times New Roman"/>
                <w:szCs w:val="28"/>
              </w:rPr>
              <w:t>危险化学品包装、储存、运输的技术要求</w:t>
            </w:r>
            <w:r>
              <w:rPr>
                <w:rFonts w:cs="Times New Roman"/>
                <w:szCs w:val="28"/>
              </w:rPr>
              <w:tab/>
            </w:r>
            <w:r>
              <w:rPr>
                <w:rFonts w:cs="Times New Roman"/>
                <w:szCs w:val="28"/>
              </w:rPr>
              <w:fldChar w:fldCharType="begin"/>
            </w:r>
            <w:r>
              <w:rPr>
                <w:rFonts w:cs="Times New Roman"/>
                <w:szCs w:val="28"/>
              </w:rPr>
              <w:instrText xml:space="preserve"> PAGEREF _Toc207695631 \h </w:instrText>
            </w:r>
            <w:r>
              <w:rPr>
                <w:rFonts w:cs="Times New Roman"/>
                <w:szCs w:val="28"/>
              </w:rPr>
            </w:r>
            <w:r>
              <w:rPr>
                <w:rFonts w:cs="Times New Roman"/>
                <w:szCs w:val="28"/>
              </w:rPr>
              <w:fldChar w:fldCharType="separate"/>
            </w:r>
            <w:r>
              <w:rPr>
                <w:rFonts w:cs="Times New Roman"/>
                <w:noProof/>
                <w:szCs w:val="28"/>
              </w:rPr>
              <w:t>20</w:t>
            </w:r>
            <w:r>
              <w:rPr>
                <w:rFonts w:cs="Times New Roman"/>
                <w:szCs w:val="28"/>
              </w:rPr>
              <w:fldChar w:fldCharType="end"/>
            </w:r>
          </w:hyperlink>
        </w:p>
        <w:p w14:paraId="58722436" w14:textId="1D6F4E2F" w:rsidR="00EF4562" w:rsidRDefault="00EF4562">
          <w:pPr>
            <w:pStyle w:val="TOC1"/>
            <w:rPr>
              <w:rFonts w:cs="Times New Roman"/>
              <w:b w:val="0"/>
              <w:bCs w:val="0"/>
              <w:szCs w:val="28"/>
            </w:rPr>
          </w:pPr>
          <w:hyperlink w:anchor="_Toc207695632" w:history="1">
            <w:r>
              <w:rPr>
                <w:rStyle w:val="ac"/>
                <w:rFonts w:cs="Times New Roman"/>
                <w:szCs w:val="28"/>
              </w:rPr>
              <w:t>5</w:t>
            </w:r>
            <w:r>
              <w:rPr>
                <w:rStyle w:val="ac"/>
                <w:rFonts w:cs="Times New Roman"/>
                <w:szCs w:val="28"/>
              </w:rPr>
              <w:t>建设项目的危险、有害因素和危险、有害程度</w:t>
            </w:r>
            <w:r>
              <w:rPr>
                <w:rFonts w:cs="Times New Roman"/>
                <w:szCs w:val="28"/>
              </w:rPr>
              <w:tab/>
            </w:r>
            <w:r>
              <w:rPr>
                <w:rFonts w:cs="Times New Roman"/>
                <w:szCs w:val="28"/>
              </w:rPr>
              <w:fldChar w:fldCharType="begin"/>
            </w:r>
            <w:r>
              <w:rPr>
                <w:rFonts w:cs="Times New Roman"/>
                <w:szCs w:val="28"/>
              </w:rPr>
              <w:instrText xml:space="preserve"> PAGEREF _Toc207695632 \h </w:instrText>
            </w:r>
            <w:r>
              <w:rPr>
                <w:rFonts w:cs="Times New Roman"/>
                <w:szCs w:val="28"/>
              </w:rPr>
            </w:r>
            <w:r>
              <w:rPr>
                <w:rFonts w:cs="Times New Roman"/>
                <w:szCs w:val="28"/>
              </w:rPr>
              <w:fldChar w:fldCharType="separate"/>
            </w:r>
            <w:r>
              <w:rPr>
                <w:rFonts w:cs="Times New Roman"/>
                <w:noProof/>
                <w:szCs w:val="28"/>
              </w:rPr>
              <w:t>21</w:t>
            </w:r>
            <w:r>
              <w:rPr>
                <w:rFonts w:cs="Times New Roman"/>
                <w:szCs w:val="28"/>
              </w:rPr>
              <w:fldChar w:fldCharType="end"/>
            </w:r>
          </w:hyperlink>
        </w:p>
        <w:p w14:paraId="2DE4163E" w14:textId="5A9BD578" w:rsidR="00EF4562" w:rsidRDefault="00EF4562">
          <w:pPr>
            <w:pStyle w:val="TOC2"/>
            <w:tabs>
              <w:tab w:val="right" w:leader="dot" w:pos="9174"/>
            </w:tabs>
            <w:ind w:leftChars="0" w:left="0" w:firstLineChars="100" w:firstLine="280"/>
            <w:rPr>
              <w:rStyle w:val="ac"/>
            </w:rPr>
          </w:pPr>
          <w:hyperlink w:anchor="_Toc207695633" w:history="1">
            <w:r>
              <w:rPr>
                <w:rStyle w:val="ac"/>
                <w:rFonts w:eastAsia="黑体" w:cs="Times New Roman"/>
                <w:szCs w:val="28"/>
              </w:rPr>
              <w:t>5.1</w:t>
            </w:r>
            <w:r>
              <w:rPr>
                <w:rStyle w:val="ac"/>
                <w:rFonts w:eastAsia="黑体" w:cs="Times New Roman"/>
                <w:szCs w:val="28"/>
              </w:rPr>
              <w:t>危险、有害因素</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_Toc207695633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21</w:t>
            </w:r>
            <w:r>
              <w:rPr>
                <w:rStyle w:val="ac"/>
                <w:rFonts w:hint="eastAsia"/>
              </w:rPr>
              <w:fldChar w:fldCharType="end"/>
            </w:r>
          </w:hyperlink>
        </w:p>
        <w:p w14:paraId="22360E35" w14:textId="292D3C96" w:rsidR="00EF4562" w:rsidRDefault="00EF4562">
          <w:pPr>
            <w:pStyle w:val="TOC2"/>
            <w:tabs>
              <w:tab w:val="right" w:leader="dot" w:pos="9174"/>
            </w:tabs>
            <w:ind w:leftChars="0" w:left="0" w:firstLineChars="100" w:firstLine="280"/>
            <w:rPr>
              <w:rStyle w:val="ac"/>
            </w:rPr>
          </w:pPr>
          <w:hyperlink w:anchor="_Toc207695634" w:history="1">
            <w:r>
              <w:rPr>
                <w:rStyle w:val="ac"/>
                <w:rFonts w:eastAsia="黑体" w:cs="Times New Roman"/>
                <w:szCs w:val="28"/>
              </w:rPr>
              <w:t>5.2</w:t>
            </w:r>
            <w:r>
              <w:rPr>
                <w:rStyle w:val="ac"/>
                <w:rFonts w:eastAsia="黑体" w:cs="Times New Roman"/>
                <w:szCs w:val="28"/>
              </w:rPr>
              <w:t>危险、有害程度</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_Toc207695634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22</w:t>
            </w:r>
            <w:r>
              <w:rPr>
                <w:rStyle w:val="ac"/>
                <w:rFonts w:hint="eastAsia"/>
              </w:rPr>
              <w:fldChar w:fldCharType="end"/>
            </w:r>
          </w:hyperlink>
        </w:p>
        <w:p w14:paraId="0ECBDE40" w14:textId="310C6783" w:rsidR="00EF4562" w:rsidRDefault="00EF4562">
          <w:pPr>
            <w:pStyle w:val="TOC2"/>
            <w:tabs>
              <w:tab w:val="right" w:leader="dot" w:pos="9174"/>
            </w:tabs>
            <w:ind w:leftChars="0" w:left="0" w:firstLineChars="100" w:firstLine="280"/>
            <w:rPr>
              <w:rStyle w:val="ac"/>
            </w:rPr>
          </w:pPr>
          <w:hyperlink w:anchor="_Toc207695635" w:history="1">
            <w:r>
              <w:rPr>
                <w:rStyle w:val="ac"/>
                <w:rFonts w:eastAsia="黑体" w:cs="Times New Roman"/>
                <w:szCs w:val="28"/>
              </w:rPr>
              <w:t>5.3“</w:t>
            </w:r>
            <w:r>
              <w:rPr>
                <w:rStyle w:val="ac"/>
                <w:rFonts w:eastAsia="黑体" w:cs="Times New Roman"/>
                <w:szCs w:val="28"/>
              </w:rPr>
              <w:t>两重点一重大</w:t>
            </w:r>
            <w:r>
              <w:rPr>
                <w:rStyle w:val="ac"/>
                <w:rFonts w:eastAsia="黑体" w:cs="Times New Roman"/>
                <w:szCs w:val="28"/>
              </w:rPr>
              <w:t>”</w:t>
            </w:r>
            <w:r>
              <w:rPr>
                <w:rStyle w:val="ac"/>
                <w:rFonts w:eastAsia="黑体" w:cs="Times New Roman"/>
                <w:szCs w:val="28"/>
              </w:rPr>
              <w:t>辨识</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_Toc207695635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27</w:t>
            </w:r>
            <w:r>
              <w:rPr>
                <w:rStyle w:val="ac"/>
                <w:rFonts w:hint="eastAsia"/>
              </w:rPr>
              <w:fldChar w:fldCharType="end"/>
            </w:r>
          </w:hyperlink>
        </w:p>
        <w:p w14:paraId="3E19EC4E" w14:textId="4A58CE20" w:rsidR="00EF4562" w:rsidRDefault="00EF4562">
          <w:pPr>
            <w:pStyle w:val="TOC2"/>
            <w:tabs>
              <w:tab w:val="right" w:leader="dot" w:pos="9174"/>
            </w:tabs>
            <w:ind w:leftChars="0" w:left="0" w:firstLineChars="100" w:firstLine="280"/>
            <w:rPr>
              <w:rStyle w:val="ac"/>
            </w:rPr>
          </w:pPr>
          <w:hyperlink w:anchor="_Toc207695636" w:history="1">
            <w:r>
              <w:rPr>
                <w:rStyle w:val="ac"/>
                <w:rFonts w:eastAsia="黑体" w:cs="Times New Roman"/>
                <w:szCs w:val="28"/>
              </w:rPr>
              <w:t>5.4</w:t>
            </w:r>
            <w:r>
              <w:rPr>
                <w:rStyle w:val="ac"/>
                <w:rFonts w:eastAsia="黑体" w:cs="Times New Roman"/>
                <w:szCs w:val="28"/>
              </w:rPr>
              <w:t>该项目爆炸危险区域划分</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_Toc207695636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27</w:t>
            </w:r>
            <w:r>
              <w:rPr>
                <w:rStyle w:val="ac"/>
                <w:rFonts w:hint="eastAsia"/>
              </w:rPr>
              <w:fldChar w:fldCharType="end"/>
            </w:r>
          </w:hyperlink>
        </w:p>
        <w:p w14:paraId="038B48E0" w14:textId="32D7DEC1" w:rsidR="00EF4562" w:rsidRDefault="00EF4562">
          <w:pPr>
            <w:pStyle w:val="TOC1"/>
            <w:rPr>
              <w:rFonts w:cs="Times New Roman"/>
              <w:b w:val="0"/>
              <w:bCs w:val="0"/>
              <w:szCs w:val="28"/>
            </w:rPr>
          </w:pPr>
          <w:hyperlink w:anchor="_Toc207695637" w:history="1">
            <w:r>
              <w:rPr>
                <w:rStyle w:val="ac"/>
                <w:rFonts w:cs="Times New Roman"/>
                <w:szCs w:val="28"/>
              </w:rPr>
              <w:t>6</w:t>
            </w:r>
            <w:r>
              <w:rPr>
                <w:rStyle w:val="ac"/>
                <w:rFonts w:cs="Times New Roman"/>
                <w:szCs w:val="28"/>
              </w:rPr>
              <w:t>建设项目的安全条件</w:t>
            </w:r>
            <w:r>
              <w:rPr>
                <w:rFonts w:cs="Times New Roman"/>
                <w:szCs w:val="28"/>
              </w:rPr>
              <w:tab/>
            </w:r>
            <w:r>
              <w:rPr>
                <w:rFonts w:cs="Times New Roman"/>
                <w:szCs w:val="28"/>
              </w:rPr>
              <w:fldChar w:fldCharType="begin"/>
            </w:r>
            <w:r>
              <w:rPr>
                <w:rFonts w:cs="Times New Roman"/>
                <w:szCs w:val="28"/>
              </w:rPr>
              <w:instrText xml:space="preserve"> PAGEREF _Toc207695637 \h </w:instrText>
            </w:r>
            <w:r>
              <w:rPr>
                <w:rFonts w:cs="Times New Roman"/>
                <w:szCs w:val="28"/>
              </w:rPr>
            </w:r>
            <w:r>
              <w:rPr>
                <w:rFonts w:cs="Times New Roman"/>
                <w:szCs w:val="28"/>
              </w:rPr>
              <w:fldChar w:fldCharType="separate"/>
            </w:r>
            <w:r>
              <w:rPr>
                <w:rFonts w:cs="Times New Roman"/>
                <w:noProof/>
                <w:szCs w:val="28"/>
              </w:rPr>
              <w:t>29</w:t>
            </w:r>
            <w:r>
              <w:rPr>
                <w:rFonts w:cs="Times New Roman"/>
                <w:szCs w:val="28"/>
              </w:rPr>
              <w:fldChar w:fldCharType="end"/>
            </w:r>
          </w:hyperlink>
        </w:p>
        <w:p w14:paraId="1177795E" w14:textId="179DB139" w:rsidR="00EF4562" w:rsidRDefault="00EF4562">
          <w:pPr>
            <w:pStyle w:val="TOC2"/>
            <w:tabs>
              <w:tab w:val="right" w:leader="dot" w:pos="9174"/>
            </w:tabs>
            <w:ind w:leftChars="0" w:left="0" w:firstLineChars="100" w:firstLine="280"/>
            <w:rPr>
              <w:rStyle w:val="ac"/>
            </w:rPr>
          </w:pPr>
          <w:hyperlink w:anchor="_Toc207695638" w:history="1">
            <w:r>
              <w:rPr>
                <w:rStyle w:val="ac"/>
                <w:rFonts w:eastAsia="黑体" w:cs="Times New Roman"/>
                <w:szCs w:val="28"/>
              </w:rPr>
              <w:t>6.1</w:t>
            </w:r>
            <w:r>
              <w:rPr>
                <w:rStyle w:val="ac"/>
                <w:rFonts w:eastAsia="黑体" w:cs="Times New Roman"/>
                <w:szCs w:val="28"/>
              </w:rPr>
              <w:t>建设项目的外部情况</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_Toc207695638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29</w:t>
            </w:r>
            <w:r>
              <w:rPr>
                <w:rStyle w:val="ac"/>
                <w:rFonts w:hint="eastAsia"/>
              </w:rPr>
              <w:fldChar w:fldCharType="end"/>
            </w:r>
          </w:hyperlink>
        </w:p>
        <w:p w14:paraId="2F77C345" w14:textId="1FA46E6E" w:rsidR="00EF4562" w:rsidRDefault="00EF4562">
          <w:pPr>
            <w:pStyle w:val="TOC2"/>
            <w:tabs>
              <w:tab w:val="right" w:leader="dot" w:pos="9174"/>
            </w:tabs>
            <w:ind w:leftChars="0" w:left="0" w:firstLineChars="100" w:firstLine="280"/>
            <w:rPr>
              <w:rStyle w:val="ac"/>
            </w:rPr>
          </w:pPr>
          <w:hyperlink w:anchor="_Toc207695639" w:history="1">
            <w:r>
              <w:rPr>
                <w:rStyle w:val="ac"/>
                <w:rFonts w:eastAsia="黑体" w:cs="Times New Roman"/>
                <w:szCs w:val="28"/>
              </w:rPr>
              <w:t>6.2</w:t>
            </w:r>
            <w:r>
              <w:rPr>
                <w:rStyle w:val="ac"/>
                <w:rFonts w:eastAsia="黑体" w:cs="Times New Roman"/>
                <w:szCs w:val="28"/>
              </w:rPr>
              <w:t>建设项目的安全条件</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_Toc207695639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31</w:t>
            </w:r>
            <w:r>
              <w:rPr>
                <w:rStyle w:val="ac"/>
                <w:rFonts w:hint="eastAsia"/>
              </w:rPr>
              <w:fldChar w:fldCharType="end"/>
            </w:r>
          </w:hyperlink>
        </w:p>
        <w:p w14:paraId="208B09C8" w14:textId="1891F068" w:rsidR="00EF4562" w:rsidRDefault="00EF4562">
          <w:pPr>
            <w:pStyle w:val="TOC1"/>
            <w:rPr>
              <w:rFonts w:cs="Times New Roman"/>
              <w:b w:val="0"/>
              <w:bCs w:val="0"/>
              <w:szCs w:val="28"/>
            </w:rPr>
          </w:pPr>
          <w:hyperlink w:anchor="_Toc207695640" w:history="1">
            <w:r>
              <w:rPr>
                <w:rStyle w:val="ac"/>
                <w:rFonts w:cs="Times New Roman"/>
                <w:szCs w:val="28"/>
              </w:rPr>
              <w:t>7</w:t>
            </w:r>
            <w:r>
              <w:rPr>
                <w:rStyle w:val="ac"/>
                <w:rFonts w:cs="Times New Roman"/>
                <w:szCs w:val="28"/>
              </w:rPr>
              <w:t>主要技术、工艺或者方式和装置、设备、设施及其安全可靠性</w:t>
            </w:r>
            <w:r>
              <w:rPr>
                <w:rFonts w:cs="Times New Roman"/>
                <w:szCs w:val="28"/>
              </w:rPr>
              <w:tab/>
            </w:r>
            <w:r>
              <w:rPr>
                <w:rFonts w:cs="Times New Roman"/>
                <w:szCs w:val="28"/>
              </w:rPr>
              <w:fldChar w:fldCharType="begin"/>
            </w:r>
            <w:r>
              <w:rPr>
                <w:rFonts w:cs="Times New Roman"/>
                <w:szCs w:val="28"/>
              </w:rPr>
              <w:instrText xml:space="preserve"> PAGEREF _Toc207695640 \h </w:instrText>
            </w:r>
            <w:r>
              <w:rPr>
                <w:rFonts w:cs="Times New Roman"/>
                <w:szCs w:val="28"/>
              </w:rPr>
            </w:r>
            <w:r>
              <w:rPr>
                <w:rFonts w:cs="Times New Roman"/>
                <w:szCs w:val="28"/>
              </w:rPr>
              <w:fldChar w:fldCharType="separate"/>
            </w:r>
            <w:r>
              <w:rPr>
                <w:rFonts w:cs="Times New Roman"/>
                <w:noProof/>
                <w:szCs w:val="28"/>
              </w:rPr>
              <w:t>33</w:t>
            </w:r>
            <w:r>
              <w:rPr>
                <w:rFonts w:cs="Times New Roman"/>
                <w:szCs w:val="28"/>
              </w:rPr>
              <w:fldChar w:fldCharType="end"/>
            </w:r>
          </w:hyperlink>
        </w:p>
        <w:p w14:paraId="1102FDB9" w14:textId="40FE55E2" w:rsidR="00EF4562" w:rsidRDefault="00EF4562">
          <w:pPr>
            <w:pStyle w:val="TOC2"/>
            <w:tabs>
              <w:tab w:val="right" w:leader="dot" w:pos="9174"/>
            </w:tabs>
            <w:ind w:leftChars="0" w:left="0" w:firstLineChars="100" w:firstLine="280"/>
            <w:rPr>
              <w:rStyle w:val="ac"/>
            </w:rPr>
          </w:pPr>
          <w:hyperlink w:anchor="_Toc207695641" w:history="1">
            <w:r>
              <w:rPr>
                <w:rStyle w:val="ac"/>
                <w:rFonts w:eastAsia="黑体" w:cs="Times New Roman"/>
                <w:szCs w:val="28"/>
              </w:rPr>
              <w:t>7.1</w:t>
            </w:r>
            <w:r>
              <w:rPr>
                <w:rStyle w:val="ac"/>
                <w:rFonts w:eastAsia="黑体" w:cs="Times New Roman"/>
                <w:szCs w:val="28"/>
              </w:rPr>
              <w:t>主要技术、工艺或者方式和装置、设备、设施的安全可靠性</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_Toc207695641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33</w:t>
            </w:r>
            <w:r>
              <w:rPr>
                <w:rStyle w:val="ac"/>
                <w:rFonts w:hint="eastAsia"/>
              </w:rPr>
              <w:fldChar w:fldCharType="end"/>
            </w:r>
          </w:hyperlink>
        </w:p>
        <w:p w14:paraId="3ACC614C" w14:textId="21A2A8C7" w:rsidR="00EF4562" w:rsidRDefault="00EF4562">
          <w:pPr>
            <w:pStyle w:val="TOC2"/>
            <w:tabs>
              <w:tab w:val="right" w:leader="dot" w:pos="9174"/>
            </w:tabs>
            <w:ind w:leftChars="0" w:left="0" w:firstLineChars="100" w:firstLine="280"/>
            <w:rPr>
              <w:rStyle w:val="ac"/>
            </w:rPr>
          </w:pPr>
          <w:hyperlink w:anchor="_Toc207695642" w:history="1">
            <w:r>
              <w:rPr>
                <w:rStyle w:val="ac"/>
                <w:rFonts w:eastAsia="黑体" w:cs="Times New Roman"/>
                <w:szCs w:val="28"/>
              </w:rPr>
              <w:t>7.2</w:t>
            </w:r>
            <w:r>
              <w:rPr>
                <w:rStyle w:val="ac"/>
                <w:rFonts w:eastAsia="黑体" w:cs="Times New Roman"/>
                <w:szCs w:val="28"/>
              </w:rPr>
              <w:t>主要装置、设备或者设施与危险化学品生产或者储存过程的匹配情况</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_Toc207695642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33</w:t>
            </w:r>
            <w:r>
              <w:rPr>
                <w:rStyle w:val="ac"/>
                <w:rFonts w:hint="eastAsia"/>
              </w:rPr>
              <w:fldChar w:fldCharType="end"/>
            </w:r>
          </w:hyperlink>
        </w:p>
        <w:p w14:paraId="4DBD7833" w14:textId="21B67D9E" w:rsidR="00EF4562" w:rsidRDefault="00EF4562">
          <w:pPr>
            <w:pStyle w:val="TOC2"/>
            <w:tabs>
              <w:tab w:val="right" w:leader="dot" w:pos="9174"/>
            </w:tabs>
            <w:ind w:leftChars="0" w:left="0" w:firstLineChars="100" w:firstLine="280"/>
            <w:rPr>
              <w:rStyle w:val="ac"/>
            </w:rPr>
          </w:pPr>
          <w:hyperlink w:anchor="_Toc207695643" w:history="1">
            <w:r>
              <w:rPr>
                <w:rStyle w:val="ac"/>
                <w:rFonts w:eastAsia="黑体" w:cs="Times New Roman"/>
                <w:szCs w:val="28"/>
              </w:rPr>
              <w:t>7.3</w:t>
            </w:r>
            <w:r>
              <w:rPr>
                <w:rStyle w:val="ac"/>
                <w:rFonts w:eastAsia="黑体" w:cs="Times New Roman"/>
                <w:szCs w:val="28"/>
              </w:rPr>
              <w:t>生产或者储存过程配套和辅助工程分析</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_Toc207695643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34</w:t>
            </w:r>
            <w:r>
              <w:rPr>
                <w:rStyle w:val="ac"/>
                <w:rFonts w:hint="eastAsia"/>
              </w:rPr>
              <w:fldChar w:fldCharType="end"/>
            </w:r>
          </w:hyperlink>
        </w:p>
        <w:p w14:paraId="78B92353" w14:textId="5638C563" w:rsidR="00EF4562" w:rsidRDefault="00EF4562">
          <w:pPr>
            <w:pStyle w:val="TOC1"/>
            <w:rPr>
              <w:rFonts w:cs="Times New Roman"/>
              <w:b w:val="0"/>
              <w:bCs w:val="0"/>
              <w:szCs w:val="28"/>
            </w:rPr>
          </w:pPr>
          <w:hyperlink w:anchor="_Toc207695644" w:history="1">
            <w:r>
              <w:rPr>
                <w:rStyle w:val="ac"/>
                <w:rFonts w:cs="Times New Roman"/>
                <w:szCs w:val="28"/>
              </w:rPr>
              <w:t>8</w:t>
            </w:r>
            <w:r>
              <w:rPr>
                <w:rStyle w:val="ac"/>
                <w:rFonts w:cs="Times New Roman"/>
                <w:szCs w:val="28"/>
              </w:rPr>
              <w:t>安全对策与建议</w:t>
            </w:r>
            <w:r>
              <w:rPr>
                <w:rFonts w:cs="Times New Roman"/>
                <w:szCs w:val="28"/>
              </w:rPr>
              <w:tab/>
            </w:r>
            <w:r>
              <w:rPr>
                <w:rFonts w:cs="Times New Roman"/>
                <w:szCs w:val="28"/>
              </w:rPr>
              <w:fldChar w:fldCharType="begin"/>
            </w:r>
            <w:r>
              <w:rPr>
                <w:rFonts w:cs="Times New Roman"/>
                <w:szCs w:val="28"/>
              </w:rPr>
              <w:instrText xml:space="preserve"> PAGEREF _Toc207695644 \h </w:instrText>
            </w:r>
            <w:r>
              <w:rPr>
                <w:rFonts w:cs="Times New Roman"/>
                <w:szCs w:val="28"/>
              </w:rPr>
            </w:r>
            <w:r>
              <w:rPr>
                <w:rFonts w:cs="Times New Roman"/>
                <w:szCs w:val="28"/>
              </w:rPr>
              <w:fldChar w:fldCharType="separate"/>
            </w:r>
            <w:r>
              <w:rPr>
                <w:rFonts w:cs="Times New Roman"/>
                <w:noProof/>
                <w:szCs w:val="28"/>
              </w:rPr>
              <w:t>36</w:t>
            </w:r>
            <w:r>
              <w:rPr>
                <w:rFonts w:cs="Times New Roman"/>
                <w:szCs w:val="28"/>
              </w:rPr>
              <w:fldChar w:fldCharType="end"/>
            </w:r>
          </w:hyperlink>
        </w:p>
        <w:p w14:paraId="718D2F72" w14:textId="2862E30F" w:rsidR="00EF4562" w:rsidRDefault="00EF4562">
          <w:pPr>
            <w:pStyle w:val="TOC2"/>
            <w:tabs>
              <w:tab w:val="right" w:leader="dot" w:pos="9174"/>
            </w:tabs>
            <w:ind w:leftChars="0" w:left="0" w:firstLineChars="100" w:firstLine="280"/>
            <w:rPr>
              <w:rStyle w:val="ac"/>
            </w:rPr>
          </w:pPr>
          <w:hyperlink w:anchor="_Toc207695645" w:history="1">
            <w:r>
              <w:rPr>
                <w:rStyle w:val="ac"/>
                <w:rFonts w:eastAsia="黑体" w:cs="Times New Roman"/>
                <w:szCs w:val="28"/>
              </w:rPr>
              <w:t>8.1</w:t>
            </w:r>
            <w:r>
              <w:rPr>
                <w:rStyle w:val="ac"/>
                <w:rFonts w:eastAsia="黑体" w:cs="Times New Roman"/>
                <w:szCs w:val="28"/>
              </w:rPr>
              <w:t>建设项目的选址</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_Toc207695645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36</w:t>
            </w:r>
            <w:r>
              <w:rPr>
                <w:rStyle w:val="ac"/>
                <w:rFonts w:hint="eastAsia"/>
              </w:rPr>
              <w:fldChar w:fldCharType="end"/>
            </w:r>
          </w:hyperlink>
        </w:p>
        <w:p w14:paraId="506211D6" w14:textId="407704B6" w:rsidR="00EF4562" w:rsidRDefault="00EF4562">
          <w:pPr>
            <w:pStyle w:val="TOC2"/>
            <w:tabs>
              <w:tab w:val="right" w:leader="dot" w:pos="9174"/>
            </w:tabs>
            <w:ind w:leftChars="0" w:left="0" w:firstLineChars="100" w:firstLine="280"/>
            <w:rPr>
              <w:rStyle w:val="ac"/>
            </w:rPr>
          </w:pPr>
          <w:hyperlink w:anchor="_Toc207695646" w:history="1">
            <w:r>
              <w:rPr>
                <w:rStyle w:val="ac"/>
                <w:rFonts w:eastAsia="黑体" w:cs="Times New Roman"/>
                <w:szCs w:val="28"/>
              </w:rPr>
              <w:t>8.2</w:t>
            </w:r>
            <w:r>
              <w:rPr>
                <w:rStyle w:val="ac"/>
                <w:rFonts w:eastAsia="黑体" w:cs="Times New Roman"/>
                <w:szCs w:val="28"/>
              </w:rPr>
              <w:t>拟选择的主要技术、工艺或者方式和装置、设备、设施</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_Toc207695646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36</w:t>
            </w:r>
            <w:r>
              <w:rPr>
                <w:rStyle w:val="ac"/>
                <w:rFonts w:hint="eastAsia"/>
              </w:rPr>
              <w:fldChar w:fldCharType="end"/>
            </w:r>
          </w:hyperlink>
        </w:p>
        <w:p w14:paraId="5D532E75" w14:textId="654369FC" w:rsidR="00EF4562" w:rsidRDefault="00EF4562">
          <w:pPr>
            <w:pStyle w:val="TOC2"/>
            <w:tabs>
              <w:tab w:val="right" w:leader="dot" w:pos="9174"/>
            </w:tabs>
            <w:ind w:leftChars="0" w:left="0" w:firstLineChars="100" w:firstLine="280"/>
            <w:rPr>
              <w:rStyle w:val="ac"/>
            </w:rPr>
          </w:pPr>
          <w:hyperlink w:anchor="_Toc207695647" w:history="1">
            <w:r>
              <w:rPr>
                <w:rStyle w:val="ac"/>
                <w:rFonts w:eastAsia="黑体" w:cs="Times New Roman"/>
                <w:szCs w:val="28"/>
              </w:rPr>
              <w:t>8.3</w:t>
            </w:r>
            <w:r>
              <w:rPr>
                <w:rStyle w:val="ac"/>
                <w:rFonts w:eastAsia="黑体" w:cs="Times New Roman"/>
                <w:szCs w:val="28"/>
              </w:rPr>
              <w:t>拟为危险化学品生产或者储存过程配套和辅助工程</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_Toc207695647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40</w:t>
            </w:r>
            <w:r>
              <w:rPr>
                <w:rStyle w:val="ac"/>
                <w:rFonts w:hint="eastAsia"/>
              </w:rPr>
              <w:fldChar w:fldCharType="end"/>
            </w:r>
          </w:hyperlink>
        </w:p>
        <w:p w14:paraId="5B2A3809" w14:textId="1EC0504F" w:rsidR="00EF4562" w:rsidRDefault="00EF4562">
          <w:pPr>
            <w:pStyle w:val="TOC2"/>
            <w:tabs>
              <w:tab w:val="right" w:leader="dot" w:pos="9174"/>
            </w:tabs>
            <w:ind w:leftChars="0" w:left="0" w:firstLineChars="100" w:firstLine="280"/>
            <w:rPr>
              <w:rStyle w:val="ac"/>
            </w:rPr>
          </w:pPr>
          <w:hyperlink w:anchor="_Toc207695648" w:history="1">
            <w:r>
              <w:rPr>
                <w:rStyle w:val="ac"/>
                <w:rFonts w:eastAsia="黑体" w:cs="Times New Roman"/>
                <w:szCs w:val="28"/>
              </w:rPr>
              <w:t>8.4</w:t>
            </w:r>
            <w:r>
              <w:rPr>
                <w:rStyle w:val="ac"/>
                <w:rFonts w:eastAsia="黑体" w:cs="Times New Roman"/>
                <w:szCs w:val="28"/>
              </w:rPr>
              <w:t>建设项目中主要装置、设备、设施的布局</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_Toc207695648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44</w:t>
            </w:r>
            <w:r>
              <w:rPr>
                <w:rStyle w:val="ac"/>
                <w:rFonts w:hint="eastAsia"/>
              </w:rPr>
              <w:fldChar w:fldCharType="end"/>
            </w:r>
          </w:hyperlink>
        </w:p>
        <w:p w14:paraId="7DB4A2EF" w14:textId="6AF25AB4" w:rsidR="00EF4562" w:rsidRDefault="00EF4562">
          <w:pPr>
            <w:pStyle w:val="TOC2"/>
            <w:tabs>
              <w:tab w:val="right" w:leader="dot" w:pos="9174"/>
            </w:tabs>
            <w:ind w:leftChars="0" w:left="0" w:firstLineChars="100" w:firstLine="280"/>
            <w:rPr>
              <w:rStyle w:val="ac"/>
            </w:rPr>
          </w:pPr>
          <w:hyperlink w:anchor="_Toc207695649" w:history="1">
            <w:r>
              <w:rPr>
                <w:rStyle w:val="ac"/>
                <w:rFonts w:eastAsia="黑体" w:cs="Times New Roman"/>
                <w:szCs w:val="28"/>
              </w:rPr>
              <w:t>8.5</w:t>
            </w:r>
            <w:r>
              <w:rPr>
                <w:rStyle w:val="ac"/>
                <w:rFonts w:eastAsia="黑体" w:cs="Times New Roman"/>
                <w:szCs w:val="28"/>
              </w:rPr>
              <w:t>安全管理</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_Toc207695649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44</w:t>
            </w:r>
            <w:r>
              <w:rPr>
                <w:rStyle w:val="ac"/>
                <w:rFonts w:hint="eastAsia"/>
              </w:rPr>
              <w:fldChar w:fldCharType="end"/>
            </w:r>
          </w:hyperlink>
        </w:p>
        <w:p w14:paraId="15DB99B9" w14:textId="6E82A431" w:rsidR="00EF4562" w:rsidRDefault="00EF4562">
          <w:pPr>
            <w:pStyle w:val="TOC1"/>
            <w:rPr>
              <w:rFonts w:cs="Times New Roman"/>
              <w:b w:val="0"/>
              <w:bCs w:val="0"/>
              <w:szCs w:val="28"/>
            </w:rPr>
          </w:pPr>
          <w:hyperlink w:anchor="_Toc207695650" w:history="1">
            <w:r>
              <w:rPr>
                <w:rStyle w:val="ac"/>
                <w:rFonts w:cs="Times New Roman"/>
                <w:szCs w:val="28"/>
              </w:rPr>
              <w:t>9</w:t>
            </w:r>
            <w:r>
              <w:rPr>
                <w:rStyle w:val="ac"/>
                <w:rFonts w:cs="Times New Roman"/>
                <w:szCs w:val="28"/>
              </w:rPr>
              <w:t>评价结论</w:t>
            </w:r>
            <w:r>
              <w:rPr>
                <w:rFonts w:cs="Times New Roman"/>
                <w:szCs w:val="28"/>
              </w:rPr>
              <w:tab/>
            </w:r>
            <w:r>
              <w:rPr>
                <w:rFonts w:cs="Times New Roman"/>
                <w:szCs w:val="28"/>
              </w:rPr>
              <w:fldChar w:fldCharType="begin"/>
            </w:r>
            <w:r>
              <w:rPr>
                <w:rFonts w:cs="Times New Roman"/>
                <w:szCs w:val="28"/>
              </w:rPr>
              <w:instrText xml:space="preserve"> PAGEREF _Toc207695650 \h </w:instrText>
            </w:r>
            <w:r>
              <w:rPr>
                <w:rFonts w:cs="Times New Roman"/>
                <w:szCs w:val="28"/>
              </w:rPr>
            </w:r>
            <w:r>
              <w:rPr>
                <w:rFonts w:cs="Times New Roman"/>
                <w:szCs w:val="28"/>
              </w:rPr>
              <w:fldChar w:fldCharType="separate"/>
            </w:r>
            <w:r>
              <w:rPr>
                <w:rFonts w:cs="Times New Roman"/>
                <w:noProof/>
                <w:szCs w:val="28"/>
              </w:rPr>
              <w:t>47</w:t>
            </w:r>
            <w:r>
              <w:rPr>
                <w:rFonts w:cs="Times New Roman"/>
                <w:szCs w:val="28"/>
              </w:rPr>
              <w:fldChar w:fldCharType="end"/>
            </w:r>
          </w:hyperlink>
        </w:p>
        <w:p w14:paraId="24A4FB17" w14:textId="09A37A10" w:rsidR="00EF4562" w:rsidRDefault="00EF4562">
          <w:pPr>
            <w:pStyle w:val="TOC2"/>
            <w:tabs>
              <w:tab w:val="right" w:leader="dot" w:pos="9174"/>
            </w:tabs>
            <w:ind w:leftChars="0" w:left="0" w:firstLineChars="100" w:firstLine="280"/>
            <w:rPr>
              <w:rStyle w:val="ac"/>
            </w:rPr>
          </w:pPr>
          <w:hyperlink w:anchor="_Toc207695651" w:history="1">
            <w:r>
              <w:rPr>
                <w:rStyle w:val="ac"/>
                <w:rFonts w:eastAsia="黑体" w:cs="Times New Roman"/>
                <w:szCs w:val="28"/>
              </w:rPr>
              <w:t>9.1</w:t>
            </w:r>
            <w:r>
              <w:rPr>
                <w:rStyle w:val="ac"/>
                <w:rFonts w:eastAsia="黑体" w:cs="Times New Roman"/>
                <w:szCs w:val="28"/>
              </w:rPr>
              <w:t>主要危险、有害因素分析结果</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_Toc207695651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47</w:t>
            </w:r>
            <w:r>
              <w:rPr>
                <w:rStyle w:val="ac"/>
                <w:rFonts w:hint="eastAsia"/>
              </w:rPr>
              <w:fldChar w:fldCharType="end"/>
            </w:r>
          </w:hyperlink>
        </w:p>
        <w:p w14:paraId="684173A0" w14:textId="765AA02E" w:rsidR="00EF4562" w:rsidRDefault="00EF4562">
          <w:pPr>
            <w:pStyle w:val="TOC2"/>
            <w:tabs>
              <w:tab w:val="right" w:leader="dot" w:pos="9174"/>
            </w:tabs>
            <w:ind w:leftChars="0" w:left="0" w:firstLineChars="100" w:firstLine="280"/>
            <w:rPr>
              <w:rStyle w:val="ac"/>
            </w:rPr>
          </w:pPr>
          <w:hyperlink w:anchor="_Toc207695652" w:history="1">
            <w:r>
              <w:rPr>
                <w:rStyle w:val="ac"/>
                <w:rFonts w:eastAsia="黑体" w:cs="Times New Roman"/>
                <w:szCs w:val="28"/>
              </w:rPr>
              <w:t>9.2</w:t>
            </w:r>
            <w:r>
              <w:rPr>
                <w:rStyle w:val="ac"/>
                <w:rFonts w:eastAsia="黑体" w:cs="Times New Roman"/>
                <w:szCs w:val="28"/>
              </w:rPr>
              <w:t>评价结果</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_Toc207695652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47</w:t>
            </w:r>
            <w:r>
              <w:rPr>
                <w:rStyle w:val="ac"/>
                <w:rFonts w:hint="eastAsia"/>
              </w:rPr>
              <w:fldChar w:fldCharType="end"/>
            </w:r>
          </w:hyperlink>
        </w:p>
        <w:p w14:paraId="31FDABE6" w14:textId="19C2FFC1" w:rsidR="00EF4562" w:rsidRDefault="00EF4562">
          <w:pPr>
            <w:pStyle w:val="TOC2"/>
            <w:tabs>
              <w:tab w:val="right" w:leader="dot" w:pos="9174"/>
            </w:tabs>
            <w:ind w:leftChars="0" w:left="0" w:firstLineChars="100" w:firstLine="280"/>
            <w:rPr>
              <w:rStyle w:val="ac"/>
            </w:rPr>
          </w:pPr>
          <w:hyperlink w:anchor="_Toc207695653" w:history="1">
            <w:r>
              <w:rPr>
                <w:rStyle w:val="ac"/>
                <w:rFonts w:eastAsia="黑体" w:cs="Times New Roman"/>
                <w:szCs w:val="28"/>
              </w:rPr>
              <w:t>9.3</w:t>
            </w:r>
            <w:r>
              <w:rPr>
                <w:rStyle w:val="ac"/>
                <w:rFonts w:eastAsia="黑体" w:cs="Times New Roman"/>
                <w:szCs w:val="28"/>
              </w:rPr>
              <w:t>设立安全评价结论</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_Toc207695653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49</w:t>
            </w:r>
            <w:r>
              <w:rPr>
                <w:rStyle w:val="ac"/>
                <w:rFonts w:hint="eastAsia"/>
              </w:rPr>
              <w:fldChar w:fldCharType="end"/>
            </w:r>
          </w:hyperlink>
        </w:p>
        <w:p w14:paraId="6BB86A2C" w14:textId="1C9D59F7" w:rsidR="00EF4562" w:rsidRDefault="00EF4562">
          <w:pPr>
            <w:pStyle w:val="TOC1"/>
            <w:rPr>
              <w:rFonts w:cs="Times New Roman"/>
              <w:b w:val="0"/>
              <w:bCs w:val="0"/>
              <w:szCs w:val="28"/>
            </w:rPr>
          </w:pPr>
          <w:hyperlink w:anchor="_Toc207695654" w:history="1">
            <w:r>
              <w:rPr>
                <w:rStyle w:val="ac"/>
                <w:rFonts w:cs="Times New Roman"/>
                <w:szCs w:val="28"/>
              </w:rPr>
              <w:t>10</w:t>
            </w:r>
            <w:r>
              <w:rPr>
                <w:rStyle w:val="ac"/>
                <w:rFonts w:cs="Times New Roman"/>
                <w:szCs w:val="28"/>
              </w:rPr>
              <w:t>与建设单位交换意见</w:t>
            </w:r>
            <w:r>
              <w:rPr>
                <w:rFonts w:cs="Times New Roman"/>
                <w:szCs w:val="28"/>
              </w:rPr>
              <w:tab/>
            </w:r>
            <w:r>
              <w:rPr>
                <w:rFonts w:cs="Times New Roman"/>
                <w:szCs w:val="28"/>
              </w:rPr>
              <w:fldChar w:fldCharType="begin"/>
            </w:r>
            <w:r>
              <w:rPr>
                <w:rFonts w:cs="Times New Roman"/>
                <w:szCs w:val="28"/>
              </w:rPr>
              <w:instrText xml:space="preserve"> PAGEREF _Toc207695654 \h </w:instrText>
            </w:r>
            <w:r>
              <w:rPr>
                <w:rFonts w:cs="Times New Roman"/>
                <w:szCs w:val="28"/>
              </w:rPr>
            </w:r>
            <w:r>
              <w:rPr>
                <w:rFonts w:cs="Times New Roman"/>
                <w:szCs w:val="28"/>
              </w:rPr>
              <w:fldChar w:fldCharType="separate"/>
            </w:r>
            <w:r>
              <w:rPr>
                <w:rFonts w:cs="Times New Roman"/>
                <w:noProof/>
                <w:szCs w:val="28"/>
              </w:rPr>
              <w:t>50</w:t>
            </w:r>
            <w:r>
              <w:rPr>
                <w:rFonts w:cs="Times New Roman"/>
                <w:szCs w:val="28"/>
              </w:rPr>
              <w:fldChar w:fldCharType="end"/>
            </w:r>
          </w:hyperlink>
        </w:p>
        <w:p w14:paraId="1CCE0F1A" w14:textId="6679FFD4" w:rsidR="00EF4562" w:rsidRDefault="00EF4562">
          <w:pPr>
            <w:pStyle w:val="TOC1"/>
            <w:rPr>
              <w:rFonts w:cs="Times New Roman"/>
              <w:b w:val="0"/>
              <w:bCs w:val="0"/>
              <w:szCs w:val="28"/>
            </w:rPr>
          </w:pPr>
          <w:hyperlink w:anchor="_Toc207695655" w:history="1">
            <w:r>
              <w:rPr>
                <w:rStyle w:val="ac"/>
                <w:rFonts w:cs="Times New Roman"/>
                <w:szCs w:val="28"/>
              </w:rPr>
              <w:t>附录</w:t>
            </w:r>
            <w:r>
              <w:rPr>
                <w:rStyle w:val="ac"/>
                <w:rFonts w:cs="Times New Roman"/>
                <w:szCs w:val="28"/>
              </w:rPr>
              <w:t>A</w:t>
            </w:r>
            <w:r>
              <w:rPr>
                <w:rStyle w:val="ac"/>
                <w:rFonts w:cs="Times New Roman"/>
                <w:szCs w:val="28"/>
              </w:rPr>
              <w:t>评价依据</w:t>
            </w:r>
            <w:r>
              <w:rPr>
                <w:rFonts w:cs="Times New Roman"/>
                <w:szCs w:val="28"/>
              </w:rPr>
              <w:tab/>
            </w:r>
            <w:r>
              <w:rPr>
                <w:rFonts w:cs="Times New Roman"/>
                <w:szCs w:val="28"/>
              </w:rPr>
              <w:fldChar w:fldCharType="begin"/>
            </w:r>
            <w:r>
              <w:rPr>
                <w:rFonts w:cs="Times New Roman"/>
                <w:szCs w:val="28"/>
              </w:rPr>
              <w:instrText xml:space="preserve"> PAGEREF _Toc207695655 \h </w:instrText>
            </w:r>
            <w:r>
              <w:rPr>
                <w:rFonts w:cs="Times New Roman"/>
                <w:szCs w:val="28"/>
              </w:rPr>
            </w:r>
            <w:r>
              <w:rPr>
                <w:rFonts w:cs="Times New Roman"/>
                <w:szCs w:val="28"/>
              </w:rPr>
              <w:fldChar w:fldCharType="separate"/>
            </w:r>
            <w:r>
              <w:rPr>
                <w:rFonts w:cs="Times New Roman"/>
                <w:noProof/>
                <w:szCs w:val="28"/>
              </w:rPr>
              <w:t>51</w:t>
            </w:r>
            <w:r>
              <w:rPr>
                <w:rFonts w:cs="Times New Roman"/>
                <w:szCs w:val="28"/>
              </w:rPr>
              <w:fldChar w:fldCharType="end"/>
            </w:r>
          </w:hyperlink>
        </w:p>
        <w:p w14:paraId="28260854" w14:textId="6624AF37" w:rsidR="00EF4562" w:rsidRDefault="00EF4562">
          <w:pPr>
            <w:pStyle w:val="TOC2"/>
            <w:tabs>
              <w:tab w:val="right" w:leader="dot" w:pos="9174"/>
            </w:tabs>
            <w:ind w:leftChars="0" w:left="0" w:firstLineChars="100" w:firstLine="280"/>
            <w:rPr>
              <w:rStyle w:val="ac"/>
            </w:rPr>
          </w:pPr>
          <w:hyperlink w:anchor="_Toc207695656" w:history="1">
            <w:r>
              <w:rPr>
                <w:rStyle w:val="ac"/>
                <w:rFonts w:eastAsia="黑体" w:cs="Times New Roman"/>
                <w:szCs w:val="28"/>
              </w:rPr>
              <w:t>A.1</w:t>
            </w:r>
            <w:r>
              <w:rPr>
                <w:rStyle w:val="ac"/>
                <w:rFonts w:eastAsia="黑体" w:cs="Times New Roman"/>
                <w:szCs w:val="28"/>
              </w:rPr>
              <w:t>法律、法规</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_Toc207695656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51</w:t>
            </w:r>
            <w:r>
              <w:rPr>
                <w:rStyle w:val="ac"/>
                <w:rFonts w:hint="eastAsia"/>
              </w:rPr>
              <w:fldChar w:fldCharType="end"/>
            </w:r>
          </w:hyperlink>
        </w:p>
        <w:p w14:paraId="561A349D" w14:textId="6DD83998" w:rsidR="00EF4562" w:rsidRDefault="00EF4562">
          <w:pPr>
            <w:pStyle w:val="TOC2"/>
            <w:tabs>
              <w:tab w:val="right" w:leader="dot" w:pos="9174"/>
            </w:tabs>
            <w:ind w:leftChars="0" w:left="0" w:firstLineChars="100" w:firstLine="280"/>
            <w:rPr>
              <w:rStyle w:val="ac"/>
            </w:rPr>
          </w:pPr>
          <w:hyperlink w:anchor="_Toc207695657" w:history="1">
            <w:r>
              <w:rPr>
                <w:rStyle w:val="ac"/>
                <w:rFonts w:eastAsia="黑体" w:cs="Times New Roman"/>
                <w:szCs w:val="28"/>
              </w:rPr>
              <w:t>A.2</w:t>
            </w:r>
            <w:r>
              <w:rPr>
                <w:rStyle w:val="ac"/>
                <w:rFonts w:eastAsia="黑体" w:cs="Times New Roman"/>
                <w:szCs w:val="28"/>
              </w:rPr>
              <w:t>规章和规范性文件</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_Toc207695657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52</w:t>
            </w:r>
            <w:r>
              <w:rPr>
                <w:rStyle w:val="ac"/>
                <w:rFonts w:hint="eastAsia"/>
              </w:rPr>
              <w:fldChar w:fldCharType="end"/>
            </w:r>
          </w:hyperlink>
        </w:p>
        <w:p w14:paraId="46614A6B" w14:textId="2CF91E92" w:rsidR="00EF4562" w:rsidRDefault="00EF4562">
          <w:pPr>
            <w:pStyle w:val="TOC2"/>
            <w:tabs>
              <w:tab w:val="right" w:leader="dot" w:pos="9174"/>
            </w:tabs>
            <w:ind w:leftChars="0" w:left="0" w:firstLineChars="100" w:firstLine="280"/>
            <w:rPr>
              <w:rStyle w:val="ac"/>
            </w:rPr>
          </w:pPr>
          <w:hyperlink w:anchor="_Toc207695658" w:history="1">
            <w:r>
              <w:rPr>
                <w:rStyle w:val="ac"/>
                <w:rFonts w:eastAsia="黑体" w:cs="Times New Roman"/>
                <w:szCs w:val="28"/>
              </w:rPr>
              <w:t>A.3</w:t>
            </w:r>
            <w:r>
              <w:rPr>
                <w:rStyle w:val="ac"/>
                <w:rFonts w:eastAsia="黑体" w:cs="Times New Roman"/>
                <w:szCs w:val="28"/>
              </w:rPr>
              <w:t>地方法规、规章和文件</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_Toc207695658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55</w:t>
            </w:r>
            <w:r>
              <w:rPr>
                <w:rStyle w:val="ac"/>
                <w:rFonts w:hint="eastAsia"/>
              </w:rPr>
              <w:fldChar w:fldCharType="end"/>
            </w:r>
          </w:hyperlink>
        </w:p>
        <w:p w14:paraId="1D70CD7B" w14:textId="39E1D806" w:rsidR="00EF4562" w:rsidRDefault="00EF4562">
          <w:pPr>
            <w:pStyle w:val="TOC2"/>
            <w:tabs>
              <w:tab w:val="right" w:leader="dot" w:pos="9174"/>
            </w:tabs>
            <w:ind w:leftChars="0" w:left="0" w:firstLineChars="100" w:firstLine="280"/>
            <w:rPr>
              <w:rStyle w:val="ac"/>
            </w:rPr>
          </w:pPr>
          <w:hyperlink w:anchor="_Toc207695659" w:history="1">
            <w:r>
              <w:rPr>
                <w:rStyle w:val="ac"/>
                <w:rFonts w:eastAsia="黑体" w:cs="Times New Roman"/>
                <w:szCs w:val="28"/>
              </w:rPr>
              <w:t>A.4</w:t>
            </w:r>
            <w:r>
              <w:rPr>
                <w:rStyle w:val="ac"/>
                <w:rFonts w:eastAsia="黑体" w:cs="Times New Roman"/>
                <w:szCs w:val="28"/>
              </w:rPr>
              <w:t>标准和规范</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_Toc207695659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56</w:t>
            </w:r>
            <w:r>
              <w:rPr>
                <w:rStyle w:val="ac"/>
                <w:rFonts w:hint="eastAsia"/>
              </w:rPr>
              <w:fldChar w:fldCharType="end"/>
            </w:r>
          </w:hyperlink>
        </w:p>
        <w:p w14:paraId="0B879CA9" w14:textId="5114A0F4" w:rsidR="00EF4562" w:rsidRDefault="00EF4562">
          <w:pPr>
            <w:pStyle w:val="TOC2"/>
            <w:tabs>
              <w:tab w:val="right" w:leader="dot" w:pos="9174"/>
            </w:tabs>
            <w:ind w:leftChars="0" w:left="0" w:firstLineChars="100" w:firstLine="280"/>
            <w:rPr>
              <w:rStyle w:val="ac"/>
            </w:rPr>
          </w:pPr>
          <w:hyperlink w:anchor="_Toc207695660" w:history="1">
            <w:r>
              <w:rPr>
                <w:rStyle w:val="ac"/>
                <w:rFonts w:eastAsia="黑体" w:cs="Times New Roman"/>
                <w:szCs w:val="28"/>
              </w:rPr>
              <w:t>A.5</w:t>
            </w:r>
            <w:r>
              <w:rPr>
                <w:rStyle w:val="ac"/>
                <w:rFonts w:eastAsia="黑体" w:cs="Times New Roman"/>
                <w:szCs w:val="28"/>
              </w:rPr>
              <w:t>其它资料或文件</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_Toc207695660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59</w:t>
            </w:r>
            <w:r>
              <w:rPr>
                <w:rStyle w:val="ac"/>
                <w:rFonts w:hint="eastAsia"/>
              </w:rPr>
              <w:fldChar w:fldCharType="end"/>
            </w:r>
          </w:hyperlink>
        </w:p>
        <w:p w14:paraId="6C91C2FA" w14:textId="148AE915" w:rsidR="00EF4562" w:rsidRDefault="00EF4562">
          <w:pPr>
            <w:pStyle w:val="TOC1"/>
            <w:rPr>
              <w:rFonts w:cs="Times New Roman"/>
              <w:b w:val="0"/>
              <w:bCs w:val="0"/>
              <w:szCs w:val="28"/>
            </w:rPr>
          </w:pPr>
          <w:hyperlink w:anchor="_Toc207695661" w:history="1">
            <w:r>
              <w:rPr>
                <w:rStyle w:val="ac"/>
                <w:rFonts w:cs="Times New Roman"/>
                <w:szCs w:val="28"/>
              </w:rPr>
              <w:t>附录</w:t>
            </w:r>
            <w:r>
              <w:rPr>
                <w:rStyle w:val="ac"/>
                <w:rFonts w:cs="Times New Roman"/>
                <w:szCs w:val="28"/>
              </w:rPr>
              <w:t>B</w:t>
            </w:r>
            <w:r>
              <w:rPr>
                <w:rStyle w:val="ac"/>
                <w:rFonts w:cs="Times New Roman"/>
                <w:szCs w:val="28"/>
              </w:rPr>
              <w:t>选用的安全评价方法简介</w:t>
            </w:r>
            <w:r>
              <w:rPr>
                <w:rFonts w:cs="Times New Roman"/>
                <w:szCs w:val="28"/>
              </w:rPr>
              <w:tab/>
            </w:r>
            <w:r>
              <w:rPr>
                <w:rFonts w:cs="Times New Roman"/>
                <w:szCs w:val="28"/>
              </w:rPr>
              <w:fldChar w:fldCharType="begin"/>
            </w:r>
            <w:r>
              <w:rPr>
                <w:rFonts w:cs="Times New Roman"/>
                <w:szCs w:val="28"/>
              </w:rPr>
              <w:instrText xml:space="preserve"> PAGEREF _Toc207695661 \h </w:instrText>
            </w:r>
            <w:r>
              <w:rPr>
                <w:rFonts w:cs="Times New Roman"/>
                <w:szCs w:val="28"/>
              </w:rPr>
            </w:r>
            <w:r>
              <w:rPr>
                <w:rFonts w:cs="Times New Roman"/>
                <w:szCs w:val="28"/>
              </w:rPr>
              <w:fldChar w:fldCharType="separate"/>
            </w:r>
            <w:r>
              <w:rPr>
                <w:rFonts w:cs="Times New Roman"/>
                <w:noProof/>
                <w:szCs w:val="28"/>
              </w:rPr>
              <w:t>60</w:t>
            </w:r>
            <w:r>
              <w:rPr>
                <w:rFonts w:cs="Times New Roman"/>
                <w:szCs w:val="28"/>
              </w:rPr>
              <w:fldChar w:fldCharType="end"/>
            </w:r>
          </w:hyperlink>
        </w:p>
        <w:p w14:paraId="2EF1EAE1" w14:textId="536BBD75" w:rsidR="00EF4562" w:rsidRDefault="00EF4562">
          <w:pPr>
            <w:pStyle w:val="TOC2"/>
            <w:tabs>
              <w:tab w:val="right" w:leader="dot" w:pos="9174"/>
            </w:tabs>
            <w:ind w:leftChars="0" w:left="0" w:firstLineChars="100" w:firstLine="280"/>
            <w:rPr>
              <w:rStyle w:val="ac"/>
            </w:rPr>
          </w:pPr>
          <w:hyperlink w:anchor="_Toc207695662" w:history="1">
            <w:r>
              <w:rPr>
                <w:rStyle w:val="ac"/>
                <w:rFonts w:eastAsia="黑体" w:cs="Times New Roman"/>
                <w:szCs w:val="28"/>
              </w:rPr>
              <w:t>B.1</w:t>
            </w:r>
            <w:r>
              <w:rPr>
                <w:rStyle w:val="ac"/>
                <w:rFonts w:eastAsia="黑体" w:cs="Times New Roman"/>
                <w:szCs w:val="28"/>
              </w:rPr>
              <w:t>安全检查表法</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_Toc207695662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60</w:t>
            </w:r>
            <w:r>
              <w:rPr>
                <w:rStyle w:val="ac"/>
                <w:rFonts w:hint="eastAsia"/>
              </w:rPr>
              <w:fldChar w:fldCharType="end"/>
            </w:r>
          </w:hyperlink>
        </w:p>
        <w:p w14:paraId="11CC8F89" w14:textId="0725E5BF" w:rsidR="00EF4562" w:rsidRDefault="00EF4562">
          <w:pPr>
            <w:pStyle w:val="TOC2"/>
            <w:tabs>
              <w:tab w:val="right" w:leader="dot" w:pos="9174"/>
            </w:tabs>
            <w:ind w:leftChars="0" w:left="0" w:firstLineChars="100" w:firstLine="280"/>
            <w:rPr>
              <w:rStyle w:val="ac"/>
            </w:rPr>
          </w:pPr>
          <w:hyperlink w:anchor="_Toc207695663" w:history="1">
            <w:r>
              <w:rPr>
                <w:rStyle w:val="ac"/>
                <w:rFonts w:eastAsia="黑体" w:cs="Times New Roman"/>
                <w:szCs w:val="28"/>
              </w:rPr>
              <w:t>B.2</w:t>
            </w:r>
            <w:r>
              <w:rPr>
                <w:rStyle w:val="ac"/>
                <w:rFonts w:eastAsia="黑体" w:cs="Times New Roman"/>
                <w:szCs w:val="28"/>
              </w:rPr>
              <w:t>预先危险性分析评价法</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_Toc207695663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60</w:t>
            </w:r>
            <w:r>
              <w:rPr>
                <w:rStyle w:val="ac"/>
                <w:rFonts w:hint="eastAsia"/>
              </w:rPr>
              <w:fldChar w:fldCharType="end"/>
            </w:r>
          </w:hyperlink>
        </w:p>
        <w:p w14:paraId="6FAB2D6B" w14:textId="0B235E7F" w:rsidR="00EF4562" w:rsidRDefault="00EF4562">
          <w:pPr>
            <w:pStyle w:val="TOC2"/>
            <w:tabs>
              <w:tab w:val="right" w:leader="dot" w:pos="9174"/>
            </w:tabs>
            <w:ind w:leftChars="0" w:left="0" w:firstLineChars="100" w:firstLine="280"/>
            <w:rPr>
              <w:rStyle w:val="ac"/>
            </w:rPr>
          </w:pPr>
          <w:hyperlink w:anchor="_Toc207695664" w:history="1">
            <w:r>
              <w:rPr>
                <w:rStyle w:val="ac"/>
                <w:rFonts w:eastAsia="黑体" w:cs="Times New Roman"/>
                <w:szCs w:val="28"/>
              </w:rPr>
              <w:t>B.3</w:t>
            </w:r>
            <w:r>
              <w:rPr>
                <w:rStyle w:val="ac"/>
                <w:rFonts w:eastAsia="黑体" w:cs="Times New Roman"/>
                <w:szCs w:val="28"/>
              </w:rPr>
              <w:t>蒸汽云爆炸灾害模型</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_Toc207695664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61</w:t>
            </w:r>
            <w:r>
              <w:rPr>
                <w:rStyle w:val="ac"/>
                <w:rFonts w:hint="eastAsia"/>
              </w:rPr>
              <w:fldChar w:fldCharType="end"/>
            </w:r>
          </w:hyperlink>
        </w:p>
        <w:p w14:paraId="14FA59FC" w14:textId="2BB17204" w:rsidR="00EF4562" w:rsidRDefault="00EF4562">
          <w:pPr>
            <w:pStyle w:val="TOC1"/>
            <w:rPr>
              <w:rFonts w:cs="Times New Roman"/>
              <w:b w:val="0"/>
              <w:bCs w:val="0"/>
              <w:szCs w:val="28"/>
            </w:rPr>
          </w:pPr>
          <w:hyperlink w:anchor="_Toc207695665" w:history="1">
            <w:r>
              <w:rPr>
                <w:rStyle w:val="ac"/>
                <w:rFonts w:cs="Times New Roman"/>
                <w:szCs w:val="28"/>
              </w:rPr>
              <w:t>附录</w:t>
            </w:r>
            <w:r>
              <w:rPr>
                <w:rStyle w:val="ac"/>
                <w:rFonts w:cs="Times New Roman"/>
                <w:szCs w:val="28"/>
              </w:rPr>
              <w:t>C</w:t>
            </w:r>
            <w:r>
              <w:rPr>
                <w:rStyle w:val="ac"/>
                <w:rFonts w:cs="Times New Roman"/>
                <w:szCs w:val="28"/>
              </w:rPr>
              <w:t>危险、有害因素分析</w:t>
            </w:r>
            <w:r>
              <w:rPr>
                <w:rFonts w:cs="Times New Roman"/>
                <w:szCs w:val="28"/>
              </w:rPr>
              <w:tab/>
            </w:r>
            <w:r>
              <w:rPr>
                <w:rFonts w:cs="Times New Roman"/>
                <w:szCs w:val="28"/>
              </w:rPr>
              <w:fldChar w:fldCharType="begin"/>
            </w:r>
            <w:r>
              <w:rPr>
                <w:rFonts w:cs="Times New Roman"/>
                <w:szCs w:val="28"/>
              </w:rPr>
              <w:instrText xml:space="preserve"> PAGEREF _Toc207695665 \h </w:instrText>
            </w:r>
            <w:r>
              <w:rPr>
                <w:rFonts w:cs="Times New Roman"/>
                <w:szCs w:val="28"/>
              </w:rPr>
            </w:r>
            <w:r>
              <w:rPr>
                <w:rFonts w:cs="Times New Roman"/>
                <w:szCs w:val="28"/>
              </w:rPr>
              <w:fldChar w:fldCharType="separate"/>
            </w:r>
            <w:r>
              <w:rPr>
                <w:rFonts w:cs="Times New Roman"/>
                <w:noProof/>
                <w:szCs w:val="28"/>
              </w:rPr>
              <w:t>63</w:t>
            </w:r>
            <w:r>
              <w:rPr>
                <w:rFonts w:cs="Times New Roman"/>
                <w:szCs w:val="28"/>
              </w:rPr>
              <w:fldChar w:fldCharType="end"/>
            </w:r>
          </w:hyperlink>
        </w:p>
        <w:p w14:paraId="635AD29D" w14:textId="47BDC3A1" w:rsidR="00EF4562" w:rsidRDefault="00EF4562">
          <w:pPr>
            <w:pStyle w:val="TOC2"/>
            <w:tabs>
              <w:tab w:val="right" w:leader="dot" w:pos="9174"/>
            </w:tabs>
            <w:ind w:leftChars="0" w:left="0" w:firstLineChars="100" w:firstLine="280"/>
            <w:rPr>
              <w:rStyle w:val="ac"/>
            </w:rPr>
          </w:pPr>
          <w:hyperlink w:anchor="_Toc207695666" w:history="1">
            <w:r>
              <w:rPr>
                <w:rStyle w:val="ac"/>
                <w:rFonts w:eastAsia="黑体" w:cs="Times New Roman"/>
                <w:szCs w:val="28"/>
              </w:rPr>
              <w:t>C.1</w:t>
            </w:r>
            <w:r>
              <w:rPr>
                <w:rStyle w:val="ac"/>
                <w:rFonts w:eastAsia="黑体" w:cs="Times New Roman"/>
                <w:szCs w:val="28"/>
              </w:rPr>
              <w:t>主要物料危险、有害因素</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_Toc207695666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63</w:t>
            </w:r>
            <w:r>
              <w:rPr>
                <w:rStyle w:val="ac"/>
                <w:rFonts w:hint="eastAsia"/>
              </w:rPr>
              <w:fldChar w:fldCharType="end"/>
            </w:r>
          </w:hyperlink>
        </w:p>
        <w:p w14:paraId="2E4EC879" w14:textId="604E4187" w:rsidR="00EF4562" w:rsidRDefault="00EF4562">
          <w:pPr>
            <w:pStyle w:val="TOC2"/>
            <w:tabs>
              <w:tab w:val="right" w:leader="dot" w:pos="9174"/>
            </w:tabs>
            <w:ind w:leftChars="0" w:left="0" w:firstLineChars="100" w:firstLine="280"/>
            <w:rPr>
              <w:rStyle w:val="ac"/>
            </w:rPr>
          </w:pPr>
          <w:hyperlink w:anchor="_Toc207695667" w:history="1">
            <w:r>
              <w:rPr>
                <w:rStyle w:val="ac"/>
                <w:rFonts w:eastAsia="黑体" w:cs="Times New Roman"/>
                <w:szCs w:val="28"/>
              </w:rPr>
              <w:t>C.2</w:t>
            </w:r>
            <w:r>
              <w:rPr>
                <w:rStyle w:val="ac"/>
                <w:rFonts w:eastAsia="黑体" w:cs="Times New Roman"/>
                <w:szCs w:val="28"/>
              </w:rPr>
              <w:t>储存、经营过程中危险、有害因素分析</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_Toc207695667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65</w:t>
            </w:r>
            <w:r>
              <w:rPr>
                <w:rStyle w:val="ac"/>
                <w:rFonts w:hint="eastAsia"/>
              </w:rPr>
              <w:fldChar w:fldCharType="end"/>
            </w:r>
          </w:hyperlink>
        </w:p>
        <w:p w14:paraId="1F6D91F7" w14:textId="45649110" w:rsidR="00EF4562" w:rsidRDefault="00EF4562">
          <w:pPr>
            <w:pStyle w:val="TOC2"/>
            <w:tabs>
              <w:tab w:val="right" w:leader="dot" w:pos="9174"/>
            </w:tabs>
            <w:ind w:leftChars="0" w:left="0" w:firstLineChars="100" w:firstLine="280"/>
            <w:rPr>
              <w:rStyle w:val="ac"/>
            </w:rPr>
          </w:pPr>
          <w:hyperlink w:anchor="_Toc207695668" w:history="1">
            <w:r>
              <w:rPr>
                <w:rStyle w:val="ac"/>
                <w:rFonts w:eastAsia="黑体" w:cs="Times New Roman"/>
                <w:szCs w:val="28"/>
              </w:rPr>
              <w:t>C.3</w:t>
            </w:r>
            <w:r>
              <w:rPr>
                <w:rStyle w:val="ac"/>
                <w:rFonts w:eastAsia="黑体" w:cs="Times New Roman"/>
                <w:szCs w:val="28"/>
              </w:rPr>
              <w:t>管道施工过程中的危险、有害因素分析</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_Toc207695668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72</w:t>
            </w:r>
            <w:r>
              <w:rPr>
                <w:rStyle w:val="ac"/>
                <w:rFonts w:hint="eastAsia"/>
              </w:rPr>
              <w:fldChar w:fldCharType="end"/>
            </w:r>
          </w:hyperlink>
        </w:p>
        <w:p w14:paraId="4985798F" w14:textId="1B35298D" w:rsidR="00EF4562" w:rsidRDefault="00EF4562">
          <w:pPr>
            <w:pStyle w:val="TOC2"/>
            <w:tabs>
              <w:tab w:val="right" w:leader="dot" w:pos="9174"/>
            </w:tabs>
            <w:ind w:leftChars="0" w:left="0" w:firstLineChars="100" w:firstLine="280"/>
            <w:rPr>
              <w:rStyle w:val="ac"/>
            </w:rPr>
          </w:pPr>
          <w:hyperlink w:anchor="_Toc207695669" w:history="1">
            <w:r>
              <w:rPr>
                <w:rStyle w:val="ac"/>
                <w:rFonts w:eastAsia="黑体" w:cs="Times New Roman"/>
                <w:szCs w:val="28"/>
              </w:rPr>
              <w:t>C.4</w:t>
            </w:r>
            <w:r>
              <w:rPr>
                <w:rStyle w:val="ac"/>
                <w:rFonts w:eastAsia="黑体" w:cs="Times New Roman"/>
                <w:szCs w:val="28"/>
              </w:rPr>
              <w:t>检维修过程的危险、有害因素分析</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_Toc207695669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74</w:t>
            </w:r>
            <w:r>
              <w:rPr>
                <w:rStyle w:val="ac"/>
                <w:rFonts w:hint="eastAsia"/>
              </w:rPr>
              <w:fldChar w:fldCharType="end"/>
            </w:r>
          </w:hyperlink>
        </w:p>
        <w:p w14:paraId="20955212" w14:textId="3266F19C" w:rsidR="00EF4562" w:rsidRDefault="00EF4562">
          <w:pPr>
            <w:pStyle w:val="TOC2"/>
            <w:tabs>
              <w:tab w:val="right" w:leader="dot" w:pos="9174"/>
            </w:tabs>
            <w:ind w:leftChars="0" w:left="0" w:firstLineChars="100" w:firstLine="280"/>
            <w:rPr>
              <w:rStyle w:val="ac"/>
            </w:rPr>
          </w:pPr>
          <w:hyperlink w:anchor="_Toc207695670" w:history="1">
            <w:r>
              <w:rPr>
                <w:rStyle w:val="ac"/>
                <w:rFonts w:eastAsia="黑体" w:cs="Times New Roman"/>
                <w:szCs w:val="28"/>
              </w:rPr>
              <w:t>C.5</w:t>
            </w:r>
            <w:r>
              <w:rPr>
                <w:rStyle w:val="ac"/>
                <w:rFonts w:eastAsia="黑体" w:cs="Times New Roman"/>
                <w:szCs w:val="28"/>
              </w:rPr>
              <w:t>自然灾害</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_Toc207695670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74</w:t>
            </w:r>
            <w:r>
              <w:rPr>
                <w:rStyle w:val="ac"/>
                <w:rFonts w:hint="eastAsia"/>
              </w:rPr>
              <w:fldChar w:fldCharType="end"/>
            </w:r>
          </w:hyperlink>
        </w:p>
        <w:p w14:paraId="1B7A3E54" w14:textId="37D9D2F4" w:rsidR="00EF4562" w:rsidRDefault="00EF4562">
          <w:pPr>
            <w:pStyle w:val="TOC2"/>
            <w:tabs>
              <w:tab w:val="right" w:leader="dot" w:pos="9174"/>
            </w:tabs>
            <w:ind w:leftChars="0" w:left="0" w:firstLineChars="100" w:firstLine="280"/>
            <w:rPr>
              <w:rStyle w:val="ac"/>
            </w:rPr>
          </w:pPr>
          <w:hyperlink w:anchor="_Toc207695671" w:history="1">
            <w:r>
              <w:rPr>
                <w:rStyle w:val="ac"/>
                <w:rFonts w:eastAsia="黑体" w:cs="Times New Roman"/>
                <w:szCs w:val="28"/>
              </w:rPr>
              <w:t>C.6</w:t>
            </w:r>
            <w:r>
              <w:rPr>
                <w:rStyle w:val="ac"/>
                <w:rFonts w:eastAsia="黑体" w:cs="Times New Roman"/>
                <w:szCs w:val="28"/>
              </w:rPr>
              <w:t>重大危险源辨识</w:t>
            </w:r>
            <w:r>
              <w:rPr>
                <w:rStyle w:val="ac"/>
                <w:rFonts w:hint="eastAsia"/>
              </w:rPr>
              <w:tab/>
            </w:r>
            <w:r>
              <w:rPr>
                <w:rStyle w:val="ac"/>
                <w:rFonts w:hint="eastAsia"/>
              </w:rPr>
              <w:fldChar w:fldCharType="begin"/>
            </w:r>
            <w:r>
              <w:rPr>
                <w:rStyle w:val="ac"/>
                <w:rFonts w:hint="eastAsia"/>
              </w:rPr>
              <w:instrText xml:space="preserve"> </w:instrText>
            </w:r>
            <w:r>
              <w:rPr>
                <w:rStyle w:val="ac"/>
              </w:rPr>
              <w:instrText>PAGEREF _Toc207695671 \h</w:instrText>
            </w:r>
            <w:r>
              <w:rPr>
                <w:rStyle w:val="ac"/>
                <w:rFonts w:hint="eastAsia"/>
              </w:rPr>
              <w:instrText xml:space="preserve"> </w:instrText>
            </w:r>
            <w:r>
              <w:rPr>
                <w:rStyle w:val="ac"/>
                <w:rFonts w:hint="eastAsia"/>
              </w:rPr>
            </w:r>
            <w:r>
              <w:rPr>
                <w:rStyle w:val="ac"/>
                <w:rFonts w:hint="eastAsia"/>
              </w:rPr>
              <w:fldChar w:fldCharType="separate"/>
            </w:r>
            <w:r>
              <w:rPr>
                <w:rStyle w:val="ac"/>
                <w:noProof/>
              </w:rPr>
              <w:t>75</w:t>
            </w:r>
            <w:r>
              <w:rPr>
                <w:rStyle w:val="ac"/>
                <w:rFonts w:hint="eastAsia"/>
              </w:rPr>
              <w:fldChar w:fldCharType="end"/>
            </w:r>
          </w:hyperlink>
        </w:p>
        <w:p w14:paraId="3BB5E26D" w14:textId="2AE158B8" w:rsidR="00EF4562" w:rsidRDefault="00EF4562">
          <w:pPr>
            <w:pStyle w:val="TOC1"/>
            <w:rPr>
              <w:rFonts w:cs="Times New Roman"/>
              <w:b w:val="0"/>
              <w:bCs w:val="0"/>
              <w:szCs w:val="28"/>
            </w:rPr>
          </w:pPr>
          <w:hyperlink w:anchor="_Toc207695672" w:history="1">
            <w:r>
              <w:rPr>
                <w:rStyle w:val="ac"/>
                <w:rFonts w:cs="Times New Roman"/>
                <w:szCs w:val="28"/>
              </w:rPr>
              <w:t>附录</w:t>
            </w:r>
            <w:r>
              <w:rPr>
                <w:rStyle w:val="ac"/>
                <w:rFonts w:cs="Times New Roman"/>
                <w:szCs w:val="28"/>
              </w:rPr>
              <w:t>D</w:t>
            </w:r>
            <w:r>
              <w:rPr>
                <w:rStyle w:val="ac"/>
                <w:rFonts w:cs="Times New Roman"/>
                <w:szCs w:val="28"/>
              </w:rPr>
              <w:t>定性、定量分析危险、有害程度的过程</w:t>
            </w:r>
            <w:r>
              <w:rPr>
                <w:rFonts w:cs="Times New Roman"/>
                <w:szCs w:val="28"/>
              </w:rPr>
              <w:tab/>
            </w:r>
            <w:r>
              <w:rPr>
                <w:rFonts w:cs="Times New Roman"/>
                <w:szCs w:val="28"/>
              </w:rPr>
              <w:fldChar w:fldCharType="begin"/>
            </w:r>
            <w:r>
              <w:rPr>
                <w:rFonts w:cs="Times New Roman"/>
                <w:szCs w:val="28"/>
              </w:rPr>
              <w:instrText xml:space="preserve"> PAGEREF _Toc207695672 \h </w:instrText>
            </w:r>
            <w:r>
              <w:rPr>
                <w:rFonts w:cs="Times New Roman"/>
                <w:szCs w:val="28"/>
              </w:rPr>
            </w:r>
            <w:r>
              <w:rPr>
                <w:rFonts w:cs="Times New Roman"/>
                <w:szCs w:val="28"/>
              </w:rPr>
              <w:fldChar w:fldCharType="separate"/>
            </w:r>
            <w:r>
              <w:rPr>
                <w:rFonts w:cs="Times New Roman"/>
                <w:noProof/>
                <w:szCs w:val="28"/>
              </w:rPr>
              <w:t>77</w:t>
            </w:r>
            <w:r>
              <w:rPr>
                <w:rFonts w:cs="Times New Roman"/>
                <w:szCs w:val="28"/>
              </w:rPr>
              <w:fldChar w:fldCharType="end"/>
            </w:r>
          </w:hyperlink>
        </w:p>
        <w:p w14:paraId="4BBC3521" w14:textId="25DC0C41" w:rsidR="00EF4562" w:rsidRDefault="00EF4562">
          <w:pPr>
            <w:pStyle w:val="TOC2"/>
            <w:tabs>
              <w:tab w:val="right" w:leader="dot" w:pos="9174"/>
            </w:tabs>
            <w:ind w:leftChars="0" w:left="0" w:firstLineChars="100" w:firstLine="280"/>
            <w:rPr>
              <w:rFonts w:eastAsia="黑体" w:cs="Times New Roman"/>
              <w:szCs w:val="28"/>
            </w:rPr>
          </w:pPr>
          <w:hyperlink w:anchor="_Toc207695673" w:history="1">
            <w:r>
              <w:rPr>
                <w:rStyle w:val="ac"/>
                <w:rFonts w:eastAsia="黑体" w:cs="Times New Roman"/>
                <w:szCs w:val="28"/>
              </w:rPr>
              <w:t>D.1</w:t>
            </w:r>
            <w:r>
              <w:rPr>
                <w:rStyle w:val="ac"/>
                <w:rFonts w:eastAsia="黑体" w:cs="Times New Roman"/>
                <w:szCs w:val="28"/>
              </w:rPr>
              <w:t>安全检查表法</w:t>
            </w:r>
            <w:r>
              <w:rPr>
                <w:rFonts w:eastAsia="黑体" w:cs="Times New Roman"/>
                <w:szCs w:val="28"/>
              </w:rPr>
              <w:tab/>
            </w:r>
            <w:r>
              <w:rPr>
                <w:rFonts w:eastAsia="黑体" w:cs="Times New Roman"/>
                <w:szCs w:val="28"/>
              </w:rPr>
              <w:fldChar w:fldCharType="begin"/>
            </w:r>
            <w:r>
              <w:rPr>
                <w:rFonts w:eastAsia="黑体" w:cs="Times New Roman"/>
                <w:szCs w:val="28"/>
              </w:rPr>
              <w:instrText xml:space="preserve"> PAGEREF _Toc207695673 \h </w:instrText>
            </w:r>
            <w:r>
              <w:rPr>
                <w:rFonts w:eastAsia="黑体" w:cs="Times New Roman"/>
                <w:szCs w:val="28"/>
              </w:rPr>
            </w:r>
            <w:r>
              <w:rPr>
                <w:rFonts w:eastAsia="黑体" w:cs="Times New Roman"/>
                <w:szCs w:val="28"/>
              </w:rPr>
              <w:fldChar w:fldCharType="separate"/>
            </w:r>
            <w:r>
              <w:rPr>
                <w:rFonts w:eastAsia="黑体" w:cs="Times New Roman"/>
                <w:noProof/>
                <w:szCs w:val="28"/>
              </w:rPr>
              <w:t>77</w:t>
            </w:r>
            <w:r>
              <w:rPr>
                <w:rFonts w:eastAsia="黑体" w:cs="Times New Roman"/>
                <w:szCs w:val="28"/>
              </w:rPr>
              <w:fldChar w:fldCharType="end"/>
            </w:r>
          </w:hyperlink>
        </w:p>
        <w:p w14:paraId="0E4F2269" w14:textId="6BC0E474" w:rsidR="00EF4562" w:rsidRDefault="00EF4562">
          <w:pPr>
            <w:pStyle w:val="TOC2"/>
            <w:tabs>
              <w:tab w:val="right" w:leader="dot" w:pos="9174"/>
            </w:tabs>
            <w:ind w:leftChars="0" w:left="0" w:firstLineChars="100" w:firstLine="280"/>
            <w:rPr>
              <w:rFonts w:eastAsia="黑体" w:cs="Times New Roman"/>
              <w:szCs w:val="28"/>
            </w:rPr>
          </w:pPr>
          <w:hyperlink w:anchor="_Toc207695674" w:history="1">
            <w:r>
              <w:rPr>
                <w:rStyle w:val="ac"/>
                <w:rFonts w:eastAsia="黑体" w:cs="Times New Roman"/>
                <w:szCs w:val="28"/>
              </w:rPr>
              <w:t>D.2</w:t>
            </w:r>
            <w:r>
              <w:rPr>
                <w:rStyle w:val="ac"/>
                <w:rFonts w:eastAsia="黑体" w:cs="Times New Roman"/>
                <w:szCs w:val="28"/>
              </w:rPr>
              <w:t>预先危险性分析</w:t>
            </w:r>
            <w:r>
              <w:rPr>
                <w:rFonts w:eastAsia="黑体" w:cs="Times New Roman"/>
                <w:szCs w:val="28"/>
              </w:rPr>
              <w:tab/>
            </w:r>
            <w:r>
              <w:rPr>
                <w:rFonts w:eastAsia="黑体" w:cs="Times New Roman"/>
                <w:szCs w:val="28"/>
              </w:rPr>
              <w:fldChar w:fldCharType="begin"/>
            </w:r>
            <w:r>
              <w:rPr>
                <w:rFonts w:eastAsia="黑体" w:cs="Times New Roman"/>
                <w:szCs w:val="28"/>
              </w:rPr>
              <w:instrText xml:space="preserve"> PAGEREF _Toc207695674 \h </w:instrText>
            </w:r>
            <w:r>
              <w:rPr>
                <w:rFonts w:eastAsia="黑体" w:cs="Times New Roman"/>
                <w:szCs w:val="28"/>
              </w:rPr>
            </w:r>
            <w:r>
              <w:rPr>
                <w:rFonts w:eastAsia="黑体" w:cs="Times New Roman"/>
                <w:szCs w:val="28"/>
              </w:rPr>
              <w:fldChar w:fldCharType="separate"/>
            </w:r>
            <w:r>
              <w:rPr>
                <w:rFonts w:eastAsia="黑体" w:cs="Times New Roman"/>
                <w:noProof/>
                <w:szCs w:val="28"/>
              </w:rPr>
              <w:t>81</w:t>
            </w:r>
            <w:r>
              <w:rPr>
                <w:rFonts w:eastAsia="黑体" w:cs="Times New Roman"/>
                <w:szCs w:val="28"/>
              </w:rPr>
              <w:fldChar w:fldCharType="end"/>
            </w:r>
          </w:hyperlink>
        </w:p>
        <w:p w14:paraId="0CE7CD72" w14:textId="1409BBA7" w:rsidR="00EF4562" w:rsidRDefault="00EF4562">
          <w:pPr>
            <w:pStyle w:val="TOC2"/>
            <w:tabs>
              <w:tab w:val="right" w:leader="dot" w:pos="9174"/>
            </w:tabs>
            <w:ind w:leftChars="0" w:left="0" w:firstLineChars="100" w:firstLine="280"/>
            <w:rPr>
              <w:rFonts w:eastAsia="黑体" w:cs="Times New Roman"/>
              <w:szCs w:val="28"/>
            </w:rPr>
          </w:pPr>
          <w:hyperlink w:anchor="_Toc207695675" w:history="1">
            <w:r>
              <w:rPr>
                <w:rStyle w:val="ac"/>
                <w:rFonts w:eastAsia="黑体" w:cs="Times New Roman"/>
                <w:szCs w:val="28"/>
              </w:rPr>
              <w:t>D.3</w:t>
            </w:r>
            <w:r>
              <w:rPr>
                <w:rStyle w:val="ac"/>
                <w:rFonts w:eastAsia="黑体" w:cs="Times New Roman"/>
                <w:szCs w:val="28"/>
              </w:rPr>
              <w:t>蒸汽云爆炸模拟</w:t>
            </w:r>
            <w:r>
              <w:rPr>
                <w:rFonts w:eastAsia="黑体" w:cs="Times New Roman"/>
                <w:szCs w:val="28"/>
              </w:rPr>
              <w:tab/>
            </w:r>
            <w:r>
              <w:rPr>
                <w:rFonts w:eastAsia="黑体" w:cs="Times New Roman"/>
                <w:szCs w:val="28"/>
              </w:rPr>
              <w:fldChar w:fldCharType="begin"/>
            </w:r>
            <w:r>
              <w:rPr>
                <w:rFonts w:eastAsia="黑体" w:cs="Times New Roman"/>
                <w:szCs w:val="28"/>
              </w:rPr>
              <w:instrText xml:space="preserve"> PAGEREF _Toc207695675 \h </w:instrText>
            </w:r>
            <w:r>
              <w:rPr>
                <w:rFonts w:eastAsia="黑体" w:cs="Times New Roman"/>
                <w:szCs w:val="28"/>
              </w:rPr>
            </w:r>
            <w:r>
              <w:rPr>
                <w:rFonts w:eastAsia="黑体" w:cs="Times New Roman"/>
                <w:szCs w:val="28"/>
              </w:rPr>
              <w:fldChar w:fldCharType="separate"/>
            </w:r>
            <w:r>
              <w:rPr>
                <w:rFonts w:eastAsia="黑体" w:cs="Times New Roman"/>
                <w:noProof/>
                <w:szCs w:val="28"/>
              </w:rPr>
              <w:t>87</w:t>
            </w:r>
            <w:r>
              <w:rPr>
                <w:rFonts w:eastAsia="黑体" w:cs="Times New Roman"/>
                <w:szCs w:val="28"/>
              </w:rPr>
              <w:fldChar w:fldCharType="end"/>
            </w:r>
          </w:hyperlink>
        </w:p>
        <w:p w14:paraId="33C143D7" w14:textId="033AC96B" w:rsidR="00EF4562" w:rsidRDefault="00EF4562">
          <w:pPr>
            <w:pStyle w:val="TOC1"/>
            <w:rPr>
              <w:rFonts w:asciiTheme="minorHAnsi" w:eastAsiaTheme="minorEastAsia" w:hAnsiTheme="minorHAnsi" w:hint="eastAsia"/>
              <w:b w:val="0"/>
              <w:bCs w:val="0"/>
              <w:sz w:val="22"/>
            </w:rPr>
          </w:pPr>
          <w:hyperlink w:anchor="_Toc207695676" w:history="1">
            <w:r>
              <w:rPr>
                <w:rStyle w:val="ac"/>
                <w:rFonts w:cs="Times New Roman"/>
                <w:szCs w:val="28"/>
              </w:rPr>
              <w:t>报告附件目录</w:t>
            </w:r>
            <w:r>
              <w:rPr>
                <w:rFonts w:cs="Times New Roman"/>
                <w:szCs w:val="28"/>
              </w:rPr>
              <w:tab/>
            </w:r>
            <w:r>
              <w:rPr>
                <w:rFonts w:cs="Times New Roman"/>
                <w:szCs w:val="28"/>
              </w:rPr>
              <w:fldChar w:fldCharType="begin"/>
            </w:r>
            <w:r>
              <w:rPr>
                <w:rFonts w:cs="Times New Roman"/>
                <w:szCs w:val="28"/>
              </w:rPr>
              <w:instrText xml:space="preserve"> PAGEREF _Toc207695676 \h </w:instrText>
            </w:r>
            <w:r>
              <w:rPr>
                <w:rFonts w:cs="Times New Roman"/>
                <w:szCs w:val="28"/>
              </w:rPr>
            </w:r>
            <w:r>
              <w:rPr>
                <w:rFonts w:cs="Times New Roman"/>
                <w:szCs w:val="28"/>
              </w:rPr>
              <w:fldChar w:fldCharType="separate"/>
            </w:r>
            <w:r>
              <w:rPr>
                <w:rFonts w:cs="Times New Roman"/>
                <w:noProof/>
                <w:szCs w:val="28"/>
              </w:rPr>
              <w:t>88</w:t>
            </w:r>
            <w:r>
              <w:rPr>
                <w:rFonts w:cs="Times New Roman"/>
                <w:szCs w:val="28"/>
              </w:rPr>
              <w:fldChar w:fldCharType="end"/>
            </w:r>
          </w:hyperlink>
        </w:p>
        <w:p w14:paraId="18545624" w14:textId="77777777" w:rsidR="00EF4562" w:rsidRDefault="00000000">
          <w:pPr>
            <w:ind w:firstLineChars="0" w:firstLine="0"/>
          </w:pPr>
          <w:r>
            <w:rPr>
              <w:rFonts w:eastAsia="黑体"/>
            </w:rPr>
            <w:fldChar w:fldCharType="end"/>
          </w:r>
        </w:p>
      </w:sdtContent>
    </w:sdt>
    <w:p w14:paraId="76795E0B" w14:textId="77777777" w:rsidR="00EF4562" w:rsidRDefault="00000000">
      <w:pPr>
        <w:ind w:firstLine="560"/>
      </w:pPr>
      <w:r>
        <w:br w:type="page"/>
      </w:r>
    </w:p>
    <w:p w14:paraId="2919CA54" w14:textId="77777777" w:rsidR="00EF4562" w:rsidRDefault="00EF4562">
      <w:pPr>
        <w:ind w:firstLine="560"/>
      </w:pPr>
    </w:p>
    <w:p w14:paraId="5D73B595" w14:textId="77777777" w:rsidR="00EF4562" w:rsidRDefault="00EF4562">
      <w:pPr>
        <w:ind w:firstLine="560"/>
        <w:sectPr w:rsidR="00EF4562">
          <w:pgSz w:w="11906" w:h="16838"/>
          <w:pgMar w:top="1418" w:right="1134" w:bottom="1134" w:left="1588" w:header="851" w:footer="992" w:gutter="0"/>
          <w:cols w:space="425"/>
          <w:docGrid w:type="linesAndChars" w:linePitch="312"/>
        </w:sectPr>
      </w:pPr>
    </w:p>
    <w:p w14:paraId="3B09F064" w14:textId="77777777" w:rsidR="00EF4562" w:rsidRDefault="00000000">
      <w:pPr>
        <w:ind w:firstLine="562"/>
        <w:jc w:val="center"/>
        <w:rPr>
          <w:b/>
          <w:bCs/>
        </w:rPr>
      </w:pPr>
      <w:r>
        <w:rPr>
          <w:rFonts w:hint="eastAsia"/>
          <w:b/>
          <w:bCs/>
        </w:rPr>
        <w:lastRenderedPageBreak/>
        <w:t>术语和定义</w:t>
      </w:r>
    </w:p>
    <w:p w14:paraId="07580F50" w14:textId="77777777" w:rsidR="00EF4562" w:rsidRDefault="00000000">
      <w:pPr>
        <w:ind w:firstLine="560"/>
      </w:pPr>
      <w:r>
        <w:rPr>
          <w:rFonts w:hint="eastAsia"/>
        </w:rPr>
        <w:t>（</w:t>
      </w:r>
      <w:r>
        <w:rPr>
          <w:rFonts w:hint="eastAsia"/>
        </w:rPr>
        <w:t>1</w:t>
      </w:r>
      <w:r>
        <w:rPr>
          <w:rFonts w:hint="eastAsia"/>
        </w:rPr>
        <w:t>）化学品</w:t>
      </w:r>
    </w:p>
    <w:p w14:paraId="58502184" w14:textId="77777777" w:rsidR="00EF4562" w:rsidRDefault="00000000">
      <w:pPr>
        <w:ind w:firstLine="560"/>
      </w:pPr>
      <w:r>
        <w:rPr>
          <w:rFonts w:hint="eastAsia"/>
        </w:rPr>
        <w:t>指各种化学元素、由元素组成的化合物及其混合物，包括天然的或者人造的。</w:t>
      </w:r>
    </w:p>
    <w:p w14:paraId="15229A4D" w14:textId="77777777" w:rsidR="00EF4562" w:rsidRDefault="00000000">
      <w:pPr>
        <w:ind w:firstLine="560"/>
      </w:pPr>
      <w:r>
        <w:rPr>
          <w:rFonts w:hint="eastAsia"/>
        </w:rPr>
        <w:t>（</w:t>
      </w:r>
      <w:r>
        <w:rPr>
          <w:rFonts w:hint="eastAsia"/>
        </w:rPr>
        <w:t>2</w:t>
      </w:r>
      <w:r>
        <w:rPr>
          <w:rFonts w:hint="eastAsia"/>
        </w:rPr>
        <w:t>）危险化学品</w:t>
      </w:r>
    </w:p>
    <w:p w14:paraId="6B862B2D" w14:textId="77777777" w:rsidR="00EF4562" w:rsidRDefault="00000000">
      <w:pPr>
        <w:ind w:firstLine="560"/>
      </w:pPr>
      <w:r>
        <w:rPr>
          <w:rFonts w:hint="eastAsia"/>
        </w:rPr>
        <w:t>指具有爆炸、燃烧、助燃、毒害、腐蚀等性质且对接触的人员、设施、环境可能造成伤害或者损害的化学品。</w:t>
      </w:r>
    </w:p>
    <w:p w14:paraId="153347D3" w14:textId="77777777" w:rsidR="00EF4562" w:rsidRDefault="00000000">
      <w:pPr>
        <w:ind w:firstLine="560"/>
      </w:pPr>
      <w:r>
        <w:rPr>
          <w:rFonts w:hint="eastAsia"/>
        </w:rPr>
        <w:t>（</w:t>
      </w:r>
      <w:r>
        <w:rPr>
          <w:rFonts w:hint="eastAsia"/>
        </w:rPr>
        <w:t>3</w:t>
      </w:r>
      <w:r>
        <w:rPr>
          <w:rFonts w:hint="eastAsia"/>
        </w:rPr>
        <w:t>）新建项目</w:t>
      </w:r>
    </w:p>
    <w:p w14:paraId="6B572179" w14:textId="77777777" w:rsidR="00EF4562" w:rsidRDefault="00000000">
      <w:pPr>
        <w:ind w:firstLine="560"/>
      </w:pPr>
      <w:r>
        <w:rPr>
          <w:rFonts w:hint="eastAsia"/>
        </w:rPr>
        <w:t>指拟依法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08AC052A" w14:textId="77777777" w:rsidR="00EF4562" w:rsidRDefault="00000000">
      <w:pPr>
        <w:ind w:firstLine="560"/>
      </w:pPr>
      <w:r>
        <w:rPr>
          <w:rFonts w:hint="eastAsia"/>
        </w:rPr>
        <w:t>（</w:t>
      </w:r>
      <w:r>
        <w:rPr>
          <w:rFonts w:hint="eastAsia"/>
        </w:rPr>
        <w:t>4</w:t>
      </w:r>
      <w:r>
        <w:rPr>
          <w:rFonts w:hint="eastAsia"/>
        </w:rPr>
        <w:t>）改建项目</w:t>
      </w:r>
    </w:p>
    <w:p w14:paraId="4A4EC671" w14:textId="77777777" w:rsidR="00EF4562" w:rsidRDefault="00000000">
      <w:pPr>
        <w:ind w:firstLine="560"/>
      </w:pPr>
      <w:r>
        <w:rPr>
          <w:rFonts w:hint="eastAsia"/>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4B1FC101" w14:textId="77777777" w:rsidR="00EF4562" w:rsidRDefault="00000000">
      <w:pPr>
        <w:ind w:firstLine="560"/>
      </w:pPr>
      <w:r>
        <w:rPr>
          <w:rFonts w:hint="eastAsia"/>
        </w:rPr>
        <w:t>（</w:t>
      </w:r>
      <w:r>
        <w:rPr>
          <w:rFonts w:hint="eastAsia"/>
        </w:rPr>
        <w:t>5</w:t>
      </w:r>
      <w:r>
        <w:rPr>
          <w:rFonts w:hint="eastAsia"/>
        </w:rPr>
        <w:t>）扩建项目</w:t>
      </w:r>
    </w:p>
    <w:p w14:paraId="1C3C290B" w14:textId="77777777" w:rsidR="00EF4562" w:rsidRDefault="00000000">
      <w:pPr>
        <w:ind w:firstLine="560"/>
      </w:pPr>
      <w:r>
        <w:rPr>
          <w:rFonts w:hint="eastAsia"/>
        </w:rPr>
        <w:t>指企业（单位）拟建与现有伴有危险化学品产生的化学品或者危险化学品品种相同且生产、储存装置（设施）相对独立的建设项目。</w:t>
      </w:r>
    </w:p>
    <w:p w14:paraId="4AFF5121" w14:textId="77777777" w:rsidR="00EF4562" w:rsidRDefault="00000000">
      <w:pPr>
        <w:ind w:firstLine="560"/>
      </w:pPr>
      <w:r>
        <w:rPr>
          <w:rFonts w:hint="eastAsia"/>
        </w:rPr>
        <w:t>（</w:t>
      </w:r>
      <w:r>
        <w:rPr>
          <w:rFonts w:hint="eastAsia"/>
        </w:rPr>
        <w:t>6</w:t>
      </w:r>
      <w:r>
        <w:rPr>
          <w:rFonts w:hint="eastAsia"/>
        </w:rPr>
        <w:t>）安全设施</w:t>
      </w:r>
    </w:p>
    <w:p w14:paraId="3FD8396D" w14:textId="77777777" w:rsidR="00EF4562" w:rsidRDefault="00000000">
      <w:pPr>
        <w:ind w:firstLine="560"/>
      </w:pPr>
      <w:r>
        <w:rPr>
          <w:rFonts w:hint="eastAsia"/>
        </w:rPr>
        <w:t>指企业（单位）在生产经营活动中将危险因素、有害因素控制在安全范围内以及预防、减少、消除危害所配备的装置（设备）和采取的措施。</w:t>
      </w:r>
    </w:p>
    <w:p w14:paraId="651FEDA7" w14:textId="77777777" w:rsidR="00EF4562" w:rsidRDefault="00000000">
      <w:pPr>
        <w:ind w:firstLine="560"/>
      </w:pPr>
      <w:r>
        <w:rPr>
          <w:rFonts w:hint="eastAsia"/>
        </w:rPr>
        <w:t>（</w:t>
      </w:r>
      <w:r>
        <w:rPr>
          <w:rFonts w:hint="eastAsia"/>
        </w:rPr>
        <w:t>7</w:t>
      </w:r>
      <w:r>
        <w:rPr>
          <w:rFonts w:hint="eastAsia"/>
        </w:rPr>
        <w:t>）作业场所</w:t>
      </w:r>
    </w:p>
    <w:p w14:paraId="14ECFE75" w14:textId="77777777" w:rsidR="00EF4562" w:rsidRDefault="00000000">
      <w:pPr>
        <w:ind w:firstLine="560"/>
      </w:pPr>
      <w:r>
        <w:rPr>
          <w:rFonts w:hint="eastAsia"/>
        </w:rPr>
        <w:t>指可能使从业人员接触危险化学品的任何作业活动场所，包括从事危险化学品的生产、操作、处置、储存、搬运、运输、废弃危险化学品的处置或者处理等场所。</w:t>
      </w:r>
    </w:p>
    <w:p w14:paraId="62EA795C" w14:textId="77777777" w:rsidR="00EF4562" w:rsidRDefault="00000000">
      <w:pPr>
        <w:ind w:firstLine="560"/>
      </w:pPr>
      <w:r>
        <w:rPr>
          <w:rFonts w:hint="eastAsia"/>
        </w:rPr>
        <w:lastRenderedPageBreak/>
        <w:t>（</w:t>
      </w:r>
      <w:r>
        <w:rPr>
          <w:rFonts w:hint="eastAsia"/>
        </w:rPr>
        <w:t>8</w:t>
      </w:r>
      <w:r>
        <w:rPr>
          <w:rFonts w:hint="eastAsia"/>
        </w:rPr>
        <w:t>）安全评价单元</w:t>
      </w:r>
    </w:p>
    <w:p w14:paraId="583EBABA" w14:textId="77777777" w:rsidR="00EF4562" w:rsidRDefault="00000000">
      <w:pPr>
        <w:ind w:firstLine="560"/>
        <w:sectPr w:rsidR="00EF4562">
          <w:headerReference w:type="default" r:id="rId16"/>
          <w:pgSz w:w="11906" w:h="16838"/>
          <w:pgMar w:top="1418" w:right="1134" w:bottom="1134" w:left="1588" w:header="851" w:footer="992" w:gutter="0"/>
          <w:cols w:space="425"/>
          <w:docGrid w:type="linesAndChars" w:linePitch="312"/>
        </w:sectPr>
      </w:pPr>
      <w:r>
        <w:rPr>
          <w:rFonts w:hint="eastAsia"/>
        </w:rPr>
        <w:t>根据建设项目安全评价的需要，将建设项目划分为一些相对独立部分，其中每个相对独立部分称为评价单元。</w:t>
      </w:r>
    </w:p>
    <w:p w14:paraId="798E5885" w14:textId="77777777" w:rsidR="00EF4562" w:rsidRDefault="00000000">
      <w:pPr>
        <w:spacing w:beforeLines="150" w:before="468" w:afterLines="150" w:after="468"/>
        <w:ind w:firstLineChars="0" w:firstLine="0"/>
        <w:jc w:val="center"/>
        <w:outlineLvl w:val="0"/>
        <w:rPr>
          <w:rFonts w:ascii="黑体" w:eastAsia="黑体" w:hAnsi="黑体" w:hint="eastAsia"/>
          <w:b/>
          <w:bCs/>
          <w:sz w:val="32"/>
          <w:szCs w:val="32"/>
        </w:rPr>
      </w:pPr>
      <w:bookmarkStart w:id="6" w:name="_Toc207695617"/>
      <w:r>
        <w:rPr>
          <w:rFonts w:eastAsia="黑体" w:cs="Times New Roman"/>
          <w:b/>
          <w:bCs/>
          <w:sz w:val="32"/>
          <w:szCs w:val="32"/>
        </w:rPr>
        <w:lastRenderedPageBreak/>
        <w:t>1</w:t>
      </w:r>
      <w:r>
        <w:rPr>
          <w:rFonts w:ascii="黑体" w:eastAsia="黑体" w:hAnsi="黑体" w:hint="eastAsia"/>
          <w:b/>
          <w:bCs/>
          <w:sz w:val="32"/>
          <w:szCs w:val="32"/>
        </w:rPr>
        <w:t>安全评价工作经过</w:t>
      </w:r>
      <w:bookmarkEnd w:id="6"/>
    </w:p>
    <w:p w14:paraId="64E6D62F" w14:textId="77777777" w:rsidR="00EF4562" w:rsidRDefault="00000000">
      <w:pPr>
        <w:spacing w:beforeLines="100" w:before="312" w:afterLines="100" w:after="312"/>
        <w:ind w:firstLineChars="0" w:firstLine="0"/>
        <w:jc w:val="center"/>
        <w:outlineLvl w:val="1"/>
        <w:rPr>
          <w:rFonts w:ascii="楷体" w:eastAsia="楷体" w:hAnsi="楷体" w:hint="eastAsia"/>
          <w:b/>
          <w:bCs/>
          <w:sz w:val="32"/>
          <w:szCs w:val="32"/>
        </w:rPr>
      </w:pPr>
      <w:bookmarkStart w:id="7" w:name="_Toc207695618"/>
      <w:r>
        <w:rPr>
          <w:rFonts w:eastAsia="楷体" w:cs="Times New Roman"/>
          <w:b/>
          <w:bCs/>
          <w:sz w:val="32"/>
          <w:szCs w:val="32"/>
        </w:rPr>
        <w:t>1.1</w:t>
      </w:r>
      <w:r>
        <w:rPr>
          <w:rFonts w:ascii="楷体" w:eastAsia="楷体" w:hAnsi="楷体" w:hint="eastAsia"/>
          <w:b/>
          <w:bCs/>
          <w:sz w:val="32"/>
          <w:szCs w:val="32"/>
        </w:rPr>
        <w:t>前期准备情况</w:t>
      </w:r>
      <w:bookmarkEnd w:id="7"/>
    </w:p>
    <w:p w14:paraId="06B3AA43" w14:textId="77777777" w:rsidR="00EF4562" w:rsidRDefault="00000000">
      <w:pPr>
        <w:ind w:firstLine="560"/>
      </w:pPr>
      <w:r>
        <w:rPr>
          <w:rFonts w:hint="eastAsia"/>
        </w:rPr>
        <w:t>为了做好评价工作，我们在开展工作之前，首先根据建设项目的实际情况，与建设单位共同协商确定安全评价对象和范围。在此基础上成立了评价小组、专家小组；确定了评价组负责人；编制了评价大纲；收集了评价工作所需法律、法规及标准规范；进行了项目风险分析等。在充分熟悉企业提供资料基础上，对建设项目的选址进行了现场勘察，为做好安全评价工作进行了较为充分的前期准备。</w:t>
      </w:r>
    </w:p>
    <w:p w14:paraId="35977002" w14:textId="77777777" w:rsidR="00EF4562" w:rsidRDefault="00000000">
      <w:pPr>
        <w:spacing w:beforeLines="100" w:before="312" w:afterLines="100" w:after="312"/>
        <w:ind w:firstLineChars="0" w:firstLine="0"/>
        <w:jc w:val="center"/>
        <w:outlineLvl w:val="1"/>
        <w:rPr>
          <w:rFonts w:ascii="楷体" w:eastAsia="楷体" w:hAnsi="楷体" w:hint="eastAsia"/>
          <w:b/>
          <w:bCs/>
          <w:sz w:val="32"/>
          <w:szCs w:val="32"/>
        </w:rPr>
      </w:pPr>
      <w:bookmarkStart w:id="8" w:name="_Toc207695619"/>
      <w:r>
        <w:rPr>
          <w:rFonts w:eastAsia="楷体" w:cs="Times New Roman"/>
          <w:b/>
          <w:bCs/>
          <w:sz w:val="32"/>
          <w:szCs w:val="32"/>
        </w:rPr>
        <w:t>1.2</w:t>
      </w:r>
      <w:r>
        <w:rPr>
          <w:rFonts w:ascii="楷体" w:eastAsia="楷体" w:hAnsi="楷体" w:hint="eastAsia"/>
          <w:b/>
          <w:bCs/>
          <w:sz w:val="32"/>
          <w:szCs w:val="32"/>
        </w:rPr>
        <w:t>安全评价目的</w:t>
      </w:r>
      <w:bookmarkEnd w:id="8"/>
    </w:p>
    <w:p w14:paraId="0DB0C1E4" w14:textId="77777777" w:rsidR="00EF4562" w:rsidRDefault="00000000">
      <w:pPr>
        <w:ind w:firstLine="560"/>
      </w:pPr>
      <w:r>
        <w:rPr>
          <w:rFonts w:hint="eastAsia"/>
        </w:rPr>
        <w:t>（</w:t>
      </w:r>
      <w:r>
        <w:rPr>
          <w:rFonts w:hint="eastAsia"/>
        </w:rPr>
        <w:t>1</w:t>
      </w:r>
      <w:r>
        <w:rPr>
          <w:rFonts w:hint="eastAsia"/>
        </w:rPr>
        <w:t>）明确该项目存在的主要危险、有害因素及其产生危险、有害后果；对该项目在经营、储存危险化学品过程中固有危险、有害因素进行定性或定量的分析，对其控制措施进行评价；</w:t>
      </w:r>
    </w:p>
    <w:p w14:paraId="510AEE0A" w14:textId="77777777" w:rsidR="00EF4562" w:rsidRDefault="00000000">
      <w:pPr>
        <w:ind w:firstLine="560"/>
      </w:pPr>
      <w:r>
        <w:rPr>
          <w:rFonts w:hint="eastAsia"/>
        </w:rPr>
        <w:t>（</w:t>
      </w:r>
      <w:r>
        <w:rPr>
          <w:rFonts w:hint="eastAsia"/>
        </w:rPr>
        <w:t>2</w:t>
      </w:r>
      <w:r>
        <w:rPr>
          <w:rFonts w:hint="eastAsia"/>
        </w:rPr>
        <w:t>）提出消除、预防或减弱装置危险性、提高装置安全运行等级的对策措施，为该项目安全设施的设计提供依据，并使之在施工阶段得以实施，以最终实现该项目的本质安全化；</w:t>
      </w:r>
    </w:p>
    <w:p w14:paraId="2B5AE7E6" w14:textId="77777777" w:rsidR="00EF4562" w:rsidRDefault="00000000">
      <w:pPr>
        <w:ind w:firstLine="560"/>
      </w:pPr>
      <w:r>
        <w:rPr>
          <w:rFonts w:hint="eastAsia"/>
        </w:rPr>
        <w:t>（</w:t>
      </w:r>
      <w:r>
        <w:rPr>
          <w:rFonts w:hint="eastAsia"/>
        </w:rPr>
        <w:t>3</w:t>
      </w:r>
      <w:r>
        <w:rPr>
          <w:rFonts w:hint="eastAsia"/>
        </w:rPr>
        <w:t>）为当地行政审批部门实施安全条件审查提供技术支撑。</w:t>
      </w:r>
    </w:p>
    <w:p w14:paraId="597F3C78" w14:textId="77777777" w:rsidR="00EF4562" w:rsidRDefault="00000000">
      <w:pPr>
        <w:spacing w:beforeLines="100" w:before="312" w:afterLines="100" w:after="312"/>
        <w:ind w:firstLineChars="0" w:firstLine="0"/>
        <w:jc w:val="center"/>
        <w:outlineLvl w:val="1"/>
        <w:rPr>
          <w:rFonts w:ascii="楷体" w:eastAsia="楷体" w:hAnsi="楷体" w:hint="eastAsia"/>
          <w:b/>
          <w:bCs/>
          <w:sz w:val="32"/>
          <w:szCs w:val="32"/>
        </w:rPr>
      </w:pPr>
      <w:bookmarkStart w:id="9" w:name="_Toc207695620"/>
      <w:r>
        <w:rPr>
          <w:rFonts w:eastAsia="楷体" w:cs="Times New Roman"/>
          <w:b/>
          <w:bCs/>
          <w:sz w:val="32"/>
          <w:szCs w:val="32"/>
        </w:rPr>
        <w:t>1.3</w:t>
      </w:r>
      <w:r>
        <w:rPr>
          <w:rFonts w:ascii="楷体" w:eastAsia="楷体" w:hAnsi="楷体" w:hint="eastAsia"/>
          <w:b/>
          <w:bCs/>
          <w:sz w:val="32"/>
          <w:szCs w:val="32"/>
        </w:rPr>
        <w:t>评价对象和范围</w:t>
      </w:r>
      <w:bookmarkEnd w:id="9"/>
    </w:p>
    <w:p w14:paraId="013FA03D" w14:textId="77777777" w:rsidR="00EF4562" w:rsidRDefault="00000000">
      <w:pPr>
        <w:ind w:firstLine="560"/>
        <w:rPr>
          <w:rFonts w:cs="Times New Roman"/>
          <w:szCs w:val="28"/>
          <w14:ligatures w14:val="none"/>
        </w:rPr>
      </w:pPr>
      <w:r>
        <w:rPr>
          <w:rFonts w:cs="Times New Roman"/>
          <w:szCs w:val="28"/>
          <w14:ligatures w14:val="none"/>
        </w:rPr>
        <w:t>本次评价</w:t>
      </w:r>
      <w:r>
        <w:rPr>
          <w:rFonts w:cs="Times New Roman" w:hint="eastAsia"/>
          <w:szCs w:val="28"/>
          <w14:ligatures w14:val="none"/>
        </w:rPr>
        <w:t>对象</w:t>
      </w:r>
      <w:r>
        <w:rPr>
          <w:rFonts w:cs="Times New Roman"/>
          <w:szCs w:val="28"/>
          <w14:ligatures w14:val="none"/>
        </w:rPr>
        <w:t>为</w:t>
      </w:r>
      <w:r>
        <w:rPr>
          <w:rFonts w:cs="Times New Roman" w:hint="eastAsia"/>
          <w:szCs w:val="28"/>
          <w14:ligatures w14:val="none"/>
        </w:rPr>
        <w:t>锦州市杨兴加油站有限公司工艺管线改造项目。</w:t>
      </w:r>
    </w:p>
    <w:p w14:paraId="00F2F312" w14:textId="77777777" w:rsidR="00EF4562" w:rsidRDefault="00000000">
      <w:pPr>
        <w:ind w:firstLine="560"/>
        <w:rPr>
          <w:rFonts w:cs="Times New Roman"/>
          <w:szCs w:val="28"/>
          <w14:ligatures w14:val="none"/>
        </w:rPr>
      </w:pPr>
      <w:r>
        <w:rPr>
          <w:rFonts w:cs="Times New Roman" w:hint="eastAsia"/>
          <w:szCs w:val="28"/>
          <w14:ligatures w14:val="none"/>
        </w:rPr>
        <w:t>本次评价范围为本项目所涉及的选址及总平面布置、加油工艺设备、设施、与之配套的公用工程和辅助设施以及安全管理等</w:t>
      </w:r>
      <w:r>
        <w:rPr>
          <w:rFonts w:cs="Times New Roman"/>
          <w:szCs w:val="28"/>
          <w14:ligatures w14:val="none"/>
        </w:rPr>
        <w:t>。</w:t>
      </w:r>
    </w:p>
    <w:p w14:paraId="0363A1C8" w14:textId="77777777" w:rsidR="00EF4562" w:rsidRDefault="00000000">
      <w:pPr>
        <w:ind w:firstLine="560"/>
        <w:rPr>
          <w:rFonts w:cs="Times New Roman"/>
          <w:szCs w:val="28"/>
          <w14:ligatures w14:val="none"/>
        </w:rPr>
      </w:pPr>
      <w:r>
        <w:rPr>
          <w:rFonts w:cs="Times New Roman" w:hint="eastAsia"/>
          <w:szCs w:val="28"/>
          <w14:ligatures w14:val="none"/>
        </w:rPr>
        <w:t>本次评价内容：</w:t>
      </w:r>
    </w:p>
    <w:p w14:paraId="20422306" w14:textId="77777777" w:rsidR="00EF4562" w:rsidRDefault="00000000">
      <w:pPr>
        <w:ind w:firstLine="560"/>
        <w:rPr>
          <w:rFonts w:cs="Times New Roman"/>
          <w:szCs w:val="28"/>
          <w14:ligatures w14:val="none"/>
        </w:rPr>
      </w:pPr>
      <w:r>
        <w:rPr>
          <w:rFonts w:cs="Times New Roman" w:hint="eastAsia"/>
          <w:szCs w:val="28"/>
          <w14:ligatures w14:val="none"/>
        </w:rPr>
        <w:lastRenderedPageBreak/>
        <w:t>（</w:t>
      </w:r>
      <w:r>
        <w:rPr>
          <w:rFonts w:cs="Times New Roman" w:hint="eastAsia"/>
          <w:szCs w:val="28"/>
          <w14:ligatures w14:val="none"/>
        </w:rPr>
        <w:t>1</w:t>
      </w:r>
      <w:r>
        <w:rPr>
          <w:rFonts w:cs="Times New Roman" w:hint="eastAsia"/>
          <w:szCs w:val="28"/>
          <w14:ligatures w14:val="none"/>
        </w:rPr>
        <w:t>）拆除</w:t>
      </w:r>
      <w:r>
        <w:rPr>
          <w:rFonts w:cs="Times New Roman" w:hint="eastAsia"/>
          <w:szCs w:val="28"/>
          <w14:ligatures w14:val="none"/>
        </w:rPr>
        <w:t>J103</w:t>
      </w:r>
      <w:r>
        <w:rPr>
          <w:rFonts w:cs="Times New Roman" w:hint="eastAsia"/>
          <w:szCs w:val="28"/>
          <w14:ligatures w14:val="none"/>
        </w:rPr>
        <w:t>号柴油加油机，并在原基础上安装</w:t>
      </w:r>
      <w:r>
        <w:rPr>
          <w:rFonts w:cs="Times New Roman" w:hint="eastAsia"/>
          <w:szCs w:val="28"/>
          <w14:ligatures w14:val="none"/>
        </w:rPr>
        <w:t>1</w:t>
      </w:r>
      <w:r>
        <w:rPr>
          <w:rFonts w:cs="Times New Roman" w:hint="eastAsia"/>
          <w:szCs w:val="28"/>
          <w14:ligatures w14:val="none"/>
        </w:rPr>
        <w:t>台四枪双油品自吸式柴油加油机，非自助加油机；</w:t>
      </w:r>
    </w:p>
    <w:p w14:paraId="24467292"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2</w:t>
      </w:r>
      <w:r>
        <w:rPr>
          <w:rFonts w:cs="Times New Roman" w:hint="eastAsia"/>
          <w:szCs w:val="28"/>
          <w14:ligatures w14:val="none"/>
        </w:rPr>
        <w:t>）拆除</w:t>
      </w:r>
      <w:r>
        <w:rPr>
          <w:rFonts w:cs="Times New Roman" w:hint="eastAsia"/>
          <w:szCs w:val="28"/>
          <w14:ligatures w14:val="none"/>
        </w:rPr>
        <w:t>J101</w:t>
      </w:r>
      <w:r>
        <w:rPr>
          <w:rFonts w:cs="Times New Roman" w:hint="eastAsia"/>
          <w:szCs w:val="28"/>
          <w14:ligatures w14:val="none"/>
        </w:rPr>
        <w:t>号柴油加油机，并在原基础上安装</w:t>
      </w:r>
      <w:r>
        <w:rPr>
          <w:rFonts w:cs="Times New Roman" w:hint="eastAsia"/>
          <w:szCs w:val="28"/>
          <w14:ligatures w14:val="none"/>
        </w:rPr>
        <w:t>1</w:t>
      </w:r>
      <w:r>
        <w:rPr>
          <w:rFonts w:cs="Times New Roman" w:hint="eastAsia"/>
          <w:szCs w:val="28"/>
          <w14:ligatures w14:val="none"/>
        </w:rPr>
        <w:t>台四枪双油品自吸式车用乙醇汽油加油机，非自助加油机，并增加油气回收管线接入原油气回收总管；</w:t>
      </w:r>
    </w:p>
    <w:p w14:paraId="3DA62028"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3</w:t>
      </w:r>
      <w:r>
        <w:rPr>
          <w:rFonts w:cs="Times New Roman" w:hint="eastAsia"/>
          <w:szCs w:val="28"/>
          <w14:ligatures w14:val="none"/>
        </w:rPr>
        <w:t>）所有加油管线重新敷设。</w:t>
      </w:r>
    </w:p>
    <w:p w14:paraId="292C858F" w14:textId="77777777" w:rsidR="00EF4562" w:rsidRDefault="00000000">
      <w:pPr>
        <w:ind w:firstLine="560"/>
        <w:rPr>
          <w:rFonts w:cs="Times New Roman"/>
          <w:szCs w:val="28"/>
          <w14:ligatures w14:val="none"/>
        </w:rPr>
      </w:pPr>
      <w:r>
        <w:rPr>
          <w:rFonts w:cs="Times New Roman" w:hint="eastAsia"/>
          <w:szCs w:val="28"/>
          <w14:ligatures w14:val="none"/>
        </w:rPr>
        <w:t>该站原有建（构）筑物、设备设施及加气部分，不在本次评价范围内，仅对其安全距离进行符合性评价。</w:t>
      </w:r>
    </w:p>
    <w:p w14:paraId="2C0C8F6C" w14:textId="77777777" w:rsidR="00EF4562" w:rsidRDefault="00000000">
      <w:pPr>
        <w:keepNext/>
        <w:spacing w:beforeLines="100" w:before="312" w:afterLines="100" w:after="312"/>
        <w:ind w:firstLineChars="0" w:firstLine="0"/>
        <w:jc w:val="center"/>
        <w:outlineLvl w:val="1"/>
        <w:rPr>
          <w:rFonts w:ascii="楷体" w:eastAsia="楷体" w:hAnsi="楷体" w:hint="eastAsia"/>
          <w:b/>
          <w:bCs/>
          <w:sz w:val="32"/>
          <w:szCs w:val="32"/>
        </w:rPr>
      </w:pPr>
      <w:bookmarkStart w:id="10" w:name="_Toc207695621"/>
      <w:r>
        <w:rPr>
          <w:rFonts w:eastAsia="楷体" w:cs="Times New Roman"/>
          <w:b/>
          <w:bCs/>
          <w:sz w:val="32"/>
          <w:szCs w:val="32"/>
        </w:rPr>
        <w:t>1.4</w:t>
      </w:r>
      <w:r>
        <w:rPr>
          <w:rFonts w:ascii="楷体" w:eastAsia="楷体" w:hAnsi="楷体" w:hint="eastAsia"/>
          <w:b/>
          <w:bCs/>
          <w:sz w:val="32"/>
          <w:szCs w:val="32"/>
        </w:rPr>
        <w:t>工作经过和程序</w:t>
      </w:r>
      <w:bookmarkEnd w:id="10"/>
    </w:p>
    <w:p w14:paraId="78E6FF38" w14:textId="77777777" w:rsidR="00EF4562" w:rsidRDefault="00000000">
      <w:pPr>
        <w:ind w:firstLine="560"/>
      </w:pPr>
      <w:r>
        <w:rPr>
          <w:rFonts w:hint="eastAsia"/>
        </w:rPr>
        <w:t>前期准备工作完成后，我公司项目组对该项目进行了安全评价，具体的评价程序如图</w:t>
      </w:r>
      <w:r>
        <w:rPr>
          <w:rFonts w:hint="eastAsia"/>
        </w:rPr>
        <w:t>1.4-1</w:t>
      </w:r>
      <w:r>
        <w:rPr>
          <w:rFonts w:hint="eastAsia"/>
        </w:rPr>
        <w:t>所示：</w:t>
      </w:r>
    </w:p>
    <w:p w14:paraId="50D9F124" w14:textId="77777777" w:rsidR="00EF4562" w:rsidRDefault="00000000">
      <w:pPr>
        <w:ind w:firstLineChars="0" w:firstLine="0"/>
      </w:pPr>
      <w:r>
        <w:rPr>
          <w:noProof/>
          <w:szCs w:val="21"/>
        </w:rPr>
        <w:lastRenderedPageBreak/>
        <mc:AlternateContent>
          <mc:Choice Requires="wpc">
            <w:drawing>
              <wp:inline distT="0" distB="0" distL="114300" distR="114300" wp14:anchorId="5DCC8040" wp14:editId="096102A0">
                <wp:extent cx="5551805" cy="5981700"/>
                <wp:effectExtent l="0" t="0" r="0" b="19050"/>
                <wp:docPr id="60" name="画布 4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 name="矩形 453"/>
                        <wps:cNvSpPr/>
                        <wps:spPr>
                          <a:xfrm>
                            <a:off x="818365" y="332719"/>
                            <a:ext cx="1256103" cy="29599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0958FF8" w14:textId="77777777" w:rsidR="00EF4562" w:rsidRDefault="00000000">
                              <w:pPr>
                                <w:spacing w:line="240" w:lineRule="auto"/>
                                <w:ind w:firstLineChars="0" w:firstLine="0"/>
                                <w:jc w:val="center"/>
                                <w:rPr>
                                  <w:szCs w:val="21"/>
                                </w:rPr>
                              </w:pPr>
                              <w:r>
                                <w:rPr>
                                  <w:rFonts w:hint="eastAsia"/>
                                  <w:sz w:val="21"/>
                                  <w:szCs w:val="21"/>
                                </w:rPr>
                                <w:t>前期准备</w:t>
                              </w:r>
                            </w:p>
                          </w:txbxContent>
                        </wps:txbx>
                        <wps:bodyPr upright="1"/>
                      </wps:wsp>
                      <wps:wsp>
                        <wps:cNvPr id="9" name="矩形 454"/>
                        <wps:cNvSpPr/>
                        <wps:spPr>
                          <a:xfrm>
                            <a:off x="2989525" y="1125917"/>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6DCE262" w14:textId="77777777" w:rsidR="00EF4562" w:rsidRDefault="00000000">
                              <w:pPr>
                                <w:spacing w:line="240" w:lineRule="auto"/>
                                <w:ind w:firstLineChars="0" w:firstLine="0"/>
                                <w:jc w:val="center"/>
                                <w:rPr>
                                  <w:sz w:val="21"/>
                                  <w:szCs w:val="21"/>
                                </w:rPr>
                              </w:pPr>
                              <w:r>
                                <w:rPr>
                                  <w:rFonts w:hint="eastAsia"/>
                                  <w:sz w:val="21"/>
                                  <w:szCs w:val="21"/>
                                </w:rPr>
                                <w:t>辨识危险、有害因素</w:t>
                              </w:r>
                            </w:p>
                          </w:txbxContent>
                        </wps:txbx>
                        <wps:bodyPr upright="1"/>
                      </wps:wsp>
                      <wps:wsp>
                        <wps:cNvPr id="10" name="矩形 455"/>
                        <wps:cNvSpPr/>
                        <wps:spPr>
                          <a:xfrm>
                            <a:off x="2989525" y="1720086"/>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9BFB125" w14:textId="77777777" w:rsidR="00EF4562" w:rsidRDefault="00000000">
                              <w:pPr>
                                <w:spacing w:line="240" w:lineRule="auto"/>
                                <w:ind w:firstLineChars="0" w:firstLine="0"/>
                                <w:jc w:val="center"/>
                                <w:rPr>
                                  <w:sz w:val="21"/>
                                  <w:szCs w:val="21"/>
                                </w:rPr>
                              </w:pPr>
                              <w:r>
                                <w:rPr>
                                  <w:rFonts w:hint="eastAsia"/>
                                  <w:sz w:val="21"/>
                                  <w:szCs w:val="21"/>
                                </w:rPr>
                                <w:t>划分评价单元</w:t>
                              </w:r>
                            </w:p>
                          </w:txbxContent>
                        </wps:txbx>
                        <wps:bodyPr upright="1"/>
                      </wps:wsp>
                      <wps:wsp>
                        <wps:cNvPr id="17" name="矩形 456"/>
                        <wps:cNvSpPr/>
                        <wps:spPr>
                          <a:xfrm>
                            <a:off x="2989525" y="2314255"/>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621B1C9" w14:textId="77777777" w:rsidR="00EF4562" w:rsidRDefault="00000000">
                              <w:pPr>
                                <w:spacing w:line="240" w:lineRule="auto"/>
                                <w:ind w:firstLineChars="0" w:firstLine="0"/>
                                <w:jc w:val="center"/>
                                <w:rPr>
                                  <w:sz w:val="21"/>
                                  <w:szCs w:val="21"/>
                                </w:rPr>
                              </w:pPr>
                              <w:r>
                                <w:rPr>
                                  <w:rFonts w:hint="eastAsia"/>
                                  <w:sz w:val="21"/>
                                  <w:szCs w:val="21"/>
                                </w:rPr>
                                <w:t>确定安全评价方法</w:t>
                              </w:r>
                            </w:p>
                          </w:txbxContent>
                        </wps:txbx>
                        <wps:bodyPr upright="1"/>
                      </wps:wsp>
                      <wps:wsp>
                        <wps:cNvPr id="22" name="矩形 457"/>
                        <wps:cNvSpPr/>
                        <wps:spPr>
                          <a:xfrm>
                            <a:off x="2989525" y="2908425"/>
                            <a:ext cx="2059426" cy="2996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4DE3298" w14:textId="77777777" w:rsidR="00EF4562" w:rsidRDefault="00000000">
                              <w:pPr>
                                <w:spacing w:line="240" w:lineRule="auto"/>
                                <w:ind w:firstLineChars="0" w:firstLine="0"/>
                                <w:jc w:val="center"/>
                                <w:rPr>
                                  <w:sz w:val="21"/>
                                  <w:szCs w:val="21"/>
                                </w:rPr>
                              </w:pPr>
                              <w:r>
                                <w:rPr>
                                  <w:rFonts w:hint="eastAsia"/>
                                  <w:sz w:val="21"/>
                                  <w:szCs w:val="21"/>
                                </w:rPr>
                                <w:t>定性、定量分析危险、有害程度</w:t>
                              </w:r>
                            </w:p>
                            <w:p w14:paraId="7B47B7F3" w14:textId="77777777" w:rsidR="00EF4562" w:rsidRDefault="00EF4562">
                              <w:pPr>
                                <w:spacing w:line="240" w:lineRule="auto"/>
                                <w:ind w:firstLine="560"/>
                                <w:jc w:val="center"/>
                              </w:pPr>
                            </w:p>
                          </w:txbxContent>
                        </wps:txbx>
                        <wps:bodyPr upright="1"/>
                      </wps:wsp>
                      <wps:wsp>
                        <wps:cNvPr id="23" name="矩形 458"/>
                        <wps:cNvSpPr/>
                        <wps:spPr>
                          <a:xfrm>
                            <a:off x="2989525" y="3502594"/>
                            <a:ext cx="205869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52A949C" w14:textId="77777777" w:rsidR="00EF4562" w:rsidRDefault="00000000">
                              <w:pPr>
                                <w:spacing w:line="240" w:lineRule="auto"/>
                                <w:ind w:firstLineChars="0" w:firstLine="0"/>
                                <w:jc w:val="center"/>
                                <w:rPr>
                                  <w:sz w:val="21"/>
                                  <w:szCs w:val="21"/>
                                </w:rPr>
                              </w:pPr>
                              <w:r>
                                <w:rPr>
                                  <w:rFonts w:hint="eastAsia"/>
                                  <w:sz w:val="21"/>
                                  <w:szCs w:val="21"/>
                                </w:rPr>
                                <w:t>分析安全条件和安全生产条件</w:t>
                              </w:r>
                            </w:p>
                            <w:p w14:paraId="1D93E710" w14:textId="77777777" w:rsidR="00EF4562" w:rsidRDefault="00EF4562">
                              <w:pPr>
                                <w:spacing w:line="240" w:lineRule="auto"/>
                                <w:ind w:firstLine="560"/>
                                <w:jc w:val="center"/>
                              </w:pPr>
                            </w:p>
                          </w:txbxContent>
                        </wps:txbx>
                        <wps:bodyPr upright="1"/>
                      </wps:wsp>
                      <wps:wsp>
                        <wps:cNvPr id="24" name="矩形 459"/>
                        <wps:cNvSpPr/>
                        <wps:spPr>
                          <a:xfrm>
                            <a:off x="2989525" y="4097492"/>
                            <a:ext cx="205796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093A0F3" w14:textId="77777777" w:rsidR="00EF4562" w:rsidRDefault="00000000">
                              <w:pPr>
                                <w:spacing w:line="240" w:lineRule="auto"/>
                                <w:ind w:firstLineChars="0" w:firstLine="0"/>
                                <w:jc w:val="center"/>
                                <w:rPr>
                                  <w:sz w:val="21"/>
                                  <w:szCs w:val="21"/>
                                </w:rPr>
                              </w:pPr>
                              <w:r>
                                <w:rPr>
                                  <w:rFonts w:hint="eastAsia"/>
                                  <w:sz w:val="21"/>
                                  <w:szCs w:val="21"/>
                                </w:rPr>
                                <w:t>提出安全对策与建议</w:t>
                              </w:r>
                            </w:p>
                            <w:p w14:paraId="6A927CB1" w14:textId="77777777" w:rsidR="00EF4562" w:rsidRDefault="00EF4562">
                              <w:pPr>
                                <w:spacing w:line="240" w:lineRule="auto"/>
                                <w:ind w:firstLine="560"/>
                                <w:jc w:val="center"/>
                              </w:pPr>
                            </w:p>
                          </w:txbxContent>
                        </wps:txbx>
                        <wps:bodyPr upright="1"/>
                      </wps:wsp>
                      <wps:wsp>
                        <wps:cNvPr id="25" name="直线 460"/>
                        <wps:cNvCnPr/>
                        <wps:spPr>
                          <a:xfrm>
                            <a:off x="1504110" y="630168"/>
                            <a:ext cx="730" cy="2278257"/>
                          </a:xfrm>
                          <a:prstGeom prst="line">
                            <a:avLst/>
                          </a:prstGeom>
                          <a:ln w="9525" cap="flat" cmpd="sng">
                            <a:solidFill>
                              <a:srgbClr val="000000"/>
                            </a:solidFill>
                            <a:prstDash val="solid"/>
                            <a:headEnd type="none" w="med" len="med"/>
                            <a:tailEnd type="triangle" w="med" len="med"/>
                          </a:ln>
                        </wps:spPr>
                        <wps:bodyPr/>
                      </wps:wsp>
                      <wps:wsp>
                        <wps:cNvPr id="35" name="矩形 466"/>
                        <wps:cNvSpPr/>
                        <wps:spPr>
                          <a:xfrm>
                            <a:off x="818365" y="4990246"/>
                            <a:ext cx="148614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94BDA70" w14:textId="77777777" w:rsidR="00EF4562" w:rsidRDefault="00000000">
                              <w:pPr>
                                <w:spacing w:line="240" w:lineRule="auto"/>
                                <w:ind w:firstLineChars="0" w:firstLine="0"/>
                                <w:jc w:val="center"/>
                                <w:rPr>
                                  <w:sz w:val="21"/>
                                  <w:szCs w:val="21"/>
                                </w:rPr>
                              </w:pPr>
                              <w:r>
                                <w:rPr>
                                  <w:rFonts w:hint="eastAsia"/>
                                  <w:sz w:val="21"/>
                                  <w:szCs w:val="21"/>
                                </w:rPr>
                                <w:t>与建设单位交换意见</w:t>
                              </w:r>
                            </w:p>
                          </w:txbxContent>
                        </wps:txbx>
                        <wps:bodyPr upright="1"/>
                      </wps:wsp>
                      <wps:wsp>
                        <wps:cNvPr id="36" name="矩形 467"/>
                        <wps:cNvSpPr/>
                        <wps:spPr>
                          <a:xfrm>
                            <a:off x="818365" y="5684321"/>
                            <a:ext cx="1486145"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C405E6C" w14:textId="77777777" w:rsidR="00EF4562" w:rsidRDefault="00000000">
                              <w:pPr>
                                <w:spacing w:line="240" w:lineRule="auto"/>
                                <w:ind w:firstLineChars="0" w:firstLine="0"/>
                                <w:jc w:val="center"/>
                                <w:rPr>
                                  <w:sz w:val="21"/>
                                  <w:szCs w:val="21"/>
                                </w:rPr>
                              </w:pPr>
                              <w:r>
                                <w:rPr>
                                  <w:rFonts w:hint="eastAsia"/>
                                  <w:sz w:val="21"/>
                                  <w:szCs w:val="21"/>
                                </w:rPr>
                                <w:t>编制安全评价报告</w:t>
                              </w:r>
                            </w:p>
                          </w:txbxContent>
                        </wps:txbx>
                        <wps:bodyPr upright="1"/>
                      </wps:wsp>
                      <wps:wsp>
                        <wps:cNvPr id="37" name="直线 468"/>
                        <wps:cNvCnPr/>
                        <wps:spPr>
                          <a:xfrm>
                            <a:off x="1618035" y="5289166"/>
                            <a:ext cx="730" cy="395141"/>
                          </a:xfrm>
                          <a:prstGeom prst="line">
                            <a:avLst/>
                          </a:prstGeom>
                          <a:ln w="9525" cap="flat" cmpd="sng">
                            <a:solidFill>
                              <a:srgbClr val="000000"/>
                            </a:solidFill>
                            <a:prstDash val="solid"/>
                            <a:headEnd type="none" w="med" len="med"/>
                            <a:tailEnd type="triangle" w="med" len="med"/>
                          </a:ln>
                        </wps:spPr>
                        <wps:bodyPr/>
                      </wps:wsp>
                      <wps:wsp>
                        <wps:cNvPr id="38" name="矩形 469"/>
                        <wps:cNvSpPr/>
                        <wps:spPr>
                          <a:xfrm>
                            <a:off x="818365" y="2908425"/>
                            <a:ext cx="1256103"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C09A4D1" w14:textId="77777777" w:rsidR="00EF4562" w:rsidRDefault="00000000">
                              <w:pPr>
                                <w:spacing w:line="240" w:lineRule="auto"/>
                                <w:ind w:firstLineChars="0" w:firstLine="0"/>
                                <w:jc w:val="center"/>
                                <w:rPr>
                                  <w:sz w:val="21"/>
                                  <w:szCs w:val="21"/>
                                </w:rPr>
                              </w:pPr>
                              <w:r>
                                <w:rPr>
                                  <w:rFonts w:hint="eastAsia"/>
                                  <w:sz w:val="21"/>
                                  <w:szCs w:val="21"/>
                                </w:rPr>
                                <w:t>安全评价</w:t>
                              </w:r>
                            </w:p>
                          </w:txbxContent>
                        </wps:txbx>
                        <wps:bodyPr upright="1"/>
                      </wps:wsp>
                      <wps:wsp>
                        <wps:cNvPr id="39" name="直线 470"/>
                        <wps:cNvCnPr/>
                        <wps:spPr>
                          <a:xfrm>
                            <a:off x="2532362" y="1224337"/>
                            <a:ext cx="730" cy="3566474"/>
                          </a:xfrm>
                          <a:prstGeom prst="line">
                            <a:avLst/>
                          </a:prstGeom>
                          <a:ln w="9525" cap="flat" cmpd="sng">
                            <a:solidFill>
                              <a:srgbClr val="000000"/>
                            </a:solidFill>
                            <a:prstDash val="solid"/>
                            <a:headEnd type="none" w="med" len="med"/>
                            <a:tailEnd type="none" w="med" len="med"/>
                          </a:ln>
                        </wps:spPr>
                        <wps:bodyPr/>
                      </wps:wsp>
                      <wps:wsp>
                        <wps:cNvPr id="40" name="直线 471"/>
                        <wps:cNvCnPr/>
                        <wps:spPr>
                          <a:xfrm>
                            <a:off x="2532362" y="1224337"/>
                            <a:ext cx="457163" cy="0"/>
                          </a:xfrm>
                          <a:prstGeom prst="line">
                            <a:avLst/>
                          </a:prstGeom>
                          <a:ln w="9525" cap="flat" cmpd="sng">
                            <a:solidFill>
                              <a:srgbClr val="000000"/>
                            </a:solidFill>
                            <a:prstDash val="solid"/>
                            <a:headEnd type="none" w="med" len="med"/>
                            <a:tailEnd type="none" w="med" len="med"/>
                          </a:ln>
                        </wps:spPr>
                        <wps:bodyPr/>
                      </wps:wsp>
                      <wps:wsp>
                        <wps:cNvPr id="41" name="直线 472"/>
                        <wps:cNvCnPr/>
                        <wps:spPr>
                          <a:xfrm>
                            <a:off x="2532362" y="1819236"/>
                            <a:ext cx="457163" cy="0"/>
                          </a:xfrm>
                          <a:prstGeom prst="line">
                            <a:avLst/>
                          </a:prstGeom>
                          <a:ln w="9525" cap="flat" cmpd="sng">
                            <a:solidFill>
                              <a:srgbClr val="000000"/>
                            </a:solidFill>
                            <a:prstDash val="solid"/>
                            <a:headEnd type="none" w="med" len="med"/>
                            <a:tailEnd type="none" w="med" len="med"/>
                          </a:ln>
                        </wps:spPr>
                        <wps:bodyPr/>
                      </wps:wsp>
                      <wps:wsp>
                        <wps:cNvPr id="42" name="直线 473"/>
                        <wps:cNvCnPr/>
                        <wps:spPr>
                          <a:xfrm>
                            <a:off x="2532362" y="2512555"/>
                            <a:ext cx="457163" cy="0"/>
                          </a:xfrm>
                          <a:prstGeom prst="line">
                            <a:avLst/>
                          </a:prstGeom>
                          <a:ln w="9525" cap="flat" cmpd="sng">
                            <a:solidFill>
                              <a:srgbClr val="000000"/>
                            </a:solidFill>
                            <a:prstDash val="solid"/>
                            <a:headEnd type="none" w="med" len="med"/>
                            <a:tailEnd type="none" w="med" len="med"/>
                          </a:ln>
                        </wps:spPr>
                        <wps:bodyPr/>
                      </wps:wsp>
                      <wps:wsp>
                        <wps:cNvPr id="43" name="直线 474"/>
                        <wps:cNvCnPr/>
                        <wps:spPr>
                          <a:xfrm>
                            <a:off x="2532362" y="3007574"/>
                            <a:ext cx="457163" cy="0"/>
                          </a:xfrm>
                          <a:prstGeom prst="line">
                            <a:avLst/>
                          </a:prstGeom>
                          <a:ln w="9525" cap="flat" cmpd="sng">
                            <a:solidFill>
                              <a:srgbClr val="000000"/>
                            </a:solidFill>
                            <a:prstDash val="solid"/>
                            <a:headEnd type="none" w="med" len="med"/>
                            <a:tailEnd type="none" w="med" len="med"/>
                          </a:ln>
                        </wps:spPr>
                        <wps:bodyPr/>
                      </wps:wsp>
                      <wps:wsp>
                        <wps:cNvPr id="44" name="直线 475"/>
                        <wps:cNvCnPr/>
                        <wps:spPr>
                          <a:xfrm>
                            <a:off x="2532362" y="3602473"/>
                            <a:ext cx="457163" cy="0"/>
                          </a:xfrm>
                          <a:prstGeom prst="line">
                            <a:avLst/>
                          </a:prstGeom>
                          <a:ln w="9525" cap="flat" cmpd="sng">
                            <a:solidFill>
                              <a:srgbClr val="000000"/>
                            </a:solidFill>
                            <a:prstDash val="solid"/>
                            <a:headEnd type="none" w="med" len="med"/>
                            <a:tailEnd type="none" w="med" len="med"/>
                          </a:ln>
                        </wps:spPr>
                        <wps:bodyPr/>
                      </wps:wsp>
                      <wps:wsp>
                        <wps:cNvPr id="45" name="直线 476"/>
                        <wps:cNvCnPr/>
                        <wps:spPr>
                          <a:xfrm>
                            <a:off x="2075199" y="3007574"/>
                            <a:ext cx="457163" cy="729"/>
                          </a:xfrm>
                          <a:prstGeom prst="line">
                            <a:avLst/>
                          </a:prstGeom>
                          <a:ln w="9525" cap="flat" cmpd="sng">
                            <a:solidFill>
                              <a:srgbClr val="000000"/>
                            </a:solidFill>
                            <a:prstDash val="solid"/>
                            <a:headEnd type="none" w="med" len="med"/>
                            <a:tailEnd type="none" w="med" len="med"/>
                          </a:ln>
                        </wps:spPr>
                        <wps:bodyPr/>
                      </wps:wsp>
                      <wps:wsp>
                        <wps:cNvPr id="46" name="直线 477"/>
                        <wps:cNvCnPr/>
                        <wps:spPr>
                          <a:xfrm>
                            <a:off x="2075199" y="431869"/>
                            <a:ext cx="457163" cy="729"/>
                          </a:xfrm>
                          <a:prstGeom prst="line">
                            <a:avLst/>
                          </a:prstGeom>
                          <a:ln w="9525" cap="flat" cmpd="sng">
                            <a:solidFill>
                              <a:srgbClr val="000000"/>
                            </a:solidFill>
                            <a:prstDash val="solid"/>
                            <a:headEnd type="none" w="med" len="med"/>
                            <a:tailEnd type="none" w="med" len="med"/>
                          </a:ln>
                        </wps:spPr>
                        <wps:bodyPr/>
                      </wps:wsp>
                      <wps:wsp>
                        <wps:cNvPr id="47" name="直线 478"/>
                        <wps:cNvCnPr/>
                        <wps:spPr>
                          <a:xfrm>
                            <a:off x="2532362" y="135148"/>
                            <a:ext cx="730" cy="594169"/>
                          </a:xfrm>
                          <a:prstGeom prst="line">
                            <a:avLst/>
                          </a:prstGeom>
                          <a:ln w="9525" cap="flat" cmpd="sng">
                            <a:solidFill>
                              <a:srgbClr val="000000"/>
                            </a:solidFill>
                            <a:prstDash val="solid"/>
                            <a:headEnd type="none" w="med" len="med"/>
                            <a:tailEnd type="none" w="med" len="med"/>
                          </a:ln>
                        </wps:spPr>
                        <wps:bodyPr/>
                      </wps:wsp>
                      <wps:wsp>
                        <wps:cNvPr id="48" name="矩形 479"/>
                        <wps:cNvSpPr/>
                        <wps:spPr>
                          <a:xfrm>
                            <a:off x="2989525" y="35999"/>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9626FBD" w14:textId="77777777" w:rsidR="00EF4562" w:rsidRDefault="00000000">
                              <w:pPr>
                                <w:spacing w:line="240" w:lineRule="auto"/>
                                <w:ind w:firstLineChars="0" w:firstLine="0"/>
                                <w:jc w:val="center"/>
                                <w:rPr>
                                  <w:sz w:val="21"/>
                                  <w:szCs w:val="21"/>
                                </w:rPr>
                              </w:pPr>
                              <w:r>
                                <w:rPr>
                                  <w:rFonts w:hint="eastAsia"/>
                                  <w:sz w:val="21"/>
                                  <w:szCs w:val="21"/>
                                </w:rPr>
                                <w:t>确定安全评价对象和范围</w:t>
                              </w:r>
                            </w:p>
                          </w:txbxContent>
                        </wps:txbx>
                        <wps:bodyPr upright="1"/>
                      </wps:wsp>
                      <wps:wsp>
                        <wps:cNvPr id="49" name="矩形 480"/>
                        <wps:cNvSpPr/>
                        <wps:spPr>
                          <a:xfrm>
                            <a:off x="2989525" y="630168"/>
                            <a:ext cx="2057964"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1603D18" w14:textId="77777777" w:rsidR="00EF4562" w:rsidRDefault="00000000">
                              <w:pPr>
                                <w:spacing w:line="240" w:lineRule="auto"/>
                                <w:ind w:firstLineChars="0" w:firstLine="0"/>
                                <w:jc w:val="center"/>
                                <w:rPr>
                                  <w:sz w:val="21"/>
                                  <w:szCs w:val="21"/>
                                </w:rPr>
                              </w:pPr>
                              <w:r>
                                <w:rPr>
                                  <w:rFonts w:hint="eastAsia"/>
                                  <w:sz w:val="21"/>
                                  <w:szCs w:val="21"/>
                                </w:rPr>
                                <w:t>收集、整理安全评价所需资料</w:t>
                              </w:r>
                            </w:p>
                          </w:txbxContent>
                        </wps:txbx>
                        <wps:bodyPr upright="1"/>
                      </wps:wsp>
                      <wps:wsp>
                        <wps:cNvPr id="50" name="直线 481"/>
                        <wps:cNvCnPr/>
                        <wps:spPr>
                          <a:xfrm>
                            <a:off x="2532362" y="729318"/>
                            <a:ext cx="457163" cy="0"/>
                          </a:xfrm>
                          <a:prstGeom prst="line">
                            <a:avLst/>
                          </a:prstGeom>
                          <a:ln w="9525" cap="flat" cmpd="sng">
                            <a:solidFill>
                              <a:srgbClr val="000000"/>
                            </a:solidFill>
                            <a:prstDash val="solid"/>
                            <a:headEnd type="none" w="med" len="med"/>
                            <a:tailEnd type="none" w="med" len="med"/>
                          </a:ln>
                        </wps:spPr>
                        <wps:bodyPr/>
                      </wps:wsp>
                      <wps:wsp>
                        <wps:cNvPr id="51" name="直线 482"/>
                        <wps:cNvCnPr/>
                        <wps:spPr>
                          <a:xfrm>
                            <a:off x="2532362" y="135148"/>
                            <a:ext cx="457163" cy="0"/>
                          </a:xfrm>
                          <a:prstGeom prst="line">
                            <a:avLst/>
                          </a:prstGeom>
                          <a:ln w="9525" cap="flat" cmpd="sng">
                            <a:solidFill>
                              <a:srgbClr val="000000"/>
                            </a:solidFill>
                            <a:prstDash val="solid"/>
                            <a:headEnd type="none" w="med" len="med"/>
                            <a:tailEnd type="none" w="med" len="med"/>
                          </a:ln>
                        </wps:spPr>
                        <wps:bodyPr/>
                      </wps:wsp>
                      <wps:wsp>
                        <wps:cNvPr id="53" name="矩形 484"/>
                        <wps:cNvSpPr/>
                        <wps:spPr>
                          <a:xfrm>
                            <a:off x="2989525" y="4691662"/>
                            <a:ext cx="205942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54772A1" w14:textId="77777777" w:rsidR="00EF4562" w:rsidRDefault="00000000">
                              <w:pPr>
                                <w:spacing w:line="240" w:lineRule="auto"/>
                                <w:ind w:firstLineChars="0" w:firstLine="0"/>
                                <w:jc w:val="center"/>
                                <w:rPr>
                                  <w:sz w:val="21"/>
                                  <w:szCs w:val="21"/>
                                </w:rPr>
                              </w:pPr>
                              <w:r>
                                <w:rPr>
                                  <w:rFonts w:hint="eastAsia"/>
                                  <w:sz w:val="21"/>
                                  <w:szCs w:val="21"/>
                                </w:rPr>
                                <w:t>整理、归纳安全评价结论</w:t>
                              </w:r>
                            </w:p>
                            <w:p w14:paraId="6105708A" w14:textId="77777777" w:rsidR="00EF4562" w:rsidRDefault="00EF4562">
                              <w:pPr>
                                <w:spacing w:line="240" w:lineRule="auto"/>
                                <w:ind w:firstLine="560"/>
                                <w:jc w:val="center"/>
                              </w:pPr>
                            </w:p>
                          </w:txbxContent>
                        </wps:txbx>
                        <wps:bodyPr upright="1"/>
                      </wps:wsp>
                      <wps:wsp>
                        <wps:cNvPr id="54" name="直线 485"/>
                        <wps:cNvCnPr/>
                        <wps:spPr>
                          <a:xfrm>
                            <a:off x="2532362" y="4295792"/>
                            <a:ext cx="457163" cy="0"/>
                          </a:xfrm>
                          <a:prstGeom prst="line">
                            <a:avLst/>
                          </a:prstGeom>
                          <a:ln w="9525" cap="flat" cmpd="sng">
                            <a:solidFill>
                              <a:srgbClr val="000000"/>
                            </a:solidFill>
                            <a:prstDash val="solid"/>
                            <a:headEnd type="none" w="med" len="med"/>
                            <a:tailEnd type="none" w="med" len="med"/>
                          </a:ln>
                        </wps:spPr>
                        <wps:bodyPr/>
                      </wps:wsp>
                      <wps:wsp>
                        <wps:cNvPr id="55" name="直线 486"/>
                        <wps:cNvCnPr/>
                        <wps:spPr>
                          <a:xfrm>
                            <a:off x="2532362" y="4790811"/>
                            <a:ext cx="457163" cy="0"/>
                          </a:xfrm>
                          <a:prstGeom prst="line">
                            <a:avLst/>
                          </a:prstGeom>
                          <a:ln w="9525" cap="flat" cmpd="sng">
                            <a:solidFill>
                              <a:srgbClr val="000000"/>
                            </a:solidFill>
                            <a:prstDash val="solid"/>
                            <a:headEnd type="none" w="med" len="med"/>
                            <a:tailEnd type="none" w="med" len="med"/>
                          </a:ln>
                        </wps:spPr>
                        <wps:bodyPr/>
                      </wps:wsp>
                      <wps:wsp>
                        <wps:cNvPr id="56" name="直线 487"/>
                        <wps:cNvCnPr/>
                        <wps:spPr>
                          <a:xfrm flipH="1">
                            <a:off x="1503380" y="3205348"/>
                            <a:ext cx="730" cy="1784900"/>
                          </a:xfrm>
                          <a:prstGeom prst="line">
                            <a:avLst/>
                          </a:prstGeom>
                          <a:ln w="9525" cap="flat" cmpd="sng">
                            <a:solidFill>
                              <a:srgbClr val="000000"/>
                            </a:solidFill>
                            <a:prstDash val="solid"/>
                            <a:headEnd type="none" w="med" len="med"/>
                            <a:tailEnd type="triangle" w="med" len="med"/>
                          </a:ln>
                        </wps:spPr>
                        <wps:bodyPr/>
                      </wps:wsp>
                    </wpc:wpc>
                  </a:graphicData>
                </a:graphic>
              </wp:inline>
            </w:drawing>
          </mc:Choice>
          <mc:Fallback>
            <w:pict>
              <v:group w14:anchorId="5DCC8040" id="画布 451" o:spid="_x0000_s1026" editas="canvas" style="width:437.15pt;height:471pt;mso-position-horizontal-relative:char;mso-position-vertical-relative:line" coordsize="55518,598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518;height:59817;visibility:visible;mso-wrap-style:square">
                  <v:fill o:detectmouseclick="t"/>
                  <v:path o:connecttype="none"/>
                </v:shape>
                <v:rect id="矩形 453" o:spid="_x0000_s1028" style="position:absolute;left:8183;top:3327;width:12561;height:2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30958FF8" w14:textId="77777777" w:rsidR="00EF4562" w:rsidRDefault="00000000">
                        <w:pPr>
                          <w:spacing w:line="240" w:lineRule="auto"/>
                          <w:ind w:firstLineChars="0" w:firstLine="0"/>
                          <w:jc w:val="center"/>
                          <w:rPr>
                            <w:szCs w:val="21"/>
                          </w:rPr>
                        </w:pPr>
                        <w:r>
                          <w:rPr>
                            <w:rFonts w:hint="eastAsia"/>
                            <w:sz w:val="21"/>
                            <w:szCs w:val="21"/>
                          </w:rPr>
                          <w:t>前期准备</w:t>
                        </w:r>
                      </w:p>
                    </w:txbxContent>
                  </v:textbox>
                </v:rect>
                <v:rect id="矩形 454" o:spid="_x0000_s1029" style="position:absolute;left:29895;top:11259;width:20579;height:2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26DCE262" w14:textId="77777777" w:rsidR="00EF4562" w:rsidRDefault="00000000">
                        <w:pPr>
                          <w:spacing w:line="240" w:lineRule="auto"/>
                          <w:ind w:firstLineChars="0" w:firstLine="0"/>
                          <w:jc w:val="center"/>
                          <w:rPr>
                            <w:sz w:val="21"/>
                            <w:szCs w:val="21"/>
                          </w:rPr>
                        </w:pPr>
                        <w:r>
                          <w:rPr>
                            <w:rFonts w:hint="eastAsia"/>
                            <w:sz w:val="21"/>
                            <w:szCs w:val="21"/>
                          </w:rPr>
                          <w:t>辨识危险、有害因素</w:t>
                        </w:r>
                      </w:p>
                    </w:txbxContent>
                  </v:textbox>
                </v:rect>
                <v:rect id="矩形 455" o:spid="_x0000_s1030" style="position:absolute;left:29895;top:17200;width:20579;height: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39BFB125" w14:textId="77777777" w:rsidR="00EF4562" w:rsidRDefault="00000000">
                        <w:pPr>
                          <w:spacing w:line="240" w:lineRule="auto"/>
                          <w:ind w:firstLineChars="0" w:firstLine="0"/>
                          <w:jc w:val="center"/>
                          <w:rPr>
                            <w:sz w:val="21"/>
                            <w:szCs w:val="21"/>
                          </w:rPr>
                        </w:pPr>
                        <w:r>
                          <w:rPr>
                            <w:rFonts w:hint="eastAsia"/>
                            <w:sz w:val="21"/>
                            <w:szCs w:val="21"/>
                          </w:rPr>
                          <w:t>划分评价单元</w:t>
                        </w:r>
                      </w:p>
                    </w:txbxContent>
                  </v:textbox>
                </v:rect>
                <v:rect id="矩形 456" o:spid="_x0000_s1031" style="position:absolute;left:29895;top:23142;width:20579;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1621B1C9" w14:textId="77777777" w:rsidR="00EF4562" w:rsidRDefault="00000000">
                        <w:pPr>
                          <w:spacing w:line="240" w:lineRule="auto"/>
                          <w:ind w:firstLineChars="0" w:firstLine="0"/>
                          <w:jc w:val="center"/>
                          <w:rPr>
                            <w:sz w:val="21"/>
                            <w:szCs w:val="21"/>
                          </w:rPr>
                        </w:pPr>
                        <w:r>
                          <w:rPr>
                            <w:rFonts w:hint="eastAsia"/>
                            <w:sz w:val="21"/>
                            <w:szCs w:val="21"/>
                          </w:rPr>
                          <w:t>确定安全评价方法</w:t>
                        </w:r>
                      </w:p>
                    </w:txbxContent>
                  </v:textbox>
                </v:rect>
                <v:rect id="矩形 457" o:spid="_x0000_s1032" style="position:absolute;left:29895;top:29084;width:20594;height:2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textbox>
                    <w:txbxContent>
                      <w:p w14:paraId="24DE3298" w14:textId="77777777" w:rsidR="00EF4562" w:rsidRDefault="00000000">
                        <w:pPr>
                          <w:spacing w:line="240" w:lineRule="auto"/>
                          <w:ind w:firstLineChars="0" w:firstLine="0"/>
                          <w:jc w:val="center"/>
                          <w:rPr>
                            <w:sz w:val="21"/>
                            <w:szCs w:val="21"/>
                          </w:rPr>
                        </w:pPr>
                        <w:r>
                          <w:rPr>
                            <w:rFonts w:hint="eastAsia"/>
                            <w:sz w:val="21"/>
                            <w:szCs w:val="21"/>
                          </w:rPr>
                          <w:t>定性、定量分析危险、有害程度</w:t>
                        </w:r>
                      </w:p>
                      <w:p w14:paraId="7B47B7F3" w14:textId="77777777" w:rsidR="00EF4562" w:rsidRDefault="00EF4562">
                        <w:pPr>
                          <w:spacing w:line="240" w:lineRule="auto"/>
                          <w:ind w:firstLine="560"/>
                          <w:jc w:val="center"/>
                        </w:pPr>
                      </w:p>
                    </w:txbxContent>
                  </v:textbox>
                </v:rect>
                <v:rect id="矩形 458" o:spid="_x0000_s1033" style="position:absolute;left:29895;top:35025;width:20587;height:2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w:txbxContent>
                      <w:p w14:paraId="152A949C" w14:textId="77777777" w:rsidR="00EF4562" w:rsidRDefault="00000000">
                        <w:pPr>
                          <w:spacing w:line="240" w:lineRule="auto"/>
                          <w:ind w:firstLineChars="0" w:firstLine="0"/>
                          <w:jc w:val="center"/>
                          <w:rPr>
                            <w:sz w:val="21"/>
                            <w:szCs w:val="21"/>
                          </w:rPr>
                        </w:pPr>
                        <w:r>
                          <w:rPr>
                            <w:rFonts w:hint="eastAsia"/>
                            <w:sz w:val="21"/>
                            <w:szCs w:val="21"/>
                          </w:rPr>
                          <w:t>分析安全条件和安全生产条件</w:t>
                        </w:r>
                      </w:p>
                      <w:p w14:paraId="1D93E710" w14:textId="77777777" w:rsidR="00EF4562" w:rsidRDefault="00EF4562">
                        <w:pPr>
                          <w:spacing w:line="240" w:lineRule="auto"/>
                          <w:ind w:firstLine="560"/>
                          <w:jc w:val="center"/>
                        </w:pPr>
                      </w:p>
                    </w:txbxContent>
                  </v:textbox>
                </v:rect>
                <v:rect id="矩形 459" o:spid="_x0000_s1034" style="position:absolute;left:29895;top:40974;width:20579;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textbox>
                    <w:txbxContent>
                      <w:p w14:paraId="7093A0F3" w14:textId="77777777" w:rsidR="00EF4562" w:rsidRDefault="00000000">
                        <w:pPr>
                          <w:spacing w:line="240" w:lineRule="auto"/>
                          <w:ind w:firstLineChars="0" w:firstLine="0"/>
                          <w:jc w:val="center"/>
                          <w:rPr>
                            <w:sz w:val="21"/>
                            <w:szCs w:val="21"/>
                          </w:rPr>
                        </w:pPr>
                        <w:r>
                          <w:rPr>
                            <w:rFonts w:hint="eastAsia"/>
                            <w:sz w:val="21"/>
                            <w:szCs w:val="21"/>
                          </w:rPr>
                          <w:t>提出安全对策与建议</w:t>
                        </w:r>
                      </w:p>
                      <w:p w14:paraId="6A927CB1" w14:textId="77777777" w:rsidR="00EF4562" w:rsidRDefault="00EF4562">
                        <w:pPr>
                          <w:spacing w:line="240" w:lineRule="auto"/>
                          <w:ind w:firstLine="560"/>
                          <w:jc w:val="center"/>
                        </w:pPr>
                      </w:p>
                    </w:txbxContent>
                  </v:textbox>
                </v:rect>
                <v:line id="直线 460" o:spid="_x0000_s1035" style="position:absolute;visibility:visible;mso-wrap-style:square" from="15041,6301" to="15048,29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rect id="矩形 466" o:spid="_x0000_s1036" style="position:absolute;left:8183;top:49902;width:14862;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14:paraId="294BDA70" w14:textId="77777777" w:rsidR="00EF4562" w:rsidRDefault="00000000">
                        <w:pPr>
                          <w:spacing w:line="240" w:lineRule="auto"/>
                          <w:ind w:firstLineChars="0" w:firstLine="0"/>
                          <w:jc w:val="center"/>
                          <w:rPr>
                            <w:sz w:val="21"/>
                            <w:szCs w:val="21"/>
                          </w:rPr>
                        </w:pPr>
                        <w:r>
                          <w:rPr>
                            <w:rFonts w:hint="eastAsia"/>
                            <w:sz w:val="21"/>
                            <w:szCs w:val="21"/>
                          </w:rPr>
                          <w:t>与建设单位交换意见</w:t>
                        </w:r>
                      </w:p>
                    </w:txbxContent>
                  </v:textbox>
                </v:rect>
                <v:rect id="矩形 467" o:spid="_x0000_s1037" style="position:absolute;left:8183;top:56843;width:14862;height:2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14:paraId="6C405E6C" w14:textId="77777777" w:rsidR="00EF4562" w:rsidRDefault="00000000">
                        <w:pPr>
                          <w:spacing w:line="240" w:lineRule="auto"/>
                          <w:ind w:firstLineChars="0" w:firstLine="0"/>
                          <w:jc w:val="center"/>
                          <w:rPr>
                            <w:sz w:val="21"/>
                            <w:szCs w:val="21"/>
                          </w:rPr>
                        </w:pPr>
                        <w:r>
                          <w:rPr>
                            <w:rFonts w:hint="eastAsia"/>
                            <w:sz w:val="21"/>
                            <w:szCs w:val="21"/>
                          </w:rPr>
                          <w:t>编制安全评价报告</w:t>
                        </w:r>
                      </w:p>
                    </w:txbxContent>
                  </v:textbox>
                </v:rect>
                <v:line id="直线 468" o:spid="_x0000_s1038" style="position:absolute;visibility:visible;mso-wrap-style:square" from="16180,52891" to="16187,568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cwoxAAAANsAAAAPAAAAZHJzL2Rvd25yZXYueG1sRI9BawIx&#10;FITvhf6H8AreatYW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PblzCjEAAAA2wAAAA8A&#10;AAAAAAAAAAAAAAAABwIAAGRycy9kb3ducmV2LnhtbFBLBQYAAAAAAwADALcAAAD4AgAAAAA=&#10;">
                  <v:stroke endarrow="block"/>
                </v:line>
                <v:rect id="矩形 469" o:spid="_x0000_s1039" style="position:absolute;left:8183;top:29084;width:12561;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">
                  <v:textbox>
                    <w:txbxContent>
                      <w:p w14:paraId="6C09A4D1" w14:textId="77777777" w:rsidR="00EF4562" w:rsidRDefault="00000000">
                        <w:pPr>
                          <w:spacing w:line="240" w:lineRule="auto"/>
                          <w:ind w:firstLineChars="0" w:firstLine="0"/>
                          <w:jc w:val="center"/>
                          <w:rPr>
                            <w:sz w:val="21"/>
                            <w:szCs w:val="21"/>
                          </w:rPr>
                        </w:pPr>
                        <w:r>
                          <w:rPr>
                            <w:rFonts w:hint="eastAsia"/>
                            <w:sz w:val="21"/>
                            <w:szCs w:val="21"/>
                          </w:rPr>
                          <w:t>安全评价</w:t>
                        </w:r>
                      </w:p>
                    </w:txbxContent>
                  </v:textbox>
                </v:rect>
                <v:line id="直线 470" o:spid="_x0000_s1040" style="position:absolute;visibility:visible;mso-wrap-style:square" from="25323,12243" to="25330,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"/>
                <v:line id="直线 471" o:spid="_x0000_s1041" style="position:absolute;visibility:visible;mso-wrap-style:square" from="25323,12243" to="29895,12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iSVwgAAANsAAAAPAAAAZHJzL2Rvd25yZXYueG1sRE/Pa8Iw&#10;FL4P/B/CE3abqdso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CokiSVwgAAANsAAAAPAAAA&#10;AAAAAAAAAAAAAAcCAABkcnMvZG93bnJldi54bWxQSwUGAAAAAAMAAwC3AAAA9gIAAAAA&#10;"/>
                <v:line id="直线 472" o:spid="_x0000_s1042" style="position:absolute;visibility:visible;mso-wrap-style:square" from="25323,18192" to="29895,18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oEOxgAAANsAAAAPAAAAZHJzL2Rvd25yZXYueG1sRI9Ba8JA&#10;FITvBf/D8gq91Y22BE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x96BDsYAAADbAAAA&#10;DwAAAAAAAAAAAAAAAAAHAgAAZHJzL2Rvd25yZXYueG1sUEsFBgAAAAADAAMAtwAAAPoCAAAAAA==&#10;"/>
                <v:line id="直线 473" o:spid="_x0000_s1043" style="position:absolute;visibility:visible;mso-wrap-style:square" from="25323,25125" to="29895,2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95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NwwfecYAAADbAAAA&#10;DwAAAAAAAAAAAAAAAAAHAgAAZHJzL2Rvd25yZXYueG1sUEsFBgAAAAADAAMAtwAAAPoCAAAAAA==&#10;"/>
                <v:line id="直线 474" o:spid="_x0000_s1044" style="position:absolute;visibility:visible;mso-wrap-style:square" from="25323,30075" to="29895,30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直线 475" o:spid="_x0000_s1045" style="position:absolute;visibility:visible;mso-wrap-style:square" from="25323,36024" to="29895,36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直线 476" o:spid="_x0000_s1046" style="position:absolute;visibility:visible;mso-wrap-style:square" from="20751,30075" to="25323,30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直线 477" o:spid="_x0000_s1047" style="position:absolute;visibility:visible;mso-wrap-style:square" from="20751,4318" to="25323,4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直线 478" o:spid="_x0000_s1048" style="position:absolute;visibility:visible;mso-wrap-style:square" from="25323,1351" to="25330,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7zhxgAAANsAAAAPAAAAZHJzL2Rvd25yZXYueG1sRI9Ba8JA&#10;FITvgv9heUJvumkr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J3u84cYAAADbAAAA&#10;DwAAAAAAAAAAAAAAAAAHAgAAZHJzL2Rvd25yZXYueG1sUEsFBgAAAAADAAMAtwAAAPoCAAAAAA==&#10;"/>
                <v:rect id="矩形 479" o:spid="_x0000_s1049" style="position:absolute;left:29895;top:359;width:20579;height:2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59626FBD" w14:textId="77777777" w:rsidR="00EF4562" w:rsidRDefault="00000000">
                        <w:pPr>
                          <w:spacing w:line="240" w:lineRule="auto"/>
                          <w:ind w:firstLineChars="0" w:firstLine="0"/>
                          <w:jc w:val="center"/>
                          <w:rPr>
                            <w:sz w:val="21"/>
                            <w:szCs w:val="21"/>
                          </w:rPr>
                        </w:pPr>
                        <w:r>
                          <w:rPr>
                            <w:rFonts w:hint="eastAsia"/>
                            <w:sz w:val="21"/>
                            <w:szCs w:val="21"/>
                          </w:rPr>
                          <w:t>确定安全评价对象和范围</w:t>
                        </w:r>
                      </w:p>
                    </w:txbxContent>
                  </v:textbox>
                </v:rect>
                <v:rect id="矩形 480" o:spid="_x0000_s1050" style="position:absolute;left:29895;top:6301;width:20579;height:2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41603D18" w14:textId="77777777" w:rsidR="00EF4562" w:rsidRDefault="00000000">
                        <w:pPr>
                          <w:spacing w:line="240" w:lineRule="auto"/>
                          <w:ind w:firstLineChars="0" w:firstLine="0"/>
                          <w:jc w:val="center"/>
                          <w:rPr>
                            <w:sz w:val="21"/>
                            <w:szCs w:val="21"/>
                          </w:rPr>
                        </w:pPr>
                        <w:r>
                          <w:rPr>
                            <w:rFonts w:hint="eastAsia"/>
                            <w:sz w:val="21"/>
                            <w:szCs w:val="21"/>
                          </w:rPr>
                          <w:t>收集、整理安全评价所需资料</w:t>
                        </w:r>
                      </w:p>
                    </w:txbxContent>
                  </v:textbox>
                </v:rect>
                <v:line id="直线 481" o:spid="_x0000_s1051" style="position:absolute;visibility:visible;mso-wrap-style:square" from="25323,7293" to="29895,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直线 482" o:spid="_x0000_s1052" style="position:absolute;visibility:visible;mso-wrap-style:square" from="25323,1351" to="29895,1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rect id="矩形 484" o:spid="_x0000_s1053" style="position:absolute;left:29895;top:46916;width:20594;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454772A1" w14:textId="77777777" w:rsidR="00EF4562" w:rsidRDefault="00000000">
                        <w:pPr>
                          <w:spacing w:line="240" w:lineRule="auto"/>
                          <w:ind w:firstLineChars="0" w:firstLine="0"/>
                          <w:jc w:val="center"/>
                          <w:rPr>
                            <w:sz w:val="21"/>
                            <w:szCs w:val="21"/>
                          </w:rPr>
                        </w:pPr>
                        <w:r>
                          <w:rPr>
                            <w:rFonts w:hint="eastAsia"/>
                            <w:sz w:val="21"/>
                            <w:szCs w:val="21"/>
                          </w:rPr>
                          <w:t>整理、归纳安全评价结论</w:t>
                        </w:r>
                      </w:p>
                      <w:p w14:paraId="6105708A" w14:textId="77777777" w:rsidR="00EF4562" w:rsidRDefault="00EF4562">
                        <w:pPr>
                          <w:spacing w:line="240" w:lineRule="auto"/>
                          <w:ind w:firstLine="560"/>
                          <w:jc w:val="center"/>
                        </w:pPr>
                      </w:p>
                    </w:txbxContent>
                  </v:textbox>
                </v:rect>
                <v:line id="直线 485" o:spid="_x0000_s1054" style="position:absolute;visibility:visible;mso-wrap-style:square" from="25323,42957" to="29895,42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直线 486" o:spid="_x0000_s1055" style="position:absolute;visibility:visible;mso-wrap-style:square" from="25323,47908" to="29895,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直线 487" o:spid="_x0000_s1056" style="position:absolute;flip:x;visibility:visible;mso-wrap-style:square" from="15033,32053" to="15041,49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">
                  <v:stroke endarrow="block"/>
                </v:line>
                <w10:anchorlock/>
              </v:group>
            </w:pict>
          </mc:Fallback>
        </mc:AlternateContent>
      </w:r>
    </w:p>
    <w:p w14:paraId="5404DE33" w14:textId="77777777" w:rsidR="00EF4562" w:rsidRDefault="00000000">
      <w:pPr>
        <w:spacing w:line="240" w:lineRule="auto"/>
        <w:ind w:firstLineChars="0" w:firstLine="0"/>
        <w:jc w:val="center"/>
        <w:rPr>
          <w:rFonts w:ascii="黑体" w:eastAsia="黑体" w:hAnsi="黑体" w:hint="eastAsia"/>
          <w:sz w:val="24"/>
        </w:rPr>
        <w:sectPr w:rsidR="00EF4562">
          <w:headerReference w:type="default" r:id="rId17"/>
          <w:footerReference w:type="default" r:id="rId18"/>
          <w:pgSz w:w="11906" w:h="16838"/>
          <w:pgMar w:top="1418" w:right="1134" w:bottom="1134" w:left="1588" w:header="851" w:footer="992" w:gutter="0"/>
          <w:pgNumType w:start="1"/>
          <w:cols w:space="425"/>
          <w:docGrid w:type="linesAndChars" w:linePitch="312"/>
        </w:sectPr>
      </w:pPr>
      <w:r>
        <w:rPr>
          <w:rFonts w:ascii="黑体" w:eastAsia="黑体" w:hAnsi="黑体" w:hint="eastAsia"/>
          <w:sz w:val="24"/>
        </w:rPr>
        <w:t>图</w:t>
      </w:r>
      <w:r>
        <w:rPr>
          <w:rFonts w:eastAsia="黑体" w:cs="Times New Roman"/>
          <w:sz w:val="24"/>
        </w:rPr>
        <w:t>1.4-1</w:t>
      </w:r>
      <w:r>
        <w:rPr>
          <w:rFonts w:ascii="黑体" w:eastAsia="黑体" w:hAnsi="黑体" w:hint="eastAsia"/>
          <w:sz w:val="24"/>
        </w:rPr>
        <w:t xml:space="preserve">  评价程序图</w:t>
      </w:r>
    </w:p>
    <w:p w14:paraId="59CD287C" w14:textId="77777777" w:rsidR="00EF4562" w:rsidRDefault="00000000">
      <w:pPr>
        <w:spacing w:beforeLines="150" w:before="468" w:afterLines="150" w:after="468"/>
        <w:ind w:firstLineChars="0" w:firstLine="0"/>
        <w:jc w:val="center"/>
        <w:outlineLvl w:val="0"/>
        <w:rPr>
          <w:rFonts w:ascii="黑体" w:eastAsia="黑体" w:hAnsi="黑体" w:hint="eastAsia"/>
          <w:b/>
          <w:bCs/>
          <w:sz w:val="32"/>
          <w:szCs w:val="32"/>
        </w:rPr>
      </w:pPr>
      <w:bookmarkStart w:id="11" w:name="_Toc207695622"/>
      <w:r>
        <w:rPr>
          <w:rFonts w:eastAsia="黑体" w:cs="Times New Roman"/>
          <w:b/>
          <w:bCs/>
          <w:sz w:val="32"/>
          <w:szCs w:val="32"/>
        </w:rPr>
        <w:lastRenderedPageBreak/>
        <w:t>2</w:t>
      </w:r>
      <w:r>
        <w:rPr>
          <w:rFonts w:ascii="黑体" w:eastAsia="黑体" w:hAnsi="黑体" w:hint="eastAsia"/>
          <w:b/>
          <w:bCs/>
          <w:sz w:val="32"/>
          <w:szCs w:val="32"/>
        </w:rPr>
        <w:t>建设项目概况</w:t>
      </w:r>
      <w:bookmarkEnd w:id="11"/>
    </w:p>
    <w:p w14:paraId="2E9714B5" w14:textId="77777777" w:rsidR="00EF4562" w:rsidRDefault="00000000">
      <w:pPr>
        <w:ind w:firstLine="560"/>
      </w:pPr>
      <w:r>
        <w:rPr>
          <w:rFonts w:hint="eastAsia"/>
        </w:rPr>
        <w:t>锦州市杨兴加油站有限公司（以下称杨兴加油站）成立于</w:t>
      </w:r>
      <w:r>
        <w:rPr>
          <w:rFonts w:hint="eastAsia"/>
        </w:rPr>
        <w:t>2004</w:t>
      </w:r>
      <w:r>
        <w:rPr>
          <w:rFonts w:hint="eastAsia"/>
        </w:rPr>
        <w:t>年</w:t>
      </w:r>
      <w:r>
        <w:rPr>
          <w:rFonts w:hint="eastAsia"/>
        </w:rPr>
        <w:t>09</w:t>
      </w:r>
      <w:r>
        <w:rPr>
          <w:rFonts w:hint="eastAsia"/>
        </w:rPr>
        <w:t>月</w:t>
      </w:r>
      <w:r>
        <w:rPr>
          <w:rFonts w:hint="eastAsia"/>
        </w:rPr>
        <w:t>14</w:t>
      </w:r>
      <w:r>
        <w:rPr>
          <w:rFonts w:hint="eastAsia"/>
        </w:rPr>
        <w:t>日，注册场所位于辽宁省锦州市太和区锦汤路</w:t>
      </w:r>
      <w:r>
        <w:rPr>
          <w:rFonts w:hint="eastAsia"/>
        </w:rPr>
        <w:t>6</w:t>
      </w:r>
      <w:r>
        <w:rPr>
          <w:rFonts w:hint="eastAsia"/>
        </w:rPr>
        <w:t>号，类型为有限责任公司，法定代表人为徐国跃。</w:t>
      </w:r>
    </w:p>
    <w:p w14:paraId="750240A9" w14:textId="77777777" w:rsidR="00EF4562" w:rsidRDefault="00000000">
      <w:pPr>
        <w:ind w:firstLine="560"/>
        <w:rPr>
          <w:rFonts w:cs="Times New Roman"/>
          <w:szCs w:val="28"/>
          <w14:ligatures w14:val="none"/>
        </w:rPr>
      </w:pPr>
      <w:r>
        <w:rPr>
          <w:rFonts w:cs="Times New Roman" w:hint="eastAsia"/>
          <w:szCs w:val="28"/>
          <w14:ligatures w14:val="none"/>
        </w:rPr>
        <w:t>杨兴加油站加油部分设有</w:t>
      </w:r>
      <w:r>
        <w:rPr>
          <w:rFonts w:cs="Times New Roman" w:hint="eastAsia"/>
          <w:szCs w:val="28"/>
          <w14:ligatures w14:val="none"/>
        </w:rPr>
        <w:t>2</w:t>
      </w:r>
      <w:r>
        <w:rPr>
          <w:rFonts w:cs="Times New Roman" w:hint="eastAsia"/>
          <w:szCs w:val="28"/>
          <w14:ligatures w14:val="none"/>
        </w:rPr>
        <w:t>座</w:t>
      </w:r>
      <w:r>
        <w:rPr>
          <w:rFonts w:cs="Times New Roman" w:hint="eastAsia"/>
          <w:szCs w:val="28"/>
          <w14:ligatures w14:val="none"/>
        </w:rPr>
        <w:t>35m</w:t>
      </w:r>
      <w:r>
        <w:rPr>
          <w:rFonts w:cs="Times New Roman" w:hint="eastAsia"/>
          <w:szCs w:val="28"/>
          <w:vertAlign w:val="superscript"/>
          <w14:ligatures w14:val="none"/>
        </w:rPr>
        <w:t>3</w:t>
      </w:r>
      <w:r>
        <w:rPr>
          <w:rFonts w:cs="Times New Roman" w:hint="eastAsia"/>
          <w:szCs w:val="28"/>
          <w14:ligatures w14:val="none"/>
        </w:rPr>
        <w:t>车用乙醇汽油储罐及</w:t>
      </w:r>
      <w:r>
        <w:rPr>
          <w:rFonts w:cs="Times New Roman" w:hint="eastAsia"/>
          <w:szCs w:val="28"/>
          <w14:ligatures w14:val="none"/>
        </w:rPr>
        <w:t>4</w:t>
      </w:r>
      <w:r>
        <w:rPr>
          <w:rFonts w:cs="Times New Roman" w:hint="eastAsia"/>
          <w:szCs w:val="28"/>
          <w14:ligatures w14:val="none"/>
        </w:rPr>
        <w:t>座</w:t>
      </w:r>
      <w:r>
        <w:rPr>
          <w:rFonts w:cs="Times New Roman" w:hint="eastAsia"/>
          <w:szCs w:val="28"/>
          <w14:ligatures w14:val="none"/>
        </w:rPr>
        <w:t>40m</w:t>
      </w:r>
      <w:r>
        <w:rPr>
          <w:rFonts w:cs="Times New Roman" w:hint="eastAsia"/>
          <w:szCs w:val="28"/>
          <w:vertAlign w:val="superscript"/>
          <w14:ligatures w14:val="none"/>
        </w:rPr>
        <w:t>3</w:t>
      </w:r>
      <w:r>
        <w:rPr>
          <w:rFonts w:cs="Times New Roman" w:hint="eastAsia"/>
          <w:szCs w:val="28"/>
          <w14:ligatures w14:val="none"/>
        </w:rPr>
        <w:t>柴油储罐，油罐总容积为</w:t>
      </w:r>
      <w:r>
        <w:rPr>
          <w:rFonts w:cs="Times New Roman" w:hint="eastAsia"/>
          <w:szCs w:val="28"/>
          <w14:ligatures w14:val="none"/>
        </w:rPr>
        <w:t>150m</w:t>
      </w:r>
      <w:r>
        <w:rPr>
          <w:rFonts w:cs="Times New Roman" w:hint="eastAsia"/>
          <w:szCs w:val="28"/>
          <w:vertAlign w:val="superscript"/>
          <w14:ligatures w14:val="none"/>
        </w:rPr>
        <w:t>3</w:t>
      </w:r>
      <w:r>
        <w:rPr>
          <w:rFonts w:cs="Times New Roman" w:hint="eastAsia"/>
          <w:szCs w:val="28"/>
          <w14:ligatures w14:val="none"/>
        </w:rPr>
        <w:t>（柴油罐容积折半计入），加气部分设有</w:t>
      </w:r>
      <w:r>
        <w:rPr>
          <w:rFonts w:cs="Times New Roman" w:hint="eastAsia"/>
          <w:szCs w:val="28"/>
          <w14:ligatures w14:val="none"/>
        </w:rPr>
        <w:t>1</w:t>
      </w:r>
      <w:r>
        <w:rPr>
          <w:rFonts w:cs="Times New Roman" w:hint="eastAsia"/>
          <w:szCs w:val="28"/>
          <w14:ligatures w14:val="none"/>
        </w:rPr>
        <w:t>座</w:t>
      </w:r>
      <w:r>
        <w:rPr>
          <w:rFonts w:cs="Times New Roman" w:hint="eastAsia"/>
          <w:szCs w:val="28"/>
          <w14:ligatures w14:val="none"/>
        </w:rPr>
        <w:t>60m</w:t>
      </w:r>
      <w:r>
        <w:rPr>
          <w:rFonts w:cs="Times New Roman" w:hint="eastAsia"/>
          <w:szCs w:val="28"/>
          <w:vertAlign w:val="superscript"/>
          <w14:ligatures w14:val="none"/>
        </w:rPr>
        <w:t>3</w:t>
      </w:r>
      <w:r>
        <w:rPr>
          <w:rFonts w:cs="Times New Roman" w:hint="eastAsia"/>
          <w:szCs w:val="28"/>
          <w14:ligatures w14:val="none"/>
        </w:rPr>
        <w:t>LNG</w:t>
      </w:r>
      <w:r>
        <w:rPr>
          <w:rFonts w:cs="Times New Roman" w:hint="eastAsia"/>
          <w:szCs w:val="28"/>
          <w14:ligatures w14:val="none"/>
        </w:rPr>
        <w:t>储罐，按《汽车加油加气加氢站技术标准》（</w:t>
      </w:r>
      <w:r>
        <w:rPr>
          <w:rFonts w:cs="Times New Roman" w:hint="eastAsia"/>
          <w:szCs w:val="28"/>
          <w14:ligatures w14:val="none"/>
        </w:rPr>
        <w:t>GB50156-2021</w:t>
      </w:r>
      <w:r>
        <w:rPr>
          <w:rFonts w:cs="Times New Roman" w:hint="eastAsia"/>
          <w:szCs w:val="28"/>
          <w14:ligatures w14:val="none"/>
        </w:rPr>
        <w:t>）第</w:t>
      </w:r>
      <w:r>
        <w:rPr>
          <w:rFonts w:cs="Times New Roman" w:hint="eastAsia"/>
          <w:szCs w:val="28"/>
          <w14:ligatures w14:val="none"/>
        </w:rPr>
        <w:t>3.0.16</w:t>
      </w:r>
      <w:r>
        <w:rPr>
          <w:rFonts w:cs="Times New Roman" w:hint="eastAsia"/>
          <w:szCs w:val="28"/>
          <w14:ligatures w14:val="none"/>
        </w:rPr>
        <w:t>条规定，该站为一级加油与</w:t>
      </w:r>
      <w:r>
        <w:rPr>
          <w:rFonts w:cs="Times New Roman" w:hint="eastAsia"/>
          <w:szCs w:val="28"/>
          <w14:ligatures w14:val="none"/>
        </w:rPr>
        <w:t>LNG</w:t>
      </w:r>
      <w:r>
        <w:rPr>
          <w:rFonts w:cs="Times New Roman" w:hint="eastAsia"/>
          <w:szCs w:val="28"/>
          <w14:ligatures w14:val="none"/>
        </w:rPr>
        <w:t>加气合建站。</w:t>
      </w:r>
    </w:p>
    <w:p w14:paraId="72779C96" w14:textId="77777777" w:rsidR="00EF4562" w:rsidRDefault="00000000">
      <w:pPr>
        <w:ind w:firstLine="560"/>
        <w:rPr>
          <w:rFonts w:cs="Times New Roman"/>
          <w:szCs w:val="28"/>
          <w14:ligatures w14:val="none"/>
        </w:rPr>
      </w:pPr>
      <w:r>
        <w:rPr>
          <w:rFonts w:cs="Times New Roman" w:hint="eastAsia"/>
          <w:szCs w:val="28"/>
          <w14:ligatures w14:val="none"/>
        </w:rPr>
        <w:t>杨兴加油站原有</w:t>
      </w:r>
      <w:r>
        <w:rPr>
          <w:rFonts w:cs="Times New Roman" w:hint="eastAsia"/>
          <w:szCs w:val="28"/>
          <w14:ligatures w14:val="none"/>
        </w:rPr>
        <w:t>2</w:t>
      </w:r>
      <w:r>
        <w:rPr>
          <w:rFonts w:cs="Times New Roman" w:hint="eastAsia"/>
          <w:szCs w:val="28"/>
          <w14:ligatures w14:val="none"/>
        </w:rPr>
        <w:t>台双枪单油品自吸式车用乙醇汽油加油机和</w:t>
      </w:r>
      <w:r>
        <w:rPr>
          <w:rFonts w:cs="Times New Roman" w:hint="eastAsia"/>
          <w:szCs w:val="28"/>
          <w14:ligatures w14:val="none"/>
        </w:rPr>
        <w:t>4</w:t>
      </w:r>
      <w:r>
        <w:rPr>
          <w:rFonts w:cs="Times New Roman" w:hint="eastAsia"/>
          <w:szCs w:val="28"/>
          <w14:ligatures w14:val="none"/>
        </w:rPr>
        <w:t>台双枪单油品自吸式柴油加油机，现拟拆除</w:t>
      </w:r>
      <w:r>
        <w:rPr>
          <w:rFonts w:cs="Times New Roman" w:hint="eastAsia"/>
          <w:szCs w:val="28"/>
          <w14:ligatures w14:val="none"/>
        </w:rPr>
        <w:t>J103</w:t>
      </w:r>
      <w:r>
        <w:rPr>
          <w:rFonts w:cs="Times New Roman" w:hint="eastAsia"/>
          <w:szCs w:val="28"/>
          <w14:ligatures w14:val="none"/>
        </w:rPr>
        <w:t>号柴油加油机，并在原基础上安装</w:t>
      </w:r>
      <w:r>
        <w:rPr>
          <w:rFonts w:cs="Times New Roman" w:hint="eastAsia"/>
          <w:szCs w:val="28"/>
          <w14:ligatures w14:val="none"/>
        </w:rPr>
        <w:t>1</w:t>
      </w:r>
      <w:r>
        <w:rPr>
          <w:rFonts w:cs="Times New Roman" w:hint="eastAsia"/>
          <w:szCs w:val="28"/>
          <w14:ligatures w14:val="none"/>
        </w:rPr>
        <w:t>台四枪双油品自吸式柴油加油机；拆除</w:t>
      </w:r>
      <w:r>
        <w:rPr>
          <w:rFonts w:cs="Times New Roman" w:hint="eastAsia"/>
          <w:szCs w:val="28"/>
          <w14:ligatures w14:val="none"/>
        </w:rPr>
        <w:t>J101</w:t>
      </w:r>
      <w:r>
        <w:rPr>
          <w:rFonts w:cs="Times New Roman" w:hint="eastAsia"/>
          <w:szCs w:val="28"/>
          <w14:ligatures w14:val="none"/>
        </w:rPr>
        <w:t>号柴油加油机，并在原基础上安装</w:t>
      </w:r>
      <w:r>
        <w:rPr>
          <w:rFonts w:cs="Times New Roman" w:hint="eastAsia"/>
          <w:szCs w:val="28"/>
          <w14:ligatures w14:val="none"/>
        </w:rPr>
        <w:t>1</w:t>
      </w:r>
      <w:r>
        <w:rPr>
          <w:rFonts w:cs="Times New Roman" w:hint="eastAsia"/>
          <w:szCs w:val="28"/>
          <w14:ligatures w14:val="none"/>
        </w:rPr>
        <w:t>台四枪双油品自吸式车用乙醇汽油加油机，并增加油气回收管线；所有加油管线重新更换。新增加油机均为非自助加油机。本次改造只涉及加油机及管线部分，油罐总容积不变，仍为一级加油与</w:t>
      </w:r>
      <w:r>
        <w:rPr>
          <w:rFonts w:cs="Times New Roman" w:hint="eastAsia"/>
          <w:szCs w:val="28"/>
          <w14:ligatures w14:val="none"/>
        </w:rPr>
        <w:t>LNG</w:t>
      </w:r>
      <w:r>
        <w:rPr>
          <w:rFonts w:cs="Times New Roman" w:hint="eastAsia"/>
          <w:szCs w:val="28"/>
          <w14:ligatures w14:val="none"/>
        </w:rPr>
        <w:t>加气合建站。</w:t>
      </w:r>
    </w:p>
    <w:p w14:paraId="71BF16CF" w14:textId="77777777" w:rsidR="00EF4562" w:rsidRDefault="00000000">
      <w:pPr>
        <w:ind w:firstLine="560"/>
      </w:pPr>
      <w:r>
        <w:rPr>
          <w:rFonts w:hint="eastAsia"/>
        </w:rPr>
        <w:t>项目名称：锦州市杨兴加油站有限公司工艺管线改造项目</w:t>
      </w:r>
    </w:p>
    <w:p w14:paraId="4ADAE7D4" w14:textId="77777777" w:rsidR="00EF4562" w:rsidRDefault="00000000">
      <w:pPr>
        <w:ind w:firstLine="560"/>
      </w:pPr>
      <w:r>
        <w:rPr>
          <w:rFonts w:hint="eastAsia"/>
        </w:rPr>
        <w:t>建设单位：锦州市杨兴加油站有限公司</w:t>
      </w:r>
    </w:p>
    <w:p w14:paraId="4AFC87C2" w14:textId="77777777" w:rsidR="00EF4562" w:rsidRDefault="00000000">
      <w:pPr>
        <w:ind w:firstLine="560"/>
      </w:pPr>
      <w:r>
        <w:rPr>
          <w:rFonts w:hint="eastAsia"/>
        </w:rPr>
        <w:t>项目地点：辽宁省锦州市太和区锦汤路</w:t>
      </w:r>
      <w:r>
        <w:rPr>
          <w:rFonts w:hint="eastAsia"/>
        </w:rPr>
        <w:t>6</w:t>
      </w:r>
      <w:r>
        <w:rPr>
          <w:rFonts w:hint="eastAsia"/>
        </w:rPr>
        <w:t>号</w:t>
      </w:r>
    </w:p>
    <w:p w14:paraId="54F0EBDA" w14:textId="77777777" w:rsidR="00EF4562" w:rsidRDefault="00000000">
      <w:pPr>
        <w:ind w:firstLine="560"/>
      </w:pPr>
      <w:r>
        <w:rPr>
          <w:rFonts w:hint="eastAsia"/>
        </w:rPr>
        <w:t>建设性质：改建项目</w:t>
      </w:r>
    </w:p>
    <w:p w14:paraId="3994E3E3" w14:textId="77777777" w:rsidR="00EF4562" w:rsidRDefault="00000000">
      <w:pPr>
        <w:ind w:firstLine="560"/>
      </w:pPr>
      <w:r>
        <w:rPr>
          <w:rFonts w:hint="eastAsia"/>
        </w:rPr>
        <w:t>项目总投资：</w:t>
      </w:r>
      <w:r>
        <w:rPr>
          <w:rFonts w:hint="eastAsia"/>
        </w:rPr>
        <w:t>25</w:t>
      </w:r>
      <w:r>
        <w:rPr>
          <w:rFonts w:hint="eastAsia"/>
        </w:rPr>
        <w:t>万元</w:t>
      </w:r>
    </w:p>
    <w:p w14:paraId="1FF73F34" w14:textId="77777777" w:rsidR="00EF4562" w:rsidRDefault="00000000">
      <w:pPr>
        <w:ind w:firstLine="560"/>
      </w:pPr>
      <w:r>
        <w:rPr>
          <w:rFonts w:hint="eastAsia"/>
        </w:rPr>
        <w:t>占地面积：</w:t>
      </w:r>
      <w:bookmarkStart w:id="12" w:name="OLE_LINK4"/>
      <w:r>
        <w:rPr>
          <w:rFonts w:hint="eastAsia"/>
        </w:rPr>
        <w:t>4200m</w:t>
      </w:r>
      <w:r>
        <w:rPr>
          <w:rFonts w:hint="eastAsia"/>
          <w:vertAlign w:val="superscript"/>
        </w:rPr>
        <w:t>2</w:t>
      </w:r>
      <w:bookmarkEnd w:id="12"/>
    </w:p>
    <w:p w14:paraId="6B406928" w14:textId="77777777" w:rsidR="00EF4562" w:rsidRDefault="00000000">
      <w:pPr>
        <w:ind w:firstLine="560"/>
      </w:pPr>
      <w:r>
        <w:rPr>
          <w:rFonts w:hint="eastAsia"/>
        </w:rPr>
        <w:t>建设内容：</w:t>
      </w:r>
    </w:p>
    <w:p w14:paraId="210F175F"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1</w:t>
      </w:r>
      <w:r>
        <w:rPr>
          <w:rFonts w:cs="Times New Roman" w:hint="eastAsia"/>
          <w:szCs w:val="28"/>
          <w14:ligatures w14:val="none"/>
        </w:rPr>
        <w:t>）拆除</w:t>
      </w:r>
      <w:r>
        <w:rPr>
          <w:rFonts w:cs="Times New Roman" w:hint="eastAsia"/>
          <w:szCs w:val="28"/>
          <w14:ligatures w14:val="none"/>
        </w:rPr>
        <w:t>J103</w:t>
      </w:r>
      <w:r>
        <w:rPr>
          <w:rFonts w:cs="Times New Roman" w:hint="eastAsia"/>
          <w:szCs w:val="28"/>
          <w14:ligatures w14:val="none"/>
        </w:rPr>
        <w:t>号自吸式柴油加油机，并在原基础上安装</w:t>
      </w:r>
      <w:r>
        <w:rPr>
          <w:rFonts w:cs="Times New Roman" w:hint="eastAsia"/>
          <w:szCs w:val="28"/>
          <w14:ligatures w14:val="none"/>
        </w:rPr>
        <w:t>1</w:t>
      </w:r>
      <w:r>
        <w:rPr>
          <w:rFonts w:cs="Times New Roman" w:hint="eastAsia"/>
          <w:szCs w:val="28"/>
          <w14:ligatures w14:val="none"/>
        </w:rPr>
        <w:t>台四枪双油品自吸式柴油加油机，非自助加油机；</w:t>
      </w:r>
    </w:p>
    <w:p w14:paraId="5B006A75"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2</w:t>
      </w:r>
      <w:r>
        <w:rPr>
          <w:rFonts w:cs="Times New Roman" w:hint="eastAsia"/>
          <w:szCs w:val="28"/>
          <w14:ligatures w14:val="none"/>
        </w:rPr>
        <w:t>）拆除</w:t>
      </w:r>
      <w:r>
        <w:rPr>
          <w:rFonts w:cs="Times New Roman" w:hint="eastAsia"/>
          <w:szCs w:val="28"/>
          <w14:ligatures w14:val="none"/>
        </w:rPr>
        <w:t>J101</w:t>
      </w:r>
      <w:r>
        <w:rPr>
          <w:rFonts w:cs="Times New Roman" w:hint="eastAsia"/>
          <w:szCs w:val="28"/>
          <w14:ligatures w14:val="none"/>
        </w:rPr>
        <w:t>号自吸式柴油加油机，并在原基础上安装</w:t>
      </w:r>
      <w:r>
        <w:rPr>
          <w:rFonts w:cs="Times New Roman" w:hint="eastAsia"/>
          <w:szCs w:val="28"/>
          <w14:ligatures w14:val="none"/>
        </w:rPr>
        <w:t>1</w:t>
      </w:r>
      <w:r>
        <w:rPr>
          <w:rFonts w:cs="Times New Roman" w:hint="eastAsia"/>
          <w:szCs w:val="28"/>
          <w14:ligatures w14:val="none"/>
        </w:rPr>
        <w:t>台四枪双油</w:t>
      </w:r>
      <w:r>
        <w:rPr>
          <w:rFonts w:cs="Times New Roman" w:hint="eastAsia"/>
          <w:szCs w:val="28"/>
          <w14:ligatures w14:val="none"/>
        </w:rPr>
        <w:lastRenderedPageBreak/>
        <w:t>品自吸式车用乙醇汽油加油机，非自助加油机，并增加油气回收管线接入原油气回收总管；</w:t>
      </w:r>
    </w:p>
    <w:p w14:paraId="3A00E744"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3</w:t>
      </w:r>
      <w:r>
        <w:rPr>
          <w:rFonts w:cs="Times New Roman" w:hint="eastAsia"/>
          <w:szCs w:val="28"/>
          <w14:ligatures w14:val="none"/>
        </w:rPr>
        <w:t>）所有加油管线重新敷设，利旧原有双层管道油气渗漏检测报警装置。</w:t>
      </w:r>
    </w:p>
    <w:p w14:paraId="4FB4F099" w14:textId="77777777" w:rsidR="00EF4562" w:rsidRDefault="00000000">
      <w:pPr>
        <w:keepNext/>
        <w:keepLines/>
        <w:spacing w:beforeLines="100" w:before="312" w:afterLines="100" w:after="312"/>
        <w:ind w:firstLineChars="0" w:firstLine="0"/>
        <w:jc w:val="center"/>
        <w:outlineLvl w:val="1"/>
        <w:rPr>
          <w:rFonts w:ascii="楷体" w:eastAsia="楷体" w:hAnsi="楷体" w:hint="eastAsia"/>
          <w:b/>
          <w:bCs/>
          <w:sz w:val="32"/>
          <w:szCs w:val="32"/>
        </w:rPr>
      </w:pPr>
      <w:bookmarkStart w:id="13" w:name="_Toc207695623"/>
      <w:r>
        <w:rPr>
          <w:rFonts w:eastAsia="楷体" w:cs="Times New Roman"/>
          <w:b/>
          <w:bCs/>
          <w:sz w:val="32"/>
          <w:szCs w:val="32"/>
        </w:rPr>
        <w:t>2.1</w:t>
      </w:r>
      <w:r>
        <w:rPr>
          <w:rFonts w:ascii="楷体" w:eastAsia="楷体" w:hAnsi="楷体" w:hint="eastAsia"/>
          <w:b/>
          <w:bCs/>
          <w:sz w:val="32"/>
          <w:szCs w:val="32"/>
        </w:rPr>
        <w:t>建设项目设计上采用的主要技术、工艺和国内、外同类建设项目水平对比情况</w:t>
      </w:r>
      <w:bookmarkEnd w:id="13"/>
    </w:p>
    <w:p w14:paraId="6B7EEFB3" w14:textId="77777777" w:rsidR="00EF4562" w:rsidRDefault="00000000">
      <w:pPr>
        <w:ind w:firstLine="560"/>
      </w:pPr>
      <w:r>
        <w:rPr>
          <w:rFonts w:hint="eastAsia"/>
        </w:rPr>
        <w:t>加油工艺过程主要是完成油品卸入（入埋地油罐）和油品输出（出售）的过程，该项目工艺过程采用密闭卸油和加油方式，卸油、加油工艺技术是普遍采用的成熟的技术，设备及工艺安全可靠。</w:t>
      </w:r>
    </w:p>
    <w:p w14:paraId="7FBEA939" w14:textId="77777777" w:rsidR="00EF4562" w:rsidRDefault="00000000">
      <w:pPr>
        <w:ind w:firstLine="560"/>
      </w:pPr>
      <w:r>
        <w:rPr>
          <w:rFonts w:hint="eastAsia"/>
        </w:rPr>
        <w:t>（</w:t>
      </w:r>
      <w:r>
        <w:rPr>
          <w:rFonts w:hint="eastAsia"/>
        </w:rPr>
        <w:t>1</w:t>
      </w:r>
      <w:r>
        <w:rPr>
          <w:rFonts w:hint="eastAsia"/>
        </w:rPr>
        <w:t>）加油机</w:t>
      </w:r>
    </w:p>
    <w:p w14:paraId="506EF202" w14:textId="77777777" w:rsidR="00EF4562" w:rsidRDefault="00000000">
      <w:pPr>
        <w:ind w:firstLine="560"/>
      </w:pPr>
      <w:r>
        <w:rPr>
          <w:rFonts w:hint="eastAsia"/>
        </w:rPr>
        <w:t>目前国内外加油站主要加油工艺有两种：潜油泵加油工艺和自吸泵加油工艺。</w:t>
      </w:r>
    </w:p>
    <w:p w14:paraId="4B470BC5" w14:textId="77777777" w:rsidR="00EF4562" w:rsidRDefault="00000000">
      <w:pPr>
        <w:ind w:firstLine="560"/>
      </w:pPr>
      <w:r>
        <w:rPr>
          <w:rFonts w:hint="eastAsia"/>
        </w:rPr>
        <w:t>该项目选用自吸式加油工艺，加油机内设有独立的输油管道与油罐相连通，运行时，油罐至油泵之间管路中的油液流动为负压吸油，油泵至油枪之间油液流动为正压输油，当油罐至加油机之间出油管道长度短时宜使用自吸式加油工艺。该项目选定的车用乙醇汽油加油机带有加油油气回收功能，加油枪带有自封功能。与国内外同类项目技术比较，该项目选用设备属于较为先进的设备。</w:t>
      </w:r>
    </w:p>
    <w:p w14:paraId="7F9B649F" w14:textId="77777777" w:rsidR="00EF4562" w:rsidRDefault="00000000">
      <w:pPr>
        <w:ind w:firstLine="560"/>
      </w:pPr>
      <w:r>
        <w:rPr>
          <w:rFonts w:hint="eastAsia"/>
        </w:rPr>
        <w:t>（</w:t>
      </w:r>
      <w:r>
        <w:rPr>
          <w:rFonts w:hint="eastAsia"/>
        </w:rPr>
        <w:t>2</w:t>
      </w:r>
      <w:r>
        <w:rPr>
          <w:rFonts w:hint="eastAsia"/>
        </w:rPr>
        <w:t>）加油油气回收设备</w:t>
      </w:r>
    </w:p>
    <w:p w14:paraId="077022B9" w14:textId="77777777" w:rsidR="00EF4562" w:rsidRDefault="00000000">
      <w:pPr>
        <w:ind w:firstLine="560"/>
      </w:pPr>
      <w:r>
        <w:rPr>
          <w:rFonts w:hint="eastAsia"/>
        </w:rPr>
        <w:t>目前加油油气回收工艺设备，从国内外来看主要有集中式真空泵和分散式真空泵。</w:t>
      </w:r>
    </w:p>
    <w:p w14:paraId="73F0C987" w14:textId="77777777" w:rsidR="00EF4562" w:rsidRDefault="00000000">
      <w:pPr>
        <w:ind w:firstLine="560"/>
      </w:pPr>
      <w:r>
        <w:rPr>
          <w:rFonts w:hint="eastAsia"/>
        </w:rPr>
        <w:t>集中式真空泵：加油站只需要一个真空泵，只要任何一个车用乙醇汽油加油机启动，真空泵就连锁启动。</w:t>
      </w:r>
    </w:p>
    <w:p w14:paraId="77703454" w14:textId="77777777" w:rsidR="00EF4562" w:rsidRDefault="00000000">
      <w:pPr>
        <w:ind w:firstLine="560"/>
      </w:pPr>
      <w:r>
        <w:rPr>
          <w:rFonts w:hint="eastAsia"/>
        </w:rPr>
        <w:t>分散式真空泵：真空泵设置在每个加油机内，每个加油机内的自吸泵启</w:t>
      </w:r>
      <w:r>
        <w:rPr>
          <w:rFonts w:hint="eastAsia"/>
        </w:rPr>
        <w:lastRenderedPageBreak/>
        <w:t>动连锁真空泵同时启动。</w:t>
      </w:r>
    </w:p>
    <w:p w14:paraId="26947720" w14:textId="77777777" w:rsidR="00EF4562" w:rsidRDefault="00000000">
      <w:pPr>
        <w:ind w:firstLine="560"/>
      </w:pPr>
      <w:r>
        <w:rPr>
          <w:rFonts w:hint="eastAsia"/>
        </w:rPr>
        <w:t>该项目采用的加油油气回收设备为分散式真空泵。</w:t>
      </w:r>
    </w:p>
    <w:p w14:paraId="28AABCCD" w14:textId="77777777" w:rsidR="00EF4562"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2.1-1</w:t>
      </w:r>
      <w:r>
        <w:rPr>
          <w:rFonts w:ascii="黑体" w:eastAsia="黑体" w:hAnsi="黑体" w:hint="eastAsia"/>
          <w:sz w:val="24"/>
        </w:rPr>
        <w:t xml:space="preserve">  采用的主要工艺技术及与国内或国外同类项目技术对比情况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9"/>
        <w:gridCol w:w="4849"/>
        <w:gridCol w:w="1320"/>
        <w:gridCol w:w="1216"/>
      </w:tblGrid>
      <w:tr w:rsidR="00EF4562" w14:paraId="12215A59" w14:textId="77777777">
        <w:trPr>
          <w:tblHeader/>
          <w:jc w:val="center"/>
        </w:trPr>
        <w:tc>
          <w:tcPr>
            <w:tcW w:w="1789" w:type="dxa"/>
            <w:vAlign w:val="center"/>
          </w:tcPr>
          <w:p w14:paraId="3919C476" w14:textId="77777777" w:rsidR="00EF4562" w:rsidRDefault="00000000">
            <w:pPr>
              <w:adjustRightInd/>
              <w:snapToGrid/>
              <w:spacing w:line="240" w:lineRule="auto"/>
              <w:ind w:firstLineChars="0" w:firstLine="0"/>
              <w:jc w:val="center"/>
              <w:textAlignment w:val="center"/>
              <w:rPr>
                <w:rFonts w:cs="Times New Roman"/>
                <w:bCs/>
                <w:kern w:val="0"/>
                <w:sz w:val="21"/>
                <w:szCs w:val="21"/>
                <w14:ligatures w14:val="none"/>
              </w:rPr>
            </w:pPr>
            <w:r>
              <w:rPr>
                <w:rFonts w:cs="Times New Roman"/>
                <w:bCs/>
                <w:kern w:val="0"/>
                <w:sz w:val="21"/>
                <w:szCs w:val="21"/>
                <w14:ligatures w14:val="none"/>
              </w:rPr>
              <w:t>国内或国外</w:t>
            </w:r>
          </w:p>
          <w:p w14:paraId="2C92C15A" w14:textId="77777777" w:rsidR="00EF4562" w:rsidRDefault="00000000">
            <w:pPr>
              <w:adjustRightInd/>
              <w:snapToGrid/>
              <w:spacing w:line="240" w:lineRule="auto"/>
              <w:ind w:firstLineChars="0" w:firstLine="0"/>
              <w:jc w:val="center"/>
              <w:textAlignment w:val="center"/>
              <w:rPr>
                <w:rFonts w:cs="Times New Roman"/>
                <w:bCs/>
                <w:kern w:val="0"/>
                <w:sz w:val="21"/>
                <w:szCs w:val="21"/>
                <w14:ligatures w14:val="none"/>
              </w:rPr>
            </w:pPr>
            <w:r>
              <w:rPr>
                <w:rFonts w:cs="Times New Roman"/>
                <w:bCs/>
                <w:kern w:val="0"/>
                <w:sz w:val="21"/>
                <w:szCs w:val="21"/>
                <w14:ligatures w14:val="none"/>
              </w:rPr>
              <w:t>同类项目技术</w:t>
            </w:r>
          </w:p>
        </w:tc>
        <w:tc>
          <w:tcPr>
            <w:tcW w:w="4849" w:type="dxa"/>
            <w:vAlign w:val="center"/>
          </w:tcPr>
          <w:p w14:paraId="15107569" w14:textId="77777777" w:rsidR="00EF4562" w:rsidRDefault="00000000">
            <w:pPr>
              <w:adjustRightInd/>
              <w:snapToGrid/>
              <w:spacing w:line="240" w:lineRule="auto"/>
              <w:ind w:firstLineChars="0" w:firstLine="0"/>
              <w:jc w:val="center"/>
              <w:textAlignment w:val="center"/>
              <w:rPr>
                <w:rFonts w:cs="Times New Roman"/>
                <w:bCs/>
                <w:kern w:val="0"/>
                <w:sz w:val="21"/>
                <w:szCs w:val="21"/>
                <w14:ligatures w14:val="none"/>
              </w:rPr>
            </w:pPr>
            <w:r>
              <w:rPr>
                <w:rFonts w:cs="Times New Roman"/>
                <w:bCs/>
                <w:kern w:val="0"/>
                <w:sz w:val="21"/>
                <w:szCs w:val="21"/>
                <w14:ligatures w14:val="none"/>
              </w:rPr>
              <w:t>同类项目技术分析对比情况</w:t>
            </w:r>
          </w:p>
        </w:tc>
        <w:tc>
          <w:tcPr>
            <w:tcW w:w="1320" w:type="dxa"/>
            <w:vAlign w:val="center"/>
          </w:tcPr>
          <w:p w14:paraId="3374FD36" w14:textId="77777777" w:rsidR="00EF4562" w:rsidRDefault="00000000">
            <w:pPr>
              <w:adjustRightInd/>
              <w:snapToGrid/>
              <w:spacing w:line="240" w:lineRule="auto"/>
              <w:ind w:firstLineChars="0" w:firstLine="0"/>
              <w:jc w:val="center"/>
              <w:textAlignment w:val="center"/>
              <w:rPr>
                <w:rFonts w:cs="Times New Roman"/>
                <w:bCs/>
                <w:kern w:val="0"/>
                <w:sz w:val="21"/>
                <w:szCs w:val="21"/>
                <w14:ligatures w14:val="none"/>
              </w:rPr>
            </w:pPr>
            <w:r>
              <w:rPr>
                <w:rFonts w:cs="Times New Roman"/>
                <w:bCs/>
                <w:kern w:val="0"/>
                <w:sz w:val="21"/>
                <w:szCs w:val="21"/>
                <w14:ligatures w14:val="none"/>
              </w:rPr>
              <w:t>采用形式</w:t>
            </w:r>
          </w:p>
        </w:tc>
        <w:tc>
          <w:tcPr>
            <w:tcW w:w="1216" w:type="dxa"/>
            <w:vAlign w:val="center"/>
          </w:tcPr>
          <w:p w14:paraId="2A22BFB5" w14:textId="77777777" w:rsidR="00EF4562" w:rsidRDefault="00000000">
            <w:pPr>
              <w:adjustRightInd/>
              <w:snapToGrid/>
              <w:spacing w:line="240" w:lineRule="auto"/>
              <w:ind w:firstLineChars="0" w:firstLine="0"/>
              <w:jc w:val="center"/>
              <w:textAlignment w:val="center"/>
              <w:rPr>
                <w:rFonts w:cs="Times New Roman"/>
                <w:bCs/>
                <w:kern w:val="0"/>
                <w:sz w:val="21"/>
                <w:szCs w:val="21"/>
                <w14:ligatures w14:val="none"/>
              </w:rPr>
            </w:pPr>
            <w:r>
              <w:rPr>
                <w:rFonts w:cs="Times New Roman"/>
                <w:bCs/>
                <w:kern w:val="0"/>
                <w:sz w:val="21"/>
                <w:szCs w:val="21"/>
                <w14:ligatures w14:val="none"/>
              </w:rPr>
              <w:t>确定原因</w:t>
            </w:r>
          </w:p>
        </w:tc>
      </w:tr>
      <w:tr w:rsidR="00EF4562" w14:paraId="6828D4B4" w14:textId="77777777">
        <w:trPr>
          <w:jc w:val="center"/>
        </w:trPr>
        <w:tc>
          <w:tcPr>
            <w:tcW w:w="1789" w:type="dxa"/>
            <w:vAlign w:val="center"/>
          </w:tcPr>
          <w:p w14:paraId="2493C8C6"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hint="eastAsia"/>
                <w:kern w:val="0"/>
                <w:sz w:val="21"/>
                <w:szCs w:val="21"/>
                <w14:ligatures w14:val="none"/>
              </w:rPr>
              <w:t>1</w:t>
            </w:r>
            <w:r>
              <w:rPr>
                <w:rFonts w:cs="Times New Roman" w:hint="eastAsia"/>
                <w:kern w:val="0"/>
                <w:sz w:val="21"/>
                <w:szCs w:val="21"/>
                <w14:ligatures w14:val="none"/>
              </w:rPr>
              <w:t>、</w:t>
            </w:r>
            <w:r>
              <w:rPr>
                <w:rFonts w:cs="Times New Roman"/>
                <w:kern w:val="0"/>
                <w:sz w:val="21"/>
                <w:szCs w:val="21"/>
                <w14:ligatures w14:val="none"/>
              </w:rPr>
              <w:t>单层钢制输油管道；</w:t>
            </w:r>
          </w:p>
          <w:p w14:paraId="548A0F7F"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hint="eastAsia"/>
                <w:kern w:val="0"/>
                <w:sz w:val="21"/>
                <w:szCs w:val="21"/>
                <w14:ligatures w14:val="none"/>
              </w:rPr>
              <w:t>2</w:t>
            </w:r>
            <w:r>
              <w:rPr>
                <w:rFonts w:cs="Times New Roman" w:hint="eastAsia"/>
                <w:kern w:val="0"/>
                <w:sz w:val="21"/>
                <w:szCs w:val="21"/>
                <w14:ligatures w14:val="none"/>
              </w:rPr>
              <w:t>、</w:t>
            </w:r>
            <w:r>
              <w:rPr>
                <w:rFonts w:cs="Times New Roman"/>
                <w:kern w:val="0"/>
                <w:sz w:val="21"/>
                <w:szCs w:val="21"/>
                <w14:ligatures w14:val="none"/>
              </w:rPr>
              <w:t>双层钢制输油管道；</w:t>
            </w:r>
          </w:p>
          <w:p w14:paraId="4F81647C"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hint="eastAsia"/>
                <w:kern w:val="0"/>
                <w:sz w:val="21"/>
                <w:szCs w:val="21"/>
                <w14:ligatures w14:val="none"/>
              </w:rPr>
              <w:t>3</w:t>
            </w:r>
            <w:r>
              <w:rPr>
                <w:rFonts w:cs="Times New Roman" w:hint="eastAsia"/>
                <w:kern w:val="0"/>
                <w:sz w:val="21"/>
                <w:szCs w:val="21"/>
                <w14:ligatures w14:val="none"/>
              </w:rPr>
              <w:t>、</w:t>
            </w:r>
            <w:r>
              <w:rPr>
                <w:rFonts w:cs="Times New Roman"/>
                <w:kern w:val="0"/>
                <w:sz w:val="21"/>
                <w:szCs w:val="21"/>
                <w14:ligatures w14:val="none"/>
              </w:rPr>
              <w:t>双层热塑性塑料输油管道。</w:t>
            </w:r>
          </w:p>
        </w:tc>
        <w:tc>
          <w:tcPr>
            <w:tcW w:w="4849" w:type="dxa"/>
            <w:vAlign w:val="center"/>
          </w:tcPr>
          <w:p w14:paraId="31F8D1B9"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hint="eastAsia"/>
                <w:kern w:val="0"/>
                <w:sz w:val="21"/>
                <w:szCs w:val="21"/>
                <w14:ligatures w14:val="none"/>
              </w:rPr>
              <w:t>1</w:t>
            </w:r>
            <w:r>
              <w:rPr>
                <w:rFonts w:cs="Times New Roman" w:hint="eastAsia"/>
                <w:kern w:val="0"/>
                <w:sz w:val="21"/>
                <w:szCs w:val="21"/>
                <w14:ligatures w14:val="none"/>
              </w:rPr>
              <w:t>、</w:t>
            </w:r>
            <w:r>
              <w:rPr>
                <w:rFonts w:cs="Times New Roman"/>
                <w:kern w:val="0"/>
                <w:sz w:val="21"/>
                <w:szCs w:val="21"/>
                <w14:ligatures w14:val="none"/>
              </w:rPr>
              <w:t>单层钢制管道：</w:t>
            </w:r>
            <w:r>
              <w:rPr>
                <w:rFonts w:ascii="宋体" w:hAnsi="宋体" w:cs="Cambria Math" w:hint="eastAsia"/>
                <w:kern w:val="0"/>
                <w:sz w:val="21"/>
                <w:szCs w:val="21"/>
                <w14:ligatures w14:val="none"/>
              </w:rPr>
              <w:t>①</w:t>
            </w:r>
            <w:r>
              <w:rPr>
                <w:rFonts w:cs="Times New Roman"/>
                <w:kern w:val="0"/>
                <w:sz w:val="21"/>
                <w:szCs w:val="21"/>
                <w14:ligatures w14:val="none"/>
              </w:rPr>
              <w:t>安装时需进行加强级防腐处理</w:t>
            </w:r>
            <w:r>
              <w:rPr>
                <w:rFonts w:cs="Times New Roman" w:hint="eastAsia"/>
                <w:kern w:val="0"/>
                <w:sz w:val="21"/>
                <w:szCs w:val="21"/>
                <w14:ligatures w14:val="none"/>
              </w:rPr>
              <w:t>；</w:t>
            </w:r>
            <w:r>
              <w:rPr>
                <w:rFonts w:ascii="宋体" w:hAnsi="宋体" w:cs="Cambria Math" w:hint="eastAsia"/>
                <w:kern w:val="0"/>
                <w:sz w:val="21"/>
                <w:szCs w:val="21"/>
                <w14:ligatures w14:val="none"/>
              </w:rPr>
              <w:t>②</w:t>
            </w:r>
            <w:r>
              <w:rPr>
                <w:rFonts w:cs="Times New Roman"/>
                <w:kern w:val="0"/>
                <w:sz w:val="21"/>
                <w:szCs w:val="21"/>
                <w14:ligatures w14:val="none"/>
              </w:rPr>
              <w:t>无防渗功能；</w:t>
            </w:r>
            <w:r>
              <w:rPr>
                <w:rFonts w:ascii="宋体" w:hAnsi="宋体" w:cs="Cambria Math" w:hint="eastAsia"/>
                <w:kern w:val="0"/>
                <w:sz w:val="21"/>
                <w:szCs w:val="21"/>
                <w14:ligatures w14:val="none"/>
              </w:rPr>
              <w:t>③</w:t>
            </w:r>
            <w:r>
              <w:rPr>
                <w:rFonts w:cs="Times New Roman"/>
                <w:kern w:val="0"/>
                <w:sz w:val="21"/>
                <w:szCs w:val="21"/>
                <w14:ligatures w14:val="none"/>
              </w:rPr>
              <w:t>有关规范规定不允许使用在加油站输油管道；</w:t>
            </w:r>
          </w:p>
          <w:p w14:paraId="31927688"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hint="eastAsia"/>
                <w:kern w:val="0"/>
                <w:sz w:val="21"/>
                <w:szCs w:val="21"/>
                <w14:ligatures w14:val="none"/>
              </w:rPr>
              <w:t>2</w:t>
            </w:r>
            <w:r>
              <w:rPr>
                <w:rFonts w:cs="Times New Roman" w:hint="eastAsia"/>
                <w:kern w:val="0"/>
                <w:sz w:val="21"/>
                <w:szCs w:val="21"/>
                <w14:ligatures w14:val="none"/>
              </w:rPr>
              <w:t>、</w:t>
            </w:r>
            <w:r>
              <w:rPr>
                <w:rFonts w:cs="Times New Roman"/>
                <w:kern w:val="0"/>
                <w:sz w:val="21"/>
                <w:szCs w:val="21"/>
                <w14:ligatures w14:val="none"/>
              </w:rPr>
              <w:t>双层钢制输油管道：</w:t>
            </w:r>
            <w:r>
              <w:rPr>
                <w:rFonts w:ascii="宋体" w:hAnsi="宋体" w:cs="Cambria Math" w:hint="eastAsia"/>
                <w:kern w:val="0"/>
                <w:sz w:val="21"/>
                <w:szCs w:val="21"/>
                <w14:ligatures w14:val="none"/>
              </w:rPr>
              <w:t>①</w:t>
            </w:r>
            <w:r>
              <w:rPr>
                <w:rFonts w:cs="Times New Roman"/>
                <w:kern w:val="0"/>
                <w:sz w:val="21"/>
                <w:szCs w:val="21"/>
                <w14:ligatures w14:val="none"/>
              </w:rPr>
              <w:t>安装时需进行加强级防腐处理</w:t>
            </w:r>
            <w:r>
              <w:rPr>
                <w:rFonts w:cs="Times New Roman" w:hint="eastAsia"/>
                <w:kern w:val="0"/>
                <w:sz w:val="21"/>
                <w:szCs w:val="21"/>
                <w14:ligatures w14:val="none"/>
              </w:rPr>
              <w:t>；</w:t>
            </w:r>
            <w:r>
              <w:rPr>
                <w:rFonts w:ascii="宋体" w:hAnsi="宋体" w:cs="Cambria Math" w:hint="eastAsia"/>
                <w:kern w:val="0"/>
                <w:sz w:val="21"/>
                <w:szCs w:val="21"/>
                <w14:ligatures w14:val="none"/>
              </w:rPr>
              <w:t>②</w:t>
            </w:r>
            <w:r>
              <w:rPr>
                <w:rFonts w:cs="Times New Roman"/>
                <w:kern w:val="0"/>
                <w:sz w:val="21"/>
                <w:szCs w:val="21"/>
                <w14:ligatures w14:val="none"/>
              </w:rPr>
              <w:t>有防渗功能；</w:t>
            </w:r>
            <w:r>
              <w:rPr>
                <w:rFonts w:ascii="宋体" w:hAnsi="宋体" w:cs="Cambria Math" w:hint="eastAsia"/>
                <w:kern w:val="0"/>
                <w:sz w:val="21"/>
                <w:szCs w:val="21"/>
                <w14:ligatures w14:val="none"/>
              </w:rPr>
              <w:t>③</w:t>
            </w:r>
            <w:r>
              <w:rPr>
                <w:rFonts w:cs="Times New Roman"/>
                <w:kern w:val="0"/>
                <w:sz w:val="21"/>
                <w:szCs w:val="21"/>
                <w14:ligatures w14:val="none"/>
              </w:rPr>
              <w:t>在转弯及三通处不易安装及施工；使用寿命短。</w:t>
            </w:r>
          </w:p>
          <w:p w14:paraId="5ADA0E74"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hint="eastAsia"/>
                <w:kern w:val="0"/>
                <w:sz w:val="21"/>
                <w:szCs w:val="21"/>
                <w14:ligatures w14:val="none"/>
              </w:rPr>
              <w:t>3</w:t>
            </w:r>
            <w:r>
              <w:rPr>
                <w:rFonts w:cs="Times New Roman" w:hint="eastAsia"/>
                <w:kern w:val="0"/>
                <w:sz w:val="21"/>
                <w:szCs w:val="21"/>
                <w14:ligatures w14:val="none"/>
              </w:rPr>
              <w:t>、</w:t>
            </w:r>
            <w:r>
              <w:rPr>
                <w:rFonts w:cs="Times New Roman"/>
                <w:kern w:val="0"/>
                <w:sz w:val="21"/>
                <w:szCs w:val="21"/>
                <w14:ligatures w14:val="none"/>
              </w:rPr>
              <w:t>热塑性塑料输油管：</w:t>
            </w:r>
            <w:r>
              <w:rPr>
                <w:rFonts w:ascii="宋体" w:hAnsi="宋体" w:cs="Cambria Math" w:hint="eastAsia"/>
                <w:kern w:val="0"/>
                <w:sz w:val="21"/>
                <w:szCs w:val="21"/>
                <w14:ligatures w14:val="none"/>
              </w:rPr>
              <w:t>①</w:t>
            </w:r>
            <w:r>
              <w:rPr>
                <w:rFonts w:cs="Times New Roman"/>
                <w:kern w:val="0"/>
                <w:sz w:val="21"/>
                <w:szCs w:val="21"/>
                <w14:ligatures w14:val="none"/>
              </w:rPr>
              <w:t>具有良好的耐腐蚀和耐油性</w:t>
            </w:r>
            <w:r>
              <w:rPr>
                <w:rFonts w:cs="Times New Roman" w:hint="eastAsia"/>
                <w:kern w:val="0"/>
                <w:sz w:val="21"/>
                <w:szCs w:val="21"/>
                <w14:ligatures w14:val="none"/>
              </w:rPr>
              <w:t>；</w:t>
            </w:r>
            <w:r>
              <w:rPr>
                <w:rFonts w:ascii="宋体" w:hAnsi="宋体" w:cs="Cambria Math" w:hint="eastAsia"/>
                <w:kern w:val="0"/>
                <w:sz w:val="21"/>
                <w:szCs w:val="21"/>
                <w14:ligatures w14:val="none"/>
              </w:rPr>
              <w:t>②</w:t>
            </w:r>
            <w:r>
              <w:rPr>
                <w:rFonts w:cs="Times New Roman"/>
                <w:kern w:val="0"/>
                <w:sz w:val="21"/>
                <w:szCs w:val="21"/>
                <w14:ligatures w14:val="none"/>
              </w:rPr>
              <w:t>具有防渗功能，有利于安全环保；</w:t>
            </w:r>
            <w:r>
              <w:rPr>
                <w:rFonts w:ascii="宋体" w:hAnsi="宋体" w:cs="Cambria Math" w:hint="eastAsia"/>
                <w:kern w:val="0"/>
                <w:sz w:val="21"/>
                <w:szCs w:val="21"/>
                <w14:ligatures w14:val="none"/>
              </w:rPr>
              <w:t>③</w:t>
            </w:r>
            <w:r>
              <w:rPr>
                <w:rFonts w:cs="Times New Roman"/>
                <w:kern w:val="0"/>
                <w:sz w:val="21"/>
                <w:szCs w:val="21"/>
                <w14:ligatures w14:val="none"/>
              </w:rPr>
              <w:t>使用高效稳定的电熔连接系统，安装方便快捷，适用于各种复杂工况安装</w:t>
            </w:r>
            <w:r>
              <w:rPr>
                <w:rFonts w:cs="Times New Roman" w:hint="eastAsia"/>
                <w:kern w:val="0"/>
                <w:sz w:val="21"/>
                <w:szCs w:val="21"/>
                <w14:ligatures w14:val="none"/>
              </w:rPr>
              <w:t>。</w:t>
            </w:r>
          </w:p>
        </w:tc>
        <w:tc>
          <w:tcPr>
            <w:tcW w:w="1320" w:type="dxa"/>
            <w:vAlign w:val="center"/>
          </w:tcPr>
          <w:p w14:paraId="7A696A2E"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kern w:val="0"/>
                <w:sz w:val="21"/>
                <w:szCs w:val="21"/>
                <w14:ligatures w14:val="none"/>
              </w:rPr>
              <w:t>双层热塑性塑料加油管线</w:t>
            </w:r>
          </w:p>
        </w:tc>
        <w:tc>
          <w:tcPr>
            <w:tcW w:w="1216" w:type="dxa"/>
            <w:vAlign w:val="center"/>
          </w:tcPr>
          <w:p w14:paraId="391B5215"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kern w:val="0"/>
                <w:sz w:val="21"/>
                <w:szCs w:val="21"/>
                <w14:ligatures w14:val="none"/>
              </w:rPr>
              <w:t>选用防渗效果好、使用寿命长、便于现场施工。国内外比较先进</w:t>
            </w:r>
          </w:p>
        </w:tc>
      </w:tr>
      <w:tr w:rsidR="00EF4562" w14:paraId="76BC6343" w14:textId="77777777">
        <w:trPr>
          <w:jc w:val="center"/>
        </w:trPr>
        <w:tc>
          <w:tcPr>
            <w:tcW w:w="1789" w:type="dxa"/>
            <w:vAlign w:val="center"/>
          </w:tcPr>
          <w:p w14:paraId="0174FEDF"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hint="eastAsia"/>
                <w:kern w:val="0"/>
                <w:sz w:val="21"/>
                <w:szCs w:val="21"/>
                <w14:ligatures w14:val="none"/>
              </w:rPr>
              <w:t>1</w:t>
            </w:r>
            <w:r>
              <w:rPr>
                <w:rFonts w:cs="Times New Roman" w:hint="eastAsia"/>
                <w:kern w:val="0"/>
                <w:sz w:val="21"/>
                <w:szCs w:val="21"/>
                <w14:ligatures w14:val="none"/>
              </w:rPr>
              <w:t>、</w:t>
            </w:r>
            <w:r>
              <w:rPr>
                <w:rFonts w:cs="Times New Roman"/>
                <w:kern w:val="0"/>
                <w:sz w:val="21"/>
                <w:szCs w:val="21"/>
                <w14:ligatures w14:val="none"/>
              </w:rPr>
              <w:t>潜油泵式加油工艺</w:t>
            </w:r>
            <w:r>
              <w:rPr>
                <w:rFonts w:cs="Times New Roman" w:hint="eastAsia"/>
                <w:kern w:val="0"/>
                <w:sz w:val="21"/>
                <w:szCs w:val="21"/>
                <w14:ligatures w14:val="none"/>
              </w:rPr>
              <w:t>；</w:t>
            </w:r>
          </w:p>
          <w:p w14:paraId="00625FB2"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hint="eastAsia"/>
                <w:kern w:val="0"/>
                <w:sz w:val="21"/>
                <w:szCs w:val="21"/>
                <w14:ligatures w14:val="none"/>
              </w:rPr>
              <w:t>2</w:t>
            </w:r>
            <w:r>
              <w:rPr>
                <w:rFonts w:cs="Times New Roman" w:hint="eastAsia"/>
                <w:kern w:val="0"/>
                <w:sz w:val="21"/>
                <w:szCs w:val="21"/>
                <w14:ligatures w14:val="none"/>
              </w:rPr>
              <w:t>、</w:t>
            </w:r>
            <w:r>
              <w:rPr>
                <w:rFonts w:cs="Times New Roman"/>
                <w:kern w:val="0"/>
                <w:sz w:val="21"/>
                <w:szCs w:val="21"/>
                <w14:ligatures w14:val="none"/>
              </w:rPr>
              <w:t>自吸泵式加油工艺。</w:t>
            </w:r>
          </w:p>
        </w:tc>
        <w:tc>
          <w:tcPr>
            <w:tcW w:w="4849" w:type="dxa"/>
            <w:vAlign w:val="center"/>
          </w:tcPr>
          <w:p w14:paraId="58FDE95C"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kern w:val="0"/>
                <w:sz w:val="21"/>
                <w:szCs w:val="21"/>
                <w14:ligatures w14:val="none"/>
              </w:rPr>
              <w:t>1</w:t>
            </w:r>
            <w:r>
              <w:rPr>
                <w:rFonts w:cs="Times New Roman"/>
                <w:kern w:val="0"/>
                <w:sz w:val="21"/>
                <w:szCs w:val="21"/>
                <w14:ligatures w14:val="none"/>
              </w:rPr>
              <w:t>、潜油泵加油工艺：</w:t>
            </w:r>
            <w:r>
              <w:rPr>
                <w:rFonts w:ascii="宋体" w:hAnsi="宋体" w:cs="Times New Roman" w:hint="eastAsia"/>
                <w:kern w:val="0"/>
                <w:sz w:val="21"/>
                <w:szCs w:val="21"/>
                <w14:ligatures w14:val="none"/>
              </w:rPr>
              <w:t>①</w:t>
            </w:r>
            <w:r>
              <w:rPr>
                <w:rFonts w:cs="Times New Roman"/>
                <w:kern w:val="0"/>
                <w:sz w:val="21"/>
                <w:szCs w:val="21"/>
                <w14:ligatures w14:val="none"/>
              </w:rPr>
              <w:t>一泵可供多机</w:t>
            </w:r>
            <w:r>
              <w:rPr>
                <w:rFonts w:cs="Times New Roman" w:hint="eastAsia"/>
                <w:kern w:val="0"/>
                <w:sz w:val="21"/>
                <w:szCs w:val="21"/>
                <w14:ligatures w14:val="none"/>
              </w:rPr>
              <w:t>；</w:t>
            </w:r>
            <w:r>
              <w:rPr>
                <w:rFonts w:ascii="宋体" w:hAnsi="宋体" w:cs="Times New Roman" w:hint="eastAsia"/>
                <w:kern w:val="0"/>
                <w:sz w:val="21"/>
                <w:szCs w:val="21"/>
                <w14:ligatures w14:val="none"/>
              </w:rPr>
              <w:t>②</w:t>
            </w:r>
            <w:r>
              <w:rPr>
                <w:rFonts w:cs="Times New Roman"/>
                <w:kern w:val="0"/>
                <w:sz w:val="21"/>
                <w:szCs w:val="21"/>
                <w14:ligatures w14:val="none"/>
              </w:rPr>
              <w:t>输送距离长；</w:t>
            </w:r>
            <w:r>
              <w:rPr>
                <w:rFonts w:ascii="宋体" w:hAnsi="宋体" w:cs="Times New Roman" w:hint="eastAsia"/>
                <w:kern w:val="0"/>
                <w:sz w:val="21"/>
                <w:szCs w:val="21"/>
                <w14:ligatures w14:val="none"/>
              </w:rPr>
              <w:t>③</w:t>
            </w:r>
            <w:r>
              <w:rPr>
                <w:rFonts w:cs="Times New Roman"/>
                <w:kern w:val="0"/>
                <w:sz w:val="21"/>
                <w:szCs w:val="21"/>
                <w14:ligatures w14:val="none"/>
              </w:rPr>
              <w:t>储罐人孔盖开口少</w:t>
            </w:r>
            <w:r>
              <w:rPr>
                <w:rFonts w:ascii="Cambria Math" w:hAnsi="Cambria Math" w:cs="Cambria Math" w:hint="eastAsia"/>
                <w:kern w:val="0"/>
                <w:sz w:val="21"/>
                <w:szCs w:val="21"/>
                <w14:ligatures w14:val="none"/>
              </w:rPr>
              <w:t>；</w:t>
            </w:r>
            <w:r>
              <w:rPr>
                <w:rFonts w:ascii="宋体" w:hAnsi="宋体" w:cs="Cambria Math" w:hint="eastAsia"/>
                <w:kern w:val="0"/>
                <w:sz w:val="21"/>
                <w:szCs w:val="21"/>
                <w14:ligatures w14:val="none"/>
              </w:rPr>
              <w:t>④</w:t>
            </w:r>
            <w:r>
              <w:rPr>
                <w:rFonts w:cs="Times New Roman"/>
                <w:kern w:val="0"/>
                <w:sz w:val="21"/>
                <w:szCs w:val="21"/>
                <w14:ligatures w14:val="none"/>
              </w:rPr>
              <w:t>安全可靠运行稳定，事故少</w:t>
            </w:r>
            <w:r>
              <w:rPr>
                <w:rFonts w:cs="Times New Roman" w:hint="eastAsia"/>
                <w:kern w:val="0"/>
                <w:sz w:val="21"/>
                <w:szCs w:val="21"/>
                <w14:ligatures w14:val="none"/>
              </w:rPr>
              <w:t>；</w:t>
            </w:r>
          </w:p>
          <w:p w14:paraId="1FEE4E85"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kern w:val="0"/>
                <w:sz w:val="21"/>
                <w:szCs w:val="21"/>
                <w14:ligatures w14:val="none"/>
              </w:rPr>
              <w:t>2</w:t>
            </w:r>
            <w:r>
              <w:rPr>
                <w:rFonts w:cs="Times New Roman"/>
                <w:kern w:val="0"/>
                <w:sz w:val="21"/>
                <w:szCs w:val="21"/>
                <w14:ligatures w14:val="none"/>
              </w:rPr>
              <w:t>、自吸泵式加油工艺：</w:t>
            </w:r>
            <w:r>
              <w:rPr>
                <w:rFonts w:ascii="宋体" w:hAnsi="宋体" w:cs="Times New Roman" w:hint="eastAsia"/>
                <w:kern w:val="0"/>
                <w:sz w:val="21"/>
                <w:szCs w:val="21"/>
                <w14:ligatures w14:val="none"/>
              </w:rPr>
              <w:t>①</w:t>
            </w:r>
            <w:r>
              <w:rPr>
                <w:rFonts w:cs="Times New Roman"/>
                <w:kern w:val="0"/>
                <w:sz w:val="21"/>
                <w:szCs w:val="21"/>
                <w14:ligatures w14:val="none"/>
              </w:rPr>
              <w:t>当一种油品同时供应不多于四把枪时；</w:t>
            </w:r>
            <w:r>
              <w:rPr>
                <w:rFonts w:ascii="宋体" w:hAnsi="宋体" w:cs="Times New Roman" w:hint="eastAsia"/>
                <w:kern w:val="0"/>
                <w:sz w:val="21"/>
                <w:szCs w:val="21"/>
                <w14:ligatures w14:val="none"/>
              </w:rPr>
              <w:t>②</w:t>
            </w:r>
            <w:r>
              <w:rPr>
                <w:rFonts w:cs="Times New Roman"/>
                <w:kern w:val="0"/>
                <w:sz w:val="21"/>
                <w:szCs w:val="21"/>
                <w14:ligatures w14:val="none"/>
              </w:rPr>
              <w:t>当油罐至加油机之间出油管道长度短时，宜采用自吸泵加油工艺</w:t>
            </w:r>
            <w:r>
              <w:rPr>
                <w:rFonts w:cs="Times New Roman" w:hint="eastAsia"/>
                <w:kern w:val="0"/>
                <w:sz w:val="21"/>
                <w:szCs w:val="21"/>
                <w14:ligatures w14:val="none"/>
              </w:rPr>
              <w:t>；</w:t>
            </w:r>
            <w:r>
              <w:rPr>
                <w:rFonts w:ascii="宋体" w:hAnsi="宋体" w:cs="Times New Roman" w:hint="eastAsia"/>
                <w:kern w:val="0"/>
                <w:sz w:val="21"/>
                <w:szCs w:val="21"/>
                <w14:ligatures w14:val="none"/>
              </w:rPr>
              <w:t>③</w:t>
            </w:r>
            <w:r>
              <w:rPr>
                <w:rFonts w:cs="Times New Roman"/>
                <w:kern w:val="0"/>
                <w:sz w:val="21"/>
                <w:szCs w:val="21"/>
                <w14:ligatures w14:val="none"/>
              </w:rPr>
              <w:t>每台加油机应按加油品种单独设置进油管，储罐人孔盖开口多。</w:t>
            </w:r>
          </w:p>
        </w:tc>
        <w:tc>
          <w:tcPr>
            <w:tcW w:w="1320" w:type="dxa"/>
            <w:vAlign w:val="center"/>
          </w:tcPr>
          <w:p w14:paraId="1446F519"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hint="eastAsia"/>
                <w:kern w:val="0"/>
                <w:sz w:val="21"/>
                <w:szCs w:val="21"/>
                <w14:ligatures w14:val="none"/>
              </w:rPr>
              <w:t>自吸泵</w:t>
            </w:r>
            <w:r>
              <w:rPr>
                <w:rFonts w:cs="Times New Roman"/>
                <w:kern w:val="0"/>
                <w:sz w:val="21"/>
                <w:szCs w:val="21"/>
                <w14:ligatures w14:val="none"/>
              </w:rPr>
              <w:t>式</w:t>
            </w:r>
          </w:p>
          <w:p w14:paraId="01357D14"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kern w:val="0"/>
                <w:sz w:val="21"/>
                <w:szCs w:val="21"/>
                <w14:ligatures w14:val="none"/>
              </w:rPr>
              <w:t>加油工艺</w:t>
            </w:r>
          </w:p>
        </w:tc>
        <w:tc>
          <w:tcPr>
            <w:tcW w:w="1216" w:type="dxa"/>
            <w:vAlign w:val="center"/>
          </w:tcPr>
          <w:p w14:paraId="7C0C1631" w14:textId="77777777" w:rsidR="00EF4562" w:rsidRDefault="00000000">
            <w:pPr>
              <w:adjustRightInd/>
              <w:snapToGrid/>
              <w:spacing w:line="240" w:lineRule="auto"/>
              <w:ind w:firstLineChars="0" w:firstLine="0"/>
              <w:jc w:val="center"/>
              <w:textAlignment w:val="center"/>
              <w:rPr>
                <w:rFonts w:cs="Times New Roman"/>
                <w:kern w:val="0"/>
                <w:sz w:val="21"/>
                <w:szCs w:val="21"/>
                <w14:ligatures w14:val="none"/>
              </w:rPr>
            </w:pPr>
            <w:r>
              <w:rPr>
                <w:rFonts w:cs="Times New Roman" w:hint="eastAsia"/>
                <w:kern w:val="0"/>
                <w:sz w:val="21"/>
                <w:szCs w:val="21"/>
                <w14:ligatures w14:val="none"/>
              </w:rPr>
              <w:t>一种油品同时供应不多于四把枪，</w:t>
            </w:r>
            <w:r>
              <w:rPr>
                <w:rFonts w:cs="Times New Roman"/>
                <w:kern w:val="0"/>
                <w:sz w:val="21"/>
                <w:szCs w:val="21"/>
                <w14:ligatures w14:val="none"/>
              </w:rPr>
              <w:t>油罐至加油机之间出油管道长度短</w:t>
            </w:r>
          </w:p>
        </w:tc>
      </w:tr>
    </w:tbl>
    <w:p w14:paraId="34390AAF" w14:textId="77777777" w:rsidR="00EF4562" w:rsidRDefault="00000000">
      <w:pPr>
        <w:ind w:firstLine="560"/>
      </w:pPr>
      <w:r>
        <w:rPr>
          <w:rFonts w:hint="eastAsia"/>
        </w:rPr>
        <w:t>根据《产业结构调整指导目录（</w:t>
      </w:r>
      <w:r>
        <w:rPr>
          <w:rFonts w:hint="eastAsia"/>
        </w:rPr>
        <w:t>2024</w:t>
      </w:r>
      <w:r>
        <w:rPr>
          <w:rFonts w:hint="eastAsia"/>
        </w:rPr>
        <w:t>年本）》（中华人民共和国国家发展和改革委员会令</w:t>
      </w:r>
      <w:r>
        <w:rPr>
          <w:rFonts w:hint="eastAsia"/>
        </w:rPr>
        <w:t>[2023]</w:t>
      </w:r>
      <w:r>
        <w:rPr>
          <w:rFonts w:hint="eastAsia"/>
        </w:rPr>
        <w:t>第</w:t>
      </w:r>
      <w:r>
        <w:rPr>
          <w:rFonts w:hint="eastAsia"/>
        </w:rPr>
        <w:t>7</w:t>
      </w:r>
      <w:r>
        <w:rPr>
          <w:rFonts w:hint="eastAsia"/>
        </w:rPr>
        <w:t>号），该项目不属于限制类及淘汰类。</w:t>
      </w:r>
    </w:p>
    <w:p w14:paraId="0B5BB378" w14:textId="77777777" w:rsidR="00EF4562" w:rsidRDefault="00000000">
      <w:pPr>
        <w:ind w:firstLine="560"/>
      </w:pPr>
      <w:r>
        <w:rPr>
          <w:rFonts w:hint="eastAsia"/>
        </w:rPr>
        <w:t>经查阅《国家安全监管总局关于印发淘汰落后安全技术装备目录（</w:t>
      </w:r>
      <w:r>
        <w:rPr>
          <w:rFonts w:hint="eastAsia"/>
        </w:rPr>
        <w:t>2015</w:t>
      </w:r>
      <w:r>
        <w:rPr>
          <w:rFonts w:hint="eastAsia"/>
        </w:rPr>
        <w:t>年第一批）的通知》（安监总科技</w:t>
      </w:r>
      <w:r>
        <w:rPr>
          <w:rFonts w:hint="eastAsia"/>
        </w:rPr>
        <w:t>[2015]75</w:t>
      </w:r>
      <w:r>
        <w:rPr>
          <w:rFonts w:hint="eastAsia"/>
        </w:rPr>
        <w:t>号）、《关于印发淘汰落后安全技术工艺、设备目录（</w:t>
      </w:r>
      <w:r>
        <w:rPr>
          <w:rFonts w:hint="eastAsia"/>
        </w:rPr>
        <w:t>2016</w:t>
      </w:r>
      <w:r>
        <w:rPr>
          <w:rFonts w:hint="eastAsia"/>
        </w:rPr>
        <w:t>年）的通知》（安监总科技</w:t>
      </w:r>
      <w:r>
        <w:rPr>
          <w:rFonts w:hint="eastAsia"/>
        </w:rPr>
        <w:t>[2016]137</w:t>
      </w:r>
      <w:r>
        <w:rPr>
          <w:rFonts w:hint="eastAsia"/>
        </w:rPr>
        <w:t>号）、《应急管理部办公厅关于印发淘汰落后危险化学品安全生产工艺技术设备目录（第一批）的通知》（应急厅〔</w:t>
      </w:r>
      <w:r>
        <w:rPr>
          <w:rFonts w:hint="eastAsia"/>
        </w:rPr>
        <w:t>2020</w:t>
      </w:r>
      <w:r>
        <w:rPr>
          <w:rFonts w:hint="eastAsia"/>
        </w:rPr>
        <w:t>〕</w:t>
      </w:r>
      <w:r>
        <w:rPr>
          <w:rFonts w:hint="eastAsia"/>
        </w:rPr>
        <w:t>38</w:t>
      </w:r>
      <w:r>
        <w:rPr>
          <w:rFonts w:hint="eastAsia"/>
        </w:rPr>
        <w:t>号）和《应急管理部办公厅关于印发淘汰落后危险化学品安全生产工艺技术设备目录（第二批）的通知》（应急厅</w:t>
      </w:r>
      <w:r>
        <w:rPr>
          <w:rFonts w:hint="eastAsia"/>
        </w:rPr>
        <w:t>[2024]86</w:t>
      </w:r>
      <w:r>
        <w:rPr>
          <w:rFonts w:hint="eastAsia"/>
        </w:rPr>
        <w:t>号），该项目使用的生产工艺和设备不属于淘汰落后安全技术装备。</w:t>
      </w:r>
    </w:p>
    <w:p w14:paraId="5800B88A" w14:textId="77777777" w:rsidR="00EF4562" w:rsidRDefault="00000000">
      <w:pPr>
        <w:ind w:firstLine="560"/>
      </w:pPr>
      <w:r>
        <w:rPr>
          <w:rFonts w:hint="eastAsia"/>
        </w:rPr>
        <w:t>综上所述，该项目工艺过程简单，所涉技术不复杂，上述安全设备、设施与国内、外同类加油站相比较，应用较为普通，技术成熟、安全可靠。</w:t>
      </w:r>
    </w:p>
    <w:p w14:paraId="2EB47DF2" w14:textId="77777777" w:rsidR="00EF4562" w:rsidRDefault="00000000">
      <w:pPr>
        <w:keepNext/>
        <w:spacing w:beforeLines="100" w:before="312" w:afterLines="100" w:after="312"/>
        <w:ind w:firstLineChars="0" w:firstLine="0"/>
        <w:jc w:val="center"/>
        <w:outlineLvl w:val="1"/>
        <w:rPr>
          <w:rFonts w:ascii="楷体" w:eastAsia="楷体" w:hAnsi="楷体" w:hint="eastAsia"/>
          <w:b/>
          <w:bCs/>
          <w:sz w:val="32"/>
          <w:szCs w:val="32"/>
        </w:rPr>
      </w:pPr>
      <w:bookmarkStart w:id="14" w:name="_Toc207695624"/>
      <w:r>
        <w:rPr>
          <w:rFonts w:eastAsia="楷体" w:cs="Times New Roman"/>
          <w:b/>
          <w:bCs/>
          <w:sz w:val="32"/>
          <w:szCs w:val="32"/>
        </w:rPr>
        <w:lastRenderedPageBreak/>
        <w:t>2.2</w:t>
      </w:r>
      <w:r>
        <w:rPr>
          <w:rFonts w:ascii="楷体" w:eastAsia="楷体" w:hAnsi="楷体" w:hint="eastAsia"/>
          <w:b/>
          <w:bCs/>
          <w:sz w:val="32"/>
          <w:szCs w:val="32"/>
        </w:rPr>
        <w:t>建设项目所在的地理位置、用地面积和生产或者储存规模</w:t>
      </w:r>
      <w:bookmarkEnd w:id="14"/>
    </w:p>
    <w:p w14:paraId="5D507166" w14:textId="77777777" w:rsidR="00EF4562" w:rsidRDefault="00000000">
      <w:pPr>
        <w:keepNext/>
        <w:spacing w:beforeLines="50" w:before="156" w:afterLines="50" w:after="156"/>
        <w:ind w:firstLine="562"/>
        <w:outlineLvl w:val="2"/>
        <w:rPr>
          <w:rFonts w:ascii="黑体" w:eastAsia="黑体" w:hAnsi="黑体" w:hint="eastAsia"/>
          <w:b/>
          <w:bCs/>
        </w:rPr>
      </w:pPr>
      <w:r>
        <w:rPr>
          <w:rFonts w:eastAsia="黑体" w:cs="Times New Roman"/>
          <w:b/>
          <w:bCs/>
        </w:rPr>
        <w:t>2.2.1</w:t>
      </w:r>
      <w:r>
        <w:rPr>
          <w:rFonts w:ascii="黑体" w:eastAsia="黑体" w:hAnsi="黑体" w:hint="eastAsia"/>
          <w:b/>
          <w:bCs/>
        </w:rPr>
        <w:t>地理位置</w:t>
      </w:r>
    </w:p>
    <w:p w14:paraId="721B30A4" w14:textId="77777777" w:rsidR="00EF4562" w:rsidRDefault="00000000">
      <w:pPr>
        <w:ind w:firstLine="560"/>
        <w:rPr>
          <w:rFonts w:cs="Times New Roman"/>
          <w:szCs w:val="28"/>
          <w14:ligatures w14:val="none"/>
        </w:rPr>
      </w:pPr>
      <w:bookmarkStart w:id="15" w:name="OLE_LINK11"/>
      <w:r>
        <w:rPr>
          <w:rFonts w:cs="Times New Roman" w:hint="eastAsia"/>
          <w:szCs w:val="28"/>
          <w14:ligatures w14:val="none"/>
        </w:rPr>
        <w:t>该站位于辽宁省锦州市太和区锦汤路</w:t>
      </w:r>
      <w:r>
        <w:rPr>
          <w:rFonts w:cs="Times New Roman" w:hint="eastAsia"/>
          <w:szCs w:val="28"/>
          <w14:ligatures w14:val="none"/>
        </w:rPr>
        <w:t>6</w:t>
      </w:r>
      <w:r>
        <w:rPr>
          <w:rFonts w:cs="Times New Roman" w:hint="eastAsia"/>
          <w:szCs w:val="28"/>
          <w14:ligatures w14:val="none"/>
        </w:rPr>
        <w:t>号，站区东侧为锦州吉尔运输有限公司废弃车棚及办公楼（三类保护物），南侧为锦大线（主干路），西侧为架空电力线</w:t>
      </w:r>
      <w:r>
        <w:rPr>
          <w:rFonts w:cs="Times New Roman" w:hint="eastAsia"/>
          <w:szCs w:val="28"/>
          <w14:ligatures w14:val="none"/>
        </w:rPr>
        <w:t>1</w:t>
      </w:r>
      <w:r>
        <w:rPr>
          <w:rFonts w:cs="Times New Roman" w:hint="eastAsia"/>
          <w:szCs w:val="28"/>
          <w14:ligatures w14:val="none"/>
        </w:rPr>
        <w:t>（</w:t>
      </w:r>
      <w:r>
        <w:rPr>
          <w:rFonts w:cs="Times New Roman" w:hint="eastAsia"/>
          <w:szCs w:val="28"/>
          <w14:ligatures w14:val="none"/>
        </w:rPr>
        <w:t>H=8m</w:t>
      </w:r>
      <w:r>
        <w:rPr>
          <w:rFonts w:cs="Times New Roman" w:hint="eastAsia"/>
          <w:szCs w:val="28"/>
          <w14:ligatures w14:val="none"/>
        </w:rPr>
        <w:t>）、</w:t>
      </w:r>
      <w:r>
        <w:rPr>
          <w:rFonts w:cs="Times New Roman" w:hint="eastAsia"/>
          <w:szCs w:val="28"/>
          <w14:ligatures w14:val="none"/>
        </w:rPr>
        <w:t>1</w:t>
      </w:r>
      <w:r>
        <w:rPr>
          <w:rFonts w:cs="Times New Roman" w:hint="eastAsia"/>
          <w:szCs w:val="28"/>
          <w14:ligatures w14:val="none"/>
        </w:rPr>
        <w:t>条土路（支路）、</w:t>
      </w:r>
      <w:r>
        <w:rPr>
          <w:rFonts w:cs="Times New Roman" w:hint="eastAsia"/>
          <w:szCs w:val="28"/>
          <w14:ligatures w14:val="none"/>
        </w:rPr>
        <w:t>1</w:t>
      </w:r>
      <w:r>
        <w:rPr>
          <w:rFonts w:cs="Times New Roman" w:hint="eastAsia"/>
          <w:szCs w:val="28"/>
          <w14:ligatures w14:val="none"/>
        </w:rPr>
        <w:t>间民用建筑（三类保护物）及温室（三类保护物），北侧为架空电力线</w:t>
      </w:r>
      <w:r>
        <w:rPr>
          <w:rFonts w:cs="Times New Roman" w:hint="eastAsia"/>
          <w:szCs w:val="28"/>
          <w14:ligatures w14:val="none"/>
        </w:rPr>
        <w:t>2</w:t>
      </w:r>
      <w:r>
        <w:rPr>
          <w:rFonts w:cs="Times New Roman" w:hint="eastAsia"/>
          <w:szCs w:val="28"/>
          <w14:ligatures w14:val="none"/>
        </w:rPr>
        <w:t>（</w:t>
      </w:r>
      <w:r>
        <w:rPr>
          <w:rFonts w:cs="Times New Roman" w:hint="eastAsia"/>
          <w:szCs w:val="28"/>
          <w14:ligatures w14:val="none"/>
        </w:rPr>
        <w:t>H=8m</w:t>
      </w:r>
      <w:r>
        <w:rPr>
          <w:rFonts w:cs="Times New Roman" w:hint="eastAsia"/>
          <w:szCs w:val="28"/>
          <w14:ligatures w14:val="none"/>
        </w:rPr>
        <w:t>）。</w:t>
      </w:r>
    </w:p>
    <w:p w14:paraId="1825F493" w14:textId="77777777" w:rsidR="00EF4562" w:rsidRDefault="00000000">
      <w:pPr>
        <w:ind w:firstLine="560"/>
      </w:pPr>
      <w:r>
        <w:rPr>
          <w:rFonts w:hint="eastAsia"/>
        </w:rPr>
        <w:t>办公楼前为运输公司自有停车场，停车位不超过</w:t>
      </w:r>
      <w:r>
        <w:rPr>
          <w:rFonts w:hint="eastAsia"/>
        </w:rPr>
        <w:t>200</w:t>
      </w:r>
      <w:r>
        <w:rPr>
          <w:rFonts w:hint="eastAsia"/>
        </w:rPr>
        <w:t>个，危险化学品运输车辆均为临时停放，最多不超过</w:t>
      </w:r>
      <w:r>
        <w:rPr>
          <w:rFonts w:hint="eastAsia"/>
        </w:rPr>
        <w:t>5</w:t>
      </w:r>
      <w:r>
        <w:rPr>
          <w:rFonts w:hint="eastAsia"/>
        </w:rPr>
        <w:t>辆。该站周边无自然保护区、风景名胜区、水源保护区等需要特殊保护的用地。项目地理位置见图</w:t>
      </w:r>
      <w:r>
        <w:rPr>
          <w:rFonts w:hint="eastAsia"/>
        </w:rPr>
        <w:t>2.2-1</w:t>
      </w:r>
      <w:r>
        <w:rPr>
          <w:rFonts w:hint="eastAsia"/>
        </w:rPr>
        <w:t>。</w:t>
      </w:r>
    </w:p>
    <w:bookmarkEnd w:id="15"/>
    <w:p w14:paraId="03245B96" w14:textId="77777777" w:rsidR="00EF4562" w:rsidRDefault="00000000">
      <w:pPr>
        <w:ind w:firstLineChars="0" w:firstLine="0"/>
        <w:jc w:val="center"/>
      </w:pPr>
      <w:r>
        <w:rPr>
          <w:noProof/>
        </w:rPr>
        <mc:AlternateContent>
          <mc:Choice Requires="wps">
            <w:drawing>
              <wp:anchor distT="0" distB="0" distL="114300" distR="114300" simplePos="0" relativeHeight="251666432" behindDoc="0" locked="0" layoutInCell="1" allowOverlap="1" wp14:anchorId="69AE72C3" wp14:editId="64759D58">
                <wp:simplePos x="0" y="0"/>
                <wp:positionH relativeFrom="column">
                  <wp:posOffset>782320</wp:posOffset>
                </wp:positionH>
                <wp:positionV relativeFrom="paragraph">
                  <wp:posOffset>1128395</wp:posOffset>
                </wp:positionV>
                <wp:extent cx="1152525" cy="260350"/>
                <wp:effectExtent l="0" t="0" r="104775" b="330200"/>
                <wp:wrapNone/>
                <wp:docPr id="1719133784" name="对话气泡: 矩形 36"/>
                <wp:cNvGraphicFramePr/>
                <a:graphic xmlns:a="http://schemas.openxmlformats.org/drawingml/2006/main">
                  <a:graphicData uri="http://schemas.microsoft.com/office/word/2010/wordprocessingShape">
                    <wps:wsp>
                      <wps:cNvSpPr/>
                      <wps:spPr>
                        <a:xfrm>
                          <a:off x="0" y="0"/>
                          <a:ext cx="1152525" cy="260350"/>
                        </a:xfrm>
                        <a:prstGeom prst="wedgeRectCallout">
                          <a:avLst>
                            <a:gd name="adj1" fmla="val 53607"/>
                            <a:gd name="adj2" fmla="val 153210"/>
                          </a:avLst>
                        </a:prstGeom>
                      </wps:spPr>
                      <wps:style>
                        <a:lnRef idx="2">
                          <a:schemeClr val="dk1"/>
                        </a:lnRef>
                        <a:fillRef idx="1">
                          <a:schemeClr val="lt1"/>
                        </a:fillRef>
                        <a:effectRef idx="0">
                          <a:schemeClr val="dk1"/>
                        </a:effectRef>
                        <a:fontRef idx="minor">
                          <a:schemeClr val="dk1"/>
                        </a:fontRef>
                      </wps:style>
                      <wps:txbx>
                        <w:txbxContent>
                          <w:p w14:paraId="33A3C302" w14:textId="77777777" w:rsidR="00EF4562" w:rsidRDefault="00000000">
                            <w:pPr>
                              <w:spacing w:line="240" w:lineRule="auto"/>
                              <w:ind w:firstLineChars="0" w:firstLine="0"/>
                              <w:jc w:val="center"/>
                              <w:rPr>
                                <w:sz w:val="21"/>
                                <w:szCs w:val="21"/>
                              </w:rPr>
                            </w:pPr>
                            <w:r>
                              <w:rPr>
                                <w:rFonts w:hint="eastAsia"/>
                                <w:sz w:val="21"/>
                                <w:szCs w:val="21"/>
                              </w:rPr>
                              <w:t>本项目所在位置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type w14:anchorId="69AE72C3"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对话气泡: 矩形 36" o:spid="_x0000_s1057" type="#_x0000_t61" style="position:absolute;left:0;text-align:left;margin-left:61.6pt;margin-top:88.85pt;width:90.75pt;height:20.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" adj="22379,43893" fillcolor="white [3201]" strokecolor="black [3200]" strokeweight="1pt">
                <v:textbox>
                  <w:txbxContent>
                    <w:p w14:paraId="33A3C302" w14:textId="77777777" w:rsidR="00EF4562" w:rsidRDefault="00000000">
                      <w:pPr>
                        <w:spacing w:line="240" w:lineRule="auto"/>
                        <w:ind w:firstLineChars="0" w:firstLine="0"/>
                        <w:jc w:val="center"/>
                        <w:rPr>
                          <w:sz w:val="21"/>
                          <w:szCs w:val="21"/>
                        </w:rPr>
                      </w:pPr>
                      <w:r>
                        <w:rPr>
                          <w:rFonts w:hint="eastAsia"/>
                          <w:sz w:val="21"/>
                          <w:szCs w:val="21"/>
                        </w:rPr>
                        <w:t>本项目所在位置</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0F223880" wp14:editId="2EDE3FD2">
                <wp:simplePos x="0" y="0"/>
                <wp:positionH relativeFrom="column">
                  <wp:posOffset>1772285</wp:posOffset>
                </wp:positionH>
                <wp:positionV relativeFrom="paragraph">
                  <wp:posOffset>2451735</wp:posOffset>
                </wp:positionV>
                <wp:extent cx="2257425" cy="1152525"/>
                <wp:effectExtent l="19050" t="19050" r="28575" b="28575"/>
                <wp:wrapNone/>
                <wp:docPr id="55399361" name="直接连接符 173"/>
                <wp:cNvGraphicFramePr/>
                <a:graphic xmlns:a="http://schemas.openxmlformats.org/drawingml/2006/main">
                  <a:graphicData uri="http://schemas.microsoft.com/office/word/2010/wordprocessingShape">
                    <wps:wsp>
                      <wps:cNvCnPr/>
                      <wps:spPr>
                        <a:xfrm flipV="1">
                          <a:off x="0" y="0"/>
                          <a:ext cx="2257425" cy="1152525"/>
                        </a:xfrm>
                        <a:prstGeom prst="line">
                          <a:avLst/>
                        </a:prstGeom>
                        <a:ln w="28575">
                          <a:solidFill>
                            <a:srgbClr val="EE0000"/>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w:pict>
              <v:line id="直接连接符 173" o:spid="_x0000_s1026" o:spt="20" style="position:absolute;left:0pt;flip:y;margin-left:139.55pt;margin-top:193.05pt;height:90.75pt;width:177.75pt;z-index:251662336;mso-width-relative:page;mso-height-relative:page;" filled="f" stroked="t" coordsize="21600,21600" o:gfxdata="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GPner/aAAAACwEAAA8AAAAAAAAAAQAgAAAAIgAAAGRycy9kb3du&#10;cmV2LnhtbFBLAQIUABQAAAAIAIdO4kBKxNjQ/QEAAMsDAAAOAAAAAAAAAAEAIAAAACkBAABkcnMv&#10;ZTJvRG9jLnhtbFBLBQYAAAAABgAGAFkBAACYBQAAAAA=&#10;">
                <v:fill on="f" focussize="0,0"/>
                <v:stroke weight="2.25pt" color="#EE0000 [3200]" miterlimit="8" joinstyle="miter"/>
                <v:imagedata o:title=""/>
                <o:lock v:ext="edit" aspectratio="f"/>
              </v:line>
            </w:pict>
          </mc:Fallback>
        </mc:AlternateContent>
      </w:r>
      <w:r>
        <w:rPr>
          <w:noProof/>
        </w:rPr>
        <mc:AlternateContent>
          <mc:Choice Requires="wps">
            <w:drawing>
              <wp:anchor distT="0" distB="0" distL="114300" distR="114300" simplePos="0" relativeHeight="251665408" behindDoc="0" locked="0" layoutInCell="1" allowOverlap="1" wp14:anchorId="1F433368" wp14:editId="7017E7A2">
                <wp:simplePos x="0" y="0"/>
                <wp:positionH relativeFrom="column">
                  <wp:posOffset>3124835</wp:posOffset>
                </wp:positionH>
                <wp:positionV relativeFrom="paragraph">
                  <wp:posOffset>575945</wp:posOffset>
                </wp:positionV>
                <wp:extent cx="904875" cy="1876425"/>
                <wp:effectExtent l="19050" t="19050" r="28575" b="28575"/>
                <wp:wrapNone/>
                <wp:docPr id="1688232280" name="直接连接符 177"/>
                <wp:cNvGraphicFramePr/>
                <a:graphic xmlns:a="http://schemas.openxmlformats.org/drawingml/2006/main">
                  <a:graphicData uri="http://schemas.microsoft.com/office/word/2010/wordprocessingShape">
                    <wps:wsp>
                      <wps:cNvCnPr/>
                      <wps:spPr>
                        <a:xfrm>
                          <a:off x="0" y="0"/>
                          <a:ext cx="904875" cy="1876425"/>
                        </a:xfrm>
                        <a:prstGeom prst="line">
                          <a:avLst/>
                        </a:prstGeom>
                        <a:ln w="28575">
                          <a:solidFill>
                            <a:srgbClr val="EE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line id="直接连接符 177" o:spid="_x0000_s1026" o:spt="20" style="position:absolute;left:0pt;margin-left:246.05pt;margin-top:45.35pt;height:147.75pt;width:71.25pt;z-index:251665408;mso-width-relative:page;mso-height-relative:page;" filled="f" stroked="t" coordsize="21600,21600" o:gfxdata="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D3jW7YAAAACgEAAA8AAAAAAAAAAQAgAAAAIgAAAGRycy9kb3ducmV2LnhtbFBL&#10;AQIUABQAAAAIAIdO4kDcWmNP9gEAAMIDAAAOAAAAAAAAAAEAIAAAACcBAABkcnMvZTJvRG9jLnht&#10;bFBLBQYAAAAABgAGAFkBAACPBQAAAAA=&#10;">
                <v:fill on="f" focussize="0,0"/>
                <v:stroke weight="2.25pt" color="#EE0000 [3204]" miterlimit="8" joinstyle="miter"/>
                <v:imagedata o:title=""/>
                <o:lock v:ext="edit" aspectratio="f"/>
              </v:line>
            </w:pict>
          </mc:Fallback>
        </mc:AlternateContent>
      </w:r>
      <w:r>
        <w:rPr>
          <w:noProof/>
        </w:rPr>
        <mc:AlternateContent>
          <mc:Choice Requires="wps">
            <w:drawing>
              <wp:anchor distT="0" distB="0" distL="114300" distR="114300" simplePos="0" relativeHeight="251664384" behindDoc="0" locked="0" layoutInCell="1" allowOverlap="1" wp14:anchorId="601E1D4C" wp14:editId="7E56D8BA">
                <wp:simplePos x="0" y="0"/>
                <wp:positionH relativeFrom="column">
                  <wp:posOffset>1706245</wp:posOffset>
                </wp:positionH>
                <wp:positionV relativeFrom="paragraph">
                  <wp:posOffset>575310</wp:posOffset>
                </wp:positionV>
                <wp:extent cx="1419225" cy="390525"/>
                <wp:effectExtent l="19050" t="19050" r="9525" b="28575"/>
                <wp:wrapNone/>
                <wp:docPr id="1801073995" name="直接连接符 176"/>
                <wp:cNvGraphicFramePr/>
                <a:graphic xmlns:a="http://schemas.openxmlformats.org/drawingml/2006/main">
                  <a:graphicData uri="http://schemas.microsoft.com/office/word/2010/wordprocessingShape">
                    <wps:wsp>
                      <wps:cNvCnPr/>
                      <wps:spPr>
                        <a:xfrm flipH="1">
                          <a:off x="0" y="0"/>
                          <a:ext cx="1419225" cy="390525"/>
                        </a:xfrm>
                        <a:prstGeom prst="line">
                          <a:avLst/>
                        </a:prstGeom>
                        <a:ln w="28575">
                          <a:solidFill>
                            <a:srgbClr val="EE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line id="直接连接符 176" o:spid="_x0000_s1026" o:spt="20" style="position:absolute;left:0pt;flip:x;margin-left:134.35pt;margin-top:45.3pt;height:30.75pt;width:111.75pt;z-index:251664384;mso-width-relative:page;mso-height-relative:page;" filled="f" stroked="t" coordsize="21600,21600" o:gfxdata="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QQvL62AAAAAoBAAAPAAAAAAAAAAEAIAAAACIAAABkcnMvZG93bnJl&#10;di54bWxQSwECFAAUAAAACACHTuJAFA1be/0BAADMAwAADgAAAAAAAAABACAAAAAnAQAAZHJzL2Uy&#10;b0RvYy54bWxQSwUGAAAAAAYABgBZAQAAlgUAAAAA&#10;">
                <v:fill on="f" focussize="0,0"/>
                <v:stroke weight="2.25pt" color="#EE0000 [3204]" miterlimit="8" joinstyle="miter"/>
                <v:imagedata o:title=""/>
                <o:lock v:ext="edit" aspectratio="f"/>
              </v:line>
            </w:pict>
          </mc:Fallback>
        </mc:AlternateContent>
      </w:r>
      <w:r>
        <w:rPr>
          <w:noProof/>
        </w:rPr>
        <mc:AlternateContent>
          <mc:Choice Requires="wps">
            <w:drawing>
              <wp:anchor distT="0" distB="0" distL="114300" distR="114300" simplePos="0" relativeHeight="251663360" behindDoc="0" locked="0" layoutInCell="1" allowOverlap="1" wp14:anchorId="64C55BE4" wp14:editId="026331A4">
                <wp:simplePos x="0" y="0"/>
                <wp:positionH relativeFrom="column">
                  <wp:posOffset>1705610</wp:posOffset>
                </wp:positionH>
                <wp:positionV relativeFrom="paragraph">
                  <wp:posOffset>965835</wp:posOffset>
                </wp:positionV>
                <wp:extent cx="66675" cy="2638425"/>
                <wp:effectExtent l="19050" t="19050" r="28575" b="9525"/>
                <wp:wrapNone/>
                <wp:docPr id="1946023464" name="直接连接符 174"/>
                <wp:cNvGraphicFramePr/>
                <a:graphic xmlns:a="http://schemas.openxmlformats.org/drawingml/2006/main">
                  <a:graphicData uri="http://schemas.microsoft.com/office/word/2010/wordprocessingShape">
                    <wps:wsp>
                      <wps:cNvCnPr/>
                      <wps:spPr>
                        <a:xfrm flipH="1" flipV="1">
                          <a:off x="0" y="0"/>
                          <a:ext cx="66675" cy="2638425"/>
                        </a:xfrm>
                        <a:prstGeom prst="line">
                          <a:avLst/>
                        </a:prstGeom>
                        <a:ln w="28575">
                          <a:solidFill>
                            <a:srgbClr val="EE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line id="直接连接符 174" o:spid="_x0000_s1026" o:spt="20" style="position:absolute;left:0pt;flip:x y;margin-left:134.3pt;margin-top:76.05pt;height:207.75pt;width:5.25pt;z-index:251663360;mso-width-relative:page;mso-height-relative:page;" filled="f" stroked="t" coordsize="21600,21600" o:gfxdata="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Ni5lw/ZAAAACwEAAA8AAAAAAAAAAQAgAAAAIgAAAGRycy9k&#10;b3ducmV2LnhtbFBLAQIUABQAAAAIAIdO4kB68sWKAQIAANUDAAAOAAAAAAAAAAEAIAAAACgBAABk&#10;cnMvZTJvRG9jLnhtbFBLBQYAAAAABgAGAFkBAACbBQAAAAA=&#10;">
                <v:fill on="f" focussize="0,0"/>
                <v:stroke weight="2.25pt" color="#EE0000 [3204]" miterlimit="8" joinstyle="miter"/>
                <v:imagedata o:title=""/>
                <o:lock v:ext="edit" aspectratio="f"/>
              </v:line>
            </w:pict>
          </mc:Fallback>
        </mc:AlternateContent>
      </w:r>
      <w:r>
        <w:rPr>
          <w:noProof/>
        </w:rPr>
        <w:drawing>
          <wp:inline distT="0" distB="0" distL="0" distR="0" wp14:anchorId="32742510" wp14:editId="2CBEB168">
            <wp:extent cx="5172710" cy="4029075"/>
            <wp:effectExtent l="0" t="0" r="8890" b="0"/>
            <wp:docPr id="91246338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2463384" name="图片 1"/>
                    <pic:cNvPicPr>
                      <a:picLocks noChangeAspect="1"/>
                    </pic:cNvPicPr>
                  </pic:nvPicPr>
                  <pic:blipFill>
                    <a:blip r:embed="rId19"/>
                    <a:stretch>
                      <a:fillRect/>
                    </a:stretch>
                  </pic:blipFill>
                  <pic:spPr>
                    <a:xfrm>
                      <a:off x="0" y="0"/>
                      <a:ext cx="5177533" cy="4032805"/>
                    </a:xfrm>
                    <a:prstGeom prst="rect">
                      <a:avLst/>
                    </a:prstGeom>
                  </pic:spPr>
                </pic:pic>
              </a:graphicData>
            </a:graphic>
          </wp:inline>
        </w:drawing>
      </w:r>
      <w:r>
        <w:rPr>
          <w:noProof/>
        </w:rPr>
        <mc:AlternateContent>
          <mc:Choice Requires="wps">
            <w:drawing>
              <wp:anchor distT="0" distB="0" distL="114300" distR="114300" simplePos="0" relativeHeight="251660288" behindDoc="0" locked="0" layoutInCell="1" allowOverlap="1" wp14:anchorId="2AA89E0D" wp14:editId="21C42633">
                <wp:simplePos x="0" y="0"/>
                <wp:positionH relativeFrom="column">
                  <wp:posOffset>5124450</wp:posOffset>
                </wp:positionH>
                <wp:positionV relativeFrom="paragraph">
                  <wp:posOffset>572770</wp:posOffset>
                </wp:positionV>
                <wp:extent cx="304800" cy="323850"/>
                <wp:effectExtent l="0" t="0" r="0" b="0"/>
                <wp:wrapNone/>
                <wp:docPr id="1187637520" name="文本框 38"/>
                <wp:cNvGraphicFramePr/>
                <a:graphic xmlns:a="http://schemas.openxmlformats.org/drawingml/2006/main">
                  <a:graphicData uri="http://schemas.microsoft.com/office/word/2010/wordprocessingShape">
                    <wps:wsp>
                      <wps:cNvSpPr txBox="1"/>
                      <wps:spPr>
                        <a:xfrm>
                          <a:off x="0" y="0"/>
                          <a:ext cx="304800" cy="3238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02246C" w14:textId="77777777" w:rsidR="00EF4562" w:rsidRDefault="00000000">
                            <w:pPr>
                              <w:spacing w:line="240" w:lineRule="auto"/>
                              <w:ind w:firstLineChars="0" w:firstLine="0"/>
                              <w:rPr>
                                <w:color w:val="FFFFFF" w:themeColor="background1"/>
                                <w:sz w:val="21"/>
                                <w:szCs w:val="21"/>
                              </w:rPr>
                            </w:pPr>
                            <w:r>
                              <w:rPr>
                                <w:rFonts w:hint="eastAsia"/>
                                <w:color w:val="FFFFFF" w:themeColor="background1"/>
                                <w:sz w:val="21"/>
                                <w:szCs w:val="21"/>
                              </w:rPr>
                              <w:t>北</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2AA89E0D" id="_x0000_t202" coordsize="21600,21600" o:spt="202" path="m,l,21600r21600,l21600,xe">
                <v:stroke joinstyle="miter"/>
                <v:path gradientshapeok="t" o:connecttype="rect"/>
              </v:shapetype>
              <v:shape id="文本框 38" o:spid="_x0000_s1058" type="#_x0000_t202" style="position:absolute;left:0;text-align:left;margin-left:403.5pt;margin-top:45.1pt;width:24pt;height:25.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" filled="f" stroked="f">
                <v:textbox>
                  <w:txbxContent>
                    <w:p w14:paraId="4E02246C" w14:textId="77777777" w:rsidR="00EF4562" w:rsidRDefault="00000000">
                      <w:pPr>
                        <w:spacing w:line="240" w:lineRule="auto"/>
                        <w:ind w:firstLineChars="0" w:firstLine="0"/>
                        <w:rPr>
                          <w:color w:val="FFFFFF" w:themeColor="background1"/>
                          <w:sz w:val="21"/>
                          <w:szCs w:val="21"/>
                        </w:rPr>
                      </w:pPr>
                      <w:r>
                        <w:rPr>
                          <w:rFonts w:hint="eastAsia"/>
                          <w:color w:val="FFFFFF" w:themeColor="background1"/>
                          <w:sz w:val="21"/>
                          <w:szCs w:val="21"/>
                        </w:rPr>
                        <w:t>北</w:t>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7CFA4552" wp14:editId="28424FFB">
                <wp:simplePos x="0" y="0"/>
                <wp:positionH relativeFrom="column">
                  <wp:posOffset>4934585</wp:posOffset>
                </wp:positionH>
                <wp:positionV relativeFrom="paragraph">
                  <wp:posOffset>114300</wp:posOffset>
                </wp:positionV>
                <wp:extent cx="266700" cy="647700"/>
                <wp:effectExtent l="19050" t="19050" r="38100" b="19050"/>
                <wp:wrapNone/>
                <wp:docPr id="304737781" name="箭头: 上 251"/>
                <wp:cNvGraphicFramePr/>
                <a:graphic xmlns:a="http://schemas.openxmlformats.org/drawingml/2006/main">
                  <a:graphicData uri="http://schemas.microsoft.com/office/word/2010/wordprocessingShape">
                    <wps:wsp>
                      <wps:cNvSpPr/>
                      <wps:spPr>
                        <a:xfrm>
                          <a:off x="0" y="0"/>
                          <a:ext cx="266700" cy="647700"/>
                        </a:xfrm>
                        <a:prstGeom prst="up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箭头: 上 251" o:spid="_x0000_s1026" o:spt="68" type="#_x0000_t68" style="position:absolute;left:0pt;margin-left:388.55pt;margin-top:9pt;height:51pt;width:21pt;z-index:251661312;v-text-anchor:middle;mso-width-relative:page;mso-height-relative:page;" fillcolor="#FFFFFF [3201]" filled="t" stroked="t" coordsize="21600,21600" o:gfxdata="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&#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EcIt4PTAAAACgEAAA8AAAAAAAAAAQAgAAAAIgAAAGRy&#10;cy9kb3ducmV2LnhtbFBLAQIUABQAAAAIAIdO4kDFO2gvfAIAAAUFAAAOAAAAAAAAAAEAIAAAACIB&#10;AABkcnMvZTJvRG9jLnhtbFBLBQYAAAAABgAGAFkBAAAQBgAAAAA=&#10;" adj="4447,5400">
                <v:fill on="t" focussize="0,0"/>
                <v:stroke weight="1pt" color="#000000 [3200]" miterlimit="8" joinstyle="miter"/>
                <v:imagedata o:title=""/>
                <o:lock v:ext="edit" aspectratio="f"/>
              </v:shape>
            </w:pict>
          </mc:Fallback>
        </mc:AlternateContent>
      </w:r>
    </w:p>
    <w:p w14:paraId="24DA351A" w14:textId="77777777" w:rsidR="00EF4562" w:rsidRDefault="00000000">
      <w:pPr>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图</w:t>
      </w:r>
      <w:r>
        <w:rPr>
          <w:rFonts w:eastAsia="黑体" w:cs="Times New Roman"/>
          <w:sz w:val="24"/>
        </w:rPr>
        <w:t>2.2-1</w:t>
      </w:r>
      <w:r>
        <w:rPr>
          <w:rFonts w:ascii="黑体" w:eastAsia="黑体" w:hAnsi="黑体" w:hint="eastAsia"/>
          <w:sz w:val="24"/>
        </w:rPr>
        <w:t xml:space="preserve">  项目地理位置图</w:t>
      </w:r>
    </w:p>
    <w:p w14:paraId="6233F558" w14:textId="77777777" w:rsidR="00EF4562" w:rsidRDefault="00000000">
      <w:pPr>
        <w:spacing w:beforeLines="50" w:before="156" w:afterLines="50" w:after="156"/>
        <w:ind w:firstLine="562"/>
        <w:outlineLvl w:val="2"/>
        <w:rPr>
          <w:rFonts w:ascii="黑体" w:eastAsia="黑体" w:hAnsi="黑体" w:hint="eastAsia"/>
          <w:b/>
          <w:bCs/>
        </w:rPr>
      </w:pPr>
      <w:r>
        <w:rPr>
          <w:rFonts w:eastAsia="黑体" w:cs="Times New Roman"/>
          <w:b/>
          <w:bCs/>
        </w:rPr>
        <w:t>2.2.2</w:t>
      </w:r>
      <w:r>
        <w:rPr>
          <w:rFonts w:ascii="黑体" w:eastAsia="黑体" w:hAnsi="黑体" w:hint="eastAsia"/>
          <w:b/>
          <w:bCs/>
        </w:rPr>
        <w:t>用地面积</w:t>
      </w:r>
    </w:p>
    <w:p w14:paraId="7E582C13" w14:textId="77777777" w:rsidR="00EF4562" w:rsidRDefault="00000000">
      <w:pPr>
        <w:ind w:firstLine="560"/>
      </w:pPr>
      <w:r>
        <w:rPr>
          <w:rFonts w:hint="eastAsia"/>
        </w:rPr>
        <w:t>该站占地面积为</w:t>
      </w:r>
      <w:r>
        <w:rPr>
          <w:rFonts w:hint="eastAsia"/>
          <w:kern w:val="0"/>
          <w14:ligatures w14:val="none"/>
        </w:rPr>
        <w:t>4200</w:t>
      </w:r>
      <w:r>
        <w:rPr>
          <w:kern w:val="0"/>
          <w14:ligatures w14:val="none"/>
        </w:rPr>
        <w:t>m</w:t>
      </w:r>
      <w:r>
        <w:rPr>
          <w:kern w:val="0"/>
          <w:vertAlign w:val="superscript"/>
          <w14:ligatures w14:val="none"/>
        </w:rPr>
        <w:t>2</w:t>
      </w:r>
      <w:r>
        <w:rPr>
          <w:rFonts w:hint="eastAsia"/>
        </w:rPr>
        <w:t>。</w:t>
      </w:r>
    </w:p>
    <w:p w14:paraId="179FBF74" w14:textId="77777777" w:rsidR="00EF4562" w:rsidRDefault="00000000">
      <w:pPr>
        <w:keepNext/>
        <w:spacing w:beforeLines="100" w:before="312" w:afterLines="100" w:after="312"/>
        <w:ind w:firstLineChars="0" w:firstLine="0"/>
        <w:jc w:val="center"/>
        <w:outlineLvl w:val="1"/>
        <w:rPr>
          <w:rFonts w:ascii="楷体" w:eastAsia="楷体" w:hAnsi="楷体" w:hint="eastAsia"/>
          <w:b/>
          <w:bCs/>
          <w:sz w:val="32"/>
          <w:szCs w:val="32"/>
        </w:rPr>
      </w:pPr>
      <w:bookmarkStart w:id="16" w:name="_Toc207695625"/>
      <w:r>
        <w:rPr>
          <w:rFonts w:eastAsia="楷体" w:cs="Times New Roman"/>
          <w:b/>
          <w:bCs/>
          <w:sz w:val="32"/>
          <w:szCs w:val="32"/>
        </w:rPr>
        <w:lastRenderedPageBreak/>
        <w:t>2.3</w:t>
      </w:r>
      <w:r>
        <w:rPr>
          <w:rFonts w:ascii="楷体" w:eastAsia="楷体" w:hAnsi="楷体" w:hint="eastAsia"/>
          <w:b/>
          <w:bCs/>
          <w:sz w:val="32"/>
          <w:szCs w:val="32"/>
        </w:rPr>
        <w:t>建设项目涉及的主要原辅材料和品种名称、数量、储存</w:t>
      </w:r>
      <w:bookmarkEnd w:id="16"/>
    </w:p>
    <w:p w14:paraId="66808401" w14:textId="77777777" w:rsidR="00EF4562" w:rsidRDefault="00000000">
      <w:pPr>
        <w:keepNext/>
        <w:spacing w:beforeLines="50" w:before="156" w:afterLines="50" w:after="156"/>
        <w:ind w:firstLine="562"/>
        <w:outlineLvl w:val="2"/>
        <w:rPr>
          <w:rFonts w:ascii="黑体" w:eastAsia="黑体" w:hAnsi="黑体" w:hint="eastAsia"/>
          <w:b/>
          <w:bCs/>
        </w:rPr>
      </w:pPr>
      <w:r>
        <w:rPr>
          <w:rFonts w:eastAsia="黑体" w:cs="Times New Roman"/>
          <w:b/>
          <w:bCs/>
        </w:rPr>
        <w:t>2.3.1</w:t>
      </w:r>
      <w:r>
        <w:rPr>
          <w:rFonts w:ascii="黑体" w:eastAsia="黑体" w:hAnsi="黑体" w:hint="eastAsia"/>
          <w:b/>
          <w:bCs/>
        </w:rPr>
        <w:t>储存规模</w:t>
      </w:r>
    </w:p>
    <w:p w14:paraId="6B550369" w14:textId="77777777" w:rsidR="00EF4562" w:rsidRDefault="00000000">
      <w:pPr>
        <w:ind w:firstLine="560"/>
      </w:pPr>
      <w:r>
        <w:rPr>
          <w:rFonts w:hint="eastAsia"/>
        </w:rPr>
        <w:t>储存规模：</w:t>
      </w:r>
      <w:r>
        <w:rPr>
          <w:rFonts w:hint="eastAsia"/>
        </w:rPr>
        <w:t>6</w:t>
      </w:r>
      <w:r>
        <w:rPr>
          <w:rFonts w:hint="eastAsia"/>
        </w:rPr>
        <w:t>座埋地</w:t>
      </w:r>
      <w:r>
        <w:rPr>
          <w:rFonts w:hint="eastAsia"/>
        </w:rPr>
        <w:t>SF</w:t>
      </w:r>
      <w:r>
        <w:rPr>
          <w:rFonts w:hint="eastAsia"/>
        </w:rPr>
        <w:t>双层储罐，其中</w:t>
      </w:r>
      <w:r>
        <w:rPr>
          <w:rFonts w:hint="eastAsia"/>
        </w:rPr>
        <w:t>2</w:t>
      </w:r>
      <w:r>
        <w:rPr>
          <w:rFonts w:hint="eastAsia"/>
        </w:rPr>
        <w:t>座车用乙醇汽油储罐，储量均为</w:t>
      </w:r>
      <w:r>
        <w:rPr>
          <w:rFonts w:hint="eastAsia"/>
        </w:rPr>
        <w:t>35m</w:t>
      </w:r>
      <w:r>
        <w:rPr>
          <w:rFonts w:hint="eastAsia"/>
        </w:rPr>
        <w:t>³，即车用乙醇汽油储罐总容积为</w:t>
      </w:r>
      <w:r>
        <w:rPr>
          <w:rFonts w:hint="eastAsia"/>
        </w:rPr>
        <w:t>70m</w:t>
      </w:r>
      <w:r>
        <w:rPr>
          <w:rFonts w:hint="eastAsia"/>
        </w:rPr>
        <w:t>³，折合质量为</w:t>
      </w:r>
      <w:r>
        <w:rPr>
          <w:rFonts w:hint="eastAsia"/>
        </w:rPr>
        <w:t>56t</w:t>
      </w:r>
      <w:r>
        <w:rPr>
          <w:rFonts w:hint="eastAsia"/>
        </w:rPr>
        <w:t>；</w:t>
      </w:r>
      <w:r>
        <w:rPr>
          <w:rFonts w:hint="eastAsia"/>
        </w:rPr>
        <w:t>4</w:t>
      </w:r>
      <w:r>
        <w:rPr>
          <w:rFonts w:hint="eastAsia"/>
        </w:rPr>
        <w:t>座柴油储罐，储量均为</w:t>
      </w:r>
      <w:r>
        <w:rPr>
          <w:rFonts w:hint="eastAsia"/>
        </w:rPr>
        <w:t>40m</w:t>
      </w:r>
      <w:r>
        <w:rPr>
          <w:rFonts w:hint="eastAsia"/>
        </w:rPr>
        <w:t>³，即柴油储罐总容积为</w:t>
      </w:r>
      <w:r>
        <w:rPr>
          <w:rFonts w:hint="eastAsia"/>
        </w:rPr>
        <w:t>160m</w:t>
      </w:r>
      <w:r>
        <w:rPr>
          <w:rFonts w:hint="eastAsia"/>
        </w:rPr>
        <w:t>³，折合质量为</w:t>
      </w:r>
      <w:r>
        <w:rPr>
          <w:rFonts w:hint="eastAsia"/>
        </w:rPr>
        <w:t>136t</w:t>
      </w:r>
      <w:r>
        <w:rPr>
          <w:rFonts w:hint="eastAsia"/>
        </w:rPr>
        <w:t>。</w:t>
      </w:r>
    </w:p>
    <w:p w14:paraId="3770C64F" w14:textId="77777777" w:rsidR="00EF4562" w:rsidRDefault="00000000">
      <w:pPr>
        <w:spacing w:beforeLines="50" w:before="156" w:afterLines="50" w:after="156"/>
        <w:ind w:firstLineChars="300" w:firstLine="843"/>
        <w:outlineLvl w:val="2"/>
        <w:rPr>
          <w:rFonts w:ascii="黑体" w:eastAsia="黑体" w:hAnsi="黑体" w:hint="eastAsia"/>
          <w:b/>
          <w:bCs/>
        </w:rPr>
      </w:pPr>
      <w:r>
        <w:rPr>
          <w:rFonts w:eastAsia="黑体" w:cs="Times New Roman"/>
          <w:b/>
          <w:bCs/>
        </w:rPr>
        <w:t>2.3.2</w:t>
      </w:r>
      <w:r>
        <w:rPr>
          <w:rFonts w:ascii="黑体" w:eastAsia="黑体" w:hAnsi="黑体" w:hint="eastAsia"/>
          <w:b/>
          <w:bCs/>
        </w:rPr>
        <w:t>主要物料名称、数量和储存</w:t>
      </w:r>
    </w:p>
    <w:p w14:paraId="7C74A594" w14:textId="77777777" w:rsidR="00EF4562" w:rsidRDefault="00000000">
      <w:pPr>
        <w:ind w:firstLine="560"/>
      </w:pPr>
      <w:r>
        <w:rPr>
          <w:rFonts w:hint="eastAsia"/>
        </w:rPr>
        <w:t>该站涉及的主要物料名称、数量，储存情况，见表</w:t>
      </w:r>
      <w:r>
        <w:rPr>
          <w:rFonts w:hint="eastAsia"/>
        </w:rPr>
        <w:t>2.3-1</w:t>
      </w:r>
      <w:r>
        <w:rPr>
          <w:rFonts w:hint="eastAsia"/>
        </w:rPr>
        <w:t>。</w:t>
      </w:r>
    </w:p>
    <w:p w14:paraId="220119A6" w14:textId="77777777" w:rsidR="00EF4562"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2.3-1</w:t>
      </w:r>
      <w:r>
        <w:rPr>
          <w:rFonts w:ascii="黑体" w:eastAsia="黑体" w:hAnsi="黑体" w:hint="eastAsia"/>
          <w:sz w:val="24"/>
        </w:rPr>
        <w:t xml:space="preserve">  主要物料名称、数量和储存情况一览表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A0" w:firstRow="1" w:lastRow="0" w:firstColumn="1" w:lastColumn="0" w:noHBand="0" w:noVBand="1"/>
      </w:tblPr>
      <w:tblGrid>
        <w:gridCol w:w="741"/>
        <w:gridCol w:w="1499"/>
        <w:gridCol w:w="1248"/>
        <w:gridCol w:w="1659"/>
        <w:gridCol w:w="1525"/>
        <w:gridCol w:w="1319"/>
        <w:gridCol w:w="1183"/>
      </w:tblGrid>
      <w:tr w:rsidR="00EF4562" w14:paraId="4D54C2D2" w14:textId="77777777">
        <w:trPr>
          <w:jc w:val="center"/>
        </w:trPr>
        <w:tc>
          <w:tcPr>
            <w:tcW w:w="404" w:type="pct"/>
            <w:vAlign w:val="center"/>
          </w:tcPr>
          <w:p w14:paraId="1F41CAF3" w14:textId="77777777" w:rsidR="00EF4562" w:rsidRDefault="00000000">
            <w:pPr>
              <w:shd w:val="clear" w:color="auto" w:fill="FFFFFF"/>
              <w:autoSpaceDE w:val="0"/>
              <w:autoSpaceDN w:val="0"/>
              <w:adjustRightInd/>
              <w:snapToGrid/>
              <w:spacing w:line="240" w:lineRule="auto"/>
              <w:ind w:firstLineChars="0" w:firstLine="0"/>
              <w:jc w:val="center"/>
              <w:rPr>
                <w:rFonts w:cs="Times New Roman"/>
                <w:bCs/>
                <w:position w:val="-6"/>
                <w:sz w:val="21"/>
                <w:szCs w:val="21"/>
                <w14:ligatures w14:val="none"/>
              </w:rPr>
            </w:pPr>
            <w:r>
              <w:rPr>
                <w:rFonts w:cs="Times New Roman"/>
                <w:bCs/>
                <w:kern w:val="0"/>
                <w:position w:val="-6"/>
                <w:sz w:val="21"/>
                <w:szCs w:val="21"/>
                <w14:ligatures w14:val="none"/>
              </w:rPr>
              <w:t>序号</w:t>
            </w:r>
          </w:p>
        </w:tc>
        <w:tc>
          <w:tcPr>
            <w:tcW w:w="817" w:type="pct"/>
            <w:vAlign w:val="center"/>
          </w:tcPr>
          <w:p w14:paraId="3A13975B" w14:textId="77777777" w:rsidR="00EF4562" w:rsidRDefault="00000000">
            <w:pPr>
              <w:shd w:val="clear" w:color="auto" w:fill="FFFFFF"/>
              <w:autoSpaceDE w:val="0"/>
              <w:autoSpaceDN w:val="0"/>
              <w:adjustRightInd/>
              <w:snapToGrid/>
              <w:spacing w:line="240" w:lineRule="auto"/>
              <w:ind w:firstLineChars="0" w:firstLine="0"/>
              <w:jc w:val="center"/>
              <w:rPr>
                <w:rFonts w:cs="Times New Roman"/>
                <w:bCs/>
                <w:position w:val="-6"/>
                <w:sz w:val="21"/>
                <w:szCs w:val="21"/>
                <w14:ligatures w14:val="none"/>
              </w:rPr>
            </w:pPr>
            <w:r>
              <w:rPr>
                <w:rFonts w:cs="Times New Roman"/>
                <w:bCs/>
                <w:kern w:val="0"/>
                <w:position w:val="-6"/>
                <w:sz w:val="21"/>
                <w:szCs w:val="21"/>
                <w14:ligatures w14:val="none"/>
              </w:rPr>
              <w:t>物料名称</w:t>
            </w:r>
          </w:p>
        </w:tc>
        <w:tc>
          <w:tcPr>
            <w:tcW w:w="680" w:type="pct"/>
            <w:vAlign w:val="center"/>
          </w:tcPr>
          <w:p w14:paraId="1CA2580D" w14:textId="77777777" w:rsidR="00EF4562" w:rsidRDefault="00000000">
            <w:pPr>
              <w:shd w:val="clear" w:color="auto" w:fill="FFFFFF"/>
              <w:autoSpaceDE w:val="0"/>
              <w:autoSpaceDN w:val="0"/>
              <w:adjustRightInd/>
              <w:snapToGrid/>
              <w:spacing w:line="240" w:lineRule="auto"/>
              <w:ind w:firstLineChars="0" w:firstLine="0"/>
              <w:jc w:val="center"/>
              <w:rPr>
                <w:rFonts w:cs="Times New Roman"/>
                <w:bCs/>
                <w:position w:val="-6"/>
                <w:sz w:val="21"/>
                <w:szCs w:val="21"/>
                <w14:ligatures w14:val="none"/>
              </w:rPr>
            </w:pPr>
            <w:r>
              <w:rPr>
                <w:rFonts w:cs="Times New Roman"/>
                <w:bCs/>
                <w:position w:val="-6"/>
                <w:sz w:val="21"/>
                <w:szCs w:val="21"/>
                <w14:ligatures w14:val="none"/>
              </w:rPr>
              <w:t>储存场所</w:t>
            </w:r>
          </w:p>
        </w:tc>
        <w:tc>
          <w:tcPr>
            <w:tcW w:w="904" w:type="pct"/>
            <w:vAlign w:val="center"/>
          </w:tcPr>
          <w:p w14:paraId="1B18A3F8" w14:textId="77777777" w:rsidR="00EF4562" w:rsidRDefault="00000000">
            <w:pPr>
              <w:shd w:val="clear" w:color="auto" w:fill="FFFFFF"/>
              <w:autoSpaceDE w:val="0"/>
              <w:autoSpaceDN w:val="0"/>
              <w:adjustRightInd/>
              <w:snapToGrid/>
              <w:spacing w:line="240" w:lineRule="auto"/>
              <w:ind w:firstLineChars="0" w:firstLine="0"/>
              <w:jc w:val="center"/>
              <w:rPr>
                <w:rFonts w:cs="Times New Roman"/>
                <w:bCs/>
                <w:position w:val="-6"/>
                <w:sz w:val="21"/>
                <w:szCs w:val="21"/>
                <w14:ligatures w14:val="none"/>
              </w:rPr>
            </w:pPr>
            <w:r>
              <w:rPr>
                <w:rFonts w:cs="Times New Roman"/>
                <w:bCs/>
                <w:position w:val="-6"/>
                <w:sz w:val="21"/>
                <w:szCs w:val="21"/>
                <w14:ligatures w14:val="none"/>
              </w:rPr>
              <w:t>储存</w:t>
            </w:r>
            <w:r>
              <w:rPr>
                <w:rFonts w:cs="Times New Roman" w:hint="eastAsia"/>
                <w:bCs/>
                <w:position w:val="-6"/>
                <w:sz w:val="21"/>
                <w:szCs w:val="21"/>
                <w14:ligatures w14:val="none"/>
              </w:rPr>
              <w:t>量</w:t>
            </w:r>
            <w:r>
              <w:rPr>
                <w:rFonts w:cs="Times New Roman"/>
                <w:bCs/>
                <w:position w:val="-6"/>
                <w:sz w:val="21"/>
                <w:szCs w:val="21"/>
                <w14:ligatures w14:val="none"/>
              </w:rPr>
              <w:t>（</w:t>
            </w:r>
            <w:r>
              <w:rPr>
                <w:rFonts w:cs="Times New Roman" w:hint="eastAsia"/>
                <w:bCs/>
                <w:position w:val="-6"/>
                <w:sz w:val="21"/>
                <w:szCs w:val="21"/>
                <w14:ligatures w14:val="none"/>
              </w:rPr>
              <w:t>t</w:t>
            </w:r>
            <w:r>
              <w:rPr>
                <w:rFonts w:cs="Times New Roman"/>
                <w:bCs/>
                <w:position w:val="-6"/>
                <w:sz w:val="21"/>
                <w:szCs w:val="21"/>
                <w14:ligatures w14:val="none"/>
              </w:rPr>
              <w:t>）</w:t>
            </w:r>
          </w:p>
        </w:tc>
        <w:tc>
          <w:tcPr>
            <w:tcW w:w="831" w:type="pct"/>
            <w:vAlign w:val="center"/>
          </w:tcPr>
          <w:p w14:paraId="1B57323E" w14:textId="77777777" w:rsidR="00EF4562" w:rsidRDefault="00000000">
            <w:pPr>
              <w:shd w:val="clear" w:color="auto" w:fill="FFFFFF"/>
              <w:autoSpaceDE w:val="0"/>
              <w:autoSpaceDN w:val="0"/>
              <w:adjustRightInd/>
              <w:snapToGrid/>
              <w:spacing w:line="240" w:lineRule="auto"/>
              <w:ind w:firstLineChars="0" w:firstLine="0"/>
              <w:jc w:val="center"/>
              <w:rPr>
                <w:rFonts w:cs="Times New Roman"/>
                <w:bCs/>
                <w:position w:val="-6"/>
                <w:sz w:val="21"/>
                <w:szCs w:val="21"/>
                <w14:ligatures w14:val="none"/>
              </w:rPr>
            </w:pPr>
            <w:r>
              <w:rPr>
                <w:rFonts w:cs="Times New Roman" w:hint="eastAsia"/>
                <w:bCs/>
                <w:position w:val="-6"/>
                <w:sz w:val="21"/>
                <w:szCs w:val="21"/>
                <w14:ligatures w14:val="none"/>
              </w:rPr>
              <w:t>火灾</w:t>
            </w:r>
            <w:r>
              <w:rPr>
                <w:rFonts w:cs="Times New Roman"/>
                <w:bCs/>
                <w:position w:val="-6"/>
                <w:sz w:val="21"/>
                <w:szCs w:val="21"/>
                <w14:ligatures w14:val="none"/>
              </w:rPr>
              <w:t>危险性</w:t>
            </w:r>
          </w:p>
        </w:tc>
        <w:tc>
          <w:tcPr>
            <w:tcW w:w="719" w:type="pct"/>
            <w:vAlign w:val="center"/>
          </w:tcPr>
          <w:p w14:paraId="7B2F437F" w14:textId="77777777" w:rsidR="00EF4562" w:rsidRDefault="00000000">
            <w:pPr>
              <w:shd w:val="clear" w:color="auto" w:fill="FFFFFF"/>
              <w:autoSpaceDE w:val="0"/>
              <w:autoSpaceDN w:val="0"/>
              <w:adjustRightInd/>
              <w:snapToGrid/>
              <w:spacing w:line="240" w:lineRule="auto"/>
              <w:ind w:firstLineChars="0" w:firstLine="0"/>
              <w:jc w:val="center"/>
              <w:rPr>
                <w:rFonts w:cs="Times New Roman"/>
                <w:bCs/>
                <w:position w:val="-6"/>
                <w:sz w:val="21"/>
                <w:szCs w:val="21"/>
                <w14:ligatures w14:val="none"/>
              </w:rPr>
            </w:pPr>
            <w:r>
              <w:rPr>
                <w:rFonts w:cs="Times New Roman" w:hint="eastAsia"/>
                <w:bCs/>
                <w:position w:val="-6"/>
                <w:sz w:val="21"/>
                <w:szCs w:val="21"/>
                <w14:ligatures w14:val="none"/>
              </w:rPr>
              <w:t>密度（</w:t>
            </w:r>
            <w:r>
              <w:rPr>
                <w:rFonts w:cs="Times New Roman" w:hint="eastAsia"/>
                <w:bCs/>
                <w:position w:val="-6"/>
                <w:sz w:val="21"/>
                <w:szCs w:val="21"/>
                <w14:ligatures w14:val="none"/>
              </w:rPr>
              <w:t>t/m</w:t>
            </w:r>
            <w:r>
              <w:rPr>
                <w:rFonts w:cs="Times New Roman" w:hint="eastAsia"/>
                <w:bCs/>
                <w:position w:val="-6"/>
                <w:sz w:val="21"/>
                <w:szCs w:val="21"/>
                <w:vertAlign w:val="superscript"/>
                <w14:ligatures w14:val="none"/>
              </w:rPr>
              <w:t>3</w:t>
            </w:r>
            <w:r>
              <w:rPr>
                <w:rFonts w:cs="Times New Roman" w:hint="eastAsia"/>
                <w:bCs/>
                <w:position w:val="-6"/>
                <w:sz w:val="21"/>
                <w:szCs w:val="21"/>
                <w14:ligatures w14:val="none"/>
              </w:rPr>
              <w:t>）</w:t>
            </w:r>
          </w:p>
        </w:tc>
        <w:tc>
          <w:tcPr>
            <w:tcW w:w="645" w:type="pct"/>
            <w:vAlign w:val="center"/>
          </w:tcPr>
          <w:p w14:paraId="5F3D4A35" w14:textId="77777777" w:rsidR="00EF4562" w:rsidRDefault="00000000">
            <w:pPr>
              <w:shd w:val="clear" w:color="auto" w:fill="FFFFFF"/>
              <w:autoSpaceDE w:val="0"/>
              <w:autoSpaceDN w:val="0"/>
              <w:adjustRightInd/>
              <w:snapToGrid/>
              <w:spacing w:line="240" w:lineRule="auto"/>
              <w:ind w:firstLineChars="0" w:firstLine="0"/>
              <w:jc w:val="center"/>
              <w:rPr>
                <w:rFonts w:cs="Times New Roman"/>
                <w:bCs/>
                <w:position w:val="-6"/>
                <w:sz w:val="21"/>
                <w:szCs w:val="21"/>
                <w14:ligatures w14:val="none"/>
              </w:rPr>
            </w:pPr>
            <w:r>
              <w:rPr>
                <w:rFonts w:cs="Times New Roman" w:hint="eastAsia"/>
                <w:bCs/>
                <w:position w:val="-6"/>
                <w:sz w:val="21"/>
                <w:szCs w:val="21"/>
                <w14:ligatures w14:val="none"/>
              </w:rPr>
              <w:t>备注</w:t>
            </w:r>
          </w:p>
        </w:tc>
      </w:tr>
      <w:tr w:rsidR="00EF4562" w14:paraId="30EC31E4" w14:textId="77777777">
        <w:trPr>
          <w:trHeight w:val="408"/>
          <w:jc w:val="center"/>
        </w:trPr>
        <w:tc>
          <w:tcPr>
            <w:tcW w:w="404" w:type="pct"/>
            <w:vAlign w:val="center"/>
          </w:tcPr>
          <w:p w14:paraId="47C2DDE3" w14:textId="77777777" w:rsidR="00EF4562" w:rsidRDefault="00000000">
            <w:pPr>
              <w:widowControl/>
              <w:adjustRightInd/>
              <w:snapToGrid/>
              <w:spacing w:line="240" w:lineRule="auto"/>
              <w:ind w:firstLineChars="0" w:firstLine="0"/>
              <w:jc w:val="center"/>
              <w:rPr>
                <w:rFonts w:cs="Times New Roman"/>
                <w:kern w:val="0"/>
                <w:sz w:val="21"/>
                <w:szCs w:val="21"/>
                <w14:ligatures w14:val="none"/>
              </w:rPr>
            </w:pPr>
            <w:r>
              <w:rPr>
                <w:rFonts w:cs="Times New Roman"/>
                <w:kern w:val="0"/>
                <w:sz w:val="21"/>
                <w:szCs w:val="21"/>
                <w14:ligatures w14:val="none"/>
              </w:rPr>
              <w:t>1</w:t>
            </w:r>
          </w:p>
        </w:tc>
        <w:tc>
          <w:tcPr>
            <w:tcW w:w="817" w:type="pct"/>
            <w:vAlign w:val="center"/>
          </w:tcPr>
          <w:p w14:paraId="19C72103" w14:textId="77777777" w:rsidR="00EF4562" w:rsidRDefault="00000000">
            <w:pPr>
              <w:widowControl/>
              <w:adjustRightInd/>
              <w:snapToGrid/>
              <w:spacing w:line="240" w:lineRule="auto"/>
              <w:ind w:firstLineChars="0" w:firstLine="0"/>
              <w:jc w:val="center"/>
              <w:rPr>
                <w:rFonts w:cs="Times New Roman"/>
                <w:kern w:val="0"/>
                <w:sz w:val="21"/>
                <w:szCs w:val="21"/>
                <w14:ligatures w14:val="none"/>
              </w:rPr>
            </w:pPr>
            <w:r>
              <w:rPr>
                <w:rFonts w:cs="Times New Roman"/>
                <w:kern w:val="0"/>
                <w:sz w:val="21"/>
                <w:szCs w:val="21"/>
                <w14:ligatures w14:val="none"/>
              </w:rPr>
              <w:t>车用乙醇汽油</w:t>
            </w:r>
          </w:p>
        </w:tc>
        <w:tc>
          <w:tcPr>
            <w:tcW w:w="680" w:type="pct"/>
            <w:vAlign w:val="center"/>
          </w:tcPr>
          <w:p w14:paraId="074A37E0" w14:textId="77777777" w:rsidR="00EF4562" w:rsidRDefault="00000000">
            <w:pPr>
              <w:widowControl/>
              <w:adjustRightInd/>
              <w:snapToGrid/>
              <w:spacing w:line="240" w:lineRule="auto"/>
              <w:ind w:firstLineChars="0" w:firstLine="0"/>
              <w:jc w:val="center"/>
              <w:rPr>
                <w:rFonts w:cs="Times New Roman"/>
                <w:kern w:val="0"/>
                <w:sz w:val="21"/>
                <w:szCs w:val="21"/>
                <w14:ligatures w14:val="none"/>
              </w:rPr>
            </w:pPr>
            <w:r>
              <w:rPr>
                <w:rFonts w:cs="Times New Roman"/>
                <w:kern w:val="0"/>
                <w:sz w:val="21"/>
                <w:szCs w:val="21"/>
                <w14:ligatures w14:val="none"/>
              </w:rPr>
              <w:t>埋地储罐</w:t>
            </w:r>
          </w:p>
        </w:tc>
        <w:tc>
          <w:tcPr>
            <w:tcW w:w="904" w:type="pct"/>
            <w:vAlign w:val="center"/>
          </w:tcPr>
          <w:p w14:paraId="454E404D"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hint="eastAsia"/>
                <w:sz w:val="21"/>
                <w:szCs w:val="21"/>
                <w14:ligatures w14:val="none"/>
              </w:rPr>
              <w:t>56</w:t>
            </w:r>
          </w:p>
        </w:tc>
        <w:tc>
          <w:tcPr>
            <w:tcW w:w="831" w:type="pct"/>
            <w:vAlign w:val="center"/>
          </w:tcPr>
          <w:p w14:paraId="66059F17"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甲类</w:t>
            </w:r>
          </w:p>
        </w:tc>
        <w:tc>
          <w:tcPr>
            <w:tcW w:w="719" w:type="pct"/>
            <w:vAlign w:val="center"/>
          </w:tcPr>
          <w:p w14:paraId="00B51C63"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hint="eastAsia"/>
                <w:kern w:val="0"/>
                <w:sz w:val="22"/>
                <w:szCs w:val="22"/>
                <w14:ligatures w14:val="none"/>
              </w:rPr>
              <w:t>0.70~</w:t>
            </w:r>
            <w:r>
              <w:rPr>
                <w:rFonts w:cs="Times New Roman"/>
                <w:kern w:val="0"/>
                <w:sz w:val="22"/>
                <w:szCs w:val="22"/>
                <w14:ligatures w14:val="none"/>
              </w:rPr>
              <w:t>0.80</w:t>
            </w:r>
          </w:p>
        </w:tc>
        <w:tc>
          <w:tcPr>
            <w:tcW w:w="645" w:type="pct"/>
            <w:vAlign w:val="center"/>
          </w:tcPr>
          <w:p w14:paraId="3F0EAC13" w14:textId="77777777" w:rsidR="00EF4562" w:rsidRDefault="00EF4562">
            <w:pPr>
              <w:adjustRightInd/>
              <w:snapToGrid/>
              <w:spacing w:line="240" w:lineRule="auto"/>
              <w:ind w:firstLineChars="0" w:firstLine="0"/>
              <w:jc w:val="center"/>
              <w:rPr>
                <w:rFonts w:cs="Times New Roman"/>
                <w:sz w:val="21"/>
                <w:szCs w:val="21"/>
                <w14:ligatures w14:val="none"/>
              </w:rPr>
            </w:pPr>
          </w:p>
        </w:tc>
      </w:tr>
      <w:tr w:rsidR="00EF4562" w14:paraId="17AE86AA" w14:textId="77777777">
        <w:trPr>
          <w:trHeight w:val="358"/>
          <w:jc w:val="center"/>
        </w:trPr>
        <w:tc>
          <w:tcPr>
            <w:tcW w:w="404" w:type="pct"/>
            <w:vAlign w:val="center"/>
          </w:tcPr>
          <w:p w14:paraId="7042C6BA" w14:textId="77777777" w:rsidR="00EF4562" w:rsidRDefault="00000000">
            <w:pPr>
              <w:widowControl/>
              <w:adjustRightInd/>
              <w:snapToGrid/>
              <w:spacing w:line="240" w:lineRule="auto"/>
              <w:ind w:firstLineChars="0" w:firstLine="0"/>
              <w:jc w:val="center"/>
              <w:rPr>
                <w:rFonts w:cs="Times New Roman"/>
                <w:kern w:val="0"/>
                <w:sz w:val="21"/>
                <w:szCs w:val="21"/>
                <w14:ligatures w14:val="none"/>
              </w:rPr>
            </w:pPr>
            <w:r>
              <w:rPr>
                <w:rFonts w:cs="Times New Roman"/>
                <w:kern w:val="0"/>
                <w:sz w:val="21"/>
                <w:szCs w:val="21"/>
                <w14:ligatures w14:val="none"/>
              </w:rPr>
              <w:t>2</w:t>
            </w:r>
          </w:p>
        </w:tc>
        <w:tc>
          <w:tcPr>
            <w:tcW w:w="817" w:type="pct"/>
            <w:vAlign w:val="center"/>
          </w:tcPr>
          <w:p w14:paraId="4CCEB1AD" w14:textId="77777777" w:rsidR="00EF4562" w:rsidRDefault="00000000">
            <w:pPr>
              <w:widowControl/>
              <w:adjustRightInd/>
              <w:snapToGrid/>
              <w:spacing w:line="240" w:lineRule="auto"/>
              <w:ind w:firstLineChars="0" w:firstLine="0"/>
              <w:jc w:val="center"/>
              <w:rPr>
                <w:rFonts w:cs="Times New Roman"/>
                <w:kern w:val="0"/>
                <w:sz w:val="21"/>
                <w:szCs w:val="21"/>
                <w14:ligatures w14:val="none"/>
              </w:rPr>
            </w:pPr>
            <w:r>
              <w:rPr>
                <w:rFonts w:cs="Times New Roman"/>
                <w:kern w:val="0"/>
                <w:sz w:val="21"/>
                <w:szCs w:val="21"/>
                <w14:ligatures w14:val="none"/>
              </w:rPr>
              <w:t>柴油</w:t>
            </w:r>
          </w:p>
        </w:tc>
        <w:tc>
          <w:tcPr>
            <w:tcW w:w="680" w:type="pct"/>
            <w:vAlign w:val="center"/>
          </w:tcPr>
          <w:p w14:paraId="3083071A" w14:textId="77777777" w:rsidR="00EF4562" w:rsidRDefault="00000000">
            <w:pPr>
              <w:widowControl/>
              <w:adjustRightInd/>
              <w:snapToGrid/>
              <w:spacing w:line="240" w:lineRule="auto"/>
              <w:ind w:firstLineChars="0" w:firstLine="0"/>
              <w:jc w:val="center"/>
              <w:rPr>
                <w:rFonts w:cs="Times New Roman"/>
                <w:kern w:val="0"/>
                <w:sz w:val="21"/>
                <w:szCs w:val="21"/>
                <w14:ligatures w14:val="none"/>
              </w:rPr>
            </w:pPr>
            <w:r>
              <w:rPr>
                <w:rFonts w:cs="Times New Roman"/>
                <w:kern w:val="0"/>
                <w:sz w:val="21"/>
                <w:szCs w:val="21"/>
                <w14:ligatures w14:val="none"/>
              </w:rPr>
              <w:t>埋地储罐</w:t>
            </w:r>
          </w:p>
        </w:tc>
        <w:tc>
          <w:tcPr>
            <w:tcW w:w="904" w:type="pct"/>
            <w:vAlign w:val="center"/>
          </w:tcPr>
          <w:p w14:paraId="2DB42E56"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hint="eastAsia"/>
                <w:sz w:val="21"/>
                <w:szCs w:val="21"/>
                <w14:ligatures w14:val="none"/>
              </w:rPr>
              <w:t>136</w:t>
            </w:r>
          </w:p>
        </w:tc>
        <w:tc>
          <w:tcPr>
            <w:tcW w:w="831" w:type="pct"/>
            <w:vAlign w:val="center"/>
          </w:tcPr>
          <w:p w14:paraId="7462746D"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乙类</w:t>
            </w:r>
            <w:r>
              <w:rPr>
                <w:rFonts w:cs="Times New Roman" w:hint="eastAsia"/>
                <w:sz w:val="21"/>
                <w:szCs w:val="21"/>
                <w14:ligatures w14:val="none"/>
              </w:rPr>
              <w:t>/</w:t>
            </w:r>
            <w:r>
              <w:rPr>
                <w:rFonts w:cs="Times New Roman" w:hint="eastAsia"/>
                <w:sz w:val="21"/>
                <w:szCs w:val="21"/>
                <w14:ligatures w14:val="none"/>
              </w:rPr>
              <w:t>丙类</w:t>
            </w:r>
          </w:p>
        </w:tc>
        <w:tc>
          <w:tcPr>
            <w:tcW w:w="719" w:type="pct"/>
            <w:vAlign w:val="center"/>
          </w:tcPr>
          <w:p w14:paraId="00197BFA"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hint="eastAsia"/>
                <w:kern w:val="0"/>
                <w:sz w:val="22"/>
                <w:szCs w:val="22"/>
                <w14:ligatures w14:val="none"/>
              </w:rPr>
              <w:t>0.79~</w:t>
            </w:r>
            <w:r>
              <w:rPr>
                <w:rFonts w:cs="Times New Roman"/>
                <w:kern w:val="0"/>
                <w:sz w:val="22"/>
                <w:szCs w:val="22"/>
                <w14:ligatures w14:val="none"/>
              </w:rPr>
              <w:t>0.85</w:t>
            </w:r>
          </w:p>
        </w:tc>
        <w:tc>
          <w:tcPr>
            <w:tcW w:w="645" w:type="pct"/>
            <w:vAlign w:val="center"/>
          </w:tcPr>
          <w:p w14:paraId="6CB5DB64" w14:textId="77777777" w:rsidR="00EF4562" w:rsidRDefault="00EF4562">
            <w:pPr>
              <w:adjustRightInd/>
              <w:snapToGrid/>
              <w:spacing w:line="240" w:lineRule="auto"/>
              <w:ind w:firstLineChars="0" w:firstLine="0"/>
              <w:jc w:val="center"/>
              <w:rPr>
                <w:rFonts w:cs="Times New Roman"/>
                <w:sz w:val="21"/>
                <w:szCs w:val="21"/>
                <w14:ligatures w14:val="none"/>
              </w:rPr>
            </w:pPr>
          </w:p>
        </w:tc>
      </w:tr>
    </w:tbl>
    <w:p w14:paraId="1D70E846" w14:textId="77777777" w:rsidR="00EF4562" w:rsidRDefault="00000000">
      <w:pPr>
        <w:spacing w:beforeLines="100" w:before="312" w:afterLines="100" w:after="312"/>
        <w:ind w:firstLineChars="0" w:firstLine="0"/>
        <w:jc w:val="center"/>
        <w:outlineLvl w:val="1"/>
        <w:rPr>
          <w:rFonts w:ascii="楷体" w:eastAsia="楷体" w:hAnsi="楷体" w:hint="eastAsia"/>
          <w:b/>
          <w:bCs/>
          <w:sz w:val="32"/>
          <w:szCs w:val="32"/>
        </w:rPr>
      </w:pPr>
      <w:bookmarkStart w:id="17" w:name="_Toc207695626"/>
      <w:r>
        <w:rPr>
          <w:rFonts w:eastAsia="楷体" w:cs="Times New Roman"/>
          <w:b/>
          <w:bCs/>
          <w:sz w:val="32"/>
          <w:szCs w:val="32"/>
        </w:rPr>
        <w:t>2.4</w:t>
      </w:r>
      <w:r>
        <w:rPr>
          <w:rFonts w:ascii="楷体" w:eastAsia="楷体" w:hAnsi="楷体" w:hint="eastAsia"/>
          <w:b/>
          <w:bCs/>
          <w:sz w:val="32"/>
          <w:szCs w:val="32"/>
        </w:rPr>
        <w:t>建设项目选择的工艺流程和选用的主要设备和设施的布局及其上下游生产装置的关系</w:t>
      </w:r>
      <w:bookmarkEnd w:id="17"/>
    </w:p>
    <w:p w14:paraId="0F8B87F8" w14:textId="77777777" w:rsidR="00EF4562" w:rsidRDefault="00000000">
      <w:pPr>
        <w:spacing w:beforeLines="50" w:before="156" w:afterLines="50" w:after="156"/>
        <w:ind w:firstLine="562"/>
        <w:outlineLvl w:val="2"/>
        <w:rPr>
          <w:rFonts w:ascii="黑体" w:eastAsia="黑体" w:hAnsi="黑体" w:hint="eastAsia"/>
          <w:b/>
          <w:bCs/>
        </w:rPr>
      </w:pPr>
      <w:r>
        <w:rPr>
          <w:rFonts w:eastAsia="黑体" w:cs="Times New Roman"/>
          <w:b/>
          <w:bCs/>
        </w:rPr>
        <w:t>2.4.1</w:t>
      </w:r>
      <w:r>
        <w:rPr>
          <w:rFonts w:ascii="黑体" w:eastAsia="黑体" w:hAnsi="黑体" w:hint="eastAsia"/>
          <w:b/>
          <w:bCs/>
        </w:rPr>
        <w:t>加油工艺流程</w:t>
      </w:r>
    </w:p>
    <w:p w14:paraId="76EBF3F5" w14:textId="77777777" w:rsidR="00EF4562" w:rsidRDefault="00000000">
      <w:pPr>
        <w:ind w:firstLine="560"/>
      </w:pPr>
      <w:r>
        <w:rPr>
          <w:rFonts w:hint="eastAsia"/>
        </w:rPr>
        <w:t>加油部分工艺过程主要是完成油品卸入（埋地油罐）和油品输出（出售）的过程，其工艺过程，见图</w:t>
      </w:r>
      <w:r>
        <w:rPr>
          <w:rFonts w:hint="eastAsia"/>
        </w:rPr>
        <w:t>2.4-1</w:t>
      </w:r>
      <w:r>
        <w:rPr>
          <w:rFonts w:hint="eastAsia"/>
        </w:rPr>
        <w:t>、图</w:t>
      </w:r>
      <w:r>
        <w:rPr>
          <w:rFonts w:hint="eastAsia"/>
        </w:rPr>
        <w:t>2.4-2</w:t>
      </w:r>
      <w:r>
        <w:rPr>
          <w:rFonts w:hint="eastAsia"/>
        </w:rPr>
        <w:t>、图</w:t>
      </w:r>
      <w:r>
        <w:rPr>
          <w:rFonts w:hint="eastAsia"/>
        </w:rPr>
        <w:t>2.4-3</w:t>
      </w:r>
      <w:r>
        <w:rPr>
          <w:rFonts w:hint="eastAsia"/>
        </w:rPr>
        <w:t>、图</w:t>
      </w:r>
      <w:r>
        <w:rPr>
          <w:rFonts w:hint="eastAsia"/>
        </w:rPr>
        <w:t>2.4-4</w:t>
      </w:r>
      <w:r>
        <w:rPr>
          <w:rFonts w:hint="eastAsia"/>
        </w:rPr>
        <w:t>。</w:t>
      </w:r>
    </w:p>
    <w:p w14:paraId="54FAE70D" w14:textId="77777777" w:rsidR="00EF4562" w:rsidRDefault="00000000">
      <w:pPr>
        <w:ind w:firstLine="560"/>
      </w:pPr>
      <w:r>
        <w:rPr>
          <w:rFonts w:hint="eastAsia"/>
        </w:rPr>
        <w:t>（</w:t>
      </w:r>
      <w:r>
        <w:rPr>
          <w:rFonts w:hint="eastAsia"/>
        </w:rPr>
        <w:t>1</w:t>
      </w:r>
      <w:r>
        <w:rPr>
          <w:rFonts w:hint="eastAsia"/>
        </w:rPr>
        <w:t>）卸油工艺流程</w:t>
      </w:r>
    </w:p>
    <w:p w14:paraId="387ED10A" w14:textId="77777777" w:rsidR="00EF4562" w:rsidRDefault="00000000">
      <w:pPr>
        <w:ind w:firstLine="560"/>
      </w:pPr>
      <w:r>
        <w:rPr>
          <w:rFonts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int="eastAsia"/>
        </w:rPr>
        <w:t>5min</w:t>
      </w:r>
      <w:r>
        <w:rPr>
          <w:rFonts w:hint="eastAsia"/>
        </w:rPr>
        <w:t>后，开启阀门将油品（车用乙醇汽油、柴油）自流输送至相应的贮罐储存（常压）。车用乙醇汽油卸车时，需连接油气回收气相胶管，用于车用乙醇汽油油气回收。油品卸完后，拆除连接软管，人工封闭好油罐卸油口和</w:t>
      </w:r>
      <w:r>
        <w:rPr>
          <w:rFonts w:hint="eastAsia"/>
        </w:rPr>
        <w:lastRenderedPageBreak/>
        <w:t>油罐车卸油口后拆除静电接地装置，油品罐车缓慢驶离罐区。油罐车密闭卸油及卸油油气回收工艺流程，见图</w:t>
      </w:r>
      <w:r>
        <w:rPr>
          <w:rFonts w:hint="eastAsia"/>
        </w:rPr>
        <w:t>2.4-1</w:t>
      </w:r>
      <w:r>
        <w:rPr>
          <w:rFonts w:hint="eastAsia"/>
        </w:rPr>
        <w:t>、图</w:t>
      </w:r>
      <w:r>
        <w:rPr>
          <w:rFonts w:hint="eastAsia"/>
        </w:rPr>
        <w:t>2.4-2</w:t>
      </w:r>
      <w:r>
        <w:rPr>
          <w:rFonts w:hint="eastAsia"/>
        </w:rPr>
        <w:t>：</w:t>
      </w:r>
    </w:p>
    <w:p w14:paraId="74263503" w14:textId="77777777" w:rsidR="00EF4562" w:rsidRDefault="00000000">
      <w:pPr>
        <w:ind w:firstLineChars="0" w:firstLine="0"/>
      </w:pPr>
      <w:r>
        <w:rPr>
          <w:rFonts w:hint="eastAsia"/>
          <w:noProof/>
          <w:szCs w:val="28"/>
        </w:rPr>
        <mc:AlternateContent>
          <mc:Choice Requires="wpc">
            <w:drawing>
              <wp:inline distT="0" distB="0" distL="0" distR="0" wp14:anchorId="130306F6" wp14:editId="762EB660">
                <wp:extent cx="5772150" cy="1085850"/>
                <wp:effectExtent l="0" t="0" r="0" b="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46378"/>
                            <a:ext cx="807396" cy="311429"/>
                          </a:xfrm>
                          <a:prstGeom prst="rect">
                            <a:avLst/>
                          </a:prstGeom>
                          <a:solidFill>
                            <a:sysClr val="window" lastClr="FFFFFF"/>
                          </a:solidFill>
                          <a:ln w="6350">
                            <a:solidFill>
                              <a:prstClr val="black"/>
                            </a:solidFill>
                          </a:ln>
                        </wps:spPr>
                        <wps:txbx>
                          <w:txbxContent>
                            <w:p w14:paraId="74B86D9F" w14:textId="77777777" w:rsidR="00EF4562" w:rsidRDefault="00000000">
                              <w:pPr>
                                <w:pStyle w:val="af0"/>
                              </w:pPr>
                              <w:r>
                                <w:rPr>
                                  <w:rFonts w:hint="eastAsia"/>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01999"/>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46379"/>
                            <a:ext cx="807085" cy="311150"/>
                          </a:xfrm>
                          <a:prstGeom prst="rect">
                            <a:avLst/>
                          </a:prstGeom>
                          <a:solidFill>
                            <a:sysClr val="window" lastClr="FFFFFF"/>
                          </a:solidFill>
                          <a:ln w="6350">
                            <a:solidFill>
                              <a:prstClr val="black"/>
                            </a:solidFill>
                          </a:ln>
                        </wps:spPr>
                        <wps:txbx>
                          <w:txbxContent>
                            <w:p w14:paraId="0F700E60" w14:textId="77777777" w:rsidR="00EF4562" w:rsidRDefault="00000000">
                              <w:pPr>
                                <w:pStyle w:val="af0"/>
                                <w:rPr>
                                  <w14:ligatures w14:val="none"/>
                                </w:rPr>
                              </w:pPr>
                              <w:r>
                                <w:rPr>
                                  <w:rFonts w:hint="eastAsia"/>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01294"/>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51424"/>
                            <a:ext cx="807085" cy="310515"/>
                          </a:xfrm>
                          <a:prstGeom prst="rect">
                            <a:avLst/>
                          </a:prstGeom>
                          <a:solidFill>
                            <a:sysClr val="window" lastClr="FFFFFF"/>
                          </a:solidFill>
                          <a:ln w="6350">
                            <a:solidFill>
                              <a:prstClr val="black"/>
                            </a:solidFill>
                          </a:ln>
                        </wps:spPr>
                        <wps:txbx>
                          <w:txbxContent>
                            <w:p w14:paraId="47ED432E" w14:textId="77777777" w:rsidR="00EF4562" w:rsidRDefault="00000000">
                              <w:pPr>
                                <w:pStyle w:val="af0"/>
                                <w:rPr>
                                  <w14:ligatures w14:val="none"/>
                                </w:rPr>
                              </w:pPr>
                              <w:r>
                                <w:rPr>
                                  <w:rFonts w:hint="eastAsia"/>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02214"/>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52059"/>
                            <a:ext cx="807085" cy="309880"/>
                          </a:xfrm>
                          <a:prstGeom prst="rect">
                            <a:avLst/>
                          </a:prstGeom>
                          <a:solidFill>
                            <a:sysClr val="window" lastClr="FFFFFF"/>
                          </a:solidFill>
                          <a:ln w="6350">
                            <a:solidFill>
                              <a:prstClr val="black"/>
                            </a:solidFill>
                          </a:ln>
                        </wps:spPr>
                        <wps:txbx>
                          <w:txbxContent>
                            <w:p w14:paraId="02C956CD" w14:textId="77777777" w:rsidR="00EF4562" w:rsidRDefault="00000000">
                              <w:pPr>
                                <w:pStyle w:val="af0"/>
                                <w:rPr>
                                  <w14:ligatures w14:val="none"/>
                                </w:rPr>
                              </w:pPr>
                              <w:r>
                                <w:rPr>
                                  <w:rFonts w:hint="eastAsia"/>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02214"/>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52059"/>
                            <a:ext cx="806450" cy="310515"/>
                          </a:xfrm>
                          <a:prstGeom prst="rect">
                            <a:avLst/>
                          </a:prstGeom>
                          <a:solidFill>
                            <a:sysClr val="window" lastClr="FFFFFF"/>
                          </a:solidFill>
                          <a:ln w="6350">
                            <a:solidFill>
                              <a:prstClr val="black"/>
                            </a:solidFill>
                          </a:ln>
                        </wps:spPr>
                        <wps:txbx>
                          <w:txbxContent>
                            <w:p w14:paraId="69632CD9" w14:textId="77777777" w:rsidR="00EF4562" w:rsidRDefault="00000000">
                              <w:pPr>
                                <w:pStyle w:val="af0"/>
                                <w:rPr>
                                  <w14:ligatures w14:val="none"/>
                                </w:rPr>
                              </w:pPr>
                              <w:r>
                                <w:rPr>
                                  <w:rFonts w:hint="eastAsia"/>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62574"/>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14399"/>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62574"/>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42924"/>
                            <a:ext cx="984065" cy="285750"/>
                          </a:xfrm>
                          <a:prstGeom prst="rect">
                            <a:avLst/>
                          </a:prstGeom>
                          <a:solidFill>
                            <a:sysClr val="window" lastClr="FFFFFF"/>
                          </a:solidFill>
                          <a:ln w="6350">
                            <a:solidFill>
                              <a:prstClr val="black"/>
                            </a:solidFill>
                            <a:prstDash val="sysDot"/>
                          </a:ln>
                        </wps:spPr>
                        <wps:txbx>
                          <w:txbxContent>
                            <w:p w14:paraId="03A3D186" w14:textId="77777777" w:rsidR="00EF4562" w:rsidRDefault="00000000">
                              <w:pPr>
                                <w:pStyle w:val="af0"/>
                              </w:pPr>
                              <w:r>
                                <w:rPr>
                                  <w:rFonts w:hint="eastAsia"/>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130306F6" id="画布 19" o:spid="_x0000_s1059" editas="canvas" style="width:454.5pt;height:85.5pt;mso-position-horizontal-relative:char;mso-position-vertical-relative:line" coordsize="57721,10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">
                <v:shape id="_x0000_s1060" type="#_x0000_t75" style="position:absolute;width:57721;height:10858;visibility:visible;mso-wrap-style:square" filled="t">
                  <v:fill o:detectmouseclick="t"/>
                  <v:path o:connecttype="none"/>
                </v:shape>
                <v:shape id="文本框 163638337" o:spid="_x0000_s1061" type="#_x0000_t202" style="position:absolute;left:2042;top:1463;width:8074;height:3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74B86D9F" w14:textId="77777777" w:rsidR="00EF4562" w:rsidRDefault="00000000">
                        <w:pPr>
                          <w:pStyle w:val="af0"/>
                        </w:pPr>
                        <w:r>
                          <w:rPr>
                            <w:rFonts w:hint="eastAsia"/>
                          </w:rPr>
                          <w:t>油罐槽车</w:t>
                        </w:r>
                      </w:p>
                    </w:txbxContent>
                  </v:textbox>
                </v:shape>
                <v:shapetype id="_x0000_t32" coordsize="21600,21600" o:spt="32" o:oned="t" path="m,l21600,21600e" filled="f">
                  <v:path arrowok="t" fillok="f" o:connecttype="none"/>
                  <o:lock v:ext="edit" shapetype="t"/>
                </v:shapetype>
                <v:shape id="直接箭头连接符 546987133" o:spid="_x0000_s1062" type="#_x0000_t32" style="position:absolute;left:10116;top:3019;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063" type="#_x0000_t202" style="position:absolute;left:13716;top:1463;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0F700E60" w14:textId="77777777" w:rsidR="00EF4562" w:rsidRDefault="00000000">
                        <w:pPr>
                          <w:pStyle w:val="af0"/>
                          <w:rPr>
                            <w14:ligatures w14:val="none"/>
                          </w:rPr>
                        </w:pPr>
                        <w:r>
                          <w:rPr>
                            <w:rFonts w:hint="eastAsia"/>
                          </w:rPr>
                          <w:t>阀门</w:t>
                        </w:r>
                      </w:p>
                    </w:txbxContent>
                  </v:textbox>
                </v:shape>
                <v:shape id="直接箭头连接符 1895087391" o:spid="_x0000_s1064" type="#_x0000_t32" style="position:absolute;left:21786;top:3012;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065" type="#_x0000_t202" style="position:absolute;left:25380;top:1514;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47ED432E" w14:textId="77777777" w:rsidR="00EF4562" w:rsidRDefault="00000000">
                        <w:pPr>
                          <w:pStyle w:val="af0"/>
                          <w:rPr>
                            <w14:ligatures w14:val="none"/>
                          </w:rPr>
                        </w:pPr>
                        <w:r>
                          <w:rPr>
                            <w:rFonts w:hint="eastAsia"/>
                          </w:rPr>
                          <w:t>软管</w:t>
                        </w:r>
                      </w:p>
                    </w:txbxContent>
                  </v:textbox>
                </v:shape>
                <v:shape id="直接箭头连接符 1693226375" o:spid="_x0000_s1066" type="#_x0000_t32" style="position:absolute;left:33451;top:3022;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067" type="#_x0000_t202" style="position:absolute;left:37045;top:1520;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02C956CD" w14:textId="77777777" w:rsidR="00EF4562" w:rsidRDefault="00000000">
                        <w:pPr>
                          <w:pStyle w:val="af0"/>
                          <w:rPr>
                            <w14:ligatures w14:val="none"/>
                          </w:rPr>
                        </w:pPr>
                        <w:r>
                          <w:rPr>
                            <w:rFonts w:hint="eastAsia"/>
                          </w:rPr>
                          <w:t>快速接头</w:t>
                        </w:r>
                      </w:p>
                    </w:txbxContent>
                  </v:textbox>
                </v:shape>
                <v:shape id="直接箭头连接符 1661986113" o:spid="_x0000_s1068" type="#_x0000_t32" style="position:absolute;left:45115;top:3022;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069" type="#_x0000_t202" style="position:absolute;left:48703;top:1520;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69632CD9" w14:textId="77777777" w:rsidR="00EF4562" w:rsidRDefault="00000000">
                        <w:pPr>
                          <w:pStyle w:val="af0"/>
                          <w:rPr>
                            <w14:ligatures w14:val="none"/>
                          </w:rPr>
                        </w:pPr>
                        <w:r>
                          <w:rPr>
                            <w:rFonts w:hint="eastAsia"/>
                          </w:rPr>
                          <w:t>油罐</w:t>
                        </w:r>
                      </w:p>
                    </w:txbxContent>
                  </v:textbox>
                </v:shape>
                <v:shape id="直接箭头连接符 2079457211" o:spid="_x0000_s1070" type="#_x0000_t32" style="position:absolute;left:52959;top:4625;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071" type="#_x0000_t32" style="position:absolute;left:5904;top:9143;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072" type="#_x0000_t32" style="position:absolute;left:5904;top:4625;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073" type="#_x0000_t202" style="position:absolute;left:25591;top:5429;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03A3D186" w14:textId="77777777" w:rsidR="00EF4562" w:rsidRDefault="00000000">
                        <w:pPr>
                          <w:pStyle w:val="af0"/>
                        </w:pPr>
                        <w:r>
                          <w:rPr>
                            <w:rFonts w:hint="eastAsia"/>
                          </w:rPr>
                          <w:t>汽油油气</w:t>
                        </w:r>
                      </w:p>
                    </w:txbxContent>
                  </v:textbox>
                </v:shape>
                <w10:anchorlock/>
              </v:group>
            </w:pict>
          </mc:Fallback>
        </mc:AlternateContent>
      </w:r>
    </w:p>
    <w:p w14:paraId="78CC9FC2" w14:textId="77777777" w:rsidR="00EF4562" w:rsidRDefault="00000000">
      <w:pPr>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图</w:t>
      </w:r>
      <w:r>
        <w:rPr>
          <w:rFonts w:eastAsia="黑体" w:cs="Times New Roman"/>
          <w:sz w:val="24"/>
        </w:rPr>
        <w:t>2.4-1</w:t>
      </w:r>
      <w:r>
        <w:rPr>
          <w:rFonts w:ascii="黑体" w:eastAsia="黑体" w:hAnsi="黑体"/>
          <w:sz w:val="24"/>
        </w:rPr>
        <w:t xml:space="preserve">  </w:t>
      </w:r>
      <w:r>
        <w:rPr>
          <w:rFonts w:ascii="黑体" w:eastAsia="黑体" w:hAnsi="黑体" w:hint="eastAsia"/>
          <w:sz w:val="24"/>
        </w:rPr>
        <w:t>车用乙醇</w:t>
      </w:r>
      <w:r>
        <w:rPr>
          <w:rFonts w:ascii="黑体" w:eastAsia="黑体" w:hAnsi="黑体"/>
          <w:sz w:val="24"/>
        </w:rPr>
        <w:t>汽油卸油工艺过程图</w:t>
      </w:r>
    </w:p>
    <w:p w14:paraId="5D19D66D" w14:textId="77777777" w:rsidR="00EF4562" w:rsidRDefault="00000000">
      <w:pPr>
        <w:ind w:firstLineChars="71" w:firstLine="170"/>
      </w:pPr>
      <w:r>
        <w:rPr>
          <w:rFonts w:hint="eastAsia"/>
          <w:noProof/>
          <w:sz w:val="24"/>
        </w:rPr>
        <mc:AlternateContent>
          <mc:Choice Requires="wpc">
            <w:drawing>
              <wp:inline distT="0" distB="0" distL="0" distR="0" wp14:anchorId="791764C0" wp14:editId="11811EE7">
                <wp:extent cx="5753100" cy="923925"/>
                <wp:effectExtent l="0" t="0" r="0" b="9525"/>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353355"/>
                            <a:ext cx="807085" cy="311150"/>
                          </a:xfrm>
                          <a:prstGeom prst="rect">
                            <a:avLst/>
                          </a:prstGeom>
                          <a:solidFill>
                            <a:sysClr val="window" lastClr="FFFFFF"/>
                          </a:solidFill>
                          <a:ln w="6350">
                            <a:solidFill>
                              <a:prstClr val="black"/>
                            </a:solidFill>
                          </a:ln>
                        </wps:spPr>
                        <wps:txbx>
                          <w:txbxContent>
                            <w:p w14:paraId="0E559FB1" w14:textId="77777777" w:rsidR="00EF4562" w:rsidRDefault="00000000">
                              <w:pPr>
                                <w:pStyle w:val="af0"/>
                                <w:rPr>
                                  <w14:ligatures w14:val="none"/>
                                </w:rPr>
                              </w:pPr>
                              <w:r>
                                <w:rPr>
                                  <w:rFonts w:hint="eastAsia"/>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353355"/>
                            <a:ext cx="807085" cy="311150"/>
                          </a:xfrm>
                          <a:prstGeom prst="rect">
                            <a:avLst/>
                          </a:prstGeom>
                          <a:solidFill>
                            <a:sysClr val="window" lastClr="FFFFFF"/>
                          </a:solidFill>
                          <a:ln w="6350">
                            <a:solidFill>
                              <a:prstClr val="black"/>
                            </a:solidFill>
                          </a:ln>
                        </wps:spPr>
                        <wps:txbx>
                          <w:txbxContent>
                            <w:p w14:paraId="6399EEAB" w14:textId="77777777" w:rsidR="00EF4562" w:rsidRDefault="00000000">
                              <w:pPr>
                                <w:pStyle w:val="af0"/>
                                <w:rPr>
                                  <w14:ligatures w14:val="none"/>
                                </w:rPr>
                              </w:pPr>
                              <w:r>
                                <w:rPr>
                                  <w:rFonts w:hint="eastAsia"/>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353355"/>
                            <a:ext cx="807085" cy="311150"/>
                          </a:xfrm>
                          <a:prstGeom prst="rect">
                            <a:avLst/>
                          </a:prstGeom>
                          <a:solidFill>
                            <a:sysClr val="window" lastClr="FFFFFF"/>
                          </a:solidFill>
                          <a:ln w="6350">
                            <a:solidFill>
                              <a:prstClr val="black"/>
                            </a:solidFill>
                          </a:ln>
                        </wps:spPr>
                        <wps:txbx>
                          <w:txbxContent>
                            <w:p w14:paraId="1DF4C584" w14:textId="77777777" w:rsidR="00EF4562" w:rsidRDefault="00000000">
                              <w:pPr>
                                <w:pStyle w:val="af0"/>
                                <w:rPr>
                                  <w14:ligatures w14:val="none"/>
                                </w:rPr>
                              </w:pPr>
                              <w:r>
                                <w:rPr>
                                  <w:rFonts w:hint="eastAsia"/>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353355"/>
                            <a:ext cx="807085" cy="311150"/>
                          </a:xfrm>
                          <a:prstGeom prst="rect">
                            <a:avLst/>
                          </a:prstGeom>
                          <a:solidFill>
                            <a:sysClr val="window" lastClr="FFFFFF"/>
                          </a:solidFill>
                          <a:ln w="6350">
                            <a:solidFill>
                              <a:prstClr val="black"/>
                            </a:solidFill>
                          </a:ln>
                        </wps:spPr>
                        <wps:txbx>
                          <w:txbxContent>
                            <w:p w14:paraId="01E7BA4E" w14:textId="77777777" w:rsidR="00EF4562" w:rsidRDefault="00000000">
                              <w:pPr>
                                <w:pStyle w:val="af0"/>
                                <w:rPr>
                                  <w14:ligatures w14:val="none"/>
                                </w:rPr>
                              </w:pPr>
                              <w:r>
                                <w:rPr>
                                  <w:rFonts w:hint="eastAsia"/>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353355"/>
                            <a:ext cx="807085" cy="311150"/>
                          </a:xfrm>
                          <a:prstGeom prst="rect">
                            <a:avLst/>
                          </a:prstGeom>
                          <a:solidFill>
                            <a:sysClr val="window" lastClr="FFFFFF"/>
                          </a:solidFill>
                          <a:ln w="6350">
                            <a:solidFill>
                              <a:prstClr val="black"/>
                            </a:solidFill>
                          </a:ln>
                        </wps:spPr>
                        <wps:txbx>
                          <w:txbxContent>
                            <w:p w14:paraId="691A13F6" w14:textId="77777777" w:rsidR="00EF4562" w:rsidRDefault="00000000">
                              <w:pPr>
                                <w:pStyle w:val="af0"/>
                                <w:rPr>
                                  <w14:ligatures w14:val="none"/>
                                </w:rPr>
                              </w:pPr>
                              <w:r>
                                <w:rPr>
                                  <w:rFonts w:hint="eastAsia"/>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50673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50702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50414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50893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791764C0" id="画布 20" o:spid="_x0000_s1074" editas="canvas" style="width:453pt;height:72.75pt;mso-position-horizontal-relative:char;mso-position-vertical-relative:line" coordsize="57531,9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">
                <v:shape id="_x0000_s1075" type="#_x0000_t75" style="position:absolute;width:57531;height:9239;visibility:visible;mso-wrap-style:square" filled="t">
                  <v:fill o:detectmouseclick="t"/>
                  <v:path o:connecttype="none"/>
                </v:shape>
                <v:shape id="文本框 1" o:spid="_x0000_s1076" type="#_x0000_t202" style="position:absolute;left:1809;top:3533;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0E559FB1" w14:textId="77777777" w:rsidR="00EF4562" w:rsidRDefault="00000000">
                        <w:pPr>
                          <w:pStyle w:val="af0"/>
                          <w:rPr>
                            <w14:ligatures w14:val="none"/>
                          </w:rPr>
                        </w:pPr>
                        <w:r>
                          <w:rPr>
                            <w:rFonts w:hint="eastAsia"/>
                          </w:rPr>
                          <w:t>油罐槽车</w:t>
                        </w:r>
                      </w:p>
                    </w:txbxContent>
                  </v:textbox>
                </v:shape>
                <v:shape id="文本框 1" o:spid="_x0000_s1077" type="#_x0000_t202" style="position:absolute;left:13425;top:3533;width:8071;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6399EEAB" w14:textId="77777777" w:rsidR="00EF4562" w:rsidRDefault="00000000">
                        <w:pPr>
                          <w:pStyle w:val="af0"/>
                          <w:rPr>
                            <w14:ligatures w14:val="none"/>
                          </w:rPr>
                        </w:pPr>
                        <w:r>
                          <w:rPr>
                            <w:rFonts w:hint="eastAsia"/>
                          </w:rPr>
                          <w:t>阀门</w:t>
                        </w:r>
                      </w:p>
                    </w:txbxContent>
                  </v:textbox>
                </v:shape>
                <v:shape id="文本框 1" o:spid="_x0000_s1078" type="#_x0000_t202" style="position:absolute;left:25045;top:3533;width:8071;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1DF4C584" w14:textId="77777777" w:rsidR="00EF4562" w:rsidRDefault="00000000">
                        <w:pPr>
                          <w:pStyle w:val="af0"/>
                          <w:rPr>
                            <w14:ligatures w14:val="none"/>
                          </w:rPr>
                        </w:pPr>
                        <w:r>
                          <w:rPr>
                            <w:rFonts w:hint="eastAsia"/>
                          </w:rPr>
                          <w:t>软管</w:t>
                        </w:r>
                      </w:p>
                    </w:txbxContent>
                  </v:textbox>
                </v:shape>
                <v:shape id="文本框 1" o:spid="_x0000_s1079" type="#_x0000_t202" style="position:absolute;left:36666;top:3533;width:8071;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01E7BA4E" w14:textId="77777777" w:rsidR="00EF4562" w:rsidRDefault="00000000">
                        <w:pPr>
                          <w:pStyle w:val="af0"/>
                          <w:rPr>
                            <w14:ligatures w14:val="none"/>
                          </w:rPr>
                        </w:pPr>
                        <w:r>
                          <w:rPr>
                            <w:rFonts w:hint="eastAsia"/>
                          </w:rPr>
                          <w:t>快速接头</w:t>
                        </w:r>
                      </w:p>
                    </w:txbxContent>
                  </v:textbox>
                </v:shape>
                <v:shape id="文本框 1" o:spid="_x0000_s1080" type="#_x0000_t202" style="position:absolute;left:48286;top:3533;width:8071;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691A13F6" w14:textId="77777777" w:rsidR="00EF4562" w:rsidRDefault="00000000">
                        <w:pPr>
                          <w:pStyle w:val="af0"/>
                          <w:rPr>
                            <w14:ligatures w14:val="none"/>
                          </w:rPr>
                        </w:pPr>
                        <w:r>
                          <w:rPr>
                            <w:rFonts w:hint="eastAsia"/>
                          </w:rPr>
                          <w:t>油罐</w:t>
                        </w:r>
                      </w:p>
                    </w:txbxContent>
                  </v:textbox>
                </v:shape>
                <v:shape id="直接箭头连接符 1505307550" o:spid="_x0000_s1081" type="#_x0000_t32" style="position:absolute;left:9879;top:5067;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082" type="#_x0000_t32" style="position:absolute;left:21496;top:5070;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083" type="#_x0000_t32" style="position:absolute;left:44737;top:5041;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084" type="#_x0000_t32" style="position:absolute;left:33116;top:5089;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434404AA" w14:textId="77777777" w:rsidR="00EF4562" w:rsidRDefault="00000000">
      <w:pPr>
        <w:adjustRightInd/>
        <w:snapToGrid/>
        <w:spacing w:line="240" w:lineRule="auto"/>
        <w:ind w:firstLineChars="0" w:firstLine="0"/>
        <w:jc w:val="left"/>
        <w:rPr>
          <w:sz w:val="21"/>
          <w:szCs w:val="21"/>
        </w:rPr>
      </w:pPr>
      <w:r>
        <w:rPr>
          <w:rFonts w:hint="eastAsia"/>
          <w:sz w:val="21"/>
          <w:szCs w:val="21"/>
        </w:rPr>
        <w:t>注：柴油无油气回收工艺流程</w:t>
      </w:r>
    </w:p>
    <w:p w14:paraId="2373CB45" w14:textId="77777777" w:rsidR="00EF4562"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图</w:t>
      </w:r>
      <w:r>
        <w:rPr>
          <w:rFonts w:eastAsia="黑体" w:cs="Times New Roman"/>
          <w:sz w:val="24"/>
        </w:rPr>
        <w:t>2.4-2</w:t>
      </w:r>
      <w:r>
        <w:rPr>
          <w:rFonts w:ascii="黑体" w:eastAsia="黑体" w:hAnsi="黑体" w:hint="eastAsia"/>
          <w:sz w:val="24"/>
        </w:rPr>
        <w:t xml:space="preserve">  柴油卸油工艺过程图</w:t>
      </w:r>
    </w:p>
    <w:p w14:paraId="2C49E3EB" w14:textId="77777777" w:rsidR="00EF4562" w:rsidRDefault="00000000">
      <w:pPr>
        <w:ind w:firstLine="560"/>
      </w:pPr>
      <w:r>
        <w:rPr>
          <w:rFonts w:hint="eastAsia"/>
        </w:rPr>
        <w:t>（</w:t>
      </w:r>
      <w:r>
        <w:rPr>
          <w:rFonts w:hint="eastAsia"/>
        </w:rPr>
        <w:t>2</w:t>
      </w:r>
      <w:r>
        <w:rPr>
          <w:rFonts w:hint="eastAsia"/>
        </w:rPr>
        <w:t>）加油及加油油气回收工艺</w:t>
      </w:r>
    </w:p>
    <w:p w14:paraId="29B97DA6" w14:textId="77777777" w:rsidR="00EF4562" w:rsidRDefault="00000000">
      <w:pPr>
        <w:ind w:firstLine="560"/>
      </w:pPr>
      <w:r>
        <w:rPr>
          <w:rFonts w:hint="eastAsia"/>
        </w:rPr>
        <w:t>加油：社会车辆进入站内加油停车位，通过带有计量、计价和税控装置的自吸式加油机将储罐内的油料抽出，实现为汽车油箱充装车用乙醇汽油或柴油的付出（经营销售）作业。</w:t>
      </w:r>
    </w:p>
    <w:p w14:paraId="4C160386" w14:textId="77777777" w:rsidR="00EF4562" w:rsidRDefault="00000000">
      <w:pPr>
        <w:ind w:firstLine="560"/>
      </w:pPr>
      <w:r>
        <w:rPr>
          <w:rFonts w:hint="eastAsia"/>
        </w:rPr>
        <w:t>车用乙醇汽油加油油气回收：汽车加油过程中，将原来油箱口散溢的油气，通过油气回收专用加油枪收集，利用动力设备（如真空泵）经油气回收管线输送至车用乙醇汽油储罐。</w:t>
      </w:r>
    </w:p>
    <w:p w14:paraId="03920AB1" w14:textId="77777777" w:rsidR="00EF4562" w:rsidRDefault="00000000">
      <w:pPr>
        <w:ind w:firstLine="560"/>
      </w:pPr>
      <w:r>
        <w:rPr>
          <w:rFonts w:hint="eastAsia"/>
        </w:rPr>
        <w:t>加油及加油油气回收工艺流程，见图</w:t>
      </w:r>
      <w:r>
        <w:rPr>
          <w:rFonts w:hint="eastAsia"/>
        </w:rPr>
        <w:t>2.4-3</w:t>
      </w:r>
      <w:r>
        <w:rPr>
          <w:rFonts w:hint="eastAsia"/>
        </w:rPr>
        <w:t>、</w:t>
      </w:r>
      <w:r>
        <w:rPr>
          <w:rFonts w:hint="eastAsia"/>
        </w:rPr>
        <w:t>2.4-4</w:t>
      </w:r>
      <w:r>
        <w:rPr>
          <w:rFonts w:hint="eastAsia"/>
        </w:rPr>
        <w:t>：</w:t>
      </w:r>
    </w:p>
    <w:p w14:paraId="14B0E811" w14:textId="77777777" w:rsidR="00EF4562" w:rsidRDefault="00000000">
      <w:pPr>
        <w:ind w:firstLineChars="0" w:firstLine="0"/>
      </w:pPr>
      <w:r>
        <w:rPr>
          <w:rFonts w:hint="eastAsia"/>
          <w:noProof/>
          <w:szCs w:val="28"/>
        </w:rPr>
        <mc:AlternateContent>
          <mc:Choice Requires="wpc">
            <w:drawing>
              <wp:inline distT="0" distB="0" distL="0" distR="0" wp14:anchorId="218B2EDB" wp14:editId="73913E1B">
                <wp:extent cx="5829300" cy="733425"/>
                <wp:effectExtent l="0" t="0" r="0" b="9525"/>
                <wp:docPr id="1885759077" name="画布 2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226997239" name="文本框 1226997239"/>
                        <wps:cNvSpPr txBox="1"/>
                        <wps:spPr>
                          <a:xfrm>
                            <a:off x="658528" y="266383"/>
                            <a:ext cx="818515" cy="323850"/>
                          </a:xfrm>
                          <a:prstGeom prst="rect">
                            <a:avLst/>
                          </a:prstGeom>
                          <a:solidFill>
                            <a:schemeClr val="lt1"/>
                          </a:solidFill>
                          <a:ln w="6350">
                            <a:solidFill>
                              <a:prstClr val="black"/>
                            </a:solidFill>
                          </a:ln>
                        </wps:spPr>
                        <wps:txbx>
                          <w:txbxContent>
                            <w:p w14:paraId="53745EE5" w14:textId="77777777" w:rsidR="00EF4562" w:rsidRDefault="00000000">
                              <w:pPr>
                                <w:pStyle w:val="af0"/>
                              </w:pPr>
                              <w:r>
                                <w:rPr>
                                  <w:rFonts w:hint="eastAsia"/>
                                </w:rPr>
                                <w:t>油罐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1707430" name="直接箭头连接符 51707430"/>
                        <wps:cNvCnPr/>
                        <wps:spPr>
                          <a:xfrm>
                            <a:off x="1477043" y="352108"/>
                            <a:ext cx="10382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80786389" name="文本框 980786389"/>
                        <wps:cNvSpPr txBox="1"/>
                        <wps:spPr>
                          <a:xfrm>
                            <a:off x="1477043" y="68865"/>
                            <a:ext cx="1028667" cy="32384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C68C8A" w14:textId="77777777" w:rsidR="00EF4562" w:rsidRDefault="00000000">
                              <w:pPr>
                                <w:pStyle w:val="af0"/>
                              </w:pPr>
                              <w:r>
                                <w:rPr>
                                  <w:rFonts w:hint="eastAsia"/>
                                </w:rPr>
                                <w:t>车用乙醇汽油</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7627484" name="文本框 1"/>
                        <wps:cNvSpPr txBox="1"/>
                        <wps:spPr>
                          <a:xfrm>
                            <a:off x="2515268" y="256858"/>
                            <a:ext cx="819150" cy="333375"/>
                          </a:xfrm>
                          <a:prstGeom prst="rect">
                            <a:avLst/>
                          </a:prstGeom>
                          <a:solidFill>
                            <a:schemeClr val="lt1"/>
                          </a:solidFill>
                          <a:ln w="6350">
                            <a:solidFill>
                              <a:prstClr val="black"/>
                            </a:solidFill>
                          </a:ln>
                        </wps:spPr>
                        <wps:txbx>
                          <w:txbxContent>
                            <w:p w14:paraId="43C248AA" w14:textId="77777777" w:rsidR="00EF4562" w:rsidRDefault="00000000">
                              <w:pPr>
                                <w:pStyle w:val="af0"/>
                                <w:rPr>
                                  <w14:ligatures w14:val="none"/>
                                </w:rPr>
                              </w:pPr>
                              <w:r>
                                <w:rPr>
                                  <w:rFonts w:hint="eastAsia"/>
                                </w:rPr>
                                <w:t>加油机</w:t>
                              </w:r>
                            </w:p>
                          </w:txbxContent>
                        </wps:txbx>
                        <wps:bodyPr rot="0" spcFirstLastPara="0" vert="horz" wrap="square" lIns="91440" tIns="45720" rIns="91440" bIns="45720" numCol="1" spcCol="0" rtlCol="0" fromWordArt="0" anchor="t" anchorCtr="0" forceAA="0" compatLnSpc="1">
                          <a:noAutofit/>
                        </wps:bodyPr>
                      </wps:wsp>
                      <wps:wsp>
                        <wps:cNvPr id="214258902" name="文本框 1"/>
                        <wps:cNvSpPr txBox="1"/>
                        <wps:spPr>
                          <a:xfrm>
                            <a:off x="1649457" y="465433"/>
                            <a:ext cx="713740" cy="2559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620AC4" w14:textId="77777777" w:rsidR="00EF4562" w:rsidRDefault="00000000">
                              <w:pPr>
                                <w:pStyle w:val="af0"/>
                                <w:rPr>
                                  <w14:ligatures w14:val="none"/>
                                </w:rPr>
                              </w:pPr>
                              <w:r>
                                <w:rPr>
                                  <w:rFonts w:hint="eastAsia"/>
                                </w:rPr>
                                <w:t>油气</w:t>
                              </w:r>
                            </w:p>
                          </w:txbxContent>
                        </wps:txbx>
                        <wps:bodyPr rot="0" spcFirstLastPara="0" vert="horz" wrap="square" lIns="91440" tIns="45720" rIns="91440" bIns="45720" numCol="1" spcCol="0" rtlCol="0" fromWordArt="0" anchor="t" anchorCtr="0" forceAA="0" compatLnSpc="1">
                          <a:noAutofit/>
                        </wps:bodyPr>
                      </wps:wsp>
                      <wps:wsp>
                        <wps:cNvPr id="2012640285" name="文本框 1"/>
                        <wps:cNvSpPr txBox="1"/>
                        <wps:spPr>
                          <a:xfrm>
                            <a:off x="4371295" y="266383"/>
                            <a:ext cx="753790" cy="333375"/>
                          </a:xfrm>
                          <a:prstGeom prst="rect">
                            <a:avLst/>
                          </a:prstGeom>
                          <a:solidFill>
                            <a:schemeClr val="lt1"/>
                          </a:solidFill>
                          <a:ln w="6350">
                            <a:solidFill>
                              <a:prstClr val="black"/>
                            </a:solidFill>
                          </a:ln>
                        </wps:spPr>
                        <wps:txbx>
                          <w:txbxContent>
                            <w:p w14:paraId="37F8A310" w14:textId="77777777" w:rsidR="00EF4562" w:rsidRDefault="00000000">
                              <w:pPr>
                                <w:pStyle w:val="af0"/>
                                <w:rPr>
                                  <w14:ligatures w14:val="none"/>
                                </w:rPr>
                              </w:pPr>
                              <w:r>
                                <w:rPr>
                                  <w:rFonts w:hint="eastAsia"/>
                                </w:rPr>
                                <w:t>汽车</w:t>
                              </w:r>
                            </w:p>
                          </w:txbxContent>
                        </wps:txbx>
                        <wps:bodyPr rot="0" spcFirstLastPara="0" vert="horz" wrap="square" lIns="91440" tIns="45720" rIns="91440" bIns="45720" numCol="1" spcCol="0" rtlCol="0" fromWordArt="0" anchor="t" anchorCtr="0" forceAA="0" compatLnSpc="1">
                          <a:noAutofit/>
                        </wps:bodyPr>
                      </wps:wsp>
                      <wps:wsp>
                        <wps:cNvPr id="1652186312" name="直接箭头连接符 1652186312"/>
                        <wps:cNvCnPr/>
                        <wps:spPr>
                          <a:xfrm>
                            <a:off x="1477043" y="513693"/>
                            <a:ext cx="1028667" cy="0"/>
                          </a:xfrm>
                          <a:prstGeom prst="straightConnector1">
                            <a:avLst/>
                          </a:prstGeom>
                          <a:ln>
                            <a:headEnd type="triangle" w="med" len="med"/>
                            <a:tailEnd type="none" w="med" len="med"/>
                          </a:ln>
                        </wps:spPr>
                        <wps:style>
                          <a:lnRef idx="1">
                            <a:schemeClr val="dk1"/>
                          </a:lnRef>
                          <a:fillRef idx="0">
                            <a:schemeClr val="dk1"/>
                          </a:fillRef>
                          <a:effectRef idx="0">
                            <a:schemeClr val="dk1"/>
                          </a:effectRef>
                          <a:fontRef idx="minor">
                            <a:schemeClr val="tx1"/>
                          </a:fontRef>
                        </wps:style>
                        <wps:bodyPr/>
                      </wps:wsp>
                      <wps:wsp>
                        <wps:cNvPr id="1124604535" name="直接箭头连接符 1124604535"/>
                        <wps:cNvCnPr/>
                        <wps:spPr>
                          <a:xfrm>
                            <a:off x="3334418" y="351133"/>
                            <a:ext cx="10382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18980299" name="直接箭头连接符 1418980299"/>
                        <wps:cNvCnPr/>
                        <wps:spPr>
                          <a:xfrm>
                            <a:off x="3334418" y="513693"/>
                            <a:ext cx="1028065" cy="0"/>
                          </a:xfrm>
                          <a:prstGeom prst="straightConnector1">
                            <a:avLst/>
                          </a:prstGeom>
                          <a:ln>
                            <a:headEnd type="triangle" w="med" len="med"/>
                            <a:tailEnd type="none" w="med" len="med"/>
                          </a:ln>
                        </wps:spPr>
                        <wps:style>
                          <a:lnRef idx="1">
                            <a:schemeClr val="dk1"/>
                          </a:lnRef>
                          <a:fillRef idx="0">
                            <a:schemeClr val="dk1"/>
                          </a:fillRef>
                          <a:effectRef idx="0">
                            <a:schemeClr val="dk1"/>
                          </a:effectRef>
                          <a:fontRef idx="minor">
                            <a:schemeClr val="tx1"/>
                          </a:fontRef>
                        </wps:style>
                        <wps:bodyPr/>
                      </wps:wsp>
                      <wps:wsp>
                        <wps:cNvPr id="2009132734" name="文本框 1"/>
                        <wps:cNvSpPr txBox="1"/>
                        <wps:spPr>
                          <a:xfrm>
                            <a:off x="3515655" y="465433"/>
                            <a:ext cx="713740" cy="26849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37BCC1F" w14:textId="77777777" w:rsidR="00EF4562" w:rsidRDefault="00000000">
                              <w:pPr>
                                <w:pStyle w:val="af0"/>
                                <w:rPr>
                                  <w14:ligatures w14:val="none"/>
                                </w:rPr>
                              </w:pPr>
                              <w:r>
                                <w:rPr>
                                  <w:rFonts w:hint="eastAsia"/>
                                </w:rPr>
                                <w:t>油气</w:t>
                              </w:r>
                            </w:p>
                          </w:txbxContent>
                        </wps:txbx>
                        <wps:bodyPr rot="0" spcFirstLastPara="0" vert="horz" wrap="square" lIns="91440" tIns="45720" rIns="91440" bIns="45720" numCol="1" spcCol="0" rtlCol="0" fromWordArt="0" anchor="t" anchorCtr="0" forceAA="0" compatLnSpc="1">
                          <a:noAutofit/>
                        </wps:bodyPr>
                      </wps:wsp>
                      <wps:wsp>
                        <wps:cNvPr id="1168347615" name="文本框 1"/>
                        <wps:cNvSpPr txBox="1"/>
                        <wps:spPr>
                          <a:xfrm>
                            <a:off x="3345180" y="36808"/>
                            <a:ext cx="1028065" cy="3143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1F7C4E2" w14:textId="77777777" w:rsidR="00EF4562" w:rsidRDefault="00000000">
                              <w:pPr>
                                <w:pStyle w:val="af0"/>
                                <w:rPr>
                                  <w14:ligatures w14:val="none"/>
                                </w:rPr>
                              </w:pPr>
                              <w:r>
                                <w:rPr>
                                  <w:rFonts w:hint="eastAsia"/>
                                </w:rPr>
                                <w:t>车用乙醇汽油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218B2EDB" id="画布 21" o:spid="_x0000_s1085" editas="canvas" style="width:459pt;height:57.75pt;mso-position-horizontal-relative:char;mso-position-vertical-relative:line" coordsize="58293,7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">
                <v:shape id="_x0000_s1086" type="#_x0000_t75" style="position:absolute;width:58293;height:7334;visibility:visible;mso-wrap-style:square" filled="t">
                  <v:fill o:detectmouseclick="t"/>
                  <v:path o:connecttype="none"/>
                </v:shape>
                <v:shape id="文本框 1226997239" o:spid="_x0000_s1087" type="#_x0000_t202" style="position:absolute;left:6585;top:2663;width:8185;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" fillcolor="white [3201]" strokeweight=".5pt">
                  <v:textbox>
                    <w:txbxContent>
                      <w:p w14:paraId="53745EE5" w14:textId="77777777" w:rsidR="00EF4562" w:rsidRDefault="00000000">
                        <w:pPr>
                          <w:pStyle w:val="af0"/>
                        </w:pPr>
                        <w:r>
                          <w:rPr>
                            <w:rFonts w:hint="eastAsia"/>
                          </w:rPr>
                          <w:t>油罐</w:t>
                        </w:r>
                      </w:p>
                    </w:txbxContent>
                  </v:textbox>
                </v:shape>
                <v:shape id="直接箭头连接符 51707430" o:spid="_x0000_s1088" type="#_x0000_t32" style="position:absolute;left:14770;top:3521;width:103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" strokecolor="black [3200]" strokeweight=".5pt">
                  <v:stroke endarrow="block" joinstyle="miter"/>
                </v:shape>
                <v:shape id="文本框 980786389" o:spid="_x0000_s1089" type="#_x0000_t202" style="position:absolute;left:14770;top:688;width:10287;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" filled="f" stroked="f">
                  <v:textbox>
                    <w:txbxContent>
                      <w:p w14:paraId="0DC68C8A" w14:textId="77777777" w:rsidR="00EF4562" w:rsidRDefault="00000000">
                        <w:pPr>
                          <w:pStyle w:val="af0"/>
                        </w:pPr>
                        <w:r>
                          <w:rPr>
                            <w:rFonts w:hint="eastAsia"/>
                          </w:rPr>
                          <w:t>车用乙醇汽油</w:t>
                        </w:r>
                      </w:p>
                    </w:txbxContent>
                  </v:textbox>
                </v:shape>
                <v:shape id="文本框 1" o:spid="_x0000_s1090" type="#_x0000_t202" style="position:absolute;left:25152;top:2568;width:819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" fillcolor="white [3201]" strokeweight=".5pt">
                  <v:textbox>
                    <w:txbxContent>
                      <w:p w14:paraId="43C248AA" w14:textId="77777777" w:rsidR="00EF4562" w:rsidRDefault="00000000">
                        <w:pPr>
                          <w:pStyle w:val="af0"/>
                          <w:rPr>
                            <w14:ligatures w14:val="none"/>
                          </w:rPr>
                        </w:pPr>
                        <w:r>
                          <w:rPr>
                            <w:rFonts w:hint="eastAsia"/>
                          </w:rPr>
                          <w:t>加油机</w:t>
                        </w:r>
                      </w:p>
                    </w:txbxContent>
                  </v:textbox>
                </v:shape>
                <v:shape id="文本框 1" o:spid="_x0000_s1091" type="#_x0000_t202" style="position:absolute;left:16494;top:4654;width:7137;height:2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" filled="f" stroked="f">
                  <v:textbox>
                    <w:txbxContent>
                      <w:p w14:paraId="03620AC4" w14:textId="77777777" w:rsidR="00EF4562" w:rsidRDefault="00000000">
                        <w:pPr>
                          <w:pStyle w:val="af0"/>
                          <w:rPr>
                            <w14:ligatures w14:val="none"/>
                          </w:rPr>
                        </w:pPr>
                        <w:r>
                          <w:rPr>
                            <w:rFonts w:hint="eastAsia"/>
                          </w:rPr>
                          <w:t>油气</w:t>
                        </w:r>
                      </w:p>
                    </w:txbxContent>
                  </v:textbox>
                </v:shape>
                <v:shape id="文本框 1" o:spid="_x0000_s1092" type="#_x0000_t202" style="position:absolute;left:43712;top:2663;width:7538;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" fillcolor="white [3201]" strokeweight=".5pt">
                  <v:textbox>
                    <w:txbxContent>
                      <w:p w14:paraId="37F8A310" w14:textId="77777777" w:rsidR="00EF4562" w:rsidRDefault="00000000">
                        <w:pPr>
                          <w:pStyle w:val="af0"/>
                          <w:rPr>
                            <w14:ligatures w14:val="none"/>
                          </w:rPr>
                        </w:pPr>
                        <w:r>
                          <w:rPr>
                            <w:rFonts w:hint="eastAsia"/>
                          </w:rPr>
                          <w:t>汽车</w:t>
                        </w:r>
                      </w:p>
                    </w:txbxContent>
                  </v:textbox>
                </v:shape>
                <v:shape id="直接箭头连接符 1652186312" o:spid="_x0000_s1093" type="#_x0000_t32" style="position:absolute;left:14770;top:5136;width:102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" strokecolor="black [3200]" strokeweight=".5pt">
                  <v:stroke startarrow="block" joinstyle="miter"/>
                </v:shape>
                <v:shape id="直接箭头连接符 1124604535" o:spid="_x0000_s1094" type="#_x0000_t32" style="position:absolute;left:33344;top:3511;width:103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" strokecolor="black [3200]" strokeweight=".5pt">
                  <v:stroke endarrow="block" joinstyle="miter"/>
                </v:shape>
                <v:shape id="直接箭头连接符 1418980299" o:spid="_x0000_s1095" type="#_x0000_t32" style="position:absolute;left:33344;top:5136;width:102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" strokecolor="black [3200]" strokeweight=".5pt">
                  <v:stroke startarrow="block" joinstyle="miter"/>
                </v:shape>
                <v:shape id="文本框 1" o:spid="_x0000_s1096" type="#_x0000_t202" style="position:absolute;left:35156;top:4654;width:7137;height:26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" filled="f" stroked="f">
                  <v:textbox>
                    <w:txbxContent>
                      <w:p w14:paraId="537BCC1F" w14:textId="77777777" w:rsidR="00EF4562" w:rsidRDefault="00000000">
                        <w:pPr>
                          <w:pStyle w:val="af0"/>
                          <w:rPr>
                            <w14:ligatures w14:val="none"/>
                          </w:rPr>
                        </w:pPr>
                        <w:r>
                          <w:rPr>
                            <w:rFonts w:hint="eastAsia"/>
                          </w:rPr>
                          <w:t>油气</w:t>
                        </w:r>
                      </w:p>
                    </w:txbxContent>
                  </v:textbox>
                </v:shape>
                <v:shape id="文本框 1" o:spid="_x0000_s1097" type="#_x0000_t202" style="position:absolute;left:33451;top:368;width:1028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" filled="f" stroked="f">
                  <v:textbox>
                    <w:txbxContent>
                      <w:p w14:paraId="31F7C4E2" w14:textId="77777777" w:rsidR="00EF4562" w:rsidRDefault="00000000">
                        <w:pPr>
                          <w:pStyle w:val="af0"/>
                          <w:rPr>
                            <w14:ligatures w14:val="none"/>
                          </w:rPr>
                        </w:pPr>
                        <w:r>
                          <w:rPr>
                            <w:rFonts w:hint="eastAsia"/>
                          </w:rPr>
                          <w:t>车用乙醇汽油</w:t>
                        </w:r>
                      </w:p>
                    </w:txbxContent>
                  </v:textbox>
                </v:shape>
                <w10:anchorlock/>
              </v:group>
            </w:pict>
          </mc:Fallback>
        </mc:AlternateContent>
      </w:r>
    </w:p>
    <w:p w14:paraId="61C39DC1" w14:textId="77777777" w:rsidR="00EF4562" w:rsidRDefault="00000000">
      <w:pPr>
        <w:spacing w:line="240" w:lineRule="auto"/>
        <w:ind w:firstLineChars="0" w:firstLine="0"/>
        <w:jc w:val="center"/>
        <w:rPr>
          <w:rFonts w:ascii="黑体" w:eastAsia="黑体" w:hAnsi="黑体" w:hint="eastAsia"/>
          <w:sz w:val="24"/>
        </w:rPr>
      </w:pPr>
      <w:r>
        <w:rPr>
          <w:rFonts w:ascii="黑体" w:eastAsia="黑体" w:hAnsi="黑体" w:hint="eastAsia"/>
          <w:sz w:val="24"/>
        </w:rPr>
        <w:t>图</w:t>
      </w:r>
      <w:r>
        <w:rPr>
          <w:rFonts w:eastAsia="黑体" w:cs="Times New Roman"/>
          <w:sz w:val="24"/>
        </w:rPr>
        <w:t>2.4-3</w:t>
      </w:r>
      <w:r>
        <w:rPr>
          <w:rFonts w:ascii="黑体" w:eastAsia="黑体" w:hAnsi="黑体" w:hint="eastAsia"/>
          <w:sz w:val="24"/>
        </w:rPr>
        <w:t xml:space="preserve">  车用乙醇汽油加油及油气回收工艺流程图</w:t>
      </w:r>
    </w:p>
    <w:p w14:paraId="2887DD31" w14:textId="77777777" w:rsidR="00EF4562" w:rsidRDefault="00000000">
      <w:pPr>
        <w:ind w:firstLineChars="0" w:firstLine="0"/>
      </w:pPr>
      <w:r>
        <w:rPr>
          <w:rFonts w:hint="eastAsia"/>
          <w:noProof/>
          <w:sz w:val="24"/>
        </w:rPr>
        <mc:AlternateContent>
          <mc:Choice Requires="wpc">
            <w:drawing>
              <wp:inline distT="0" distB="0" distL="0" distR="0" wp14:anchorId="260874A4" wp14:editId="2D6F8189">
                <wp:extent cx="5829300" cy="504825"/>
                <wp:effectExtent l="0" t="0" r="0" b="9525"/>
                <wp:docPr id="2135779368" name="画布 5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45574553" name="文本框 45574553"/>
                        <wps:cNvSpPr txBox="1"/>
                        <wps:spPr>
                          <a:xfrm>
                            <a:off x="1027724" y="153080"/>
                            <a:ext cx="847725" cy="314325"/>
                          </a:xfrm>
                          <a:prstGeom prst="rect">
                            <a:avLst/>
                          </a:prstGeom>
                          <a:solidFill>
                            <a:sysClr val="window" lastClr="FFFFFF"/>
                          </a:solidFill>
                          <a:ln w="6350">
                            <a:solidFill>
                              <a:prstClr val="black"/>
                            </a:solidFill>
                          </a:ln>
                        </wps:spPr>
                        <wps:txbx>
                          <w:txbxContent>
                            <w:p w14:paraId="4A011738" w14:textId="77777777" w:rsidR="00EF4562" w:rsidRDefault="00000000">
                              <w:pPr>
                                <w:pStyle w:val="af0"/>
                              </w:pPr>
                              <w:r>
                                <w:rPr>
                                  <w:rFonts w:hint="eastAsia"/>
                                </w:rPr>
                                <w:t>油罐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91162706" name="直接连接符 391162706"/>
                        <wps:cNvCnPr/>
                        <wps:spPr>
                          <a:xfrm>
                            <a:off x="1885949" y="305480"/>
                            <a:ext cx="694350" cy="0"/>
                          </a:xfrm>
                          <a:prstGeom prst="line">
                            <a:avLst/>
                          </a:prstGeom>
                          <a:noFill/>
                          <a:ln w="6350" cap="flat" cmpd="sng" algn="ctr">
                            <a:solidFill>
                              <a:sysClr val="windowText" lastClr="000000"/>
                            </a:solidFill>
                            <a:prstDash val="solid"/>
                            <a:miter lim="800000"/>
                            <a:headEnd type="none" w="med" len="med"/>
                            <a:tailEnd type="triangle" w="med" len="med"/>
                          </a:ln>
                          <a:effectLst/>
                        </wps:spPr>
                        <wps:bodyPr/>
                      </wps:wsp>
                      <wps:wsp>
                        <wps:cNvPr id="1331799200" name="文本框 1"/>
                        <wps:cNvSpPr txBox="1"/>
                        <wps:spPr>
                          <a:xfrm>
                            <a:off x="1865924" y="10840"/>
                            <a:ext cx="714375" cy="304165"/>
                          </a:xfrm>
                          <a:prstGeom prst="rect">
                            <a:avLst/>
                          </a:prstGeom>
                          <a:noFill/>
                          <a:ln>
                            <a:noFill/>
                          </a:ln>
                          <a:effectLst/>
                        </wps:spPr>
                        <wps:txbx>
                          <w:txbxContent>
                            <w:p w14:paraId="2B11CF08" w14:textId="77777777" w:rsidR="00EF4562" w:rsidRDefault="00000000">
                              <w:pPr>
                                <w:pStyle w:val="af0"/>
                                <w:rPr>
                                  <w14:ligatures w14:val="none"/>
                                </w:rPr>
                              </w:pPr>
                              <w:r>
                                <w:rPr>
                                  <w:rFonts w:hint="eastAsia"/>
                                </w:rPr>
                                <w:t>柴油</w:t>
                              </w:r>
                            </w:p>
                          </w:txbxContent>
                        </wps:txbx>
                        <wps:bodyPr rot="0" spcFirstLastPara="0" vert="horz" wrap="square" lIns="91440" tIns="45720" rIns="91440" bIns="45720" numCol="1" spcCol="0" rtlCol="0" fromWordArt="0" anchor="t" anchorCtr="0" forceAA="0" compatLnSpc="1">
                          <a:noAutofit/>
                        </wps:bodyPr>
                      </wps:wsp>
                      <wps:wsp>
                        <wps:cNvPr id="1275235505" name="文本框 1"/>
                        <wps:cNvSpPr txBox="1"/>
                        <wps:spPr>
                          <a:xfrm>
                            <a:off x="3428024" y="0"/>
                            <a:ext cx="714375" cy="304165"/>
                          </a:xfrm>
                          <a:prstGeom prst="rect">
                            <a:avLst/>
                          </a:prstGeom>
                          <a:noFill/>
                          <a:ln>
                            <a:noFill/>
                          </a:ln>
                          <a:effectLst/>
                        </wps:spPr>
                        <wps:txbx>
                          <w:txbxContent>
                            <w:p w14:paraId="6B5085C6" w14:textId="77777777" w:rsidR="00EF4562" w:rsidRDefault="00000000">
                              <w:pPr>
                                <w:pStyle w:val="af0"/>
                                <w:rPr>
                                  <w14:ligatures w14:val="none"/>
                                </w:rPr>
                              </w:pPr>
                              <w:r>
                                <w:rPr>
                                  <w:rFonts w:hint="eastAsia"/>
                                </w:rPr>
                                <w:t>柴油</w:t>
                              </w:r>
                            </w:p>
                          </w:txbxContent>
                        </wps:txbx>
                        <wps:bodyPr rot="0" spcFirstLastPara="0" vert="horz" wrap="square" lIns="91440" tIns="45720" rIns="91440" bIns="45720" numCol="1" spcCol="0" rtlCol="0" fromWordArt="0" anchor="t" anchorCtr="0" forceAA="0" compatLnSpc="1">
                          <a:noAutofit/>
                        </wps:bodyPr>
                      </wps:wsp>
                      <wps:wsp>
                        <wps:cNvPr id="523418446" name="文本框 1"/>
                        <wps:cNvSpPr txBox="1"/>
                        <wps:spPr>
                          <a:xfrm>
                            <a:off x="2589824" y="143555"/>
                            <a:ext cx="838200" cy="314325"/>
                          </a:xfrm>
                          <a:prstGeom prst="rect">
                            <a:avLst/>
                          </a:prstGeom>
                          <a:solidFill>
                            <a:sysClr val="window" lastClr="FFFFFF"/>
                          </a:solidFill>
                          <a:ln w="6350">
                            <a:solidFill>
                              <a:prstClr val="black"/>
                            </a:solidFill>
                          </a:ln>
                        </wps:spPr>
                        <wps:txbx>
                          <w:txbxContent>
                            <w:p w14:paraId="3CD1C68D" w14:textId="77777777" w:rsidR="00EF4562" w:rsidRDefault="00000000">
                              <w:pPr>
                                <w:pStyle w:val="af0"/>
                                <w:rPr>
                                  <w:rFonts w:ascii="宋体" w:hAnsi="宋体" w:cs="Times New Roman" w:hint="eastAsia"/>
                                  <w:szCs w:val="21"/>
                                  <w14:ligatures w14:val="none"/>
                                </w:rPr>
                              </w:pPr>
                              <w:r>
                                <w:rPr>
                                  <w:rStyle w:val="af1"/>
                                  <w:rFonts w:hint="eastAsia"/>
                                </w:rPr>
                                <w:t>加油</w:t>
                              </w:r>
                              <w:r>
                                <w:rPr>
                                  <w:rFonts w:ascii="宋体" w:hAnsi="宋体" w:cs="Times New Roman" w:hint="eastAsia"/>
                                  <w:szCs w:val="21"/>
                                </w:rPr>
                                <w:t>机</w:t>
                              </w:r>
                            </w:p>
                          </w:txbxContent>
                        </wps:txbx>
                        <wps:bodyPr rot="0" spcFirstLastPara="0" vert="horz" wrap="square" lIns="91440" tIns="45720" rIns="91440" bIns="45720" numCol="1" spcCol="0" rtlCol="0" fromWordArt="0" anchor="t" anchorCtr="0" forceAA="0" compatLnSpc="1">
                          <a:noAutofit/>
                        </wps:bodyPr>
                      </wps:wsp>
                      <wps:wsp>
                        <wps:cNvPr id="1025682064" name="文本框 1"/>
                        <wps:cNvSpPr txBox="1"/>
                        <wps:spPr>
                          <a:xfrm>
                            <a:off x="4122079" y="143555"/>
                            <a:ext cx="847725" cy="314325"/>
                          </a:xfrm>
                          <a:prstGeom prst="rect">
                            <a:avLst/>
                          </a:prstGeom>
                          <a:solidFill>
                            <a:sysClr val="window" lastClr="FFFFFF"/>
                          </a:solidFill>
                          <a:ln w="6350">
                            <a:solidFill>
                              <a:prstClr val="black"/>
                            </a:solidFill>
                          </a:ln>
                        </wps:spPr>
                        <wps:txbx>
                          <w:txbxContent>
                            <w:p w14:paraId="5CBF6EA5" w14:textId="77777777" w:rsidR="00EF4562" w:rsidRDefault="00000000">
                              <w:pPr>
                                <w:pStyle w:val="af0"/>
                                <w:rPr>
                                  <w14:ligatures w14:val="none"/>
                                </w:rPr>
                              </w:pPr>
                              <w:r>
                                <w:rPr>
                                  <w:rFonts w:hint="eastAsia"/>
                                </w:rPr>
                                <w:t>汽车</w:t>
                              </w:r>
                            </w:p>
                          </w:txbxContent>
                        </wps:txbx>
                        <wps:bodyPr rot="0" spcFirstLastPara="0" vert="horz" wrap="square" lIns="91440" tIns="45720" rIns="91440" bIns="45720" numCol="1" spcCol="0" rtlCol="0" fromWordArt="0" anchor="t" anchorCtr="0" forceAA="0" compatLnSpc="1">
                          <a:noAutofit/>
                        </wps:bodyPr>
                      </wps:wsp>
                      <wps:wsp>
                        <wps:cNvPr id="832753051" name="直接连接符 832753051"/>
                        <wps:cNvCnPr/>
                        <wps:spPr>
                          <a:xfrm>
                            <a:off x="3428024" y="305480"/>
                            <a:ext cx="694055" cy="0"/>
                          </a:xfrm>
                          <a:prstGeom prst="line">
                            <a:avLst/>
                          </a:prstGeom>
                          <a:noFill/>
                          <a:ln w="6350" cap="flat" cmpd="sng" algn="ctr">
                            <a:solidFill>
                              <a:sysClr val="windowText" lastClr="000000"/>
                            </a:solidFill>
                            <a:prstDash val="solid"/>
                            <a:miter lim="800000"/>
                            <a:headEnd type="none" w="med" len="med"/>
                            <a:tailEnd type="triangle" w="med" len="med"/>
                          </a:ln>
                          <a:effectLst/>
                        </wps:spPr>
                        <wps:bodyPr/>
                      </wps:wsp>
                    </wpc:wpc>
                  </a:graphicData>
                </a:graphic>
              </wp:inline>
            </w:drawing>
          </mc:Choice>
          <mc:Fallback>
            <w:pict>
              <v:group w14:anchorId="260874A4" id="画布 57" o:spid="_x0000_s1098" editas="canvas" style="width:459pt;height:39.75pt;mso-position-horizontal-relative:char;mso-position-vertical-relative:line" coordsize="58293,5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">
                <v:shape id="_x0000_s1099" type="#_x0000_t75" style="position:absolute;width:58293;height:5048;visibility:visible;mso-wrap-style:square" filled="t">
                  <v:fill o:detectmouseclick="t"/>
                  <v:path o:connecttype="none"/>
                </v:shape>
                <v:shape id="文本框 45574553" o:spid="_x0000_s1100" type="#_x0000_t202" style="position:absolute;left:10277;top:1530;width:8477;height:3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" fillcolor="window" strokeweight=".5pt">
                  <v:textbox>
                    <w:txbxContent>
                      <w:p w14:paraId="4A011738" w14:textId="77777777" w:rsidR="00EF4562" w:rsidRDefault="00000000">
                        <w:pPr>
                          <w:pStyle w:val="af0"/>
                        </w:pPr>
                        <w:r>
                          <w:rPr>
                            <w:rFonts w:hint="eastAsia"/>
                          </w:rPr>
                          <w:t>油罐</w:t>
                        </w:r>
                      </w:p>
                    </w:txbxContent>
                  </v:textbox>
                </v:shape>
                <v:line id="直接连接符 391162706" o:spid="_x0000_s1101" style="position:absolute;visibility:visible;mso-wrap-style:square" from="18859,3054" to="25802,3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" strokecolor="windowText" strokeweight=".5pt">
                  <v:stroke endarrow="block" joinstyle="miter"/>
                </v:line>
                <v:shape id="文本框 1" o:spid="_x0000_s1102" type="#_x0000_t202" style="position:absolute;left:18659;top:108;width:7143;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" filled="f" stroked="f">
                  <v:textbox>
                    <w:txbxContent>
                      <w:p w14:paraId="2B11CF08" w14:textId="77777777" w:rsidR="00EF4562" w:rsidRDefault="00000000">
                        <w:pPr>
                          <w:pStyle w:val="af0"/>
                          <w:rPr>
                            <w14:ligatures w14:val="none"/>
                          </w:rPr>
                        </w:pPr>
                        <w:r>
                          <w:rPr>
                            <w:rFonts w:hint="eastAsia"/>
                          </w:rPr>
                          <w:t>柴油</w:t>
                        </w:r>
                      </w:p>
                    </w:txbxContent>
                  </v:textbox>
                </v:shape>
                <v:shape id="文本框 1" o:spid="_x0000_s1103" type="#_x0000_t202" style="position:absolute;left:34280;width:7143;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" filled="f" stroked="f">
                  <v:textbox>
                    <w:txbxContent>
                      <w:p w14:paraId="6B5085C6" w14:textId="77777777" w:rsidR="00EF4562" w:rsidRDefault="00000000">
                        <w:pPr>
                          <w:pStyle w:val="af0"/>
                          <w:rPr>
                            <w14:ligatures w14:val="none"/>
                          </w:rPr>
                        </w:pPr>
                        <w:r>
                          <w:rPr>
                            <w:rFonts w:hint="eastAsia"/>
                          </w:rPr>
                          <w:t>柴油</w:t>
                        </w:r>
                      </w:p>
                    </w:txbxContent>
                  </v:textbox>
                </v:shape>
                <v:shape id="文本框 1" o:spid="_x0000_s1104" type="#_x0000_t202" style="position:absolute;left:25898;top:1435;width:8382;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" fillcolor="window" strokeweight=".5pt">
                  <v:textbox>
                    <w:txbxContent>
                      <w:p w14:paraId="3CD1C68D" w14:textId="77777777" w:rsidR="00EF4562" w:rsidRDefault="00000000">
                        <w:pPr>
                          <w:pStyle w:val="af0"/>
                          <w:rPr>
                            <w:rFonts w:ascii="宋体" w:hAnsi="宋体" w:cs="Times New Roman" w:hint="eastAsia"/>
                            <w:szCs w:val="21"/>
                            <w14:ligatures w14:val="none"/>
                          </w:rPr>
                        </w:pPr>
                        <w:r>
                          <w:rPr>
                            <w:rStyle w:val="af1"/>
                            <w:rFonts w:hint="eastAsia"/>
                          </w:rPr>
                          <w:t>加油</w:t>
                        </w:r>
                        <w:r>
                          <w:rPr>
                            <w:rFonts w:ascii="宋体" w:hAnsi="宋体" w:cs="Times New Roman" w:hint="eastAsia"/>
                            <w:szCs w:val="21"/>
                          </w:rPr>
                          <w:t>机</w:t>
                        </w:r>
                      </w:p>
                    </w:txbxContent>
                  </v:textbox>
                </v:shape>
                <v:shape id="文本框 1" o:spid="_x0000_s1105" type="#_x0000_t202" style="position:absolute;left:41220;top:1435;width:8478;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" fillcolor="window" strokeweight=".5pt">
                  <v:textbox>
                    <w:txbxContent>
                      <w:p w14:paraId="5CBF6EA5" w14:textId="77777777" w:rsidR="00EF4562" w:rsidRDefault="00000000">
                        <w:pPr>
                          <w:pStyle w:val="af0"/>
                          <w:rPr>
                            <w14:ligatures w14:val="none"/>
                          </w:rPr>
                        </w:pPr>
                        <w:r>
                          <w:rPr>
                            <w:rFonts w:hint="eastAsia"/>
                          </w:rPr>
                          <w:t>汽车</w:t>
                        </w:r>
                      </w:p>
                    </w:txbxContent>
                  </v:textbox>
                </v:shape>
                <v:line id="直接连接符 832753051" o:spid="_x0000_s1106" style="position:absolute;visibility:visible;mso-wrap-style:square" from="34280,3054" to="41220,3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" strokecolor="windowText" strokeweight=".5pt">
                  <v:stroke endarrow="block" joinstyle="miter"/>
                </v:line>
                <w10:anchorlock/>
              </v:group>
            </w:pict>
          </mc:Fallback>
        </mc:AlternateContent>
      </w:r>
    </w:p>
    <w:p w14:paraId="7F3D5FBD" w14:textId="77777777" w:rsidR="00EF4562" w:rsidRDefault="00000000">
      <w:pPr>
        <w:adjustRightInd/>
        <w:snapToGrid/>
        <w:spacing w:line="240" w:lineRule="auto"/>
        <w:ind w:firstLineChars="0" w:firstLine="0"/>
        <w:jc w:val="left"/>
        <w:rPr>
          <w:sz w:val="21"/>
          <w:szCs w:val="21"/>
        </w:rPr>
      </w:pPr>
      <w:r>
        <w:rPr>
          <w:rFonts w:hint="eastAsia"/>
          <w:sz w:val="21"/>
          <w:szCs w:val="21"/>
        </w:rPr>
        <w:t>注：柴油无油气回收工艺流程</w:t>
      </w:r>
    </w:p>
    <w:p w14:paraId="708EC5AD" w14:textId="77777777" w:rsidR="00EF4562" w:rsidRDefault="00000000">
      <w:pPr>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图</w:t>
      </w:r>
      <w:r>
        <w:rPr>
          <w:rFonts w:eastAsia="黑体" w:cs="Times New Roman"/>
          <w:sz w:val="24"/>
        </w:rPr>
        <w:t>2.4-4</w:t>
      </w:r>
      <w:r>
        <w:rPr>
          <w:rFonts w:ascii="黑体" w:eastAsia="黑体" w:hAnsi="黑体" w:hint="eastAsia"/>
          <w:sz w:val="24"/>
        </w:rPr>
        <w:t xml:space="preserve">  柴油加油工艺流程图</w:t>
      </w:r>
    </w:p>
    <w:p w14:paraId="30426CF8" w14:textId="77777777" w:rsidR="00EF4562" w:rsidRDefault="00000000">
      <w:pPr>
        <w:keepNext/>
        <w:spacing w:beforeLines="50" w:before="156" w:afterLines="50" w:after="156"/>
        <w:ind w:firstLine="562"/>
        <w:outlineLvl w:val="2"/>
        <w:rPr>
          <w:rFonts w:ascii="黑体" w:eastAsia="黑体" w:hAnsi="黑体" w:hint="eastAsia"/>
          <w:b/>
          <w:bCs/>
        </w:rPr>
      </w:pPr>
      <w:r>
        <w:rPr>
          <w:rFonts w:eastAsia="黑体" w:cs="Times New Roman"/>
          <w:b/>
          <w:bCs/>
        </w:rPr>
        <w:lastRenderedPageBreak/>
        <w:t>2.4.</w:t>
      </w:r>
      <w:r>
        <w:rPr>
          <w:rFonts w:eastAsia="黑体" w:cs="Times New Roman" w:hint="eastAsia"/>
          <w:b/>
          <w:bCs/>
        </w:rPr>
        <w:t>2</w:t>
      </w:r>
      <w:r>
        <w:rPr>
          <w:rFonts w:ascii="黑体" w:eastAsia="黑体" w:hAnsi="黑体" w:hint="eastAsia"/>
          <w:b/>
          <w:bCs/>
        </w:rPr>
        <w:t>主要建（构）筑物</w:t>
      </w:r>
    </w:p>
    <w:p w14:paraId="7F5B27F4" w14:textId="77777777" w:rsidR="00EF4562" w:rsidRDefault="00000000">
      <w:pPr>
        <w:ind w:firstLine="560"/>
      </w:pPr>
      <w:r>
        <w:rPr>
          <w:rFonts w:hint="eastAsia"/>
        </w:rPr>
        <w:t>主要建（构）筑物情况详见下表。</w:t>
      </w:r>
    </w:p>
    <w:p w14:paraId="6718AEE1" w14:textId="77777777" w:rsidR="00EF4562"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2.4-1</w:t>
      </w:r>
      <w:r>
        <w:rPr>
          <w:rFonts w:ascii="黑体" w:eastAsia="黑体" w:hAnsi="黑体" w:hint="eastAsia"/>
          <w:sz w:val="24"/>
        </w:rPr>
        <w:t xml:space="preserve">  主要建（构）筑物情况一览表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
        <w:gridCol w:w="1176"/>
        <w:gridCol w:w="673"/>
        <w:gridCol w:w="1165"/>
        <w:gridCol w:w="802"/>
        <w:gridCol w:w="954"/>
        <w:gridCol w:w="954"/>
        <w:gridCol w:w="787"/>
        <w:gridCol w:w="994"/>
        <w:gridCol w:w="1029"/>
      </w:tblGrid>
      <w:tr w:rsidR="00EF4562" w14:paraId="7C457706" w14:textId="77777777">
        <w:trPr>
          <w:trHeight w:val="454"/>
          <w:tblHeader/>
          <w:jc w:val="center"/>
        </w:trPr>
        <w:tc>
          <w:tcPr>
            <w:tcW w:w="348" w:type="pct"/>
            <w:vAlign w:val="center"/>
          </w:tcPr>
          <w:p w14:paraId="38F9D5AA"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序号</w:t>
            </w:r>
          </w:p>
        </w:tc>
        <w:tc>
          <w:tcPr>
            <w:tcW w:w="641" w:type="pct"/>
            <w:vAlign w:val="center"/>
          </w:tcPr>
          <w:p w14:paraId="6386B21F"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建（构）筑物名称</w:t>
            </w:r>
          </w:p>
        </w:tc>
        <w:tc>
          <w:tcPr>
            <w:tcW w:w="367" w:type="pct"/>
            <w:vAlign w:val="center"/>
          </w:tcPr>
          <w:p w14:paraId="416C4786"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层数</w:t>
            </w:r>
          </w:p>
        </w:tc>
        <w:tc>
          <w:tcPr>
            <w:tcW w:w="635" w:type="pct"/>
            <w:vAlign w:val="center"/>
          </w:tcPr>
          <w:p w14:paraId="7200A79C"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结构</w:t>
            </w:r>
          </w:p>
          <w:p w14:paraId="1E2AF3E6"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型式</w:t>
            </w:r>
          </w:p>
        </w:tc>
        <w:tc>
          <w:tcPr>
            <w:tcW w:w="437" w:type="pct"/>
            <w:vAlign w:val="center"/>
          </w:tcPr>
          <w:p w14:paraId="70DB8B81"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高度</w:t>
            </w:r>
          </w:p>
          <w:p w14:paraId="3183C29C"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w:t>
            </w:r>
            <w:r>
              <w:rPr>
                <w:rFonts w:cs="Times New Roman" w:hint="eastAsia"/>
                <w:sz w:val="21"/>
                <w:szCs w:val="21"/>
                <w14:ligatures w14:val="none"/>
              </w:rPr>
              <w:t>m</w:t>
            </w:r>
            <w:r>
              <w:rPr>
                <w:rFonts w:cs="Times New Roman"/>
                <w:sz w:val="21"/>
                <w:szCs w:val="21"/>
                <w14:ligatures w14:val="none"/>
              </w:rPr>
              <w:t>）</w:t>
            </w:r>
          </w:p>
        </w:tc>
        <w:tc>
          <w:tcPr>
            <w:tcW w:w="520" w:type="pct"/>
            <w:vAlign w:val="center"/>
          </w:tcPr>
          <w:p w14:paraId="26CDA022"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建筑</w:t>
            </w:r>
          </w:p>
          <w:p w14:paraId="3984FA70"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面积</w:t>
            </w:r>
          </w:p>
          <w:p w14:paraId="3D887C78"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w:t>
            </w:r>
            <w:r>
              <w:rPr>
                <w:rFonts w:cs="Times New Roman"/>
                <w:sz w:val="21"/>
                <w:szCs w:val="21"/>
                <w14:ligatures w14:val="none"/>
              </w:rPr>
              <w:t>m</w:t>
            </w:r>
            <w:r>
              <w:rPr>
                <w:rFonts w:cs="Times New Roman"/>
                <w:sz w:val="21"/>
                <w:szCs w:val="21"/>
                <w:vertAlign w:val="superscript"/>
                <w14:ligatures w14:val="none"/>
              </w:rPr>
              <w:t>2</w:t>
            </w:r>
            <w:r>
              <w:rPr>
                <w:rFonts w:cs="Times New Roman"/>
                <w:sz w:val="21"/>
                <w:szCs w:val="21"/>
                <w14:ligatures w14:val="none"/>
              </w:rPr>
              <w:t>）</w:t>
            </w:r>
          </w:p>
        </w:tc>
        <w:tc>
          <w:tcPr>
            <w:tcW w:w="520" w:type="pct"/>
            <w:vAlign w:val="center"/>
          </w:tcPr>
          <w:p w14:paraId="381BE302"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占地</w:t>
            </w:r>
          </w:p>
          <w:p w14:paraId="20E08E48"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面积</w:t>
            </w:r>
          </w:p>
          <w:p w14:paraId="61BF2FBA"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w:t>
            </w:r>
            <w:r>
              <w:rPr>
                <w:rFonts w:cs="Times New Roman"/>
                <w:sz w:val="21"/>
                <w:szCs w:val="21"/>
                <w14:ligatures w14:val="none"/>
              </w:rPr>
              <w:t>m</w:t>
            </w:r>
            <w:r>
              <w:rPr>
                <w:rFonts w:cs="Times New Roman"/>
                <w:sz w:val="21"/>
                <w:szCs w:val="21"/>
                <w:vertAlign w:val="superscript"/>
                <w14:ligatures w14:val="none"/>
              </w:rPr>
              <w:t>2</w:t>
            </w:r>
            <w:r>
              <w:rPr>
                <w:rFonts w:cs="Times New Roman"/>
                <w:sz w:val="21"/>
                <w:szCs w:val="21"/>
                <w14:ligatures w14:val="none"/>
              </w:rPr>
              <w:t>）</w:t>
            </w:r>
          </w:p>
        </w:tc>
        <w:tc>
          <w:tcPr>
            <w:tcW w:w="429" w:type="pct"/>
            <w:vAlign w:val="center"/>
          </w:tcPr>
          <w:p w14:paraId="7E96EF06"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耐火</w:t>
            </w:r>
          </w:p>
          <w:p w14:paraId="7F5CAE10"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等级</w:t>
            </w:r>
          </w:p>
        </w:tc>
        <w:tc>
          <w:tcPr>
            <w:tcW w:w="542" w:type="pct"/>
            <w:vAlign w:val="center"/>
          </w:tcPr>
          <w:p w14:paraId="218EA9C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火灾</w:t>
            </w:r>
          </w:p>
          <w:p w14:paraId="7914FF6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危险性</w:t>
            </w:r>
          </w:p>
        </w:tc>
        <w:tc>
          <w:tcPr>
            <w:tcW w:w="562" w:type="pct"/>
            <w:vAlign w:val="center"/>
          </w:tcPr>
          <w:p w14:paraId="3596FBC5"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备注</w:t>
            </w:r>
          </w:p>
        </w:tc>
      </w:tr>
      <w:tr w:rsidR="00EF4562" w14:paraId="375FC97F" w14:textId="77777777">
        <w:trPr>
          <w:trHeight w:val="454"/>
          <w:jc w:val="center"/>
        </w:trPr>
        <w:tc>
          <w:tcPr>
            <w:tcW w:w="348" w:type="pct"/>
            <w:vAlign w:val="center"/>
          </w:tcPr>
          <w:p w14:paraId="0FF425CE"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1</w:t>
            </w:r>
          </w:p>
        </w:tc>
        <w:tc>
          <w:tcPr>
            <w:tcW w:w="641" w:type="pct"/>
            <w:vAlign w:val="center"/>
          </w:tcPr>
          <w:p w14:paraId="245B16CC" w14:textId="77777777" w:rsidR="00EF4562" w:rsidRDefault="00000000">
            <w:pPr>
              <w:spacing w:line="240" w:lineRule="auto"/>
              <w:ind w:firstLineChars="0" w:firstLine="0"/>
              <w:jc w:val="center"/>
              <w:rPr>
                <w:rFonts w:cs="Times New Roman"/>
                <w:sz w:val="22"/>
                <w:szCs w:val="22"/>
                <w14:ligatures w14:val="none"/>
              </w:rPr>
            </w:pPr>
            <w:r>
              <w:rPr>
                <w:rFonts w:cs="Times New Roman"/>
                <w:sz w:val="21"/>
                <w:szCs w:val="21"/>
                <w14:ligatures w14:val="none"/>
              </w:rPr>
              <w:t>站房</w:t>
            </w:r>
            <w:r>
              <w:rPr>
                <w:rFonts w:cs="Times New Roman" w:hint="eastAsia"/>
                <w:sz w:val="21"/>
                <w:szCs w:val="21"/>
                <w14:ligatures w14:val="none"/>
              </w:rPr>
              <w:t>1</w:t>
            </w:r>
          </w:p>
        </w:tc>
        <w:tc>
          <w:tcPr>
            <w:tcW w:w="367" w:type="pct"/>
            <w:vAlign w:val="center"/>
          </w:tcPr>
          <w:p w14:paraId="5586441C" w14:textId="77777777" w:rsidR="00EF4562" w:rsidRDefault="00000000">
            <w:pPr>
              <w:spacing w:line="240" w:lineRule="auto"/>
              <w:ind w:firstLineChars="0" w:firstLine="0"/>
              <w:jc w:val="center"/>
              <w:rPr>
                <w:rFonts w:cs="Times New Roman"/>
                <w:sz w:val="22"/>
                <w:szCs w:val="22"/>
                <w14:ligatures w14:val="none"/>
              </w:rPr>
            </w:pPr>
            <w:r>
              <w:rPr>
                <w:rFonts w:cs="Times New Roman" w:hint="eastAsia"/>
                <w:sz w:val="22"/>
                <w:szCs w:val="22"/>
                <w14:ligatures w14:val="none"/>
              </w:rPr>
              <w:t>2</w:t>
            </w:r>
          </w:p>
        </w:tc>
        <w:tc>
          <w:tcPr>
            <w:tcW w:w="635" w:type="pct"/>
            <w:vAlign w:val="center"/>
          </w:tcPr>
          <w:p w14:paraId="1AEFC24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砖混</w:t>
            </w:r>
          </w:p>
        </w:tc>
        <w:tc>
          <w:tcPr>
            <w:tcW w:w="437" w:type="pct"/>
            <w:vAlign w:val="center"/>
          </w:tcPr>
          <w:p w14:paraId="7AFC40E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520" w:type="pct"/>
            <w:vAlign w:val="center"/>
          </w:tcPr>
          <w:p w14:paraId="3A51EEF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400</w:t>
            </w:r>
          </w:p>
        </w:tc>
        <w:tc>
          <w:tcPr>
            <w:tcW w:w="520" w:type="pct"/>
            <w:vAlign w:val="center"/>
          </w:tcPr>
          <w:p w14:paraId="7448B9D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200</w:t>
            </w:r>
          </w:p>
        </w:tc>
        <w:tc>
          <w:tcPr>
            <w:tcW w:w="429" w:type="pct"/>
            <w:vAlign w:val="center"/>
          </w:tcPr>
          <w:p w14:paraId="250D6317"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二级</w:t>
            </w:r>
          </w:p>
        </w:tc>
        <w:tc>
          <w:tcPr>
            <w:tcW w:w="542" w:type="pct"/>
            <w:vAlign w:val="center"/>
          </w:tcPr>
          <w:p w14:paraId="0D9F2D05"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民建</w:t>
            </w:r>
          </w:p>
        </w:tc>
        <w:tc>
          <w:tcPr>
            <w:tcW w:w="562" w:type="pct"/>
            <w:vAlign w:val="center"/>
          </w:tcPr>
          <w:p w14:paraId="2E8ECD1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利旧</w:t>
            </w:r>
          </w:p>
        </w:tc>
      </w:tr>
      <w:tr w:rsidR="00EF4562" w14:paraId="745BCF90" w14:textId="77777777">
        <w:trPr>
          <w:trHeight w:val="454"/>
          <w:jc w:val="center"/>
        </w:trPr>
        <w:tc>
          <w:tcPr>
            <w:tcW w:w="348" w:type="pct"/>
            <w:vAlign w:val="center"/>
          </w:tcPr>
          <w:p w14:paraId="70C1DF8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w:t>
            </w:r>
          </w:p>
        </w:tc>
        <w:tc>
          <w:tcPr>
            <w:tcW w:w="641" w:type="pct"/>
            <w:vAlign w:val="center"/>
          </w:tcPr>
          <w:p w14:paraId="58AA434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站房</w:t>
            </w:r>
            <w:r>
              <w:rPr>
                <w:rFonts w:cs="Times New Roman" w:hint="eastAsia"/>
                <w:sz w:val="21"/>
                <w:szCs w:val="21"/>
                <w14:ligatures w14:val="none"/>
              </w:rPr>
              <w:t>2</w:t>
            </w:r>
          </w:p>
        </w:tc>
        <w:tc>
          <w:tcPr>
            <w:tcW w:w="367" w:type="pct"/>
            <w:vAlign w:val="center"/>
          </w:tcPr>
          <w:p w14:paraId="16E48611" w14:textId="77777777" w:rsidR="00EF4562" w:rsidRDefault="00000000">
            <w:pPr>
              <w:spacing w:line="240" w:lineRule="auto"/>
              <w:ind w:firstLineChars="0" w:firstLine="0"/>
              <w:jc w:val="center"/>
              <w:rPr>
                <w:rFonts w:cs="Times New Roman"/>
                <w:sz w:val="22"/>
                <w:szCs w:val="22"/>
                <w14:ligatures w14:val="none"/>
              </w:rPr>
            </w:pPr>
            <w:r>
              <w:rPr>
                <w:rFonts w:cs="Times New Roman" w:hint="eastAsia"/>
                <w:sz w:val="22"/>
                <w:szCs w:val="22"/>
                <w14:ligatures w14:val="none"/>
              </w:rPr>
              <w:t>单层</w:t>
            </w:r>
          </w:p>
        </w:tc>
        <w:tc>
          <w:tcPr>
            <w:tcW w:w="635" w:type="pct"/>
            <w:vAlign w:val="center"/>
          </w:tcPr>
          <w:p w14:paraId="57F7EA4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砖混</w:t>
            </w:r>
          </w:p>
        </w:tc>
        <w:tc>
          <w:tcPr>
            <w:tcW w:w="437" w:type="pct"/>
            <w:vAlign w:val="center"/>
          </w:tcPr>
          <w:p w14:paraId="5CE3972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w:t>
            </w:r>
          </w:p>
        </w:tc>
        <w:tc>
          <w:tcPr>
            <w:tcW w:w="520" w:type="pct"/>
            <w:vAlign w:val="center"/>
          </w:tcPr>
          <w:p w14:paraId="222AD2E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200</w:t>
            </w:r>
          </w:p>
        </w:tc>
        <w:tc>
          <w:tcPr>
            <w:tcW w:w="520" w:type="pct"/>
            <w:vAlign w:val="center"/>
          </w:tcPr>
          <w:p w14:paraId="5FEA3EBC"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200</w:t>
            </w:r>
          </w:p>
        </w:tc>
        <w:tc>
          <w:tcPr>
            <w:tcW w:w="429" w:type="pct"/>
            <w:vAlign w:val="center"/>
          </w:tcPr>
          <w:p w14:paraId="3875A96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二级</w:t>
            </w:r>
          </w:p>
        </w:tc>
        <w:tc>
          <w:tcPr>
            <w:tcW w:w="542" w:type="pct"/>
            <w:vAlign w:val="center"/>
          </w:tcPr>
          <w:p w14:paraId="14F1D9D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民建</w:t>
            </w:r>
          </w:p>
        </w:tc>
        <w:tc>
          <w:tcPr>
            <w:tcW w:w="562" w:type="pct"/>
            <w:vAlign w:val="center"/>
          </w:tcPr>
          <w:p w14:paraId="1D3E269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利旧</w:t>
            </w:r>
          </w:p>
        </w:tc>
      </w:tr>
      <w:tr w:rsidR="00EF4562" w14:paraId="330A08AC" w14:textId="77777777">
        <w:trPr>
          <w:trHeight w:val="454"/>
          <w:jc w:val="center"/>
        </w:trPr>
        <w:tc>
          <w:tcPr>
            <w:tcW w:w="348" w:type="pct"/>
            <w:vAlign w:val="center"/>
          </w:tcPr>
          <w:p w14:paraId="0136BD8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w:t>
            </w:r>
          </w:p>
        </w:tc>
        <w:tc>
          <w:tcPr>
            <w:tcW w:w="641" w:type="pct"/>
            <w:vAlign w:val="center"/>
          </w:tcPr>
          <w:p w14:paraId="2C1295F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罩棚</w:t>
            </w:r>
          </w:p>
        </w:tc>
        <w:tc>
          <w:tcPr>
            <w:tcW w:w="367" w:type="pct"/>
            <w:vAlign w:val="center"/>
          </w:tcPr>
          <w:p w14:paraId="601063CC"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35" w:type="pct"/>
            <w:vAlign w:val="center"/>
          </w:tcPr>
          <w:p w14:paraId="6FD1757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螺栓球</w:t>
            </w:r>
            <w:r>
              <w:rPr>
                <w:rFonts w:cs="Times New Roman"/>
                <w:sz w:val="21"/>
                <w:szCs w:val="21"/>
                <w14:ligatures w14:val="none"/>
              </w:rPr>
              <w:t>网架</w:t>
            </w:r>
          </w:p>
        </w:tc>
        <w:tc>
          <w:tcPr>
            <w:tcW w:w="437" w:type="pct"/>
            <w:vAlign w:val="center"/>
          </w:tcPr>
          <w:p w14:paraId="519545F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520" w:type="pct"/>
            <w:vAlign w:val="center"/>
          </w:tcPr>
          <w:p w14:paraId="66AA748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390</w:t>
            </w:r>
          </w:p>
        </w:tc>
        <w:tc>
          <w:tcPr>
            <w:tcW w:w="520" w:type="pct"/>
            <w:vAlign w:val="center"/>
          </w:tcPr>
          <w:p w14:paraId="3445C17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780</w:t>
            </w:r>
          </w:p>
        </w:tc>
        <w:tc>
          <w:tcPr>
            <w:tcW w:w="429" w:type="pct"/>
            <w:vAlign w:val="center"/>
          </w:tcPr>
          <w:p w14:paraId="731C3C0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不燃</w:t>
            </w:r>
          </w:p>
          <w:p w14:paraId="1D371F0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烧体</w:t>
            </w:r>
          </w:p>
        </w:tc>
        <w:tc>
          <w:tcPr>
            <w:tcW w:w="542" w:type="pct"/>
            <w:vAlign w:val="center"/>
          </w:tcPr>
          <w:p w14:paraId="66AD09A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562" w:type="pct"/>
            <w:vAlign w:val="center"/>
          </w:tcPr>
          <w:p w14:paraId="175856E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利旧</w:t>
            </w:r>
          </w:p>
        </w:tc>
      </w:tr>
    </w:tbl>
    <w:p w14:paraId="22FB8FE5" w14:textId="77777777" w:rsidR="00EF4562" w:rsidRDefault="00000000">
      <w:pPr>
        <w:spacing w:beforeLines="50" w:before="156" w:afterLines="50" w:after="156"/>
        <w:ind w:firstLine="562"/>
        <w:outlineLvl w:val="2"/>
        <w:rPr>
          <w:rFonts w:ascii="黑体" w:eastAsia="黑体" w:hAnsi="黑体" w:hint="eastAsia"/>
          <w:b/>
          <w:bCs/>
        </w:rPr>
      </w:pPr>
      <w:r>
        <w:rPr>
          <w:rFonts w:eastAsia="黑体" w:cs="Times New Roman"/>
          <w:b/>
          <w:bCs/>
        </w:rPr>
        <w:t>2.4.</w:t>
      </w:r>
      <w:r>
        <w:rPr>
          <w:rFonts w:eastAsia="黑体" w:cs="Times New Roman" w:hint="eastAsia"/>
          <w:b/>
          <w:bCs/>
        </w:rPr>
        <w:t>3</w:t>
      </w:r>
      <w:r>
        <w:rPr>
          <w:rFonts w:ascii="黑体" w:eastAsia="黑体" w:hAnsi="黑体" w:hint="eastAsia"/>
          <w:b/>
          <w:bCs/>
        </w:rPr>
        <w:t>主要设备及设施的布局及其上下游生产装置的关系</w:t>
      </w:r>
    </w:p>
    <w:p w14:paraId="27CBFCC4" w14:textId="77777777" w:rsidR="00EF4562" w:rsidRDefault="00000000">
      <w:pPr>
        <w:ind w:firstLine="560"/>
      </w:pPr>
      <w:r>
        <w:rPr>
          <w:rFonts w:hint="eastAsia"/>
        </w:rPr>
        <w:t>（</w:t>
      </w:r>
      <w:r>
        <w:rPr>
          <w:rFonts w:hint="eastAsia"/>
        </w:rPr>
        <w:t>1</w:t>
      </w:r>
      <w:r>
        <w:rPr>
          <w:rFonts w:hint="eastAsia"/>
        </w:rPr>
        <w:t>）主要设备及设施的布局</w:t>
      </w:r>
    </w:p>
    <w:p w14:paraId="57ACA3FF" w14:textId="77777777" w:rsidR="00EF4562" w:rsidRDefault="00000000">
      <w:pPr>
        <w:ind w:firstLine="560"/>
        <w:rPr>
          <w:rFonts w:cs="Times New Roman"/>
          <w:bCs/>
          <w:szCs w:val="22"/>
          <w14:ligatures w14:val="none"/>
        </w:rPr>
      </w:pPr>
      <w:r>
        <w:rPr>
          <w:rFonts w:cs="Times New Roman" w:hint="eastAsia"/>
          <w:bCs/>
          <w:szCs w:val="22"/>
          <w14:ligatures w14:val="none"/>
        </w:rPr>
        <w:t>该站在总平面布置上进行功能分区，分为加油作业区、加气设备区（不在本次评价范围内）、储罐区和辅助服务区。辅助服务区包括站房</w:t>
      </w:r>
      <w:r>
        <w:rPr>
          <w:rFonts w:cs="Times New Roman" w:hint="eastAsia"/>
          <w:bCs/>
          <w:szCs w:val="22"/>
          <w14:ligatures w14:val="none"/>
        </w:rPr>
        <w:t>1</w:t>
      </w:r>
      <w:r>
        <w:rPr>
          <w:rFonts w:cs="Times New Roman" w:hint="eastAsia"/>
          <w:bCs/>
          <w:szCs w:val="22"/>
          <w14:ligatures w14:val="none"/>
        </w:rPr>
        <w:t>、站房</w:t>
      </w:r>
      <w:r>
        <w:rPr>
          <w:rFonts w:cs="Times New Roman" w:hint="eastAsia"/>
          <w:bCs/>
          <w:szCs w:val="22"/>
          <w14:ligatures w14:val="none"/>
        </w:rPr>
        <w:t>2</w:t>
      </w:r>
      <w:r>
        <w:rPr>
          <w:rFonts w:cs="Times New Roman" w:hint="eastAsia"/>
          <w:bCs/>
          <w:szCs w:val="22"/>
          <w14:ligatures w14:val="none"/>
        </w:rPr>
        <w:t>及变压器，站房</w:t>
      </w:r>
      <w:r>
        <w:rPr>
          <w:rFonts w:cs="Times New Roman" w:hint="eastAsia"/>
          <w:bCs/>
          <w:szCs w:val="22"/>
          <w14:ligatures w14:val="none"/>
        </w:rPr>
        <w:t>1</w:t>
      </w:r>
      <w:r>
        <w:rPr>
          <w:rFonts w:cs="Times New Roman" w:hint="eastAsia"/>
          <w:bCs/>
          <w:szCs w:val="22"/>
          <w14:ligatures w14:val="none"/>
        </w:rPr>
        <w:t>位于站区中部，站房</w:t>
      </w:r>
      <w:r>
        <w:rPr>
          <w:rFonts w:cs="Times New Roman" w:hint="eastAsia"/>
          <w:bCs/>
          <w:szCs w:val="22"/>
          <w14:ligatures w14:val="none"/>
        </w:rPr>
        <w:t>1</w:t>
      </w:r>
      <w:r>
        <w:rPr>
          <w:rFonts w:cs="Times New Roman" w:hint="eastAsia"/>
          <w:bCs/>
          <w:szCs w:val="22"/>
          <w14:ligatures w14:val="none"/>
        </w:rPr>
        <w:t>北侧为站房</w:t>
      </w:r>
      <w:r>
        <w:rPr>
          <w:rFonts w:cs="Times New Roman" w:hint="eastAsia"/>
          <w:bCs/>
          <w:szCs w:val="22"/>
          <w14:ligatures w14:val="none"/>
        </w:rPr>
        <w:t>2</w:t>
      </w:r>
      <w:r>
        <w:rPr>
          <w:rFonts w:cs="Times New Roman" w:hint="eastAsia"/>
          <w:bCs/>
          <w:szCs w:val="22"/>
          <w14:ligatures w14:val="none"/>
        </w:rPr>
        <w:t>，变压器位于站区北侧。</w:t>
      </w:r>
    </w:p>
    <w:p w14:paraId="151C61B4" w14:textId="77777777" w:rsidR="00EF4562" w:rsidRDefault="00000000">
      <w:pPr>
        <w:ind w:firstLine="560"/>
        <w:rPr>
          <w:rFonts w:cs="Times New Roman"/>
          <w:bCs/>
          <w:szCs w:val="22"/>
          <w14:ligatures w14:val="none"/>
        </w:rPr>
      </w:pPr>
      <w:r>
        <w:rPr>
          <w:rFonts w:cs="Times New Roman" w:hint="eastAsia"/>
          <w:bCs/>
          <w:szCs w:val="22"/>
          <w14:ligatures w14:val="none"/>
        </w:rPr>
        <w:t>加油作业区为加油场地，布置在站房</w:t>
      </w:r>
      <w:r>
        <w:rPr>
          <w:rFonts w:cs="Times New Roman" w:hint="eastAsia"/>
          <w:bCs/>
          <w:szCs w:val="22"/>
          <w14:ligatures w14:val="none"/>
        </w:rPr>
        <w:t>1</w:t>
      </w:r>
      <w:r>
        <w:rPr>
          <w:rFonts w:cs="Times New Roman" w:hint="eastAsia"/>
          <w:bCs/>
          <w:szCs w:val="22"/>
          <w14:ligatures w14:val="none"/>
        </w:rPr>
        <w:t>南侧，加油场地设加油罩棚，罩棚下设</w:t>
      </w:r>
      <w:r>
        <w:rPr>
          <w:rFonts w:cs="Times New Roman" w:hint="eastAsia"/>
          <w:bCs/>
          <w:szCs w:val="22"/>
          <w14:ligatures w14:val="none"/>
        </w:rPr>
        <w:t>2</w:t>
      </w:r>
      <w:r>
        <w:rPr>
          <w:rFonts w:cs="Times New Roman" w:hint="eastAsia"/>
          <w:bCs/>
          <w:szCs w:val="22"/>
          <w14:ligatures w14:val="none"/>
        </w:rPr>
        <w:t>个加油加气岛和</w:t>
      </w:r>
      <w:r>
        <w:rPr>
          <w:rFonts w:cs="Times New Roman" w:hint="eastAsia"/>
          <w:bCs/>
          <w:szCs w:val="22"/>
          <w14:ligatures w14:val="none"/>
        </w:rPr>
        <w:t>4</w:t>
      </w:r>
      <w:r>
        <w:rPr>
          <w:rFonts w:cs="Times New Roman" w:hint="eastAsia"/>
          <w:bCs/>
          <w:szCs w:val="22"/>
          <w14:ligatures w14:val="none"/>
        </w:rPr>
        <w:t>个加油岛，并排布置</w:t>
      </w:r>
      <w:r>
        <w:rPr>
          <w:rFonts w:cs="Times New Roman" w:hint="eastAsia"/>
          <w:bCs/>
          <w:szCs w:val="22"/>
          <w14:ligatures w14:val="none"/>
        </w:rPr>
        <w:t>2</w:t>
      </w:r>
      <w:r>
        <w:rPr>
          <w:rFonts w:cs="Times New Roman" w:hint="eastAsia"/>
          <w:bCs/>
          <w:szCs w:val="22"/>
          <w14:ligatures w14:val="none"/>
        </w:rPr>
        <w:t>台双枪单油品自吸式车用乙醇汽油加油机（利旧）、</w:t>
      </w:r>
      <w:r>
        <w:rPr>
          <w:rFonts w:cs="Times New Roman" w:hint="eastAsia"/>
          <w:bCs/>
          <w:szCs w:val="22"/>
          <w14:ligatures w14:val="none"/>
        </w:rPr>
        <w:t>1</w:t>
      </w:r>
      <w:r>
        <w:rPr>
          <w:rFonts w:cs="Times New Roman" w:hint="eastAsia"/>
          <w:bCs/>
          <w:szCs w:val="22"/>
          <w14:ligatures w14:val="none"/>
        </w:rPr>
        <w:t>台四枪双油品自吸式车用乙醇汽油加油机（新建）、</w:t>
      </w:r>
      <w:r>
        <w:rPr>
          <w:rFonts w:cs="Times New Roman" w:hint="eastAsia"/>
          <w:bCs/>
          <w:szCs w:val="22"/>
          <w14:ligatures w14:val="none"/>
        </w:rPr>
        <w:t>2</w:t>
      </w:r>
      <w:r>
        <w:rPr>
          <w:rFonts w:cs="Times New Roman" w:hint="eastAsia"/>
          <w:bCs/>
          <w:szCs w:val="22"/>
          <w14:ligatures w14:val="none"/>
        </w:rPr>
        <w:t>台双枪单油品自吸式柴油加油机（利旧）、</w:t>
      </w:r>
      <w:r>
        <w:rPr>
          <w:rFonts w:cs="Times New Roman" w:hint="eastAsia"/>
          <w:bCs/>
          <w:szCs w:val="22"/>
          <w14:ligatures w14:val="none"/>
        </w:rPr>
        <w:t>1</w:t>
      </w:r>
      <w:r>
        <w:rPr>
          <w:rFonts w:cs="Times New Roman" w:hint="eastAsia"/>
          <w:bCs/>
          <w:szCs w:val="22"/>
          <w14:ligatures w14:val="none"/>
        </w:rPr>
        <w:t>台四枪双油品自吸式柴油加油机（新建）和</w:t>
      </w:r>
      <w:r>
        <w:rPr>
          <w:rFonts w:cs="Times New Roman" w:hint="eastAsia"/>
          <w:bCs/>
          <w:szCs w:val="22"/>
          <w14:ligatures w14:val="none"/>
        </w:rPr>
        <w:t>2</w:t>
      </w:r>
      <w:r>
        <w:rPr>
          <w:rFonts w:cs="Times New Roman" w:hint="eastAsia"/>
          <w:bCs/>
          <w:szCs w:val="22"/>
          <w14:ligatures w14:val="none"/>
        </w:rPr>
        <w:t>台双枪</w:t>
      </w:r>
      <w:r>
        <w:rPr>
          <w:rFonts w:cs="Times New Roman" w:hint="eastAsia"/>
          <w:bCs/>
          <w:szCs w:val="22"/>
          <w14:ligatures w14:val="none"/>
        </w:rPr>
        <w:t>LNG</w:t>
      </w:r>
      <w:r>
        <w:rPr>
          <w:rFonts w:cs="Times New Roman" w:hint="eastAsia"/>
          <w:bCs/>
          <w:szCs w:val="22"/>
          <w14:ligatures w14:val="none"/>
        </w:rPr>
        <w:t>加气机（不在本次评价范围内）。</w:t>
      </w:r>
    </w:p>
    <w:p w14:paraId="7CDCF7BA" w14:textId="77777777" w:rsidR="00EF4562" w:rsidRDefault="00000000">
      <w:pPr>
        <w:ind w:firstLine="560"/>
        <w:rPr>
          <w:rFonts w:cs="Times New Roman"/>
          <w:bCs/>
          <w:szCs w:val="22"/>
          <w14:ligatures w14:val="none"/>
        </w:rPr>
      </w:pPr>
      <w:r>
        <w:rPr>
          <w:rFonts w:cs="Times New Roman" w:hint="eastAsia"/>
          <w:bCs/>
          <w:szCs w:val="22"/>
          <w14:ligatures w14:val="none"/>
        </w:rPr>
        <w:t>加气设备区布置于站区西侧，包括</w:t>
      </w:r>
      <w:r>
        <w:rPr>
          <w:rFonts w:cs="Times New Roman" w:hint="eastAsia"/>
          <w:bCs/>
          <w:szCs w:val="22"/>
          <w14:ligatures w14:val="none"/>
        </w:rPr>
        <w:t>1</w:t>
      </w:r>
      <w:r>
        <w:rPr>
          <w:rFonts w:cs="Times New Roman" w:hint="eastAsia"/>
          <w:bCs/>
          <w:szCs w:val="22"/>
          <w14:ligatures w14:val="none"/>
        </w:rPr>
        <w:t>台</w:t>
      </w:r>
      <w:r>
        <w:rPr>
          <w:rFonts w:cs="Times New Roman" w:hint="eastAsia"/>
          <w:bCs/>
          <w:szCs w:val="22"/>
          <w14:ligatures w14:val="none"/>
        </w:rPr>
        <w:t>LNG</w:t>
      </w:r>
      <w:r>
        <w:rPr>
          <w:rFonts w:cs="Times New Roman" w:hint="eastAsia"/>
          <w:bCs/>
          <w:szCs w:val="22"/>
          <w14:ligatures w14:val="none"/>
        </w:rPr>
        <w:t>储罐潜液泵一体撬、</w:t>
      </w:r>
      <w:r>
        <w:rPr>
          <w:rFonts w:cs="Times New Roman" w:hint="eastAsia"/>
          <w:bCs/>
          <w:szCs w:val="22"/>
          <w14:ligatures w14:val="none"/>
        </w:rPr>
        <w:t>1</w:t>
      </w:r>
      <w:r>
        <w:rPr>
          <w:rFonts w:cs="Times New Roman" w:hint="eastAsia"/>
          <w:bCs/>
          <w:szCs w:val="22"/>
          <w14:ligatures w14:val="none"/>
        </w:rPr>
        <w:t>台空浴式卸车增压器、</w:t>
      </w:r>
      <w:r>
        <w:rPr>
          <w:rFonts w:cs="Times New Roman" w:hint="eastAsia"/>
          <w:bCs/>
          <w:szCs w:val="22"/>
          <w14:ligatures w14:val="none"/>
        </w:rPr>
        <w:t>1</w:t>
      </w:r>
      <w:r>
        <w:rPr>
          <w:rFonts w:cs="Times New Roman" w:hint="eastAsia"/>
          <w:bCs/>
          <w:szCs w:val="22"/>
          <w14:ligatures w14:val="none"/>
        </w:rPr>
        <w:t>台增压</w:t>
      </w:r>
      <w:r>
        <w:rPr>
          <w:rFonts w:cs="Times New Roman" w:hint="eastAsia"/>
          <w:bCs/>
          <w:szCs w:val="22"/>
          <w14:ligatures w14:val="none"/>
        </w:rPr>
        <w:t>EAG</w:t>
      </w:r>
      <w:r>
        <w:rPr>
          <w:rFonts w:cs="Times New Roman" w:hint="eastAsia"/>
          <w:bCs/>
          <w:szCs w:val="22"/>
          <w14:ligatures w14:val="none"/>
        </w:rPr>
        <w:t>气化器、</w:t>
      </w:r>
      <w:r>
        <w:rPr>
          <w:rFonts w:cs="Times New Roman" w:hint="eastAsia"/>
          <w:bCs/>
          <w:szCs w:val="22"/>
          <w14:ligatures w14:val="none"/>
        </w:rPr>
        <w:t>1</w:t>
      </w:r>
      <w:r>
        <w:rPr>
          <w:rFonts w:cs="Times New Roman" w:hint="eastAsia"/>
          <w:bCs/>
          <w:szCs w:val="22"/>
          <w14:ligatures w14:val="none"/>
        </w:rPr>
        <w:t>台支架版卸车撬。</w:t>
      </w:r>
    </w:p>
    <w:p w14:paraId="44188365" w14:textId="77777777" w:rsidR="00EF4562" w:rsidRDefault="00000000">
      <w:pPr>
        <w:ind w:firstLine="560"/>
        <w:rPr>
          <w:rFonts w:cs="Times New Roman"/>
          <w:bCs/>
          <w:szCs w:val="22"/>
          <w14:ligatures w14:val="none"/>
        </w:rPr>
      </w:pPr>
      <w:r>
        <w:rPr>
          <w:rFonts w:cs="Times New Roman" w:hint="eastAsia"/>
          <w:bCs/>
          <w:szCs w:val="22"/>
          <w14:ligatures w14:val="none"/>
        </w:rPr>
        <w:t>储罐区布置在站房</w:t>
      </w:r>
      <w:r>
        <w:rPr>
          <w:rFonts w:cs="Times New Roman" w:hint="eastAsia"/>
          <w:bCs/>
          <w:szCs w:val="22"/>
          <w14:ligatures w14:val="none"/>
        </w:rPr>
        <w:t>1</w:t>
      </w:r>
      <w:r>
        <w:rPr>
          <w:rFonts w:cs="Times New Roman" w:hint="eastAsia"/>
          <w:bCs/>
          <w:szCs w:val="22"/>
          <w14:ligatures w14:val="none"/>
        </w:rPr>
        <w:t>东侧，设</w:t>
      </w:r>
      <w:r>
        <w:rPr>
          <w:rFonts w:cs="Times New Roman" w:hint="eastAsia"/>
          <w:bCs/>
          <w:szCs w:val="22"/>
          <w14:ligatures w14:val="none"/>
        </w:rPr>
        <w:t>6</w:t>
      </w:r>
      <w:r>
        <w:rPr>
          <w:rFonts w:cs="Times New Roman" w:hint="eastAsia"/>
          <w:bCs/>
          <w:szCs w:val="22"/>
          <w14:ligatures w14:val="none"/>
        </w:rPr>
        <w:t>座埋地双层罐，包括</w:t>
      </w:r>
      <w:r>
        <w:rPr>
          <w:rFonts w:cs="Times New Roman" w:hint="eastAsia"/>
          <w:bCs/>
          <w:szCs w:val="22"/>
          <w14:ligatures w14:val="none"/>
        </w:rPr>
        <w:t>2</w:t>
      </w:r>
      <w:r>
        <w:rPr>
          <w:rFonts w:cs="Times New Roman" w:hint="eastAsia"/>
          <w:bCs/>
          <w:szCs w:val="22"/>
          <w14:ligatures w14:val="none"/>
        </w:rPr>
        <w:t>座</w:t>
      </w:r>
      <w:r>
        <w:rPr>
          <w:rFonts w:cs="Times New Roman" w:hint="eastAsia"/>
          <w:bCs/>
          <w:szCs w:val="22"/>
          <w14:ligatures w14:val="none"/>
        </w:rPr>
        <w:t>35m</w:t>
      </w:r>
      <w:r>
        <w:rPr>
          <w:rFonts w:cs="Times New Roman" w:hint="eastAsia"/>
          <w:bCs/>
          <w:szCs w:val="22"/>
          <w:vertAlign w:val="superscript"/>
          <w14:ligatures w14:val="none"/>
        </w:rPr>
        <w:t>3</w:t>
      </w:r>
      <w:r>
        <w:rPr>
          <w:rFonts w:cs="Times New Roman" w:hint="eastAsia"/>
          <w:bCs/>
          <w:szCs w:val="22"/>
          <w14:ligatures w14:val="none"/>
        </w:rPr>
        <w:t>车用乙醇汽油储罐，</w:t>
      </w:r>
      <w:r>
        <w:rPr>
          <w:rFonts w:cs="Times New Roman" w:hint="eastAsia"/>
          <w:bCs/>
          <w:szCs w:val="22"/>
          <w14:ligatures w14:val="none"/>
        </w:rPr>
        <w:t>4</w:t>
      </w:r>
      <w:r>
        <w:rPr>
          <w:rFonts w:cs="Times New Roman" w:hint="eastAsia"/>
          <w:bCs/>
          <w:szCs w:val="22"/>
          <w14:ligatures w14:val="none"/>
        </w:rPr>
        <w:t>座</w:t>
      </w:r>
      <w:r>
        <w:rPr>
          <w:rFonts w:cs="Times New Roman" w:hint="eastAsia"/>
          <w:bCs/>
          <w:szCs w:val="22"/>
          <w14:ligatures w14:val="none"/>
        </w:rPr>
        <w:t>40m</w:t>
      </w:r>
      <w:r>
        <w:rPr>
          <w:rFonts w:cs="Times New Roman" w:hint="eastAsia"/>
          <w:bCs/>
          <w:szCs w:val="22"/>
          <w:vertAlign w:val="superscript"/>
          <w14:ligatures w14:val="none"/>
        </w:rPr>
        <w:t>3</w:t>
      </w:r>
      <w:r>
        <w:rPr>
          <w:rFonts w:cs="Times New Roman" w:hint="eastAsia"/>
          <w:bCs/>
          <w:szCs w:val="22"/>
          <w14:ligatures w14:val="none"/>
        </w:rPr>
        <w:t>柴油储罐。</w:t>
      </w:r>
    </w:p>
    <w:p w14:paraId="7B759806" w14:textId="77777777" w:rsidR="00EF4562" w:rsidRDefault="00000000">
      <w:pPr>
        <w:ind w:firstLine="560"/>
        <w:rPr>
          <w:rFonts w:cs="Times New Roman"/>
          <w:bCs/>
          <w:szCs w:val="22"/>
          <w14:ligatures w14:val="none"/>
        </w:rPr>
      </w:pPr>
      <w:r>
        <w:rPr>
          <w:rFonts w:cs="Times New Roman" w:hint="eastAsia"/>
          <w:bCs/>
          <w:szCs w:val="22"/>
          <w14:ligatures w14:val="none"/>
        </w:rPr>
        <w:t>车用乙醇汽油和柴油通气管口分开设置，设有</w:t>
      </w:r>
      <w:r>
        <w:rPr>
          <w:rFonts w:cs="Times New Roman" w:hint="eastAsia"/>
          <w:bCs/>
          <w:szCs w:val="22"/>
          <w14:ligatures w14:val="none"/>
        </w:rPr>
        <w:t>2</w:t>
      </w:r>
      <w:r>
        <w:rPr>
          <w:rFonts w:cs="Times New Roman" w:hint="eastAsia"/>
          <w:bCs/>
          <w:szCs w:val="22"/>
          <w14:ligatures w14:val="none"/>
        </w:rPr>
        <w:t>根车用乙醇汽油通气管和</w:t>
      </w:r>
      <w:r>
        <w:rPr>
          <w:rFonts w:cs="Times New Roman" w:hint="eastAsia"/>
          <w:bCs/>
          <w:szCs w:val="22"/>
          <w14:ligatures w14:val="none"/>
        </w:rPr>
        <w:t>4</w:t>
      </w:r>
      <w:r>
        <w:rPr>
          <w:rFonts w:cs="Times New Roman" w:hint="eastAsia"/>
          <w:bCs/>
          <w:szCs w:val="22"/>
          <w14:ligatures w14:val="none"/>
        </w:rPr>
        <w:t>根柴油通气管，柴油储罐通气管口和其中</w:t>
      </w:r>
      <w:r>
        <w:rPr>
          <w:rFonts w:cs="Times New Roman" w:hint="eastAsia"/>
          <w:bCs/>
          <w:szCs w:val="22"/>
          <w14:ligatures w14:val="none"/>
        </w:rPr>
        <w:t>1</w:t>
      </w:r>
      <w:r>
        <w:rPr>
          <w:rFonts w:cs="Times New Roman" w:hint="eastAsia"/>
          <w:bCs/>
          <w:szCs w:val="22"/>
          <w14:ligatures w14:val="none"/>
        </w:rPr>
        <w:t>根车用乙醇汽油储罐通气管</w:t>
      </w:r>
      <w:r>
        <w:rPr>
          <w:rFonts w:cs="Times New Roman" w:hint="eastAsia"/>
          <w:bCs/>
          <w:szCs w:val="22"/>
          <w14:ligatures w14:val="none"/>
        </w:rPr>
        <w:lastRenderedPageBreak/>
        <w:t>口设阻火通气帽，其余</w:t>
      </w:r>
      <w:r>
        <w:rPr>
          <w:rFonts w:cs="Times New Roman" w:hint="eastAsia"/>
          <w:bCs/>
          <w:szCs w:val="22"/>
          <w14:ligatures w14:val="none"/>
        </w:rPr>
        <w:t>1</w:t>
      </w:r>
      <w:r>
        <w:rPr>
          <w:rFonts w:cs="Times New Roman" w:hint="eastAsia"/>
          <w:bCs/>
          <w:szCs w:val="22"/>
          <w14:ligatures w14:val="none"/>
        </w:rPr>
        <w:t>根车用乙醇汽油储罐通气管口设带阻火器的呼吸阀。油品卸车位和密闭卸油口布置在储罐区西侧，密闭卸油口内设</w:t>
      </w:r>
      <w:r>
        <w:rPr>
          <w:rFonts w:cs="Times New Roman" w:hint="eastAsia"/>
          <w:bCs/>
          <w:szCs w:val="22"/>
          <w14:ligatures w14:val="none"/>
        </w:rPr>
        <w:t>2</w:t>
      </w:r>
      <w:r>
        <w:rPr>
          <w:rFonts w:cs="Times New Roman" w:hint="eastAsia"/>
          <w:bCs/>
          <w:szCs w:val="22"/>
          <w14:ligatures w14:val="none"/>
        </w:rPr>
        <w:t>个车用乙醇汽油卸油口、</w:t>
      </w:r>
      <w:r>
        <w:rPr>
          <w:rFonts w:cs="Times New Roman" w:hint="eastAsia"/>
          <w:bCs/>
          <w:szCs w:val="22"/>
          <w14:ligatures w14:val="none"/>
        </w:rPr>
        <w:t>4</w:t>
      </w:r>
      <w:r>
        <w:rPr>
          <w:rFonts w:cs="Times New Roman" w:hint="eastAsia"/>
          <w:bCs/>
          <w:szCs w:val="22"/>
          <w14:ligatures w14:val="none"/>
        </w:rPr>
        <w:t>个柴油卸油口以及</w:t>
      </w:r>
      <w:r>
        <w:rPr>
          <w:rFonts w:cs="Times New Roman" w:hint="eastAsia"/>
          <w:bCs/>
          <w:szCs w:val="22"/>
          <w14:ligatures w14:val="none"/>
        </w:rPr>
        <w:t>1</w:t>
      </w:r>
      <w:r>
        <w:rPr>
          <w:rFonts w:cs="Times New Roman" w:hint="eastAsia"/>
          <w:bCs/>
          <w:szCs w:val="22"/>
          <w14:ligatures w14:val="none"/>
        </w:rPr>
        <w:t>个油气回收口。</w:t>
      </w:r>
    </w:p>
    <w:p w14:paraId="69561251" w14:textId="77777777" w:rsidR="00EF4562" w:rsidRDefault="00000000">
      <w:pPr>
        <w:ind w:firstLine="560"/>
      </w:pPr>
      <w:r>
        <w:rPr>
          <w:rFonts w:cs="Times New Roman" w:hint="eastAsia"/>
          <w:bCs/>
          <w:szCs w:val="22"/>
          <w14:ligatures w14:val="none"/>
        </w:rPr>
        <w:t>该站东侧一段、西侧及北侧设有实体围墙，进口、出口分别与锦大线相连，面向进出、口道路的一侧敞开布置，站区内部形成顺畅的加油车辆作业通道，道路为贯通式，消防道路呈环形布置，</w:t>
      </w:r>
      <w:r>
        <w:rPr>
          <w:rFonts w:hint="eastAsia"/>
        </w:rPr>
        <w:t>该站周边环境及总平面布置详见图</w:t>
      </w:r>
      <w:r>
        <w:rPr>
          <w:rFonts w:hint="eastAsia"/>
        </w:rPr>
        <w:t>2.4-5</w:t>
      </w:r>
      <w:r>
        <w:rPr>
          <w:rFonts w:hint="eastAsia"/>
        </w:rPr>
        <w:t>。</w:t>
      </w:r>
    </w:p>
    <w:p w14:paraId="26099C3F" w14:textId="77777777" w:rsidR="00EF4562" w:rsidRDefault="00EF4562">
      <w:pPr>
        <w:ind w:firstLine="560"/>
        <w:sectPr w:rsidR="00EF4562">
          <w:pgSz w:w="11906" w:h="16838"/>
          <w:pgMar w:top="1418" w:right="1134" w:bottom="1134" w:left="1588" w:header="851" w:footer="992" w:gutter="0"/>
          <w:cols w:space="425"/>
          <w:docGrid w:type="linesAndChars" w:linePitch="312"/>
        </w:sectPr>
      </w:pPr>
    </w:p>
    <w:p w14:paraId="59BBE92A" w14:textId="77777777" w:rsidR="00EF4562" w:rsidRDefault="00000000">
      <w:pPr>
        <w:ind w:firstLineChars="0" w:firstLine="0"/>
      </w:pPr>
      <w:r>
        <w:rPr>
          <w:rFonts w:cs="Times New Roman"/>
          <w:noProof/>
        </w:rPr>
        <w:lastRenderedPageBreak/>
        <mc:AlternateContent>
          <mc:Choice Requires="wpc">
            <w:drawing>
              <wp:inline distT="0" distB="0" distL="0" distR="0" wp14:anchorId="29C922F6" wp14:editId="244F0811">
                <wp:extent cx="8762365" cy="5340985"/>
                <wp:effectExtent l="0" t="0" r="635" b="0"/>
                <wp:docPr id="230477684" name="画布 146"/>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821363388" name="直接连接符 821363388"/>
                        <wps:cNvCnPr/>
                        <wps:spPr>
                          <a:xfrm flipH="1">
                            <a:off x="1381126" y="553524"/>
                            <a:ext cx="114300" cy="4705350"/>
                          </a:xfrm>
                          <a:prstGeom prst="line">
                            <a:avLst/>
                          </a:prstGeom>
                          <a:noFill/>
                          <a:ln w="28575" cap="flat" cmpd="sng" algn="ctr">
                            <a:solidFill>
                              <a:sysClr val="windowText" lastClr="000000"/>
                            </a:solidFill>
                            <a:prstDash val="solid"/>
                            <a:miter lim="800000"/>
                          </a:ln>
                          <a:effectLst/>
                        </wps:spPr>
                        <wps:bodyPr/>
                      </wps:wsp>
                      <wps:wsp>
                        <wps:cNvPr id="1216691386" name="直接连接符 1216691386"/>
                        <wps:cNvCnPr/>
                        <wps:spPr>
                          <a:xfrm flipV="1">
                            <a:off x="2124076" y="248724"/>
                            <a:ext cx="3587318" cy="304800"/>
                          </a:xfrm>
                          <a:prstGeom prst="line">
                            <a:avLst/>
                          </a:prstGeom>
                          <a:noFill/>
                          <a:ln w="28575" cap="flat" cmpd="sng" algn="ctr">
                            <a:solidFill>
                              <a:sysClr val="windowText" lastClr="000000"/>
                            </a:solidFill>
                            <a:prstDash val="solid"/>
                            <a:miter lim="800000"/>
                          </a:ln>
                          <a:effectLst/>
                        </wps:spPr>
                        <wps:bodyPr/>
                      </wps:wsp>
                      <wps:wsp>
                        <wps:cNvPr id="2118829467" name="直接连接符 2118829467"/>
                        <wps:cNvCnPr/>
                        <wps:spPr>
                          <a:xfrm flipV="1">
                            <a:off x="1495426" y="420174"/>
                            <a:ext cx="114300" cy="133350"/>
                          </a:xfrm>
                          <a:prstGeom prst="line">
                            <a:avLst/>
                          </a:prstGeom>
                          <a:noFill/>
                          <a:ln w="28575" cap="flat" cmpd="sng" algn="ctr">
                            <a:solidFill>
                              <a:sysClr val="windowText" lastClr="000000"/>
                            </a:solidFill>
                            <a:prstDash val="solid"/>
                            <a:miter lim="800000"/>
                          </a:ln>
                          <a:effectLst/>
                        </wps:spPr>
                        <wps:bodyPr/>
                      </wps:wsp>
                      <wps:wsp>
                        <wps:cNvPr id="2073319111" name="直接连接符 2073319111"/>
                        <wps:cNvCnPr/>
                        <wps:spPr>
                          <a:xfrm flipV="1">
                            <a:off x="1609726" y="372549"/>
                            <a:ext cx="438150" cy="47625"/>
                          </a:xfrm>
                          <a:prstGeom prst="line">
                            <a:avLst/>
                          </a:prstGeom>
                          <a:noFill/>
                          <a:ln w="28575" cap="flat" cmpd="sng" algn="ctr">
                            <a:solidFill>
                              <a:sysClr val="windowText" lastClr="000000"/>
                            </a:solidFill>
                            <a:prstDash val="solid"/>
                            <a:miter lim="800000"/>
                          </a:ln>
                          <a:effectLst/>
                        </wps:spPr>
                        <wps:bodyPr/>
                      </wps:wsp>
                      <wps:wsp>
                        <wps:cNvPr id="392551350" name="直接连接符 392551350"/>
                        <wps:cNvCnPr/>
                        <wps:spPr>
                          <a:xfrm>
                            <a:off x="2047876" y="372549"/>
                            <a:ext cx="76200" cy="180975"/>
                          </a:xfrm>
                          <a:prstGeom prst="line">
                            <a:avLst/>
                          </a:prstGeom>
                          <a:noFill/>
                          <a:ln w="28575" cap="flat" cmpd="sng" algn="ctr">
                            <a:solidFill>
                              <a:sysClr val="windowText" lastClr="000000"/>
                            </a:solidFill>
                            <a:prstDash val="solid"/>
                            <a:miter lim="800000"/>
                          </a:ln>
                          <a:effectLst/>
                        </wps:spPr>
                        <wps:bodyPr/>
                      </wps:wsp>
                      <wps:wsp>
                        <wps:cNvPr id="835578663" name="直接连接符 835578663"/>
                        <wps:cNvCnPr/>
                        <wps:spPr>
                          <a:xfrm>
                            <a:off x="5711394" y="248684"/>
                            <a:ext cx="647658" cy="1713888"/>
                          </a:xfrm>
                          <a:prstGeom prst="line">
                            <a:avLst/>
                          </a:prstGeom>
                          <a:noFill/>
                          <a:ln w="28575" cap="flat" cmpd="sng" algn="ctr">
                            <a:solidFill>
                              <a:sysClr val="windowText" lastClr="000000"/>
                            </a:solidFill>
                            <a:prstDash val="solid"/>
                            <a:miter lim="800000"/>
                          </a:ln>
                          <a:effectLst/>
                        </wps:spPr>
                        <wps:bodyPr/>
                      </wps:wsp>
                      <wps:wsp>
                        <wps:cNvPr id="477033846" name="矩形 477033846"/>
                        <wps:cNvSpPr/>
                        <wps:spPr>
                          <a:xfrm rot="21285220">
                            <a:off x="1612728" y="458336"/>
                            <a:ext cx="438150" cy="85725"/>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96252500" name="矩形 1596252500"/>
                        <wps:cNvSpPr/>
                        <wps:spPr>
                          <a:xfrm rot="21239330">
                            <a:off x="1710367" y="1006628"/>
                            <a:ext cx="1531805" cy="514658"/>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931005273" name="矩形 1931005273"/>
                        <wps:cNvSpPr/>
                        <wps:spPr>
                          <a:xfrm>
                            <a:off x="1687630" y="2248974"/>
                            <a:ext cx="695324" cy="1000125"/>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819156302" name="直接连接符 1819156302"/>
                        <wps:cNvCnPr/>
                        <wps:spPr>
                          <a:xfrm flipH="1">
                            <a:off x="1266826" y="1074"/>
                            <a:ext cx="161925" cy="5257800"/>
                          </a:xfrm>
                          <a:prstGeom prst="line">
                            <a:avLst/>
                          </a:prstGeom>
                          <a:noFill/>
                          <a:ln w="6350" cap="flat" cmpd="sng" algn="ctr">
                            <a:solidFill>
                              <a:sysClr val="windowText" lastClr="000000"/>
                            </a:solidFill>
                            <a:prstDash val="solid"/>
                            <a:miter lim="800000"/>
                          </a:ln>
                          <a:effectLst/>
                        </wps:spPr>
                        <wps:bodyPr/>
                      </wps:wsp>
                      <wps:wsp>
                        <wps:cNvPr id="833192413" name="直接连接符 833192413"/>
                        <wps:cNvCnPr/>
                        <wps:spPr>
                          <a:xfrm flipV="1">
                            <a:off x="1133476" y="1074"/>
                            <a:ext cx="180975" cy="5257800"/>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1627195000" name="直接连接符 1627195000"/>
                        <wps:cNvCnPr/>
                        <wps:spPr>
                          <a:xfrm flipV="1">
                            <a:off x="1000126" y="1074"/>
                            <a:ext cx="180975" cy="5257800"/>
                          </a:xfrm>
                          <a:prstGeom prst="line">
                            <a:avLst/>
                          </a:prstGeom>
                          <a:noFill/>
                          <a:ln w="6350" cap="flat" cmpd="sng" algn="ctr">
                            <a:solidFill>
                              <a:sysClr val="windowText" lastClr="000000"/>
                            </a:solidFill>
                            <a:prstDash val="solid"/>
                            <a:miter lim="800000"/>
                          </a:ln>
                          <a:effectLst/>
                        </wps:spPr>
                        <wps:bodyPr/>
                      </wps:wsp>
                      <wps:wsp>
                        <wps:cNvPr id="518289145" name="直接连接符 518289145"/>
                        <wps:cNvCnPr/>
                        <wps:spPr>
                          <a:xfrm flipH="1">
                            <a:off x="238126" y="3630099"/>
                            <a:ext cx="676275" cy="561975"/>
                          </a:xfrm>
                          <a:prstGeom prst="line">
                            <a:avLst/>
                          </a:prstGeom>
                          <a:noFill/>
                          <a:ln w="6350" cap="flat" cmpd="sng" algn="ctr">
                            <a:solidFill>
                              <a:sysClr val="windowText" lastClr="000000"/>
                            </a:solidFill>
                            <a:prstDash val="solid"/>
                            <a:miter lim="800000"/>
                          </a:ln>
                          <a:effectLst/>
                        </wps:spPr>
                        <wps:bodyPr/>
                      </wps:wsp>
                      <wps:wsp>
                        <wps:cNvPr id="1124902798" name="直接连接符 1124902798"/>
                        <wps:cNvCnPr/>
                        <wps:spPr>
                          <a:xfrm>
                            <a:off x="914401" y="3630099"/>
                            <a:ext cx="0" cy="1028700"/>
                          </a:xfrm>
                          <a:prstGeom prst="line">
                            <a:avLst/>
                          </a:prstGeom>
                          <a:noFill/>
                          <a:ln w="6350" cap="flat" cmpd="sng" algn="ctr">
                            <a:solidFill>
                              <a:sysClr val="windowText" lastClr="000000"/>
                            </a:solidFill>
                            <a:prstDash val="solid"/>
                            <a:miter lim="800000"/>
                          </a:ln>
                          <a:effectLst/>
                        </wps:spPr>
                        <wps:bodyPr/>
                      </wps:wsp>
                      <wps:wsp>
                        <wps:cNvPr id="638773633" name="直接连接符 638773633"/>
                        <wps:cNvCnPr/>
                        <wps:spPr>
                          <a:xfrm>
                            <a:off x="238126" y="4192074"/>
                            <a:ext cx="238125" cy="542925"/>
                          </a:xfrm>
                          <a:prstGeom prst="line">
                            <a:avLst/>
                          </a:prstGeom>
                          <a:noFill/>
                          <a:ln w="6350" cap="flat" cmpd="sng" algn="ctr">
                            <a:solidFill>
                              <a:sysClr val="windowText" lastClr="000000"/>
                            </a:solidFill>
                            <a:prstDash val="solid"/>
                            <a:miter lim="800000"/>
                          </a:ln>
                          <a:effectLst/>
                        </wps:spPr>
                        <wps:bodyPr/>
                      </wps:wsp>
                      <wps:wsp>
                        <wps:cNvPr id="1590121682" name="直接连接符 1590121682"/>
                        <wps:cNvCnPr/>
                        <wps:spPr>
                          <a:xfrm flipV="1">
                            <a:off x="476251" y="4658799"/>
                            <a:ext cx="438150" cy="76200"/>
                          </a:xfrm>
                          <a:prstGeom prst="line">
                            <a:avLst/>
                          </a:prstGeom>
                          <a:noFill/>
                          <a:ln w="6350" cap="flat" cmpd="sng" algn="ctr">
                            <a:solidFill>
                              <a:sysClr val="windowText" lastClr="000000"/>
                            </a:solidFill>
                            <a:prstDash val="solid"/>
                            <a:miter lim="800000"/>
                          </a:ln>
                          <a:effectLst/>
                        </wps:spPr>
                        <wps:bodyPr/>
                      </wps:wsp>
                      <wps:wsp>
                        <wps:cNvPr id="52287111" name="直接连接符 52287111"/>
                        <wps:cNvCnPr/>
                        <wps:spPr>
                          <a:xfrm>
                            <a:off x="38101" y="2087049"/>
                            <a:ext cx="676275" cy="923925"/>
                          </a:xfrm>
                          <a:prstGeom prst="line">
                            <a:avLst/>
                          </a:prstGeom>
                          <a:noFill/>
                          <a:ln w="6350" cap="flat" cmpd="sng" algn="ctr">
                            <a:solidFill>
                              <a:sysClr val="windowText" lastClr="000000"/>
                            </a:solidFill>
                            <a:prstDash val="solid"/>
                            <a:miter lim="800000"/>
                          </a:ln>
                          <a:effectLst/>
                        </wps:spPr>
                        <wps:bodyPr/>
                      </wps:wsp>
                      <wps:wsp>
                        <wps:cNvPr id="417340818" name="直接连接符 417340818"/>
                        <wps:cNvCnPr/>
                        <wps:spPr>
                          <a:xfrm flipH="1">
                            <a:off x="85726" y="3010974"/>
                            <a:ext cx="628650" cy="457200"/>
                          </a:xfrm>
                          <a:prstGeom prst="line">
                            <a:avLst/>
                          </a:prstGeom>
                          <a:noFill/>
                          <a:ln w="6350" cap="flat" cmpd="sng" algn="ctr">
                            <a:solidFill>
                              <a:sysClr val="windowText" lastClr="000000"/>
                            </a:solidFill>
                            <a:prstDash val="solid"/>
                            <a:miter lim="800000"/>
                          </a:ln>
                          <a:effectLst/>
                        </wps:spPr>
                        <wps:bodyPr/>
                      </wps:wsp>
                      <wps:wsp>
                        <wps:cNvPr id="1673006114" name="直接连接符 1673006114"/>
                        <wps:cNvCnPr/>
                        <wps:spPr>
                          <a:xfrm flipH="1" flipV="1">
                            <a:off x="1" y="3306249"/>
                            <a:ext cx="95250" cy="161925"/>
                          </a:xfrm>
                          <a:prstGeom prst="line">
                            <a:avLst/>
                          </a:prstGeom>
                          <a:noFill/>
                          <a:ln w="6350" cap="flat" cmpd="sng" algn="ctr">
                            <a:solidFill>
                              <a:sysClr val="windowText" lastClr="000000"/>
                            </a:solidFill>
                            <a:prstDash val="solid"/>
                            <a:miter lim="800000"/>
                          </a:ln>
                          <a:effectLst/>
                        </wps:spPr>
                        <wps:bodyPr/>
                      </wps:wsp>
                      <wps:wsp>
                        <wps:cNvPr id="1307521014" name="流程图: 接点 1307521014"/>
                        <wps:cNvSpPr/>
                        <wps:spPr>
                          <a:xfrm>
                            <a:off x="1868603" y="2791899"/>
                            <a:ext cx="323850" cy="295275"/>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049551941" name="流程图: 过程 2049551941"/>
                        <wps:cNvSpPr/>
                        <wps:spPr>
                          <a:xfrm>
                            <a:off x="1820978" y="2382324"/>
                            <a:ext cx="219076" cy="24765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466769862" name="流程图: 过程 1466769862"/>
                        <wps:cNvSpPr/>
                        <wps:spPr>
                          <a:xfrm>
                            <a:off x="2135303" y="2382324"/>
                            <a:ext cx="123825" cy="24765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047915219" name="流程图: 过程 2047915219"/>
                        <wps:cNvSpPr/>
                        <wps:spPr>
                          <a:xfrm>
                            <a:off x="1792403" y="3134799"/>
                            <a:ext cx="142876" cy="219075"/>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319465153" name="流程图: 接点 1319465153"/>
                        <wps:cNvSpPr/>
                        <wps:spPr>
                          <a:xfrm>
                            <a:off x="1868603" y="2795782"/>
                            <a:ext cx="45719" cy="47625"/>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63148548" name="流程图: 过程 963148548"/>
                        <wps:cNvSpPr/>
                        <wps:spPr>
                          <a:xfrm rot="20351531">
                            <a:off x="2868801" y="1972658"/>
                            <a:ext cx="1457314" cy="740277"/>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29702817" name="流程图: 过程 929702817"/>
                        <wps:cNvSpPr/>
                        <wps:spPr>
                          <a:xfrm rot="20361292">
                            <a:off x="2814315" y="2679249"/>
                            <a:ext cx="2662831" cy="1219436"/>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90971693" name="直接连接符 990971693"/>
                        <wps:cNvCnPr/>
                        <wps:spPr>
                          <a:xfrm flipV="1">
                            <a:off x="2569595" y="4609721"/>
                            <a:ext cx="849880" cy="648289"/>
                          </a:xfrm>
                          <a:prstGeom prst="line">
                            <a:avLst/>
                          </a:prstGeom>
                          <a:noFill/>
                          <a:ln w="6350" cap="flat" cmpd="sng" algn="ctr">
                            <a:solidFill>
                              <a:sysClr val="windowText" lastClr="000000"/>
                            </a:solidFill>
                            <a:prstDash val="solid"/>
                            <a:miter lim="800000"/>
                          </a:ln>
                          <a:effectLst/>
                        </wps:spPr>
                        <wps:bodyPr/>
                      </wps:wsp>
                      <wps:wsp>
                        <wps:cNvPr id="597710917" name="直接连接符 597710917"/>
                        <wps:cNvCnPr/>
                        <wps:spPr>
                          <a:xfrm flipV="1">
                            <a:off x="2932030" y="4734610"/>
                            <a:ext cx="658895" cy="479579"/>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1963992432" name="直接连接符 1963992432"/>
                        <wps:cNvCnPr/>
                        <wps:spPr>
                          <a:xfrm flipV="1">
                            <a:off x="3160795" y="4867462"/>
                            <a:ext cx="549274" cy="390552"/>
                          </a:xfrm>
                          <a:prstGeom prst="line">
                            <a:avLst/>
                          </a:prstGeom>
                          <a:noFill/>
                          <a:ln w="6350" cap="flat" cmpd="sng" algn="ctr">
                            <a:solidFill>
                              <a:sysClr val="windowText" lastClr="000000"/>
                            </a:solidFill>
                            <a:prstDash val="solid"/>
                            <a:miter lim="800000"/>
                          </a:ln>
                          <a:effectLst/>
                        </wps:spPr>
                        <wps:bodyPr/>
                      </wps:wsp>
                      <wps:wsp>
                        <wps:cNvPr id="1738601610" name="流程图: 过程 1738601610"/>
                        <wps:cNvSpPr/>
                        <wps:spPr>
                          <a:xfrm rot="20353971">
                            <a:off x="5343285" y="710845"/>
                            <a:ext cx="786423" cy="1437858"/>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06717591" name="矩形 106717591"/>
                        <wps:cNvSpPr/>
                        <wps:spPr>
                          <a:xfrm rot="20410807">
                            <a:off x="3975321" y="2951872"/>
                            <a:ext cx="200025" cy="11430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6878934" name="矩形 846878934"/>
                        <wps:cNvSpPr/>
                        <wps:spPr>
                          <a:xfrm rot="20410807">
                            <a:off x="3307598" y="3189997"/>
                            <a:ext cx="200025" cy="11430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762386793" name="矩形 1762386793"/>
                        <wps:cNvSpPr/>
                        <wps:spPr>
                          <a:xfrm rot="20410807">
                            <a:off x="4892145" y="2581372"/>
                            <a:ext cx="200025" cy="11430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045789593" name="矩形 1045789593"/>
                        <wps:cNvSpPr/>
                        <wps:spPr>
                          <a:xfrm rot="20410807">
                            <a:off x="4612522" y="2698597"/>
                            <a:ext cx="200025" cy="11430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173336600" name="矩形 1173336600"/>
                        <wps:cNvSpPr/>
                        <wps:spPr>
                          <a:xfrm rot="20410807">
                            <a:off x="4193422" y="3451073"/>
                            <a:ext cx="200025" cy="11430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874297226" name="矩形 1874297226"/>
                        <wps:cNvSpPr/>
                        <wps:spPr>
                          <a:xfrm rot="20410807">
                            <a:off x="3033040" y="3298671"/>
                            <a:ext cx="200025" cy="11430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471370942" name="矩形 471370942"/>
                        <wps:cNvSpPr/>
                        <wps:spPr>
                          <a:xfrm rot="20410807">
                            <a:off x="4850647" y="3189998"/>
                            <a:ext cx="200025" cy="114300"/>
                          </a:xfrm>
                          <a:prstGeom prst="rect">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984448628" name="矩形 984448628"/>
                        <wps:cNvSpPr/>
                        <wps:spPr>
                          <a:xfrm rot="20410807">
                            <a:off x="3507622" y="3705322"/>
                            <a:ext cx="200025" cy="114300"/>
                          </a:xfrm>
                          <a:prstGeom prst="rect">
                            <a:avLst/>
                          </a:prstGeom>
                          <a:noFill/>
                          <a:ln w="9525" cap="flat" cmpd="sng" algn="ctr">
                            <a:solidFill>
                              <a:srgbClr val="EE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459093358" name="流程图: 终止 1459093358"/>
                        <wps:cNvSpPr/>
                        <wps:spPr>
                          <a:xfrm rot="20398751">
                            <a:off x="5285036" y="865885"/>
                            <a:ext cx="487464" cy="174224"/>
                          </a:xfrm>
                          <a:prstGeom prst="flowChartTerminator">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631106561" name="流程图: 终止 631106561"/>
                        <wps:cNvSpPr/>
                        <wps:spPr>
                          <a:xfrm rot="20398751">
                            <a:off x="5526435" y="1438225"/>
                            <a:ext cx="487045" cy="173990"/>
                          </a:xfrm>
                          <a:prstGeom prst="flowChartTermina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701817453" name="流程图: 终止 1701817453"/>
                        <wps:cNvSpPr/>
                        <wps:spPr>
                          <a:xfrm rot="20398751">
                            <a:off x="5612161" y="1634050"/>
                            <a:ext cx="487045" cy="173990"/>
                          </a:xfrm>
                          <a:prstGeom prst="flowChartTermina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797570813" name="流程图: 终止 1797570813"/>
                        <wps:cNvSpPr/>
                        <wps:spPr>
                          <a:xfrm rot="20398751">
                            <a:off x="5688362" y="1834944"/>
                            <a:ext cx="487045" cy="173990"/>
                          </a:xfrm>
                          <a:prstGeom prst="flowChartTermina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449877565" name="流程图: 终止 1449877565"/>
                        <wps:cNvSpPr/>
                        <wps:spPr>
                          <a:xfrm rot="20398751">
                            <a:off x="5461045" y="1258286"/>
                            <a:ext cx="417729" cy="167486"/>
                          </a:xfrm>
                          <a:prstGeom prst="flowChartTermina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328814894" name="流程图: 终止 1328814894"/>
                        <wps:cNvSpPr/>
                        <wps:spPr>
                          <a:xfrm rot="20398751">
                            <a:off x="5388912" y="1069585"/>
                            <a:ext cx="417195" cy="167005"/>
                          </a:xfrm>
                          <a:prstGeom prst="flowChartTermina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031323132" name="流程图: 过程 1031323132"/>
                        <wps:cNvSpPr/>
                        <wps:spPr>
                          <a:xfrm rot="21271853">
                            <a:off x="6680535" y="100063"/>
                            <a:ext cx="1504950" cy="572698"/>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118401176" name="直接连接符 1118401176"/>
                        <wps:cNvCnPr/>
                        <wps:spPr>
                          <a:xfrm flipV="1">
                            <a:off x="5711394" y="86799"/>
                            <a:ext cx="1841931" cy="161925"/>
                          </a:xfrm>
                          <a:prstGeom prst="line">
                            <a:avLst/>
                          </a:prstGeom>
                          <a:noFill/>
                          <a:ln w="6350" cap="flat" cmpd="sng" algn="ctr">
                            <a:solidFill>
                              <a:sysClr val="windowText" lastClr="000000"/>
                            </a:solidFill>
                            <a:prstDash val="solid"/>
                            <a:miter lim="800000"/>
                          </a:ln>
                          <a:effectLst/>
                        </wps:spPr>
                        <wps:bodyPr/>
                      </wps:wsp>
                      <wps:wsp>
                        <wps:cNvPr id="731658004" name="直接连接符 731658004"/>
                        <wps:cNvCnPr/>
                        <wps:spPr>
                          <a:xfrm flipV="1">
                            <a:off x="6028545" y="743121"/>
                            <a:ext cx="699708" cy="374923"/>
                          </a:xfrm>
                          <a:prstGeom prst="line">
                            <a:avLst/>
                          </a:prstGeom>
                          <a:noFill/>
                          <a:ln w="6350" cap="flat" cmpd="sng" algn="ctr">
                            <a:solidFill>
                              <a:sysClr val="windowText" lastClr="000000"/>
                            </a:solidFill>
                            <a:prstDash val="solid"/>
                            <a:miter lim="800000"/>
                          </a:ln>
                          <a:effectLst/>
                        </wps:spPr>
                        <wps:bodyPr/>
                      </wps:wsp>
                      <wps:wsp>
                        <wps:cNvPr id="841350622" name="直接连接符 841350622"/>
                        <wps:cNvCnPr/>
                        <wps:spPr>
                          <a:xfrm flipV="1">
                            <a:off x="1428751" y="134424"/>
                            <a:ext cx="4930343" cy="400050"/>
                          </a:xfrm>
                          <a:prstGeom prst="line">
                            <a:avLst/>
                          </a:prstGeom>
                          <a:noFill/>
                          <a:ln w="19050" cap="flat" cmpd="sng" algn="ctr">
                            <a:solidFill>
                              <a:sysClr val="windowText" lastClr="000000"/>
                            </a:solidFill>
                            <a:prstDash val="lgDashDotDot"/>
                            <a:miter lim="800000"/>
                          </a:ln>
                          <a:effectLst/>
                        </wps:spPr>
                        <wps:bodyPr/>
                      </wps:wsp>
                      <wps:wsp>
                        <wps:cNvPr id="1652669340" name="直接连接符 1652669340"/>
                        <wps:cNvCnPr/>
                        <wps:spPr>
                          <a:xfrm flipH="1">
                            <a:off x="1495426" y="86799"/>
                            <a:ext cx="114300" cy="5172075"/>
                          </a:xfrm>
                          <a:prstGeom prst="line">
                            <a:avLst/>
                          </a:prstGeom>
                          <a:noFill/>
                          <a:ln w="19050" cap="flat" cmpd="sng" algn="ctr">
                            <a:solidFill>
                              <a:sysClr val="windowText" lastClr="000000"/>
                            </a:solidFill>
                            <a:prstDash val="lgDashDotDot"/>
                            <a:miter lim="800000"/>
                          </a:ln>
                          <a:effectLst/>
                        </wps:spPr>
                        <wps:bodyPr/>
                      </wps:wsp>
                      <wps:wsp>
                        <wps:cNvPr id="1546750108" name="直接箭头连接符 1546750108"/>
                        <wps:cNvCnPr/>
                        <wps:spPr>
                          <a:xfrm flipV="1">
                            <a:off x="405442" y="144096"/>
                            <a:ext cx="0" cy="419818"/>
                          </a:xfrm>
                          <a:prstGeom prst="straightConnector1">
                            <a:avLst/>
                          </a:prstGeom>
                          <a:noFill/>
                          <a:ln w="6350" cap="flat" cmpd="sng" algn="ctr">
                            <a:solidFill>
                              <a:sysClr val="windowText" lastClr="000000"/>
                            </a:solidFill>
                            <a:prstDash val="solid"/>
                            <a:miter lim="800000"/>
                            <a:tailEnd type="triangle"/>
                          </a:ln>
                          <a:effectLst/>
                        </wps:spPr>
                        <wps:bodyPr/>
                      </wps:wsp>
                      <wps:wsp>
                        <wps:cNvPr id="1487592531" name="箭头: 下 1487592531"/>
                        <wps:cNvSpPr/>
                        <wps:spPr>
                          <a:xfrm rot="7646558">
                            <a:off x="6153151" y="3110016"/>
                            <a:ext cx="246104" cy="381947"/>
                          </a:xfrm>
                          <a:prstGeom prst="downArrow">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403943292" name="箭头: 下 403943292"/>
                        <wps:cNvSpPr/>
                        <wps:spPr>
                          <a:xfrm rot="529677">
                            <a:off x="2296023" y="4517244"/>
                            <a:ext cx="245745" cy="381635"/>
                          </a:xfrm>
                          <a:prstGeom prst="downArrow">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863825691" name="直接连接符 1863825691"/>
                        <wps:cNvCnPr/>
                        <wps:spPr>
                          <a:xfrm flipV="1">
                            <a:off x="5606602" y="1962572"/>
                            <a:ext cx="752492" cy="278671"/>
                          </a:xfrm>
                          <a:prstGeom prst="line">
                            <a:avLst/>
                          </a:prstGeom>
                          <a:noFill/>
                          <a:ln w="28575" cap="flat" cmpd="sng" algn="ctr">
                            <a:solidFill>
                              <a:sysClr val="windowText" lastClr="000000"/>
                            </a:solidFill>
                            <a:prstDash val="solid"/>
                            <a:miter lim="800000"/>
                          </a:ln>
                          <a:effectLst/>
                        </wps:spPr>
                        <wps:bodyPr/>
                      </wps:wsp>
                      <wps:wsp>
                        <wps:cNvPr id="364397342" name="矩形 364397342"/>
                        <wps:cNvSpPr/>
                        <wps:spPr>
                          <a:xfrm>
                            <a:off x="1868603" y="2790983"/>
                            <a:ext cx="323850" cy="305231"/>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249359593" name="文本框 1249359593"/>
                        <wps:cNvSpPr txBox="1"/>
                        <wps:spPr>
                          <a:xfrm>
                            <a:off x="2657530" y="1121498"/>
                            <a:ext cx="624315" cy="279296"/>
                          </a:xfrm>
                          <a:prstGeom prst="rect">
                            <a:avLst/>
                          </a:prstGeom>
                          <a:noFill/>
                          <a:ln>
                            <a:noFill/>
                          </a:ln>
                          <a:effectLst/>
                        </wps:spPr>
                        <wps:txbx>
                          <w:txbxContent>
                            <w:p w14:paraId="46FDCE9C" w14:textId="77777777" w:rsidR="00EF4562" w:rsidRDefault="00000000">
                              <w:pPr>
                                <w:spacing w:line="240" w:lineRule="auto"/>
                                <w:ind w:firstLineChars="0" w:firstLine="0"/>
                                <w:rPr>
                                  <w:sz w:val="21"/>
                                  <w:szCs w:val="21"/>
                                </w:rPr>
                              </w:pPr>
                              <w:r>
                                <w:rPr>
                                  <w:rFonts w:hint="eastAsia"/>
                                  <w:sz w:val="21"/>
                                  <w:szCs w:val="21"/>
                                </w:rPr>
                                <w:t>站房</w:t>
                              </w:r>
                              <w:r>
                                <w:rPr>
                                  <w:rFonts w:hint="eastAsia"/>
                                  <w:sz w:val="21"/>
                                  <w:szCs w:val="21"/>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77629749" name="直接连接符 777629749"/>
                        <wps:cNvCnPr/>
                        <wps:spPr>
                          <a:xfrm>
                            <a:off x="2031928" y="1047892"/>
                            <a:ext cx="53892" cy="511786"/>
                          </a:xfrm>
                          <a:prstGeom prst="line">
                            <a:avLst/>
                          </a:prstGeom>
                          <a:noFill/>
                          <a:ln w="6350" cap="flat" cmpd="sng" algn="ctr">
                            <a:solidFill>
                              <a:sysClr val="windowText" lastClr="000000"/>
                            </a:solidFill>
                            <a:prstDash val="solid"/>
                            <a:miter lim="800000"/>
                          </a:ln>
                          <a:effectLst/>
                        </wps:spPr>
                        <wps:bodyPr/>
                      </wps:wsp>
                      <wps:wsp>
                        <wps:cNvPr id="417943059" name="文本框 1"/>
                        <wps:cNvSpPr txBox="1"/>
                        <wps:spPr>
                          <a:xfrm>
                            <a:off x="5721141" y="281097"/>
                            <a:ext cx="1232954" cy="461963"/>
                          </a:xfrm>
                          <a:prstGeom prst="rect">
                            <a:avLst/>
                          </a:prstGeom>
                          <a:noFill/>
                          <a:ln>
                            <a:noFill/>
                          </a:ln>
                          <a:effectLst/>
                        </wps:spPr>
                        <wps:txbx>
                          <w:txbxContent>
                            <w:p w14:paraId="272B6FCF" w14:textId="77777777" w:rsidR="00EF4562" w:rsidRDefault="00000000">
                              <w:pPr>
                                <w:spacing w:line="240" w:lineRule="auto"/>
                                <w:ind w:firstLineChars="0" w:firstLine="0"/>
                                <w:rPr>
                                  <w:sz w:val="21"/>
                                  <w:szCs w:val="21"/>
                                </w:rPr>
                              </w:pPr>
                              <w:r>
                                <w:rPr>
                                  <w:rFonts w:hint="eastAsia"/>
                                  <w:sz w:val="21"/>
                                  <w:szCs w:val="21"/>
                                </w:rPr>
                                <w:t>锦州吉尔运输有限公司废弃车棚</w:t>
                              </w:r>
                            </w:p>
                          </w:txbxContent>
                        </wps:txbx>
                        <wps:bodyPr rot="0" spcFirstLastPara="0" vert="horz" wrap="square" lIns="91440" tIns="45720" rIns="91440" bIns="45720" numCol="1" spcCol="0" rtlCol="0" fromWordArt="0" anchor="t" anchorCtr="0" forceAA="0" compatLnSpc="1">
                          <a:noAutofit/>
                        </wps:bodyPr>
                      </wps:wsp>
                      <wps:wsp>
                        <wps:cNvPr id="1515417505" name="文本框 1"/>
                        <wps:cNvSpPr txBox="1"/>
                        <wps:spPr>
                          <a:xfrm>
                            <a:off x="238126" y="4104816"/>
                            <a:ext cx="762000" cy="273762"/>
                          </a:xfrm>
                          <a:prstGeom prst="rect">
                            <a:avLst/>
                          </a:prstGeom>
                          <a:noFill/>
                          <a:ln>
                            <a:noFill/>
                          </a:ln>
                          <a:effectLst/>
                        </wps:spPr>
                        <wps:txbx>
                          <w:txbxContent>
                            <w:p w14:paraId="1CBE827E" w14:textId="77777777" w:rsidR="00EF4562" w:rsidRDefault="00000000">
                              <w:pPr>
                                <w:spacing w:line="240" w:lineRule="auto"/>
                                <w:ind w:firstLineChars="0" w:firstLine="0"/>
                                <w:rPr>
                                  <w:sz w:val="21"/>
                                  <w:szCs w:val="21"/>
                                </w:rPr>
                              </w:pPr>
                              <w:r>
                                <w:rPr>
                                  <w:rFonts w:hint="eastAsia"/>
                                  <w:sz w:val="21"/>
                                  <w:szCs w:val="21"/>
                                </w:rPr>
                                <w:t>民用建筑</w:t>
                              </w:r>
                            </w:p>
                          </w:txbxContent>
                        </wps:txbx>
                        <wps:bodyPr rot="0" spcFirstLastPara="0" vert="horz" wrap="square" lIns="91440" tIns="45720" rIns="91440" bIns="45720" numCol="1" spcCol="0" rtlCol="0" fromWordArt="0" anchor="t" anchorCtr="0" forceAA="0" compatLnSpc="1">
                          <a:noAutofit/>
                        </wps:bodyPr>
                      </wps:wsp>
                      <wps:wsp>
                        <wps:cNvPr id="175469071" name="文本框 1"/>
                        <wps:cNvSpPr txBox="1"/>
                        <wps:spPr>
                          <a:xfrm>
                            <a:off x="189526" y="2807990"/>
                            <a:ext cx="524850" cy="278765"/>
                          </a:xfrm>
                          <a:prstGeom prst="rect">
                            <a:avLst/>
                          </a:prstGeom>
                          <a:noFill/>
                          <a:ln>
                            <a:noFill/>
                          </a:ln>
                          <a:effectLst/>
                        </wps:spPr>
                        <wps:txbx>
                          <w:txbxContent>
                            <w:p w14:paraId="5E52185B" w14:textId="77777777" w:rsidR="00EF4562" w:rsidRDefault="00000000">
                              <w:pPr>
                                <w:spacing w:line="240" w:lineRule="auto"/>
                                <w:ind w:firstLineChars="0" w:firstLine="0"/>
                                <w:rPr>
                                  <w:sz w:val="21"/>
                                  <w:szCs w:val="21"/>
                                </w:rPr>
                              </w:pPr>
                              <w:r>
                                <w:rPr>
                                  <w:rFonts w:hint="eastAsia"/>
                                  <w:sz w:val="21"/>
                                  <w:szCs w:val="21"/>
                                </w:rPr>
                                <w:t>温室</w:t>
                              </w:r>
                            </w:p>
                          </w:txbxContent>
                        </wps:txbx>
                        <wps:bodyPr rot="0" spcFirstLastPara="0" vert="horz" wrap="square" lIns="91440" tIns="45720" rIns="91440" bIns="45720" numCol="1" spcCol="0" rtlCol="0" fromWordArt="0" anchor="t" anchorCtr="0" forceAA="0" compatLnSpc="1">
                          <a:noAutofit/>
                        </wps:bodyPr>
                      </wps:wsp>
                      <wps:wsp>
                        <wps:cNvPr id="301940955" name="文本框 1"/>
                        <wps:cNvSpPr txBox="1"/>
                        <wps:spPr>
                          <a:xfrm>
                            <a:off x="3123431" y="2212014"/>
                            <a:ext cx="910237" cy="278765"/>
                          </a:xfrm>
                          <a:prstGeom prst="rect">
                            <a:avLst/>
                          </a:prstGeom>
                          <a:noFill/>
                          <a:ln>
                            <a:noFill/>
                          </a:ln>
                          <a:effectLst/>
                        </wps:spPr>
                        <wps:txbx>
                          <w:txbxContent>
                            <w:p w14:paraId="76F56F9C" w14:textId="77777777" w:rsidR="00EF4562" w:rsidRDefault="00000000">
                              <w:pPr>
                                <w:spacing w:line="240" w:lineRule="auto"/>
                                <w:ind w:firstLineChars="0" w:firstLine="0"/>
                                <w:rPr>
                                  <w:sz w:val="21"/>
                                  <w:szCs w:val="21"/>
                                </w:rPr>
                              </w:pPr>
                              <w:r>
                                <w:rPr>
                                  <w:rFonts w:hint="eastAsia"/>
                                  <w:sz w:val="21"/>
                                  <w:szCs w:val="21"/>
                                </w:rPr>
                                <w:t>站房</w:t>
                              </w:r>
                              <w:r>
                                <w:rPr>
                                  <w:rFonts w:hint="eastAsia"/>
                                  <w:sz w:val="21"/>
                                  <w:szCs w:val="21"/>
                                </w:rPr>
                                <w:t>1</w:t>
                              </w:r>
                              <w:r>
                                <w:rPr>
                                  <w:rFonts w:hint="eastAsia"/>
                                  <w:sz w:val="21"/>
                                  <w:szCs w:val="21"/>
                                </w:rPr>
                                <w:t>（</w:t>
                              </w:r>
                              <w:r>
                                <w:rPr>
                                  <w:rFonts w:hint="eastAsia"/>
                                  <w:sz w:val="21"/>
                                  <w:szCs w:val="21"/>
                                </w:rPr>
                                <w:t>2F</w:t>
                              </w:r>
                              <w:r>
                                <w:rPr>
                                  <w:rFonts w:hint="eastAsia"/>
                                  <w:sz w:val="21"/>
                                  <w:szCs w:val="21"/>
                                </w:rPr>
                                <w:t>）</w:t>
                              </w:r>
                            </w:p>
                          </w:txbxContent>
                        </wps:txbx>
                        <wps:bodyPr rot="0" spcFirstLastPara="0" vert="horz" wrap="square" lIns="91440" tIns="45720" rIns="91440" bIns="45720" numCol="1" spcCol="0" rtlCol="0" fromWordArt="0" anchor="t" anchorCtr="0" forceAA="0" compatLnSpc="1">
                          <a:noAutofit/>
                        </wps:bodyPr>
                      </wps:wsp>
                      <wps:wsp>
                        <wps:cNvPr id="279639960" name="文本框 1"/>
                        <wps:cNvSpPr txBox="1"/>
                        <wps:spPr>
                          <a:xfrm>
                            <a:off x="1526467" y="1269732"/>
                            <a:ext cx="591565" cy="278765"/>
                          </a:xfrm>
                          <a:prstGeom prst="rect">
                            <a:avLst/>
                          </a:prstGeom>
                          <a:noFill/>
                          <a:ln>
                            <a:noFill/>
                          </a:ln>
                          <a:effectLst/>
                        </wps:spPr>
                        <wps:txbx>
                          <w:txbxContent>
                            <w:p w14:paraId="44C8B2AD" w14:textId="77777777" w:rsidR="00EF4562" w:rsidRDefault="00000000">
                              <w:pPr>
                                <w:spacing w:line="240" w:lineRule="auto"/>
                                <w:ind w:firstLineChars="0" w:firstLine="0"/>
                                <w:rPr>
                                  <w:sz w:val="21"/>
                                  <w:szCs w:val="21"/>
                                </w:rPr>
                              </w:pPr>
                              <w:r>
                                <w:rPr>
                                  <w:rFonts w:hint="eastAsia"/>
                                  <w:sz w:val="21"/>
                                  <w:szCs w:val="21"/>
                                </w:rPr>
                                <w:t>配电室</w:t>
                              </w:r>
                            </w:p>
                          </w:txbxContent>
                        </wps:txbx>
                        <wps:bodyPr rot="0" spcFirstLastPara="0" vert="horz" wrap="square" lIns="91440" tIns="45720" rIns="91440" bIns="45720" numCol="1" spcCol="0" rtlCol="0" fromWordArt="0" anchor="t" anchorCtr="0" forceAA="0" compatLnSpc="1">
                          <a:noAutofit/>
                        </wps:bodyPr>
                      </wps:wsp>
                      <wps:wsp>
                        <wps:cNvPr id="1212088197" name="文本框 1"/>
                        <wps:cNvSpPr txBox="1"/>
                        <wps:spPr>
                          <a:xfrm>
                            <a:off x="7005390" y="86793"/>
                            <a:ext cx="1232535" cy="447638"/>
                          </a:xfrm>
                          <a:prstGeom prst="rect">
                            <a:avLst/>
                          </a:prstGeom>
                          <a:noFill/>
                          <a:ln>
                            <a:noFill/>
                          </a:ln>
                          <a:effectLst/>
                        </wps:spPr>
                        <wps:txbx>
                          <w:txbxContent>
                            <w:p w14:paraId="3479834B" w14:textId="77777777" w:rsidR="00EF4562" w:rsidRDefault="00000000">
                              <w:pPr>
                                <w:spacing w:line="240" w:lineRule="auto"/>
                                <w:ind w:firstLineChars="0" w:firstLine="0"/>
                                <w:rPr>
                                  <w:sz w:val="21"/>
                                  <w:szCs w:val="21"/>
                                </w:rPr>
                              </w:pPr>
                              <w:r>
                                <w:rPr>
                                  <w:rFonts w:hint="eastAsia"/>
                                  <w:sz w:val="21"/>
                                  <w:szCs w:val="21"/>
                                </w:rPr>
                                <w:t>锦州吉尔运输有限公司办公楼</w:t>
                              </w:r>
                            </w:p>
                          </w:txbxContent>
                        </wps:txbx>
                        <wps:bodyPr rot="0" spcFirstLastPara="0" vert="horz" wrap="square" lIns="91440" tIns="45720" rIns="91440" bIns="45720" numCol="1" spcCol="0" rtlCol="0" fromWordArt="0" anchor="t" anchorCtr="0" forceAA="0" compatLnSpc="1">
                          <a:noAutofit/>
                        </wps:bodyPr>
                      </wps:wsp>
                      <wps:wsp>
                        <wps:cNvPr id="1963997756" name="文本框 1"/>
                        <wps:cNvSpPr txBox="1"/>
                        <wps:spPr>
                          <a:xfrm>
                            <a:off x="2135303" y="2023380"/>
                            <a:ext cx="782897" cy="410559"/>
                          </a:xfrm>
                          <a:prstGeom prst="rect">
                            <a:avLst/>
                          </a:prstGeom>
                          <a:noFill/>
                          <a:ln>
                            <a:noFill/>
                          </a:ln>
                          <a:effectLst/>
                        </wps:spPr>
                        <wps:txbx>
                          <w:txbxContent>
                            <w:p w14:paraId="28CFDC67" w14:textId="77777777" w:rsidR="00EF4562" w:rsidRDefault="00000000">
                              <w:pPr>
                                <w:spacing w:line="240" w:lineRule="auto"/>
                                <w:ind w:firstLineChars="0" w:firstLine="0"/>
                                <w:rPr>
                                  <w:sz w:val="21"/>
                                  <w:szCs w:val="21"/>
                                </w:rPr>
                              </w:pPr>
                              <w:r>
                                <w:rPr>
                                  <w:rFonts w:hint="eastAsia"/>
                                  <w:sz w:val="21"/>
                                  <w:szCs w:val="21"/>
                                </w:rPr>
                                <w:t>增压</w:t>
                              </w:r>
                              <w:r>
                                <w:rPr>
                                  <w:rFonts w:hint="eastAsia"/>
                                  <w:sz w:val="21"/>
                                  <w:szCs w:val="21"/>
                                </w:rPr>
                                <w:t>EAG</w:t>
                              </w:r>
                              <w:r>
                                <w:rPr>
                                  <w:rFonts w:hint="eastAsia"/>
                                  <w:sz w:val="21"/>
                                  <w:szCs w:val="21"/>
                                </w:rPr>
                                <w:t>气化器</w:t>
                              </w:r>
                            </w:p>
                          </w:txbxContent>
                        </wps:txbx>
                        <wps:bodyPr rot="0" spcFirstLastPara="0" vert="horz" wrap="square" lIns="91440" tIns="45720" rIns="91440" bIns="45720" numCol="1" spcCol="0" rtlCol="0" fromWordArt="0" anchor="t" anchorCtr="0" forceAA="0" compatLnSpc="1">
                          <a:noAutofit/>
                        </wps:bodyPr>
                      </wps:wsp>
                      <wps:wsp>
                        <wps:cNvPr id="540325920" name="文本框 1"/>
                        <wps:cNvSpPr txBox="1"/>
                        <wps:spPr>
                          <a:xfrm rot="20249950">
                            <a:off x="5568176" y="1760189"/>
                            <a:ext cx="787021" cy="294039"/>
                          </a:xfrm>
                          <a:prstGeom prst="rect">
                            <a:avLst/>
                          </a:prstGeom>
                          <a:noFill/>
                          <a:ln>
                            <a:noFill/>
                          </a:ln>
                          <a:effectLst/>
                        </wps:spPr>
                        <wps:txbx>
                          <w:txbxContent>
                            <w:p w14:paraId="4AD32228" w14:textId="77777777" w:rsidR="00EF4562" w:rsidRDefault="00000000">
                              <w:pPr>
                                <w:spacing w:line="240" w:lineRule="auto"/>
                                <w:ind w:firstLineChars="0" w:firstLine="0"/>
                                <w:rPr>
                                  <w:sz w:val="21"/>
                                  <w:szCs w:val="21"/>
                                </w:rPr>
                              </w:pPr>
                              <w:r>
                                <w:rPr>
                                  <w:rFonts w:hint="eastAsia"/>
                                  <w:sz w:val="21"/>
                                  <w:szCs w:val="21"/>
                                </w:rPr>
                                <w:t>柴油储罐</w:t>
                              </w:r>
                            </w:p>
                          </w:txbxContent>
                        </wps:txbx>
                        <wps:bodyPr rot="0" spcFirstLastPara="0" vert="horz" wrap="square" lIns="91440" tIns="45720" rIns="91440" bIns="45720" numCol="1" spcCol="0" rtlCol="0" fromWordArt="0" anchor="t" anchorCtr="0" forceAA="0" compatLnSpc="1">
                          <a:noAutofit/>
                        </wps:bodyPr>
                      </wps:wsp>
                      <wps:wsp>
                        <wps:cNvPr id="856178078" name="文本框 1"/>
                        <wps:cNvSpPr txBox="1"/>
                        <wps:spPr>
                          <a:xfrm>
                            <a:off x="4642759" y="4074283"/>
                            <a:ext cx="1179328" cy="278130"/>
                          </a:xfrm>
                          <a:prstGeom prst="rect">
                            <a:avLst/>
                          </a:prstGeom>
                          <a:noFill/>
                          <a:ln>
                            <a:noFill/>
                          </a:ln>
                          <a:effectLst/>
                        </wps:spPr>
                        <wps:txbx>
                          <w:txbxContent>
                            <w:p w14:paraId="3E0AF3D8" w14:textId="77777777" w:rsidR="00EF4562" w:rsidRDefault="00000000">
                              <w:pPr>
                                <w:spacing w:line="240" w:lineRule="auto"/>
                                <w:ind w:firstLineChars="0" w:firstLine="0"/>
                                <w:rPr>
                                  <w:sz w:val="21"/>
                                  <w:szCs w:val="21"/>
                                </w:rPr>
                              </w:pPr>
                              <w:r>
                                <w:rPr>
                                  <w:rFonts w:hint="eastAsia"/>
                                  <w:sz w:val="21"/>
                                  <w:szCs w:val="21"/>
                                </w:rPr>
                                <w:t>锦大线</w:t>
                              </w:r>
                            </w:p>
                          </w:txbxContent>
                        </wps:txbx>
                        <wps:bodyPr rot="0" spcFirstLastPara="0" vert="horz" wrap="square" lIns="91440" tIns="45720" rIns="91440" bIns="45720" numCol="1" spcCol="0" rtlCol="0" fromWordArt="0" anchor="t" anchorCtr="0" forceAA="0" compatLnSpc="1">
                          <a:noAutofit/>
                        </wps:bodyPr>
                      </wps:wsp>
                      <wps:wsp>
                        <wps:cNvPr id="224251097" name="文本框 1"/>
                        <wps:cNvSpPr txBox="1"/>
                        <wps:spPr>
                          <a:xfrm>
                            <a:off x="6418416" y="3134272"/>
                            <a:ext cx="535679" cy="278130"/>
                          </a:xfrm>
                          <a:prstGeom prst="rect">
                            <a:avLst/>
                          </a:prstGeom>
                          <a:noFill/>
                          <a:ln>
                            <a:noFill/>
                          </a:ln>
                          <a:effectLst/>
                        </wps:spPr>
                        <wps:txbx>
                          <w:txbxContent>
                            <w:p w14:paraId="48B3786F" w14:textId="77777777" w:rsidR="00EF4562" w:rsidRDefault="00000000">
                              <w:pPr>
                                <w:spacing w:line="240" w:lineRule="auto"/>
                                <w:ind w:firstLineChars="0" w:firstLine="0"/>
                                <w:rPr>
                                  <w:sz w:val="21"/>
                                  <w:szCs w:val="21"/>
                                </w:rPr>
                              </w:pPr>
                              <w:r>
                                <w:rPr>
                                  <w:rFonts w:hint="eastAsia"/>
                                  <w:sz w:val="21"/>
                                  <w:szCs w:val="21"/>
                                </w:rPr>
                                <w:t>入口</w:t>
                              </w:r>
                            </w:p>
                          </w:txbxContent>
                        </wps:txbx>
                        <wps:bodyPr rot="0" spcFirstLastPara="0" vert="horz" wrap="square" lIns="91440" tIns="45720" rIns="91440" bIns="45720" numCol="1" spcCol="0" rtlCol="0" fromWordArt="0" anchor="t" anchorCtr="0" forceAA="0" compatLnSpc="1">
                          <a:noAutofit/>
                        </wps:bodyPr>
                      </wps:wsp>
                      <wps:wsp>
                        <wps:cNvPr id="527926574" name="文本框 1"/>
                        <wps:cNvSpPr txBox="1"/>
                        <wps:spPr>
                          <a:xfrm>
                            <a:off x="2527229" y="4448179"/>
                            <a:ext cx="532341" cy="278130"/>
                          </a:xfrm>
                          <a:prstGeom prst="rect">
                            <a:avLst/>
                          </a:prstGeom>
                          <a:noFill/>
                          <a:ln>
                            <a:noFill/>
                          </a:ln>
                          <a:effectLst/>
                        </wps:spPr>
                        <wps:txbx>
                          <w:txbxContent>
                            <w:p w14:paraId="70C3CBA9" w14:textId="77777777" w:rsidR="00EF4562" w:rsidRDefault="00000000">
                              <w:pPr>
                                <w:spacing w:line="240" w:lineRule="auto"/>
                                <w:ind w:firstLineChars="0" w:firstLine="0"/>
                                <w:rPr>
                                  <w:sz w:val="21"/>
                                  <w:szCs w:val="21"/>
                                </w:rPr>
                              </w:pPr>
                              <w:r>
                                <w:rPr>
                                  <w:rFonts w:hint="eastAsia"/>
                                  <w:sz w:val="21"/>
                                  <w:szCs w:val="21"/>
                                </w:rPr>
                                <w:t>出口</w:t>
                              </w:r>
                            </w:p>
                          </w:txbxContent>
                        </wps:txbx>
                        <wps:bodyPr rot="0" spcFirstLastPara="0" vert="horz" wrap="square" lIns="91440" tIns="45720" rIns="91440" bIns="45720" numCol="1" spcCol="0" rtlCol="0" fromWordArt="0" anchor="t" anchorCtr="0" forceAA="0" compatLnSpc="1">
                          <a:noAutofit/>
                        </wps:bodyPr>
                      </wps:wsp>
                      <wps:wsp>
                        <wps:cNvPr id="130591547" name="直接连接符 130591547"/>
                        <wps:cNvCnPr/>
                        <wps:spPr>
                          <a:xfrm flipV="1">
                            <a:off x="3419475" y="3629801"/>
                            <a:ext cx="2475345" cy="979541"/>
                          </a:xfrm>
                          <a:prstGeom prst="line">
                            <a:avLst/>
                          </a:prstGeom>
                          <a:noFill/>
                          <a:ln w="6350" cap="flat" cmpd="sng" algn="ctr">
                            <a:solidFill>
                              <a:sysClr val="windowText" lastClr="000000"/>
                            </a:solidFill>
                            <a:prstDash val="solid"/>
                            <a:miter lim="800000"/>
                          </a:ln>
                          <a:effectLst/>
                        </wps:spPr>
                        <wps:bodyPr/>
                      </wps:wsp>
                      <wps:wsp>
                        <wps:cNvPr id="748095235" name="直接连接符 748095235"/>
                        <wps:cNvCnPr/>
                        <wps:spPr>
                          <a:xfrm flipV="1">
                            <a:off x="5894820" y="3412637"/>
                            <a:ext cx="2172855" cy="216866"/>
                          </a:xfrm>
                          <a:prstGeom prst="line">
                            <a:avLst/>
                          </a:prstGeom>
                          <a:noFill/>
                          <a:ln w="6350" cap="flat" cmpd="sng" algn="ctr">
                            <a:solidFill>
                              <a:sysClr val="windowText" lastClr="000000"/>
                            </a:solidFill>
                            <a:prstDash val="solid"/>
                            <a:miter lim="800000"/>
                          </a:ln>
                          <a:effectLst/>
                        </wps:spPr>
                        <wps:bodyPr/>
                      </wps:wsp>
                      <wps:wsp>
                        <wps:cNvPr id="881088928" name="直接连接符 881088928"/>
                        <wps:cNvCnPr/>
                        <wps:spPr>
                          <a:xfrm flipV="1">
                            <a:off x="3590925" y="3799538"/>
                            <a:ext cx="2303895" cy="934294"/>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260524877" name="直接连接符 260524877"/>
                        <wps:cNvCnPr/>
                        <wps:spPr>
                          <a:xfrm flipV="1">
                            <a:off x="5894820" y="3595310"/>
                            <a:ext cx="2172855" cy="204228"/>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138617513" name="直接连接符 138617513"/>
                        <wps:cNvCnPr/>
                        <wps:spPr>
                          <a:xfrm flipV="1">
                            <a:off x="3710069" y="3971925"/>
                            <a:ext cx="2262106" cy="895137"/>
                          </a:xfrm>
                          <a:prstGeom prst="line">
                            <a:avLst/>
                          </a:prstGeom>
                          <a:noFill/>
                          <a:ln w="6350" cap="flat" cmpd="sng" algn="ctr">
                            <a:solidFill>
                              <a:sysClr val="windowText" lastClr="000000"/>
                            </a:solidFill>
                            <a:prstDash val="solid"/>
                            <a:miter lim="800000"/>
                          </a:ln>
                          <a:effectLst/>
                        </wps:spPr>
                        <wps:bodyPr/>
                      </wps:wsp>
                      <wps:wsp>
                        <wps:cNvPr id="56329500" name="直接连接符 56329500"/>
                        <wps:cNvCnPr/>
                        <wps:spPr>
                          <a:xfrm flipV="1">
                            <a:off x="5972175" y="3743325"/>
                            <a:ext cx="2095500" cy="228274"/>
                          </a:xfrm>
                          <a:prstGeom prst="line">
                            <a:avLst/>
                          </a:prstGeom>
                          <a:noFill/>
                          <a:ln w="6350" cap="flat" cmpd="sng" algn="ctr">
                            <a:solidFill>
                              <a:sysClr val="windowText" lastClr="000000"/>
                            </a:solidFill>
                            <a:prstDash val="solid"/>
                            <a:miter lim="800000"/>
                          </a:ln>
                          <a:effectLst/>
                        </wps:spPr>
                        <wps:bodyPr/>
                      </wps:wsp>
                      <wps:wsp>
                        <wps:cNvPr id="1388154314" name="文本框 1"/>
                        <wps:cNvSpPr txBox="1"/>
                        <wps:spPr>
                          <a:xfrm rot="4184183">
                            <a:off x="5762992" y="1140823"/>
                            <a:ext cx="579943" cy="278130"/>
                          </a:xfrm>
                          <a:prstGeom prst="rect">
                            <a:avLst/>
                          </a:prstGeom>
                          <a:noFill/>
                          <a:ln>
                            <a:noFill/>
                          </a:ln>
                          <a:effectLst/>
                        </wps:spPr>
                        <wps:txbx>
                          <w:txbxContent>
                            <w:p w14:paraId="336E6FBE" w14:textId="77777777" w:rsidR="00EF4562" w:rsidRDefault="00000000">
                              <w:pPr>
                                <w:ind w:firstLine="197"/>
                                <w:rPr>
                                  <w:b/>
                                  <w:bCs/>
                                  <w:spacing w:val="-20"/>
                                  <w:w w:val="66"/>
                                  <w:sz w:val="21"/>
                                  <w:szCs w:val="21"/>
                                </w:rPr>
                              </w:pPr>
                              <w:r>
                                <w:rPr>
                                  <w:rFonts w:hint="eastAsia"/>
                                  <w:b/>
                                  <w:bCs/>
                                  <w:spacing w:val="-20"/>
                                  <w:w w:val="66"/>
                                  <w:sz w:val="21"/>
                                  <w:szCs w:val="21"/>
                                </w:rPr>
                                <w:t>。。。。。。</w:t>
                              </w:r>
                            </w:p>
                          </w:txbxContent>
                        </wps:txbx>
                        <wps:bodyPr rot="0" spcFirstLastPara="0" vert="horz" wrap="square" lIns="91440" tIns="45720" rIns="91440" bIns="45720" numCol="1" spcCol="0" rtlCol="0" fromWordArt="0" anchor="t" anchorCtr="0" forceAA="0" compatLnSpc="1">
                          <a:noAutofit/>
                        </wps:bodyPr>
                      </wps:wsp>
                      <wps:wsp>
                        <wps:cNvPr id="704774883" name="文本框 1"/>
                        <wps:cNvSpPr txBox="1"/>
                        <wps:spPr>
                          <a:xfrm rot="20335454">
                            <a:off x="4662829" y="2633021"/>
                            <a:ext cx="926077" cy="274327"/>
                          </a:xfrm>
                          <a:prstGeom prst="rect">
                            <a:avLst/>
                          </a:prstGeom>
                          <a:noFill/>
                          <a:ln>
                            <a:noFill/>
                          </a:ln>
                          <a:effectLst/>
                        </wps:spPr>
                        <wps:txbx>
                          <w:txbxContent>
                            <w:p w14:paraId="53CE9A6F" w14:textId="77777777" w:rsidR="00EF4562" w:rsidRDefault="00000000">
                              <w:pPr>
                                <w:spacing w:line="240" w:lineRule="auto"/>
                                <w:ind w:firstLineChars="0" w:firstLine="0"/>
                                <w:rPr>
                                  <w:sz w:val="21"/>
                                  <w:szCs w:val="21"/>
                                </w:rPr>
                              </w:pPr>
                              <w:r>
                                <w:rPr>
                                  <w:rFonts w:hint="eastAsia"/>
                                  <w:sz w:val="21"/>
                                  <w:szCs w:val="21"/>
                                </w:rPr>
                                <w:t>LNG</w:t>
                              </w:r>
                              <w:r>
                                <w:rPr>
                                  <w:rFonts w:hint="eastAsia"/>
                                  <w:sz w:val="21"/>
                                  <w:szCs w:val="21"/>
                                </w:rPr>
                                <w:t>加气机</w:t>
                              </w:r>
                            </w:p>
                          </w:txbxContent>
                        </wps:txbx>
                        <wps:bodyPr rot="0" spcFirstLastPara="0" vert="horz" wrap="square" lIns="91440" tIns="45720" rIns="91440" bIns="45720" numCol="1" spcCol="0" rtlCol="0" fromWordArt="0" anchor="t" anchorCtr="0" forceAA="0" compatLnSpc="1">
                          <a:noAutofit/>
                        </wps:bodyPr>
                      </wps:wsp>
                      <wps:wsp>
                        <wps:cNvPr id="444333122" name="文本框 1"/>
                        <wps:cNvSpPr txBox="1"/>
                        <wps:spPr>
                          <a:xfrm rot="20249950">
                            <a:off x="5286585" y="966252"/>
                            <a:ext cx="766997" cy="481290"/>
                          </a:xfrm>
                          <a:prstGeom prst="rect">
                            <a:avLst/>
                          </a:prstGeom>
                          <a:noFill/>
                          <a:ln>
                            <a:noFill/>
                          </a:ln>
                          <a:effectLst/>
                        </wps:spPr>
                        <wps:txbx>
                          <w:txbxContent>
                            <w:p w14:paraId="10F768FA" w14:textId="77777777" w:rsidR="00EF4562" w:rsidRDefault="00000000">
                              <w:pPr>
                                <w:spacing w:line="240" w:lineRule="auto"/>
                                <w:ind w:firstLineChars="0" w:firstLine="0"/>
                                <w:rPr>
                                  <w:sz w:val="21"/>
                                  <w:szCs w:val="21"/>
                                </w:rPr>
                              </w:pPr>
                              <w:r>
                                <w:rPr>
                                  <w:rFonts w:hint="eastAsia"/>
                                  <w:sz w:val="21"/>
                                  <w:szCs w:val="21"/>
                                </w:rPr>
                                <w:t>车用乙醇</w:t>
                              </w:r>
                            </w:p>
                            <w:p w14:paraId="7E82E76E" w14:textId="77777777" w:rsidR="00EF4562" w:rsidRDefault="00000000">
                              <w:pPr>
                                <w:spacing w:line="240" w:lineRule="auto"/>
                                <w:ind w:firstLineChars="0" w:firstLine="0"/>
                                <w:rPr>
                                  <w:sz w:val="21"/>
                                  <w:szCs w:val="21"/>
                                </w:rPr>
                              </w:pPr>
                              <w:r>
                                <w:rPr>
                                  <w:rFonts w:hint="eastAsia"/>
                                  <w:sz w:val="21"/>
                                  <w:szCs w:val="21"/>
                                </w:rPr>
                                <w:t>汽油储罐</w:t>
                              </w:r>
                            </w:p>
                          </w:txbxContent>
                        </wps:txbx>
                        <wps:bodyPr rot="0" spcFirstLastPara="0" vert="horz" wrap="square" lIns="91440" tIns="45720" rIns="91440" bIns="45720" numCol="1" spcCol="0" rtlCol="0" fromWordArt="0" anchor="t" anchorCtr="0" forceAA="0" compatLnSpc="1">
                          <a:noAutofit/>
                        </wps:bodyPr>
                      </wps:wsp>
                      <wps:wsp>
                        <wps:cNvPr id="391322913" name="文本框 1"/>
                        <wps:cNvSpPr txBox="1"/>
                        <wps:spPr>
                          <a:xfrm rot="20249950">
                            <a:off x="5131234" y="776242"/>
                            <a:ext cx="805027" cy="294005"/>
                          </a:xfrm>
                          <a:prstGeom prst="rect">
                            <a:avLst/>
                          </a:prstGeom>
                          <a:noFill/>
                          <a:ln>
                            <a:noFill/>
                          </a:ln>
                          <a:effectLst/>
                        </wps:spPr>
                        <wps:txbx>
                          <w:txbxContent>
                            <w:p w14:paraId="2458EC7A" w14:textId="77777777" w:rsidR="00EF4562" w:rsidRDefault="00000000">
                              <w:pPr>
                                <w:spacing w:line="240" w:lineRule="auto"/>
                                <w:ind w:firstLineChars="0" w:firstLine="0"/>
                                <w:rPr>
                                  <w:sz w:val="21"/>
                                  <w:szCs w:val="21"/>
                                </w:rPr>
                              </w:pPr>
                              <w:r>
                                <w:rPr>
                                  <w:rFonts w:hint="eastAsia"/>
                                  <w:sz w:val="21"/>
                                  <w:szCs w:val="21"/>
                                </w:rPr>
                                <w:t>柴油储罐</w:t>
                              </w:r>
                            </w:p>
                          </w:txbxContent>
                        </wps:txbx>
                        <wps:bodyPr rot="0" spcFirstLastPara="0" vert="horz" wrap="square" lIns="91440" tIns="45720" rIns="91440" bIns="45720" numCol="1" spcCol="0" rtlCol="0" fromWordArt="0" anchor="t" anchorCtr="0" forceAA="0" compatLnSpc="1">
                          <a:noAutofit/>
                        </wps:bodyPr>
                      </wps:wsp>
                      <wps:wsp>
                        <wps:cNvPr id="472916967" name="文本框 1"/>
                        <wps:cNvSpPr txBox="1"/>
                        <wps:spPr>
                          <a:xfrm rot="20249950">
                            <a:off x="5382460" y="1355628"/>
                            <a:ext cx="761714" cy="294005"/>
                          </a:xfrm>
                          <a:prstGeom prst="rect">
                            <a:avLst/>
                          </a:prstGeom>
                          <a:noFill/>
                          <a:ln>
                            <a:noFill/>
                          </a:ln>
                          <a:effectLst/>
                        </wps:spPr>
                        <wps:txbx>
                          <w:txbxContent>
                            <w:p w14:paraId="55680000" w14:textId="77777777" w:rsidR="00EF4562" w:rsidRDefault="00000000">
                              <w:pPr>
                                <w:spacing w:line="240" w:lineRule="auto"/>
                                <w:ind w:firstLineChars="0" w:firstLine="0"/>
                                <w:rPr>
                                  <w:sz w:val="21"/>
                                  <w:szCs w:val="21"/>
                                </w:rPr>
                              </w:pPr>
                              <w:r>
                                <w:rPr>
                                  <w:rFonts w:hint="eastAsia"/>
                                  <w:sz w:val="21"/>
                                  <w:szCs w:val="21"/>
                                </w:rPr>
                                <w:t>柴油储罐</w:t>
                              </w:r>
                            </w:p>
                          </w:txbxContent>
                        </wps:txbx>
                        <wps:bodyPr rot="0" spcFirstLastPara="0" vert="horz" wrap="square" lIns="91440" tIns="45720" rIns="91440" bIns="45720" numCol="1" spcCol="0" rtlCol="0" fromWordArt="0" anchor="t" anchorCtr="0" forceAA="0" compatLnSpc="1">
                          <a:noAutofit/>
                        </wps:bodyPr>
                      </wps:wsp>
                      <wps:wsp>
                        <wps:cNvPr id="541697070" name="文本框 1"/>
                        <wps:cNvSpPr txBox="1"/>
                        <wps:spPr>
                          <a:xfrm rot="20249950">
                            <a:off x="5483838" y="1601567"/>
                            <a:ext cx="775092" cy="284384"/>
                          </a:xfrm>
                          <a:prstGeom prst="rect">
                            <a:avLst/>
                          </a:prstGeom>
                          <a:noFill/>
                          <a:ln>
                            <a:noFill/>
                          </a:ln>
                          <a:effectLst/>
                        </wps:spPr>
                        <wps:txbx>
                          <w:txbxContent>
                            <w:p w14:paraId="3022D9D9" w14:textId="77777777" w:rsidR="00EF4562" w:rsidRDefault="00000000">
                              <w:pPr>
                                <w:spacing w:line="240" w:lineRule="auto"/>
                                <w:ind w:firstLineChars="0" w:firstLine="0"/>
                                <w:rPr>
                                  <w:sz w:val="21"/>
                                  <w:szCs w:val="21"/>
                                </w:rPr>
                              </w:pPr>
                              <w:r>
                                <w:rPr>
                                  <w:rFonts w:hint="eastAsia"/>
                                  <w:sz w:val="21"/>
                                  <w:szCs w:val="21"/>
                                </w:rPr>
                                <w:t>柴油储罐</w:t>
                              </w:r>
                            </w:p>
                          </w:txbxContent>
                        </wps:txbx>
                        <wps:bodyPr rot="0" spcFirstLastPara="0" vert="horz" wrap="square" lIns="91440" tIns="45720" rIns="91440" bIns="45720" numCol="1" spcCol="0" rtlCol="0" fromWordArt="0" anchor="t" anchorCtr="0" forceAA="0" compatLnSpc="1">
                          <a:noAutofit/>
                        </wps:bodyPr>
                      </wps:wsp>
                      <wps:wsp>
                        <wps:cNvPr id="1253479161" name="文本框 1"/>
                        <wps:cNvSpPr txBox="1"/>
                        <wps:spPr>
                          <a:xfrm rot="20415912">
                            <a:off x="2481160" y="3439365"/>
                            <a:ext cx="878509" cy="247576"/>
                          </a:xfrm>
                          <a:prstGeom prst="rect">
                            <a:avLst/>
                          </a:prstGeom>
                          <a:noFill/>
                          <a:ln>
                            <a:noFill/>
                          </a:ln>
                          <a:effectLst/>
                        </wps:spPr>
                        <wps:txbx>
                          <w:txbxContent>
                            <w:p w14:paraId="208F1D08" w14:textId="77777777" w:rsidR="00EF4562" w:rsidRDefault="00000000">
                              <w:pPr>
                                <w:spacing w:line="240" w:lineRule="auto"/>
                                <w:ind w:firstLineChars="0" w:firstLine="0"/>
                                <w:rPr>
                                  <w:sz w:val="21"/>
                                  <w:szCs w:val="21"/>
                                </w:rPr>
                              </w:pPr>
                              <w:r>
                                <w:rPr>
                                  <w:sz w:val="21"/>
                                  <w:szCs w:val="21"/>
                                </w:rPr>
                                <w:t>LNG</w:t>
                              </w:r>
                              <w:r>
                                <w:rPr>
                                  <w:rFonts w:hint="eastAsia"/>
                                  <w:sz w:val="21"/>
                                  <w:szCs w:val="21"/>
                                </w:rPr>
                                <w:t>加气机</w:t>
                              </w:r>
                            </w:p>
                          </w:txbxContent>
                        </wps:txbx>
                        <wps:bodyPr rot="0" spcFirstLastPara="0" vert="horz" wrap="square" lIns="91440" tIns="45720" rIns="91440" bIns="45720" numCol="1" spcCol="0" rtlCol="0" fromWordArt="0" anchor="t" anchorCtr="0" forceAA="0" compatLnSpc="1">
                          <a:noAutofit/>
                        </wps:bodyPr>
                      </wps:wsp>
                      <wps:wsp>
                        <wps:cNvPr id="1149037262" name="文本框 1"/>
                        <wps:cNvSpPr txBox="1"/>
                        <wps:spPr>
                          <a:xfrm rot="20288165">
                            <a:off x="3233821" y="3736446"/>
                            <a:ext cx="889950" cy="397669"/>
                          </a:xfrm>
                          <a:prstGeom prst="rect">
                            <a:avLst/>
                          </a:prstGeom>
                          <a:noFill/>
                          <a:ln>
                            <a:noFill/>
                          </a:ln>
                          <a:effectLst/>
                        </wps:spPr>
                        <wps:txbx>
                          <w:txbxContent>
                            <w:p w14:paraId="5FB03F1E" w14:textId="77777777" w:rsidR="00EF4562" w:rsidRDefault="00000000">
                              <w:pPr>
                                <w:spacing w:line="240" w:lineRule="auto"/>
                                <w:ind w:firstLineChars="0" w:firstLine="0"/>
                                <w:jc w:val="center"/>
                                <w:rPr>
                                  <w:sz w:val="21"/>
                                  <w:szCs w:val="21"/>
                                </w:rPr>
                              </w:pPr>
                              <w:r>
                                <w:rPr>
                                  <w:rFonts w:hint="eastAsia"/>
                                  <w:sz w:val="21"/>
                                  <w:szCs w:val="21"/>
                                </w:rPr>
                                <w:t>柴油加油机</w:t>
                              </w:r>
                            </w:p>
                            <w:p w14:paraId="07725BE3" w14:textId="77777777" w:rsidR="00EF4562" w:rsidRDefault="00000000">
                              <w:pPr>
                                <w:spacing w:line="240" w:lineRule="auto"/>
                                <w:ind w:firstLineChars="0" w:firstLine="0"/>
                                <w:jc w:val="center"/>
                                <w:rPr>
                                  <w:sz w:val="21"/>
                                  <w:szCs w:val="21"/>
                                </w:rPr>
                              </w:pPr>
                              <w:r>
                                <w:rPr>
                                  <w:rFonts w:hint="eastAsia"/>
                                  <w:sz w:val="21"/>
                                  <w:szCs w:val="21"/>
                                </w:rPr>
                                <w:t>J103</w:t>
                              </w:r>
                            </w:p>
                          </w:txbxContent>
                        </wps:txbx>
                        <wps:bodyPr rot="0" spcFirstLastPara="0" vert="horz" wrap="square" lIns="91440" tIns="45720" rIns="91440" bIns="45720" numCol="1" spcCol="0" rtlCol="0" fromWordArt="0" anchor="t" anchorCtr="0" forceAA="0" compatLnSpc="1">
                          <a:noAutofit/>
                        </wps:bodyPr>
                      </wps:wsp>
                      <wps:wsp>
                        <wps:cNvPr id="1806694836" name="文本框 1"/>
                        <wps:cNvSpPr txBox="1"/>
                        <wps:spPr>
                          <a:xfrm>
                            <a:off x="1486663" y="1959535"/>
                            <a:ext cx="772465" cy="527731"/>
                          </a:xfrm>
                          <a:prstGeom prst="rect">
                            <a:avLst/>
                          </a:prstGeom>
                          <a:noFill/>
                          <a:ln>
                            <a:noFill/>
                          </a:ln>
                          <a:effectLst/>
                        </wps:spPr>
                        <wps:txbx>
                          <w:txbxContent>
                            <w:p w14:paraId="13A2705E" w14:textId="77777777" w:rsidR="00EF4562" w:rsidRDefault="00000000">
                              <w:pPr>
                                <w:spacing w:line="240" w:lineRule="auto"/>
                                <w:ind w:firstLineChars="0" w:firstLine="0"/>
                                <w:rPr>
                                  <w:sz w:val="21"/>
                                  <w:szCs w:val="21"/>
                                </w:rPr>
                              </w:pPr>
                              <w:r>
                                <w:rPr>
                                  <w:rFonts w:hint="eastAsia"/>
                                  <w:sz w:val="21"/>
                                  <w:szCs w:val="21"/>
                                </w:rPr>
                                <w:t>空浴式卸车增压器</w:t>
                              </w:r>
                            </w:p>
                          </w:txbxContent>
                        </wps:txbx>
                        <wps:bodyPr rot="0" spcFirstLastPara="0" vert="horz" wrap="square" lIns="91440" tIns="45720" rIns="91440" bIns="45720" numCol="1" spcCol="0" rtlCol="0" fromWordArt="0" anchor="t" anchorCtr="0" forceAA="0" compatLnSpc="1">
                          <a:noAutofit/>
                        </wps:bodyPr>
                      </wps:wsp>
                      <wps:wsp>
                        <wps:cNvPr id="1587873031" name="文本框 1"/>
                        <wps:cNvSpPr txBox="1"/>
                        <wps:spPr>
                          <a:xfrm rot="20407316">
                            <a:off x="3715735" y="2773760"/>
                            <a:ext cx="873650" cy="620436"/>
                          </a:xfrm>
                          <a:prstGeom prst="rect">
                            <a:avLst/>
                          </a:prstGeom>
                          <a:noFill/>
                          <a:ln>
                            <a:noFill/>
                          </a:ln>
                          <a:effectLst/>
                        </wps:spPr>
                        <wps:txbx>
                          <w:txbxContent>
                            <w:p w14:paraId="5449084C" w14:textId="77777777" w:rsidR="00EF4562" w:rsidRDefault="00000000">
                              <w:pPr>
                                <w:spacing w:line="240" w:lineRule="auto"/>
                                <w:ind w:firstLineChars="0" w:firstLine="0"/>
                                <w:jc w:val="center"/>
                                <w:rPr>
                                  <w:sz w:val="21"/>
                                  <w:szCs w:val="21"/>
                                </w:rPr>
                              </w:pPr>
                              <w:r>
                                <w:rPr>
                                  <w:rFonts w:hint="eastAsia"/>
                                  <w:sz w:val="21"/>
                                  <w:szCs w:val="21"/>
                                </w:rPr>
                                <w:t>车用乙醇</w:t>
                              </w:r>
                            </w:p>
                            <w:p w14:paraId="10D02DD8" w14:textId="77777777" w:rsidR="00EF4562" w:rsidRDefault="00000000">
                              <w:pPr>
                                <w:spacing w:line="240" w:lineRule="auto"/>
                                <w:ind w:firstLineChars="0" w:firstLine="0"/>
                                <w:jc w:val="center"/>
                                <w:rPr>
                                  <w:sz w:val="21"/>
                                  <w:szCs w:val="21"/>
                                </w:rPr>
                              </w:pPr>
                              <w:r>
                                <w:rPr>
                                  <w:rFonts w:hint="eastAsia"/>
                                  <w:sz w:val="21"/>
                                  <w:szCs w:val="21"/>
                                </w:rPr>
                                <w:t>汽油加油机</w:t>
                              </w:r>
                            </w:p>
                            <w:p w14:paraId="1D7B6FF8" w14:textId="77777777" w:rsidR="00EF4562" w:rsidRDefault="00000000">
                              <w:pPr>
                                <w:spacing w:line="240" w:lineRule="auto"/>
                                <w:ind w:firstLineChars="0" w:firstLine="0"/>
                                <w:jc w:val="center"/>
                                <w:rPr>
                                  <w:sz w:val="21"/>
                                  <w:szCs w:val="21"/>
                                </w:rPr>
                              </w:pPr>
                              <w:r>
                                <w:rPr>
                                  <w:rFonts w:hint="eastAsia"/>
                                  <w:sz w:val="21"/>
                                  <w:szCs w:val="21"/>
                                </w:rPr>
                                <w:t>J105</w:t>
                              </w:r>
                            </w:p>
                          </w:txbxContent>
                        </wps:txbx>
                        <wps:bodyPr rot="0" spcFirstLastPara="0" vert="horz" wrap="square" lIns="91440" tIns="45720" rIns="91440" bIns="45720" numCol="1" spcCol="0" rtlCol="0" fromWordArt="0" anchor="t" anchorCtr="0" forceAA="0" compatLnSpc="1">
                          <a:noAutofit/>
                        </wps:bodyPr>
                      </wps:wsp>
                      <wps:wsp>
                        <wps:cNvPr id="896741398" name="文本框 1"/>
                        <wps:cNvSpPr txBox="1"/>
                        <wps:spPr>
                          <a:xfrm rot="20288165">
                            <a:off x="2932149" y="2810333"/>
                            <a:ext cx="851789" cy="401743"/>
                          </a:xfrm>
                          <a:prstGeom prst="rect">
                            <a:avLst/>
                          </a:prstGeom>
                          <a:noFill/>
                          <a:ln>
                            <a:noFill/>
                          </a:ln>
                          <a:effectLst/>
                        </wps:spPr>
                        <wps:txbx>
                          <w:txbxContent>
                            <w:p w14:paraId="7AABE58E" w14:textId="77777777" w:rsidR="00EF4562" w:rsidRDefault="00000000">
                              <w:pPr>
                                <w:spacing w:line="240" w:lineRule="auto"/>
                                <w:ind w:firstLineChars="0" w:firstLine="0"/>
                                <w:jc w:val="center"/>
                                <w:rPr>
                                  <w:sz w:val="21"/>
                                  <w:szCs w:val="21"/>
                                </w:rPr>
                              </w:pPr>
                              <w:r>
                                <w:rPr>
                                  <w:rFonts w:hint="eastAsia"/>
                                  <w:sz w:val="21"/>
                                  <w:szCs w:val="21"/>
                                </w:rPr>
                                <w:t>柴油加油机</w:t>
                              </w:r>
                            </w:p>
                            <w:p w14:paraId="2F925FEA" w14:textId="77777777" w:rsidR="00EF4562" w:rsidRDefault="00000000">
                              <w:pPr>
                                <w:spacing w:line="240" w:lineRule="auto"/>
                                <w:ind w:firstLineChars="0" w:firstLine="0"/>
                                <w:jc w:val="center"/>
                                <w:rPr>
                                  <w:sz w:val="21"/>
                                  <w:szCs w:val="21"/>
                                </w:rPr>
                              </w:pPr>
                              <w:r>
                                <w:rPr>
                                  <w:rFonts w:hint="eastAsia"/>
                                  <w:sz w:val="21"/>
                                  <w:szCs w:val="21"/>
                                </w:rPr>
                                <w:t>J104</w:t>
                              </w:r>
                            </w:p>
                          </w:txbxContent>
                        </wps:txbx>
                        <wps:bodyPr rot="0" spcFirstLastPara="0" vert="horz" wrap="square" lIns="91440" tIns="45720" rIns="91440" bIns="45720" numCol="1" spcCol="0" rtlCol="0" fromWordArt="0" anchor="t" anchorCtr="0" forceAA="0" compatLnSpc="1">
                          <a:noAutofit/>
                        </wps:bodyPr>
                      </wps:wsp>
                      <wps:wsp>
                        <wps:cNvPr id="885726443" name="文本框 1"/>
                        <wps:cNvSpPr txBox="1"/>
                        <wps:spPr>
                          <a:xfrm rot="20288165">
                            <a:off x="3939483" y="3486323"/>
                            <a:ext cx="900430" cy="449941"/>
                          </a:xfrm>
                          <a:prstGeom prst="rect">
                            <a:avLst/>
                          </a:prstGeom>
                          <a:noFill/>
                          <a:ln>
                            <a:noFill/>
                          </a:ln>
                          <a:effectLst/>
                        </wps:spPr>
                        <wps:txbx>
                          <w:txbxContent>
                            <w:p w14:paraId="606A11A5" w14:textId="77777777" w:rsidR="00EF4562" w:rsidRDefault="00000000">
                              <w:pPr>
                                <w:spacing w:line="240" w:lineRule="auto"/>
                                <w:ind w:firstLineChars="0" w:firstLine="0"/>
                                <w:jc w:val="center"/>
                                <w:rPr>
                                  <w:sz w:val="21"/>
                                  <w:szCs w:val="21"/>
                                </w:rPr>
                              </w:pPr>
                              <w:r>
                                <w:rPr>
                                  <w:rFonts w:hint="eastAsia"/>
                                  <w:sz w:val="21"/>
                                  <w:szCs w:val="21"/>
                                </w:rPr>
                                <w:t>柴油加油机</w:t>
                              </w:r>
                            </w:p>
                            <w:p w14:paraId="6033CE1E" w14:textId="77777777" w:rsidR="00EF4562" w:rsidRDefault="00000000">
                              <w:pPr>
                                <w:spacing w:line="240" w:lineRule="auto"/>
                                <w:ind w:firstLineChars="0" w:firstLine="0"/>
                                <w:jc w:val="center"/>
                                <w:rPr>
                                  <w:sz w:val="21"/>
                                  <w:szCs w:val="21"/>
                                </w:rPr>
                              </w:pPr>
                              <w:r>
                                <w:rPr>
                                  <w:rFonts w:hint="eastAsia"/>
                                  <w:sz w:val="21"/>
                                  <w:szCs w:val="21"/>
                                </w:rPr>
                                <w:t>J102</w:t>
                              </w:r>
                            </w:p>
                          </w:txbxContent>
                        </wps:txbx>
                        <wps:bodyPr rot="0" spcFirstLastPara="0" vert="horz" wrap="square" lIns="91440" tIns="45720" rIns="91440" bIns="45720" numCol="1" spcCol="0" rtlCol="0" fromWordArt="0" anchor="t" anchorCtr="0" forceAA="0" compatLnSpc="1">
                          <a:noAutofit/>
                        </wps:bodyPr>
                      </wps:wsp>
                      <wps:wsp>
                        <wps:cNvPr id="1196612034" name="文本框 1"/>
                        <wps:cNvSpPr txBox="1"/>
                        <wps:spPr>
                          <a:xfrm rot="20418464">
                            <a:off x="4169852" y="2152017"/>
                            <a:ext cx="867735" cy="603831"/>
                          </a:xfrm>
                          <a:prstGeom prst="rect">
                            <a:avLst/>
                          </a:prstGeom>
                          <a:noFill/>
                          <a:ln>
                            <a:noFill/>
                          </a:ln>
                          <a:effectLst/>
                        </wps:spPr>
                        <wps:txbx>
                          <w:txbxContent>
                            <w:p w14:paraId="7DF83271" w14:textId="77777777" w:rsidR="00EF4562" w:rsidRDefault="00000000">
                              <w:pPr>
                                <w:spacing w:line="240" w:lineRule="auto"/>
                                <w:ind w:firstLineChars="0" w:firstLine="0"/>
                                <w:jc w:val="center"/>
                                <w:rPr>
                                  <w:sz w:val="21"/>
                                  <w:szCs w:val="21"/>
                                </w:rPr>
                              </w:pPr>
                              <w:r>
                                <w:rPr>
                                  <w:rFonts w:hint="eastAsia"/>
                                  <w:sz w:val="21"/>
                                  <w:szCs w:val="21"/>
                                </w:rPr>
                                <w:t>车用乙醇</w:t>
                              </w:r>
                            </w:p>
                            <w:p w14:paraId="35B4039A" w14:textId="77777777" w:rsidR="00EF4562" w:rsidRDefault="00000000">
                              <w:pPr>
                                <w:spacing w:line="240" w:lineRule="auto"/>
                                <w:ind w:firstLineChars="0" w:firstLine="0"/>
                                <w:jc w:val="center"/>
                                <w:rPr>
                                  <w:sz w:val="21"/>
                                  <w:szCs w:val="21"/>
                                </w:rPr>
                              </w:pPr>
                              <w:r>
                                <w:rPr>
                                  <w:rFonts w:hint="eastAsia"/>
                                  <w:sz w:val="21"/>
                                  <w:szCs w:val="21"/>
                                </w:rPr>
                                <w:t>汽油加油机</w:t>
                              </w:r>
                            </w:p>
                            <w:p w14:paraId="55FAE9CF" w14:textId="77777777" w:rsidR="00EF4562" w:rsidRDefault="00000000">
                              <w:pPr>
                                <w:spacing w:line="240" w:lineRule="auto"/>
                                <w:ind w:firstLineChars="0" w:firstLine="0"/>
                                <w:jc w:val="center"/>
                                <w:rPr>
                                  <w:sz w:val="21"/>
                                  <w:szCs w:val="21"/>
                                </w:rPr>
                              </w:pPr>
                              <w:r>
                                <w:rPr>
                                  <w:rFonts w:hint="eastAsia"/>
                                  <w:sz w:val="21"/>
                                  <w:szCs w:val="21"/>
                                </w:rPr>
                                <w:t>J106</w:t>
                              </w:r>
                            </w:p>
                          </w:txbxContent>
                        </wps:txbx>
                        <wps:bodyPr rot="0" spcFirstLastPara="0" vert="horz" wrap="square" lIns="91440" tIns="45720" rIns="91440" bIns="45720" numCol="1" spcCol="0" rtlCol="0" fromWordArt="0" anchor="t" anchorCtr="0" forceAA="0" compatLnSpc="1">
                          <a:noAutofit/>
                        </wps:bodyPr>
                      </wps:wsp>
                      <wps:wsp>
                        <wps:cNvPr id="39343633" name="文本框 1"/>
                        <wps:cNvSpPr txBox="1"/>
                        <wps:spPr>
                          <a:xfrm rot="20470572">
                            <a:off x="4754457" y="3173290"/>
                            <a:ext cx="997762" cy="578056"/>
                          </a:xfrm>
                          <a:prstGeom prst="rect">
                            <a:avLst/>
                          </a:prstGeom>
                          <a:noFill/>
                          <a:ln>
                            <a:noFill/>
                          </a:ln>
                          <a:effectLst/>
                        </wps:spPr>
                        <wps:txbx>
                          <w:txbxContent>
                            <w:p w14:paraId="1665CB0E" w14:textId="77777777" w:rsidR="00EF4562" w:rsidRDefault="00000000">
                              <w:pPr>
                                <w:spacing w:line="240" w:lineRule="auto"/>
                                <w:ind w:firstLineChars="0" w:firstLine="0"/>
                                <w:jc w:val="center"/>
                                <w:rPr>
                                  <w:sz w:val="21"/>
                                  <w:szCs w:val="21"/>
                                </w:rPr>
                              </w:pPr>
                              <w:r>
                                <w:rPr>
                                  <w:rFonts w:hint="eastAsia"/>
                                  <w:sz w:val="21"/>
                                  <w:szCs w:val="21"/>
                                </w:rPr>
                                <w:t>车用乙醇</w:t>
                              </w:r>
                            </w:p>
                            <w:p w14:paraId="5A2B9287" w14:textId="77777777" w:rsidR="00EF4562" w:rsidRDefault="00000000">
                              <w:pPr>
                                <w:spacing w:line="240" w:lineRule="auto"/>
                                <w:ind w:firstLineChars="0" w:firstLine="0"/>
                                <w:jc w:val="center"/>
                                <w:rPr>
                                  <w:sz w:val="21"/>
                                  <w:szCs w:val="21"/>
                                </w:rPr>
                              </w:pPr>
                              <w:r>
                                <w:rPr>
                                  <w:rFonts w:hint="eastAsia"/>
                                  <w:sz w:val="21"/>
                                  <w:szCs w:val="21"/>
                                </w:rPr>
                                <w:t>汽油加油机</w:t>
                              </w:r>
                              <w:r>
                                <w:rPr>
                                  <w:rFonts w:hint="eastAsia"/>
                                  <w:sz w:val="21"/>
                                  <w:szCs w:val="21"/>
                                </w:rPr>
                                <w:t>J101</w:t>
                              </w:r>
                            </w:p>
                          </w:txbxContent>
                        </wps:txbx>
                        <wps:bodyPr rot="0" spcFirstLastPara="0" vert="horz" wrap="square" lIns="91440" tIns="45720" rIns="91440" bIns="45720" numCol="1" spcCol="0" rtlCol="0" fromWordArt="0" anchor="t" anchorCtr="0" forceAA="0" compatLnSpc="1">
                          <a:noAutofit/>
                        </wps:bodyPr>
                      </wps:wsp>
                      <wps:wsp>
                        <wps:cNvPr id="632391189" name="文本框 1"/>
                        <wps:cNvSpPr txBox="1"/>
                        <wps:spPr>
                          <a:xfrm>
                            <a:off x="2932030" y="86843"/>
                            <a:ext cx="997795" cy="278765"/>
                          </a:xfrm>
                          <a:prstGeom prst="callout1">
                            <a:avLst>
                              <a:gd name="adj1" fmla="val 73416"/>
                              <a:gd name="adj2" fmla="val 7579"/>
                              <a:gd name="adj3" fmla="val 115893"/>
                              <a:gd name="adj4" fmla="val -13208"/>
                            </a:avLst>
                          </a:prstGeom>
                          <a:noFill/>
                          <a:ln w="9525" cap="flat" cmpd="sng" algn="ctr">
                            <a:solidFill>
                              <a:sysClr val="windowText" lastClr="000000"/>
                            </a:solidFill>
                            <a:prstDash val="solid"/>
                            <a:round/>
                            <a:headEnd type="none" w="med" len="med"/>
                            <a:tailEnd type="none" w="med" len="med"/>
                          </a:ln>
                          <a:effectLst/>
                        </wps:spPr>
                        <wps:txbx>
                          <w:txbxContent>
                            <w:p w14:paraId="4812E8C5" w14:textId="77777777" w:rsidR="00EF4562" w:rsidRDefault="00000000">
                              <w:pPr>
                                <w:spacing w:line="240" w:lineRule="auto"/>
                                <w:ind w:firstLineChars="0" w:firstLine="0"/>
                                <w:rPr>
                                  <w:sz w:val="21"/>
                                  <w:szCs w:val="21"/>
                                </w:rPr>
                              </w:pPr>
                              <w:r>
                                <w:rPr>
                                  <w:rFonts w:hint="eastAsia"/>
                                  <w:sz w:val="21"/>
                                  <w:szCs w:val="21"/>
                                </w:rPr>
                                <w:t>架空电力线</w:t>
                              </w:r>
                              <w:r>
                                <w:rPr>
                                  <w:rFonts w:hint="eastAsia"/>
                                  <w:sz w:val="21"/>
                                  <w:szCs w:val="21"/>
                                </w:rPr>
                                <w:t>2</w:t>
                              </w:r>
                            </w:p>
                          </w:txbxContent>
                        </wps:txbx>
                        <wps:bodyPr rot="0" spcFirstLastPara="0" vert="horz" wrap="square" lIns="91440" tIns="45720" rIns="91440" bIns="45720" numCol="1" spcCol="0" rtlCol="0" fromWordArt="0" anchor="t" anchorCtr="0" forceAA="0" compatLnSpc="1">
                          <a:noAutofit/>
                        </wps:bodyPr>
                      </wps:wsp>
                      <wps:wsp>
                        <wps:cNvPr id="596278730" name="文本框 1"/>
                        <wps:cNvSpPr txBox="1"/>
                        <wps:spPr>
                          <a:xfrm>
                            <a:off x="1071265" y="1909747"/>
                            <a:ext cx="434449" cy="479760"/>
                          </a:xfrm>
                          <a:prstGeom prst="rect">
                            <a:avLst/>
                          </a:prstGeom>
                          <a:noFill/>
                          <a:ln>
                            <a:noFill/>
                          </a:ln>
                          <a:effectLst/>
                        </wps:spPr>
                        <wps:txbx>
                          <w:txbxContent>
                            <w:p w14:paraId="65766C93" w14:textId="77777777" w:rsidR="00EF4562" w:rsidRDefault="00000000">
                              <w:pPr>
                                <w:spacing w:line="240" w:lineRule="auto"/>
                                <w:ind w:firstLineChars="0" w:firstLine="0"/>
                                <w:rPr>
                                  <w:sz w:val="21"/>
                                  <w:szCs w:val="21"/>
                                </w:rPr>
                              </w:pPr>
                              <w:r>
                                <w:rPr>
                                  <w:rFonts w:hint="eastAsia"/>
                                  <w:sz w:val="21"/>
                                  <w:szCs w:val="21"/>
                                </w:rPr>
                                <w:t>土路</w:t>
                              </w:r>
                            </w:p>
                          </w:txbxContent>
                        </wps:txbx>
                        <wps:bodyPr rot="0" spcFirstLastPara="0" vert="horz" wrap="square" lIns="91440" tIns="45720" rIns="91440" bIns="45720" numCol="1" spcCol="0" rtlCol="0" fromWordArt="0" anchor="t" anchorCtr="0" forceAA="0" compatLnSpc="1">
                          <a:noAutofit/>
                        </wps:bodyPr>
                      </wps:wsp>
                      <wps:wsp>
                        <wps:cNvPr id="1731086121" name="文本框 1"/>
                        <wps:cNvSpPr txBox="1"/>
                        <wps:spPr>
                          <a:xfrm>
                            <a:off x="1650533" y="3275307"/>
                            <a:ext cx="1034326" cy="310962"/>
                          </a:xfrm>
                          <a:prstGeom prst="rect">
                            <a:avLst/>
                          </a:prstGeom>
                          <a:noFill/>
                          <a:ln>
                            <a:noFill/>
                          </a:ln>
                          <a:effectLst/>
                        </wps:spPr>
                        <wps:txbx>
                          <w:txbxContent>
                            <w:p w14:paraId="53D277AC" w14:textId="77777777" w:rsidR="00EF4562" w:rsidRDefault="00000000">
                              <w:pPr>
                                <w:spacing w:line="240" w:lineRule="auto"/>
                                <w:ind w:firstLineChars="0" w:firstLine="0"/>
                                <w:rPr>
                                  <w:sz w:val="21"/>
                                  <w:szCs w:val="21"/>
                                </w:rPr>
                              </w:pPr>
                              <w:r>
                                <w:rPr>
                                  <w:rFonts w:hint="eastAsia"/>
                                  <w:sz w:val="21"/>
                                  <w:szCs w:val="21"/>
                                </w:rPr>
                                <w:t>支架版卸车撬</w:t>
                              </w:r>
                            </w:p>
                          </w:txbxContent>
                        </wps:txbx>
                        <wps:bodyPr rot="0" spcFirstLastPara="0" vert="horz" wrap="square" lIns="91440" tIns="45720" rIns="91440" bIns="45720" numCol="1" spcCol="0" rtlCol="0" fromWordArt="0" anchor="t" anchorCtr="0" forceAA="0" compatLnSpc="1">
                          <a:noAutofit/>
                        </wps:bodyPr>
                      </wps:wsp>
                      <wps:wsp>
                        <wps:cNvPr id="186246834" name="文本框 1"/>
                        <wps:cNvSpPr txBox="1"/>
                        <wps:spPr>
                          <a:xfrm>
                            <a:off x="2135303" y="2702742"/>
                            <a:ext cx="884285" cy="481214"/>
                          </a:xfrm>
                          <a:prstGeom prst="rect">
                            <a:avLst/>
                          </a:prstGeom>
                          <a:noFill/>
                          <a:ln>
                            <a:noFill/>
                          </a:ln>
                          <a:effectLst/>
                        </wps:spPr>
                        <wps:txbx>
                          <w:txbxContent>
                            <w:p w14:paraId="2FFE8530" w14:textId="77777777" w:rsidR="00EF4562" w:rsidRDefault="00000000">
                              <w:pPr>
                                <w:spacing w:line="240" w:lineRule="auto"/>
                                <w:ind w:firstLineChars="0" w:firstLine="0"/>
                                <w:rPr>
                                  <w:sz w:val="21"/>
                                  <w:szCs w:val="21"/>
                                </w:rPr>
                              </w:pPr>
                              <w:r>
                                <w:rPr>
                                  <w:rFonts w:hint="eastAsia"/>
                                  <w:sz w:val="21"/>
                                  <w:szCs w:val="21"/>
                                </w:rPr>
                                <w:t>LNG</w:t>
                              </w:r>
                              <w:r>
                                <w:rPr>
                                  <w:rFonts w:hint="eastAsia"/>
                                  <w:sz w:val="21"/>
                                  <w:szCs w:val="21"/>
                                </w:rPr>
                                <w:t>储罐潜液泵一体撬</w:t>
                              </w:r>
                            </w:p>
                          </w:txbxContent>
                        </wps:txbx>
                        <wps:bodyPr rot="0" spcFirstLastPara="0" vert="horz" wrap="square" lIns="91440" tIns="45720" rIns="91440" bIns="45720" numCol="1" spcCol="0" rtlCol="0" fromWordArt="0" anchor="t" anchorCtr="0" forceAA="0" compatLnSpc="1">
                          <a:noAutofit/>
                        </wps:bodyPr>
                      </wps:wsp>
                      <wps:wsp>
                        <wps:cNvPr id="1587841622" name="文本框 1"/>
                        <wps:cNvSpPr txBox="1"/>
                        <wps:spPr>
                          <a:xfrm>
                            <a:off x="1628195" y="3858241"/>
                            <a:ext cx="1029335" cy="332242"/>
                          </a:xfrm>
                          <a:prstGeom prst="callout1">
                            <a:avLst>
                              <a:gd name="adj1" fmla="val 73416"/>
                              <a:gd name="adj2" fmla="val 7579"/>
                              <a:gd name="adj3" fmla="val 115893"/>
                              <a:gd name="adj4" fmla="val -13208"/>
                            </a:avLst>
                          </a:prstGeom>
                          <a:noFill/>
                          <a:ln w="9525" cap="flat" cmpd="sng" algn="ctr">
                            <a:solidFill>
                              <a:sysClr val="windowText" lastClr="000000"/>
                            </a:solidFill>
                            <a:prstDash val="solid"/>
                            <a:round/>
                            <a:headEnd type="none" w="med" len="med"/>
                            <a:tailEnd type="none" w="med" len="med"/>
                          </a:ln>
                          <a:effectLst/>
                        </wps:spPr>
                        <wps:txbx>
                          <w:txbxContent>
                            <w:p w14:paraId="39208E79" w14:textId="77777777" w:rsidR="00EF4562" w:rsidRDefault="00000000">
                              <w:pPr>
                                <w:spacing w:line="240" w:lineRule="auto"/>
                                <w:ind w:firstLineChars="0" w:firstLine="0"/>
                                <w:rPr>
                                  <w:sz w:val="21"/>
                                  <w:szCs w:val="21"/>
                                </w:rPr>
                              </w:pPr>
                              <w:r>
                                <w:rPr>
                                  <w:rFonts w:hint="eastAsia"/>
                                  <w:sz w:val="21"/>
                                  <w:szCs w:val="21"/>
                                </w:rPr>
                                <w:t>架空电力线</w:t>
                              </w:r>
                              <w:r>
                                <w:rPr>
                                  <w:rFonts w:hint="eastAsia"/>
                                  <w:sz w:val="21"/>
                                  <w:szCs w:val="21"/>
                                </w:rPr>
                                <w:t>1</w:t>
                              </w:r>
                            </w:p>
                          </w:txbxContent>
                        </wps:txbx>
                        <wps:bodyPr rot="0" spcFirstLastPara="0" vert="horz" wrap="square" lIns="91440" tIns="45720" rIns="91440" bIns="45720" numCol="1" spcCol="0" rtlCol="0" fromWordArt="0" anchor="t" anchorCtr="0" forceAA="0" compatLnSpc="1">
                          <a:noAutofit/>
                        </wps:bodyPr>
                      </wps:wsp>
                      <wps:wsp>
                        <wps:cNvPr id="1147821439" name="文本框 1"/>
                        <wps:cNvSpPr txBox="1"/>
                        <wps:spPr>
                          <a:xfrm>
                            <a:off x="1935280" y="64846"/>
                            <a:ext cx="634315" cy="278130"/>
                          </a:xfrm>
                          <a:prstGeom prst="callout1">
                            <a:avLst>
                              <a:gd name="adj1" fmla="val 73416"/>
                              <a:gd name="adj2" fmla="val 7579"/>
                              <a:gd name="adj3" fmla="val 146704"/>
                              <a:gd name="adj4" fmla="val -8581"/>
                            </a:avLst>
                          </a:prstGeom>
                          <a:noFill/>
                          <a:ln w="9525" cap="flat" cmpd="sng" algn="ctr">
                            <a:solidFill>
                              <a:sysClr val="windowText" lastClr="000000"/>
                            </a:solidFill>
                            <a:prstDash val="solid"/>
                            <a:round/>
                            <a:headEnd type="none" w="med" len="med"/>
                            <a:tailEnd type="none" w="med" len="med"/>
                          </a:ln>
                          <a:effectLst/>
                        </wps:spPr>
                        <wps:txbx>
                          <w:txbxContent>
                            <w:p w14:paraId="60767A6C" w14:textId="77777777" w:rsidR="00EF4562" w:rsidRDefault="00000000">
                              <w:pPr>
                                <w:spacing w:line="240" w:lineRule="auto"/>
                                <w:ind w:firstLineChars="0" w:firstLine="0"/>
                                <w:rPr>
                                  <w:sz w:val="21"/>
                                  <w:szCs w:val="21"/>
                                </w:rPr>
                              </w:pPr>
                              <w:r>
                                <w:rPr>
                                  <w:rFonts w:hint="eastAsia"/>
                                  <w:sz w:val="21"/>
                                  <w:szCs w:val="21"/>
                                </w:rPr>
                                <w:t>变压器</w:t>
                              </w:r>
                            </w:p>
                          </w:txbxContent>
                        </wps:txbx>
                        <wps:bodyPr rot="0" spcFirstLastPara="0" vert="horz" wrap="square" lIns="91440" tIns="45720" rIns="91440" bIns="45720" numCol="1" spcCol="0" rtlCol="0" fromWordArt="0" anchor="t" anchorCtr="0" forceAA="0" compatLnSpc="1">
                          <a:noAutofit/>
                        </wps:bodyPr>
                      </wps:wsp>
                      <wps:wsp>
                        <wps:cNvPr id="780908793" name="文本框 1"/>
                        <wps:cNvSpPr txBox="1"/>
                        <wps:spPr>
                          <a:xfrm>
                            <a:off x="4545831" y="429510"/>
                            <a:ext cx="518294" cy="278130"/>
                          </a:xfrm>
                          <a:prstGeom prst="callout1">
                            <a:avLst>
                              <a:gd name="adj1" fmla="val 46000"/>
                              <a:gd name="adj2" fmla="val 9385"/>
                              <a:gd name="adj3" fmla="val -14266"/>
                              <a:gd name="adj4" fmla="val -18627"/>
                            </a:avLst>
                          </a:prstGeom>
                          <a:noFill/>
                          <a:ln w="9525" cap="flat" cmpd="sng" algn="ctr">
                            <a:solidFill>
                              <a:sysClr val="windowText" lastClr="000000"/>
                            </a:solidFill>
                            <a:prstDash val="solid"/>
                            <a:round/>
                            <a:headEnd type="none" w="med" len="med"/>
                            <a:tailEnd type="none" w="med" len="med"/>
                          </a:ln>
                          <a:effectLst/>
                        </wps:spPr>
                        <wps:txbx>
                          <w:txbxContent>
                            <w:p w14:paraId="025C934C" w14:textId="77777777" w:rsidR="00EF4562" w:rsidRDefault="00000000">
                              <w:pPr>
                                <w:spacing w:line="240" w:lineRule="auto"/>
                                <w:ind w:firstLineChars="0" w:firstLine="0"/>
                                <w:rPr>
                                  <w:sz w:val="21"/>
                                  <w:szCs w:val="21"/>
                                </w:rPr>
                              </w:pPr>
                              <w:r>
                                <w:rPr>
                                  <w:rFonts w:hint="eastAsia"/>
                                  <w:sz w:val="21"/>
                                  <w:szCs w:val="21"/>
                                </w:rPr>
                                <w:t>围墙</w:t>
                              </w:r>
                            </w:p>
                          </w:txbxContent>
                        </wps:txbx>
                        <wps:bodyPr rot="0" spcFirstLastPara="0" vert="horz" wrap="square" lIns="91440" tIns="45720" rIns="91440" bIns="45720" numCol="1" spcCol="0" rtlCol="0" fromWordArt="0" anchor="t" anchorCtr="0" forceAA="0" compatLnSpc="1">
                          <a:noAutofit/>
                        </wps:bodyPr>
                      </wps:wsp>
                      <wps:wsp>
                        <wps:cNvPr id="273893851" name="文本框 1"/>
                        <wps:cNvSpPr txBox="1"/>
                        <wps:spPr>
                          <a:xfrm>
                            <a:off x="762001" y="2512857"/>
                            <a:ext cx="1058977" cy="278130"/>
                          </a:xfrm>
                          <a:prstGeom prst="callout1">
                            <a:avLst>
                              <a:gd name="adj1" fmla="val 56211"/>
                              <a:gd name="adj2" fmla="val 88156"/>
                              <a:gd name="adj3" fmla="val 105534"/>
                              <a:gd name="adj4" fmla="val 105643"/>
                            </a:avLst>
                          </a:prstGeom>
                          <a:noFill/>
                          <a:ln w="9525" cap="flat" cmpd="sng" algn="ctr">
                            <a:solidFill>
                              <a:sysClr val="windowText" lastClr="000000"/>
                            </a:solidFill>
                            <a:prstDash val="solid"/>
                            <a:round/>
                            <a:headEnd type="none" w="med" len="med"/>
                            <a:tailEnd type="none" w="med" len="med"/>
                          </a:ln>
                          <a:effectLst/>
                        </wps:spPr>
                        <wps:txbx>
                          <w:txbxContent>
                            <w:p w14:paraId="678A96FE" w14:textId="77777777" w:rsidR="00EF4562" w:rsidRDefault="00000000">
                              <w:pPr>
                                <w:spacing w:line="240" w:lineRule="auto"/>
                                <w:ind w:firstLineChars="0" w:firstLine="0"/>
                                <w:rPr>
                                  <w:sz w:val="21"/>
                                  <w:szCs w:val="21"/>
                                </w:rPr>
                              </w:pPr>
                              <w:r>
                                <w:rPr>
                                  <w:rFonts w:hint="eastAsia"/>
                                  <w:sz w:val="21"/>
                                  <w:szCs w:val="21"/>
                                </w:rPr>
                                <w:t>LNG</w:t>
                              </w:r>
                              <w:r>
                                <w:rPr>
                                  <w:rFonts w:hint="eastAsia"/>
                                  <w:sz w:val="21"/>
                                  <w:szCs w:val="21"/>
                                </w:rPr>
                                <w:t>放散管</w:t>
                              </w:r>
                            </w:p>
                          </w:txbxContent>
                        </wps:txbx>
                        <wps:bodyPr rot="0" spcFirstLastPara="0" vert="horz" wrap="square" lIns="91440" tIns="45720" rIns="91440" bIns="45720" numCol="1" spcCol="0" rtlCol="0" fromWordArt="0" anchor="t" anchorCtr="0" forceAA="0" compatLnSpc="1">
                          <a:noAutofit/>
                        </wps:bodyPr>
                      </wps:wsp>
                      <wps:wsp>
                        <wps:cNvPr id="2079842802" name="文本框 1"/>
                        <wps:cNvSpPr txBox="1"/>
                        <wps:spPr>
                          <a:xfrm>
                            <a:off x="422587" y="342181"/>
                            <a:ext cx="391500" cy="278130"/>
                          </a:xfrm>
                          <a:prstGeom prst="rect">
                            <a:avLst/>
                          </a:prstGeom>
                          <a:noFill/>
                          <a:ln>
                            <a:noFill/>
                          </a:ln>
                          <a:effectLst/>
                        </wps:spPr>
                        <wps:txbx>
                          <w:txbxContent>
                            <w:p w14:paraId="12330E33" w14:textId="77777777" w:rsidR="00EF4562" w:rsidRDefault="00000000">
                              <w:pPr>
                                <w:spacing w:line="240" w:lineRule="auto"/>
                                <w:ind w:firstLineChars="0" w:firstLine="0"/>
                                <w:rPr>
                                  <w:sz w:val="21"/>
                                  <w:szCs w:val="21"/>
                                </w:rPr>
                              </w:pPr>
                              <w:r>
                                <w:rPr>
                                  <w:rFonts w:hint="eastAsia"/>
                                  <w:sz w:val="21"/>
                                  <w:szCs w:val="21"/>
                                </w:rPr>
                                <w:t>N</w:t>
                              </w:r>
                            </w:p>
                          </w:txbxContent>
                        </wps:txbx>
                        <wps:bodyPr rot="0" spcFirstLastPara="0" vert="horz" wrap="square" lIns="91440" tIns="45720" rIns="91440" bIns="45720" numCol="1" spcCol="0" rtlCol="0" fromWordArt="0" anchor="t" anchorCtr="0" forceAA="0" compatLnSpc="1">
                          <a:noAutofit/>
                        </wps:bodyPr>
                      </wps:wsp>
                      <wps:wsp>
                        <wps:cNvPr id="1564325475" name="矩形 1564325475"/>
                        <wps:cNvSpPr/>
                        <wps:spPr>
                          <a:xfrm rot="4186331">
                            <a:off x="5057904" y="1553301"/>
                            <a:ext cx="489469" cy="188579"/>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395772801" name="文本框 1"/>
                        <wps:cNvSpPr txBox="1"/>
                        <wps:spPr>
                          <a:xfrm>
                            <a:off x="4755686" y="1509791"/>
                            <a:ext cx="884565" cy="278130"/>
                          </a:xfrm>
                          <a:prstGeom prst="rect">
                            <a:avLst/>
                          </a:prstGeom>
                          <a:noFill/>
                          <a:ln>
                            <a:noFill/>
                          </a:ln>
                          <a:effectLst/>
                        </wps:spPr>
                        <wps:txbx>
                          <w:txbxContent>
                            <w:p w14:paraId="67B5A273" w14:textId="77777777" w:rsidR="00EF4562" w:rsidRDefault="00000000">
                              <w:pPr>
                                <w:spacing w:line="240" w:lineRule="auto"/>
                                <w:ind w:firstLineChars="0" w:firstLine="0"/>
                                <w:rPr>
                                  <w:sz w:val="21"/>
                                  <w:szCs w:val="21"/>
                                </w:rPr>
                              </w:pPr>
                              <w:r>
                                <w:rPr>
                                  <w:rFonts w:hint="eastAsia"/>
                                  <w:sz w:val="21"/>
                                  <w:szCs w:val="21"/>
                                </w:rPr>
                                <w:t>密闭卸油口</w:t>
                              </w:r>
                            </w:p>
                          </w:txbxContent>
                        </wps:txbx>
                        <wps:bodyPr rot="0" spcFirstLastPara="0" vert="horz" wrap="square" lIns="91440" tIns="45720" rIns="91440" bIns="45720" numCol="1" spcCol="0" rtlCol="0" fromWordArt="0" anchor="t" anchorCtr="0" forceAA="0" compatLnSpc="1">
                          <a:noAutofit/>
                        </wps:bodyPr>
                      </wps:wsp>
                      <wps:wsp>
                        <wps:cNvPr id="168441500" name="文本框 1"/>
                        <wps:cNvSpPr txBox="1"/>
                        <wps:spPr>
                          <a:xfrm>
                            <a:off x="6359051" y="1060860"/>
                            <a:ext cx="746599" cy="278130"/>
                          </a:xfrm>
                          <a:prstGeom prst="callout1">
                            <a:avLst>
                              <a:gd name="adj1" fmla="val 73416"/>
                              <a:gd name="adj2" fmla="val 7579"/>
                              <a:gd name="adj3" fmla="val 105578"/>
                              <a:gd name="adj4" fmla="val -36585"/>
                            </a:avLst>
                          </a:prstGeom>
                          <a:noFill/>
                          <a:ln w="9525" cap="flat" cmpd="sng" algn="ctr">
                            <a:solidFill>
                              <a:sysClr val="windowText" lastClr="000000"/>
                            </a:solidFill>
                            <a:prstDash val="solid"/>
                            <a:round/>
                            <a:headEnd type="none" w="med" len="med"/>
                            <a:tailEnd type="none" w="med" len="med"/>
                          </a:ln>
                          <a:effectLst/>
                        </wps:spPr>
                        <wps:txbx>
                          <w:txbxContent>
                            <w:p w14:paraId="54ECBDF3" w14:textId="77777777" w:rsidR="00EF4562" w:rsidRDefault="00000000">
                              <w:pPr>
                                <w:spacing w:line="240" w:lineRule="auto"/>
                                <w:ind w:firstLineChars="0" w:firstLine="0"/>
                                <w:rPr>
                                  <w:sz w:val="21"/>
                                  <w:szCs w:val="21"/>
                                </w:rPr>
                              </w:pPr>
                              <w:r>
                                <w:rPr>
                                  <w:rFonts w:hint="eastAsia"/>
                                  <w:sz w:val="21"/>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1454008031" name="文本框 1"/>
                        <wps:cNvSpPr txBox="1"/>
                        <wps:spPr>
                          <a:xfrm>
                            <a:off x="5583967" y="4987052"/>
                            <a:ext cx="1712184" cy="278130"/>
                          </a:xfrm>
                          <a:prstGeom prst="rect">
                            <a:avLst/>
                          </a:prstGeom>
                          <a:noFill/>
                          <a:ln>
                            <a:noFill/>
                          </a:ln>
                          <a:effectLst/>
                        </wps:spPr>
                        <wps:txbx>
                          <w:txbxContent>
                            <w:p w14:paraId="487A9B67" w14:textId="77777777" w:rsidR="00EF4562" w:rsidRDefault="00000000">
                              <w:pPr>
                                <w:spacing w:line="240" w:lineRule="auto"/>
                                <w:ind w:firstLineChars="0" w:firstLine="0"/>
                                <w:rPr>
                                  <w:sz w:val="21"/>
                                  <w:szCs w:val="21"/>
                                </w:rPr>
                              </w:pPr>
                              <w:r>
                                <w:rPr>
                                  <w:rFonts w:hint="eastAsia"/>
                                  <w:sz w:val="21"/>
                                  <w:szCs w:val="21"/>
                                </w:rPr>
                                <w:t>注：红色为本次评价范围</w:t>
                              </w:r>
                            </w:p>
                          </w:txbxContent>
                        </wps:txbx>
                        <wps:bodyPr rot="0" spcFirstLastPara="0" vert="horz" wrap="square" lIns="91440" tIns="45720" rIns="91440" bIns="45720" numCol="1" spcCol="0" rtlCol="0" fromWordArt="0" anchor="t" anchorCtr="0" forceAA="0" compatLnSpc="1">
                          <a:noAutofit/>
                        </wps:bodyPr>
                      </wps:wsp>
                      <wps:wsp>
                        <wps:cNvPr id="1505242082" name="直接箭头连接符 1505242082"/>
                        <wps:cNvCnPr/>
                        <wps:spPr>
                          <a:xfrm flipH="1" flipV="1">
                            <a:off x="3123431" y="3349766"/>
                            <a:ext cx="467494" cy="422058"/>
                          </a:xfrm>
                          <a:prstGeom prst="straightConnector1">
                            <a:avLst/>
                          </a:prstGeom>
                          <a:noFill/>
                          <a:ln w="6350" cap="flat" cmpd="sng" algn="ctr">
                            <a:solidFill>
                              <a:srgbClr val="5B9BD5"/>
                            </a:solidFill>
                            <a:prstDash val="solid"/>
                            <a:miter lim="800000"/>
                            <a:headEnd type="triangle"/>
                            <a:tailEnd type="triangle"/>
                          </a:ln>
                          <a:effectLst/>
                        </wps:spPr>
                        <wps:bodyPr/>
                      </wps:wsp>
                      <wps:wsp>
                        <wps:cNvPr id="1934375506" name="直接箭头连接符 1934375506"/>
                        <wps:cNvCnPr/>
                        <wps:spPr>
                          <a:xfrm flipH="1" flipV="1">
                            <a:off x="3263403" y="2871978"/>
                            <a:ext cx="326018" cy="899844"/>
                          </a:xfrm>
                          <a:prstGeom prst="straightConnector1">
                            <a:avLst/>
                          </a:prstGeom>
                          <a:noFill/>
                          <a:ln w="6350" cap="flat" cmpd="sng" algn="ctr">
                            <a:solidFill>
                              <a:srgbClr val="5B9BD5"/>
                            </a:solidFill>
                            <a:prstDash val="solid"/>
                            <a:miter lim="800000"/>
                            <a:headEnd type="triangle"/>
                            <a:tailEnd type="triangle"/>
                          </a:ln>
                          <a:effectLst/>
                        </wps:spPr>
                        <wps:bodyPr/>
                      </wps:wsp>
                      <wps:wsp>
                        <wps:cNvPr id="1206500023" name="直接箭头连接符 1206500023"/>
                        <wps:cNvCnPr/>
                        <wps:spPr>
                          <a:xfrm>
                            <a:off x="3589421" y="3743017"/>
                            <a:ext cx="249154" cy="705158"/>
                          </a:xfrm>
                          <a:prstGeom prst="straightConnector1">
                            <a:avLst/>
                          </a:prstGeom>
                          <a:noFill/>
                          <a:ln w="6350" cap="flat" cmpd="sng" algn="ctr">
                            <a:solidFill>
                              <a:srgbClr val="5B9BD5"/>
                            </a:solidFill>
                            <a:prstDash val="solid"/>
                            <a:miter lim="800000"/>
                            <a:headEnd type="triangle"/>
                            <a:tailEnd type="triangle"/>
                          </a:ln>
                          <a:effectLst/>
                        </wps:spPr>
                        <wps:bodyPr/>
                      </wps:wsp>
                      <wps:wsp>
                        <wps:cNvPr id="355740145" name="直接箭头连接符 355740145"/>
                        <wps:cNvCnPr/>
                        <wps:spPr>
                          <a:xfrm flipH="1">
                            <a:off x="1495426" y="3767707"/>
                            <a:ext cx="2134794" cy="757198"/>
                          </a:xfrm>
                          <a:prstGeom prst="straightConnector1">
                            <a:avLst/>
                          </a:prstGeom>
                          <a:noFill/>
                          <a:ln w="6350" cap="flat" cmpd="sng" algn="ctr">
                            <a:solidFill>
                              <a:srgbClr val="5B9BD5"/>
                            </a:solidFill>
                            <a:prstDash val="solid"/>
                            <a:miter lim="800000"/>
                            <a:headEnd type="triangle"/>
                            <a:tailEnd type="triangle"/>
                          </a:ln>
                          <a:effectLst/>
                        </wps:spPr>
                        <wps:bodyPr/>
                      </wps:wsp>
                      <wps:wsp>
                        <wps:cNvPr id="1094934693" name="直接箭头连接符 1094934693"/>
                        <wps:cNvCnPr/>
                        <wps:spPr>
                          <a:xfrm>
                            <a:off x="4953000" y="3248565"/>
                            <a:ext cx="270693" cy="648300"/>
                          </a:xfrm>
                          <a:prstGeom prst="straightConnector1">
                            <a:avLst/>
                          </a:prstGeom>
                          <a:noFill/>
                          <a:ln w="6350" cap="flat" cmpd="sng" algn="ctr">
                            <a:solidFill>
                              <a:srgbClr val="5B9BD5"/>
                            </a:solidFill>
                            <a:prstDash val="solid"/>
                            <a:miter lim="800000"/>
                            <a:headEnd type="triangle"/>
                            <a:tailEnd type="triangle"/>
                          </a:ln>
                          <a:effectLst/>
                        </wps:spPr>
                        <wps:bodyPr/>
                      </wps:wsp>
                      <wps:wsp>
                        <wps:cNvPr id="186637765" name="直接箭头连接符 186637765"/>
                        <wps:cNvCnPr/>
                        <wps:spPr>
                          <a:xfrm flipV="1">
                            <a:off x="4953000" y="2629758"/>
                            <a:ext cx="0" cy="619074"/>
                          </a:xfrm>
                          <a:prstGeom prst="straightConnector1">
                            <a:avLst/>
                          </a:prstGeom>
                          <a:noFill/>
                          <a:ln w="6350" cap="flat" cmpd="sng" algn="ctr">
                            <a:solidFill>
                              <a:srgbClr val="5B9BD5"/>
                            </a:solidFill>
                            <a:prstDash val="solid"/>
                            <a:miter lim="800000"/>
                            <a:headEnd type="triangle"/>
                            <a:tailEnd type="triangle"/>
                          </a:ln>
                          <a:effectLst/>
                        </wps:spPr>
                        <wps:bodyPr/>
                      </wps:wsp>
                      <wps:wsp>
                        <wps:cNvPr id="574240858" name="直接箭头连接符 574240858"/>
                        <wps:cNvCnPr/>
                        <wps:spPr>
                          <a:xfrm flipV="1">
                            <a:off x="4953000" y="787633"/>
                            <a:ext cx="1775253" cy="2480241"/>
                          </a:xfrm>
                          <a:prstGeom prst="straightConnector1">
                            <a:avLst/>
                          </a:prstGeom>
                          <a:noFill/>
                          <a:ln w="6350" cap="flat" cmpd="sng" algn="ctr">
                            <a:solidFill>
                              <a:srgbClr val="5B9BD5"/>
                            </a:solidFill>
                            <a:prstDash val="solid"/>
                            <a:miter lim="800000"/>
                            <a:headEnd type="triangle"/>
                            <a:tailEnd type="triangle"/>
                          </a:ln>
                          <a:effectLst/>
                        </wps:spPr>
                        <wps:bodyPr/>
                      </wps:wsp>
                      <wps:wsp>
                        <wps:cNvPr id="1960142274" name="文本框 1"/>
                        <wps:cNvSpPr txBox="1"/>
                        <wps:spPr>
                          <a:xfrm>
                            <a:off x="3410736" y="3236137"/>
                            <a:ext cx="609067" cy="278130"/>
                          </a:xfrm>
                          <a:prstGeom prst="rect">
                            <a:avLst/>
                          </a:prstGeom>
                          <a:noFill/>
                          <a:ln>
                            <a:noFill/>
                          </a:ln>
                          <a:effectLst/>
                        </wps:spPr>
                        <wps:txbx>
                          <w:txbxContent>
                            <w:p w14:paraId="36D22593" w14:textId="77777777" w:rsidR="00EF4562" w:rsidRDefault="00000000">
                              <w:pPr>
                                <w:spacing w:line="240" w:lineRule="auto"/>
                                <w:ind w:firstLineChars="0" w:firstLine="0"/>
                                <w:rPr>
                                  <w:sz w:val="21"/>
                                  <w:szCs w:val="21"/>
                                </w:rPr>
                              </w:pPr>
                              <w:r>
                                <w:rPr>
                                  <w:rFonts w:hint="eastAsia"/>
                                  <w:sz w:val="21"/>
                                  <w:szCs w:val="21"/>
                                </w:rPr>
                                <w:t>18.2m</w:t>
                              </w:r>
                            </w:p>
                          </w:txbxContent>
                        </wps:txbx>
                        <wps:bodyPr rot="0" spcFirstLastPara="0" vert="horz" wrap="square" lIns="91440" tIns="45720" rIns="91440" bIns="45720" numCol="1" spcCol="0" rtlCol="0" fromWordArt="0" anchor="t" anchorCtr="0" forceAA="0" compatLnSpc="1">
                          <a:noAutofit/>
                        </wps:bodyPr>
                      </wps:wsp>
                      <wps:wsp>
                        <wps:cNvPr id="1093436324" name="文本框 1"/>
                        <wps:cNvSpPr txBox="1"/>
                        <wps:spPr>
                          <a:xfrm>
                            <a:off x="3059569" y="3521403"/>
                            <a:ext cx="529852" cy="278130"/>
                          </a:xfrm>
                          <a:prstGeom prst="rect">
                            <a:avLst/>
                          </a:prstGeom>
                          <a:noFill/>
                          <a:ln>
                            <a:noFill/>
                          </a:ln>
                          <a:effectLst/>
                        </wps:spPr>
                        <wps:txbx>
                          <w:txbxContent>
                            <w:p w14:paraId="6EABCF60" w14:textId="77777777" w:rsidR="00EF4562" w:rsidRDefault="00000000">
                              <w:pPr>
                                <w:spacing w:line="240" w:lineRule="auto"/>
                                <w:ind w:firstLineChars="0" w:firstLine="0"/>
                                <w:rPr>
                                  <w:sz w:val="21"/>
                                  <w:szCs w:val="21"/>
                                </w:rPr>
                              </w:pPr>
                              <w:r>
                                <w:rPr>
                                  <w:rFonts w:hint="eastAsia"/>
                                  <w:sz w:val="21"/>
                                  <w:szCs w:val="21"/>
                                </w:rPr>
                                <w:t>12m</w:t>
                              </w:r>
                            </w:p>
                          </w:txbxContent>
                        </wps:txbx>
                        <wps:bodyPr rot="0" spcFirstLastPara="0" vert="horz" wrap="square" lIns="91440" tIns="45720" rIns="91440" bIns="45720" numCol="1" spcCol="0" rtlCol="0" fromWordArt="0" anchor="t" anchorCtr="0" forceAA="0" compatLnSpc="1">
                          <a:noAutofit/>
                        </wps:bodyPr>
                      </wps:wsp>
                      <wps:wsp>
                        <wps:cNvPr id="458598040" name="文本框 1"/>
                        <wps:cNvSpPr txBox="1"/>
                        <wps:spPr>
                          <a:xfrm>
                            <a:off x="2259128" y="4138519"/>
                            <a:ext cx="628856" cy="255357"/>
                          </a:xfrm>
                          <a:prstGeom prst="rect">
                            <a:avLst/>
                          </a:prstGeom>
                          <a:noFill/>
                          <a:ln>
                            <a:noFill/>
                          </a:ln>
                          <a:effectLst/>
                        </wps:spPr>
                        <wps:txbx>
                          <w:txbxContent>
                            <w:p w14:paraId="30370891" w14:textId="77777777" w:rsidR="00EF4562" w:rsidRDefault="00000000">
                              <w:pPr>
                                <w:spacing w:line="240" w:lineRule="auto"/>
                                <w:ind w:firstLineChars="0" w:firstLine="0"/>
                                <w:rPr>
                                  <w:sz w:val="21"/>
                                  <w:szCs w:val="21"/>
                                </w:rPr>
                              </w:pPr>
                              <w:r>
                                <w:rPr>
                                  <w:rFonts w:hint="eastAsia"/>
                                  <w:sz w:val="21"/>
                                  <w:szCs w:val="21"/>
                                </w:rPr>
                                <w:t>28.2m</w:t>
                              </w:r>
                            </w:p>
                          </w:txbxContent>
                        </wps:txbx>
                        <wps:bodyPr rot="0" spcFirstLastPara="0" vert="horz" wrap="square" lIns="91440" tIns="45720" rIns="91440" bIns="45720" numCol="1" spcCol="0" rtlCol="0" fromWordArt="0" anchor="t" anchorCtr="0" forceAA="0" compatLnSpc="1">
                          <a:noAutofit/>
                        </wps:bodyPr>
                      </wps:wsp>
                      <wps:wsp>
                        <wps:cNvPr id="1869020586" name="文本框 1"/>
                        <wps:cNvSpPr txBox="1"/>
                        <wps:spPr>
                          <a:xfrm>
                            <a:off x="4807039" y="3693460"/>
                            <a:ext cx="468007" cy="278130"/>
                          </a:xfrm>
                          <a:prstGeom prst="rect">
                            <a:avLst/>
                          </a:prstGeom>
                          <a:noFill/>
                          <a:ln>
                            <a:noFill/>
                          </a:ln>
                          <a:effectLst/>
                        </wps:spPr>
                        <wps:txbx>
                          <w:txbxContent>
                            <w:p w14:paraId="09F9E5D5" w14:textId="77777777" w:rsidR="00EF4562" w:rsidRDefault="00000000">
                              <w:pPr>
                                <w:spacing w:line="240" w:lineRule="auto"/>
                                <w:ind w:firstLineChars="0" w:firstLine="0"/>
                                <w:rPr>
                                  <w:sz w:val="21"/>
                                  <w:szCs w:val="21"/>
                                </w:rPr>
                              </w:pPr>
                              <w:r>
                                <w:rPr>
                                  <w:rFonts w:hint="eastAsia"/>
                                  <w:sz w:val="21"/>
                                  <w:szCs w:val="21"/>
                                </w:rPr>
                                <w:t>25m</w:t>
                              </w:r>
                            </w:p>
                          </w:txbxContent>
                        </wps:txbx>
                        <wps:bodyPr rot="0" spcFirstLastPara="0" vert="horz" wrap="square" lIns="91440" tIns="45720" rIns="91440" bIns="45720" numCol="1" spcCol="0" rtlCol="0" fromWordArt="0" anchor="t" anchorCtr="0" forceAA="0" compatLnSpc="1">
                          <a:noAutofit/>
                        </wps:bodyPr>
                      </wps:wsp>
                      <wps:wsp>
                        <wps:cNvPr id="1114663329" name="文本框 1"/>
                        <wps:cNvSpPr txBox="1"/>
                        <wps:spPr>
                          <a:xfrm>
                            <a:off x="3419475" y="4073951"/>
                            <a:ext cx="447876" cy="278130"/>
                          </a:xfrm>
                          <a:prstGeom prst="rect">
                            <a:avLst/>
                          </a:prstGeom>
                          <a:noFill/>
                          <a:ln>
                            <a:noFill/>
                          </a:ln>
                          <a:effectLst/>
                        </wps:spPr>
                        <wps:txbx>
                          <w:txbxContent>
                            <w:p w14:paraId="4698C7B0" w14:textId="77777777" w:rsidR="00EF4562" w:rsidRDefault="00000000">
                              <w:pPr>
                                <w:spacing w:line="240" w:lineRule="auto"/>
                                <w:ind w:firstLineChars="0" w:firstLine="0"/>
                                <w:rPr>
                                  <w:sz w:val="21"/>
                                  <w:szCs w:val="21"/>
                                </w:rPr>
                              </w:pPr>
                              <w:r>
                                <w:rPr>
                                  <w:rFonts w:hint="eastAsia"/>
                                  <w:sz w:val="21"/>
                                  <w:szCs w:val="21"/>
                                </w:rPr>
                                <w:t>25m</w:t>
                              </w:r>
                            </w:p>
                          </w:txbxContent>
                        </wps:txbx>
                        <wps:bodyPr rot="0" spcFirstLastPara="0" vert="horz" wrap="square" lIns="91440" tIns="45720" rIns="91440" bIns="45720" numCol="1" spcCol="0" rtlCol="0" fromWordArt="0" anchor="t" anchorCtr="0" forceAA="0" compatLnSpc="1">
                          <a:noAutofit/>
                        </wps:bodyPr>
                      </wps:wsp>
                      <wps:wsp>
                        <wps:cNvPr id="876436159" name="文本框 1"/>
                        <wps:cNvSpPr txBox="1"/>
                        <wps:spPr>
                          <a:xfrm>
                            <a:off x="4652506" y="2905822"/>
                            <a:ext cx="552373" cy="278130"/>
                          </a:xfrm>
                          <a:prstGeom prst="rect">
                            <a:avLst/>
                          </a:prstGeom>
                          <a:noFill/>
                          <a:ln>
                            <a:noFill/>
                          </a:ln>
                          <a:effectLst/>
                        </wps:spPr>
                        <wps:txbx>
                          <w:txbxContent>
                            <w:p w14:paraId="7F911780" w14:textId="77777777" w:rsidR="00EF4562" w:rsidRDefault="00000000">
                              <w:pPr>
                                <w:spacing w:line="240" w:lineRule="auto"/>
                                <w:ind w:firstLineChars="0" w:firstLine="0"/>
                                <w:rPr>
                                  <w:sz w:val="21"/>
                                  <w:szCs w:val="21"/>
                                </w:rPr>
                              </w:pPr>
                              <w:r>
                                <w:rPr>
                                  <w:rFonts w:hint="eastAsia"/>
                                  <w:sz w:val="21"/>
                                  <w:szCs w:val="21"/>
                                </w:rPr>
                                <w:t>12m</w:t>
                              </w:r>
                            </w:p>
                          </w:txbxContent>
                        </wps:txbx>
                        <wps:bodyPr rot="0" spcFirstLastPara="0" vert="horz" wrap="square" lIns="91440" tIns="45720" rIns="91440" bIns="45720" numCol="1" spcCol="0" rtlCol="0" fromWordArt="0" anchor="t" anchorCtr="0" forceAA="0" compatLnSpc="1">
                          <a:noAutofit/>
                        </wps:bodyPr>
                      </wps:wsp>
                      <wps:wsp>
                        <wps:cNvPr id="1962696040" name="文本框 1"/>
                        <wps:cNvSpPr txBox="1"/>
                        <wps:spPr>
                          <a:xfrm>
                            <a:off x="5533316" y="2351635"/>
                            <a:ext cx="495229" cy="278130"/>
                          </a:xfrm>
                          <a:prstGeom prst="rect">
                            <a:avLst/>
                          </a:prstGeom>
                          <a:noFill/>
                          <a:ln>
                            <a:noFill/>
                          </a:ln>
                          <a:effectLst/>
                        </wps:spPr>
                        <wps:txbx>
                          <w:txbxContent>
                            <w:p w14:paraId="2CBACE54" w14:textId="77777777" w:rsidR="00EF4562" w:rsidRDefault="00000000">
                              <w:pPr>
                                <w:spacing w:line="240" w:lineRule="auto"/>
                                <w:ind w:firstLineChars="0" w:firstLine="0"/>
                                <w:rPr>
                                  <w:sz w:val="21"/>
                                  <w:szCs w:val="21"/>
                                </w:rPr>
                              </w:pPr>
                              <w:r>
                                <w:rPr>
                                  <w:rFonts w:hint="eastAsia"/>
                                  <w:sz w:val="21"/>
                                  <w:szCs w:val="21"/>
                                </w:rPr>
                                <w:t>46m</w:t>
                              </w:r>
                            </w:p>
                          </w:txbxContent>
                        </wps:txbx>
                        <wps:bodyPr rot="0" spcFirstLastPara="0" vert="horz" wrap="square" lIns="91440" tIns="45720" rIns="91440" bIns="45720" numCol="1" spcCol="0" rtlCol="0" fromWordArt="0" anchor="t" anchorCtr="0" forceAA="0" compatLnSpc="1">
                          <a:noAutofit/>
                        </wps:bodyPr>
                      </wps:wsp>
                      <wps:wsp>
                        <wps:cNvPr id="259479172" name="直接连接符 259479172"/>
                        <wps:cNvCnPr/>
                        <wps:spPr>
                          <a:xfrm>
                            <a:off x="2382954" y="1005034"/>
                            <a:ext cx="53340" cy="511175"/>
                          </a:xfrm>
                          <a:prstGeom prst="line">
                            <a:avLst/>
                          </a:prstGeom>
                          <a:noFill/>
                          <a:ln w="6350" cap="flat" cmpd="sng" algn="ctr">
                            <a:solidFill>
                              <a:sysClr val="windowText" lastClr="000000"/>
                            </a:solidFill>
                            <a:prstDash val="solid"/>
                            <a:miter lim="800000"/>
                          </a:ln>
                          <a:effectLst/>
                        </wps:spPr>
                        <wps:bodyPr/>
                      </wps:wsp>
                      <wps:wsp>
                        <wps:cNvPr id="1950677708" name="文本框 1"/>
                        <wps:cNvSpPr txBox="1"/>
                        <wps:spPr>
                          <a:xfrm>
                            <a:off x="2013640" y="1014939"/>
                            <a:ext cx="655273" cy="469530"/>
                          </a:xfrm>
                          <a:prstGeom prst="rect">
                            <a:avLst/>
                          </a:prstGeom>
                          <a:noFill/>
                          <a:ln>
                            <a:noFill/>
                          </a:ln>
                          <a:effectLst/>
                        </wps:spPr>
                        <wps:txbx>
                          <w:txbxContent>
                            <w:p w14:paraId="72D138B7" w14:textId="77777777" w:rsidR="00EF4562" w:rsidRDefault="00000000">
                              <w:pPr>
                                <w:spacing w:line="240" w:lineRule="auto"/>
                                <w:ind w:firstLineChars="0" w:firstLine="0"/>
                                <w:rPr>
                                  <w:rFonts w:cs="Times New Roman"/>
                                  <w:sz w:val="21"/>
                                  <w:szCs w:val="21"/>
                                  <w14:ligatures w14:val="none"/>
                                </w:rPr>
                              </w:pPr>
                              <w:r>
                                <w:rPr>
                                  <w:rFonts w:hint="eastAsia"/>
                                  <w:sz w:val="21"/>
                                  <w:szCs w:val="21"/>
                                </w:rPr>
                                <w:t>柴油发电机间</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29C922F6" id="画布 146" o:spid="_x0000_s1107" editas="canvas" style="width:689.95pt;height:420.55pt;mso-position-horizontal-relative:char;mso-position-vertical-relative:line" coordsize="87623,534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">
                <v:shape id="_x0000_s1108" type="#_x0000_t75" style="position:absolute;width:87623;height:53409;visibility:visible;mso-wrap-style:square" filled="t">
                  <v:fill o:detectmouseclick="t"/>
                  <v:path o:connecttype="none"/>
                </v:shape>
                <v:line id="直接连接符 821363388" o:spid="_x0000_s1109" style="position:absolute;flip:x;visibility:visible;mso-wrap-style:square" from="13811,5535" to="14954,52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" strokecolor="windowText" strokeweight="2.25pt">
                  <v:stroke joinstyle="miter"/>
                </v:line>
                <v:line id="直接连接符 1216691386" o:spid="_x0000_s1110" style="position:absolute;flip:y;visibility:visible;mso-wrap-style:square" from="21240,2487" to="57113,5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" strokecolor="windowText" strokeweight="2.25pt">
                  <v:stroke joinstyle="miter"/>
                </v:line>
                <v:line id="直接连接符 2118829467" o:spid="_x0000_s1111" style="position:absolute;flip:y;visibility:visible;mso-wrap-style:square" from="14954,4201" to="16097,5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" strokecolor="windowText" strokeweight="2.25pt">
                  <v:stroke joinstyle="miter"/>
                </v:line>
                <v:line id="直接连接符 2073319111" o:spid="_x0000_s1112" style="position:absolute;flip:y;visibility:visible;mso-wrap-style:square" from="16097,3725" to="20478,4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" strokecolor="windowText" strokeweight="2.25pt">
                  <v:stroke joinstyle="miter"/>
                </v:line>
                <v:line id="直接连接符 392551350" o:spid="_x0000_s1113" style="position:absolute;visibility:visible;mso-wrap-style:square" from="20478,3725" to="21240,5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" strokecolor="windowText" strokeweight="2.25pt">
                  <v:stroke joinstyle="miter"/>
                </v:line>
                <v:line id="直接连接符 835578663" o:spid="_x0000_s1114" style="position:absolute;visibility:visible;mso-wrap-style:square" from="57113,2486" to="63590,19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" strokecolor="windowText" strokeweight="2.25pt">
                  <v:stroke joinstyle="miter"/>
                </v:line>
                <v:rect id="矩形 477033846" o:spid="_x0000_s1115" style="position:absolute;left:16127;top:4583;width:4381;height:857;rotation:-34382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" filled="f" strokecolor="windowText">
                  <v:stroke joinstyle="round"/>
                </v:rect>
                <v:rect id="矩形 1596252500" o:spid="_x0000_s1116" style="position:absolute;left:17103;top:10066;width:15318;height:5146;rotation:-39394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" filled="f" strokecolor="windowText">
                  <v:stroke joinstyle="round"/>
                </v:rect>
                <v:rect id="矩形 1931005273" o:spid="_x0000_s1117" style="position:absolute;left:16876;top:22489;width:6953;height:10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" filled="f" strokecolor="windowText">
                  <v:stroke joinstyle="round"/>
                </v:rect>
                <v:line id="直接连接符 1819156302" o:spid="_x0000_s1118" style="position:absolute;flip:x;visibility:visible;mso-wrap-style:square" from="12668,10" to="14287,52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" strokecolor="windowText" strokeweight=".5pt">
                  <v:stroke joinstyle="miter"/>
                </v:line>
                <v:line id="直接连接符 833192413" o:spid="_x0000_s1119" style="position:absolute;flip:y;visibility:visible;mso-wrap-style:square" from="11334,10" to="13144,52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" strokecolor="windowText">
                  <v:stroke dashstyle="dash"/>
                </v:line>
                <v:line id="直接连接符 1627195000" o:spid="_x0000_s1120" style="position:absolute;flip:y;visibility:visible;mso-wrap-style:square" from="10001,10" to="11811,52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" strokecolor="windowText" strokeweight=".5pt">
                  <v:stroke joinstyle="miter"/>
                </v:line>
                <v:line id="直接连接符 518289145" o:spid="_x0000_s1121" style="position:absolute;flip:x;visibility:visible;mso-wrap-style:square" from="2381,36300" to="9144,41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" strokecolor="windowText" strokeweight=".5pt">
                  <v:stroke joinstyle="miter"/>
                </v:line>
                <v:line id="直接连接符 1124902798" o:spid="_x0000_s1122" style="position:absolute;visibility:visible;mso-wrap-style:square" from="9144,36300" to="9144,46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" strokecolor="windowText" strokeweight=".5pt">
                  <v:stroke joinstyle="miter"/>
                </v:line>
                <v:line id="直接连接符 638773633" o:spid="_x0000_s1123" style="position:absolute;visibility:visible;mso-wrap-style:square" from="2381,41920" to="4762,47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" strokecolor="windowText" strokeweight=".5pt">
                  <v:stroke joinstyle="miter"/>
                </v:line>
                <v:line id="直接连接符 1590121682" o:spid="_x0000_s1124" style="position:absolute;flip:y;visibility:visible;mso-wrap-style:square" from="4762,46587" to="9144,47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" strokecolor="windowText" strokeweight=".5pt">
                  <v:stroke joinstyle="miter"/>
                </v:line>
                <v:line id="直接连接符 52287111" o:spid="_x0000_s1125" style="position:absolute;visibility:visible;mso-wrap-style:square" from="381,20870" to="7143,30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" strokecolor="windowText" strokeweight=".5pt">
                  <v:stroke joinstyle="miter"/>
                </v:line>
                <v:line id="直接连接符 417340818" o:spid="_x0000_s1126" style="position:absolute;flip:x;visibility:visible;mso-wrap-style:square" from="857,30109" to="7143,34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" strokecolor="windowText" strokeweight=".5pt">
                  <v:stroke joinstyle="miter"/>
                </v:line>
                <v:line id="直接连接符 1673006114" o:spid="_x0000_s1127" style="position:absolute;flip:x y;visibility:visible;mso-wrap-style:square" from="0,33062" to="952,34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" strokecolor="windowText" strokeweight=".5pt">
                  <v:stroke joinstyle="miter"/>
                </v:lin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307521014" o:spid="_x0000_s1128" type="#_x0000_t120" style="position:absolute;left:18686;top:27918;width:3238;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" filled="f" strokecolor="windowText"/>
                <v:shapetype id="_x0000_t109" coordsize="21600,21600" o:spt="109" path="m,l,21600r21600,l21600,xe">
                  <v:stroke joinstyle="miter"/>
                  <v:path gradientshapeok="t" o:connecttype="rect"/>
                </v:shapetype>
                <v:shape id="流程图: 过程 2049551941" o:spid="_x0000_s1129" type="#_x0000_t109" style="position:absolute;left:18209;top:23823;width:2191;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" filled="f" strokecolor="windowText">
                  <v:stroke joinstyle="round"/>
                </v:shape>
                <v:shape id="流程图: 过程 1466769862" o:spid="_x0000_s1130" type="#_x0000_t109" style="position:absolute;left:21353;top:23823;width:1238;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" filled="f" strokecolor="windowText">
                  <v:stroke joinstyle="round"/>
                </v:shape>
                <v:shape id="流程图: 过程 2047915219" o:spid="_x0000_s1131" type="#_x0000_t109" style="position:absolute;left:17924;top:31347;width:1428;height:2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" filled="f" strokecolor="windowText">
                  <v:stroke joinstyle="round"/>
                </v:shape>
                <v:shape id="流程图: 接点 1319465153" o:spid="_x0000_s1132" type="#_x0000_t120" style="position:absolute;left:18686;top:27957;width:457;height: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" filled="f" strokecolor="windowText"/>
                <v:shape id="流程图: 过程 963148548" o:spid="_x0000_s1133" type="#_x0000_t109" style="position:absolute;left:28688;top:19726;width:14573;height:7403;rotation:-13636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" filled="f" strokecolor="windowText">
                  <v:stroke joinstyle="round"/>
                </v:shape>
                <v:shape id="流程图: 过程 929702817" o:spid="_x0000_s1134" type="#_x0000_t109" style="position:absolute;left:28143;top:26792;width:26628;height:12194;rotation:-135299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" filled="f" strokecolor="windowText">
                  <v:stroke joinstyle="round"/>
                </v:shape>
                <v:line id="直接连接符 990971693" o:spid="_x0000_s1135" style="position:absolute;flip:y;visibility:visible;mso-wrap-style:square" from="25695,46097" to="34194,52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" strokecolor="windowText" strokeweight=".5pt">
                  <v:stroke joinstyle="miter"/>
                </v:line>
                <v:line id="直接连接符 597710917" o:spid="_x0000_s1136" style="position:absolute;flip:y;visibility:visible;mso-wrap-style:square" from="29320,47346" to="35909,52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" strokecolor="windowText">
                  <v:stroke dashstyle="dash"/>
                </v:line>
                <v:line id="直接连接符 1963992432" o:spid="_x0000_s1137" style="position:absolute;flip:y;visibility:visible;mso-wrap-style:square" from="31607,48674" to="37100,52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" strokecolor="windowText" strokeweight=".5pt">
                  <v:stroke joinstyle="miter"/>
                </v:line>
                <v:shape id="流程图: 过程 1738601610" o:spid="_x0000_s1138" type="#_x0000_t109" style="position:absolute;left:53432;top:7108;width:7865;height:14379;rotation:-136099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" filled="f" strokecolor="windowText">
                  <v:stroke joinstyle="round"/>
                </v:shape>
                <v:rect id="矩形 106717591" o:spid="_x0000_s1139" style="position:absolute;left:39753;top:29518;width:2000;height:1143;rotation:-129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" filled="f" strokecolor="windowText">
                  <v:stroke joinstyle="round"/>
                </v:rect>
                <v:rect id="矩形 846878934" o:spid="_x0000_s1140" style="position:absolute;left:33075;top:31899;width:2001;height:1143;rotation:-129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" filled="f" strokecolor="windowText">
                  <v:stroke joinstyle="round"/>
                </v:rect>
                <v:rect id="矩形 1762386793" o:spid="_x0000_s1141" style="position:absolute;left:48921;top:25813;width:2000;height:1143;rotation:-129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" filled="f" strokecolor="windowText">
                  <v:stroke joinstyle="round"/>
                </v:rect>
                <v:rect id="矩形 1045789593" o:spid="_x0000_s1142" style="position:absolute;left:46125;top:26985;width:2000;height:1143;rotation:-129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" filled="f" strokecolor="windowText">
                  <v:stroke joinstyle="round"/>
                </v:rect>
                <v:rect id="矩形 1173336600" o:spid="_x0000_s1143" style="position:absolute;left:41934;top:34510;width:2000;height:1143;rotation:-129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" filled="f" strokecolor="windowText">
                  <v:stroke joinstyle="round"/>
                </v:rect>
                <v:rect id="矩形 1874297226" o:spid="_x0000_s1144" style="position:absolute;left:30330;top:32986;width:2000;height:1143;rotation:-129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" filled="f" strokecolor="windowText">
                  <v:stroke joinstyle="round"/>
                </v:rect>
                <v:rect id="矩形 471370942" o:spid="_x0000_s1145" style="position:absolute;left:48506;top:31899;width:2000;height:1143;rotation:-129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" filled="f" strokecolor="#e00">
                  <v:stroke joinstyle="round"/>
                </v:rect>
                <v:rect id="矩形 984448628" o:spid="_x0000_s1146" style="position:absolute;left:35076;top:37053;width:2000;height:1143;rotation:-129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" filled="f" strokecolor="#e00">
                  <v:stroke joinstyle="round"/>
                </v:rect>
                <v:shapetype id="_x0000_t116" coordsize="21600,21600" o:spt="116" path="m3475,qx,10800,3475,21600l18125,21600qx21600,10800,18125,xe">
                  <v:stroke joinstyle="miter"/>
                  <v:path gradientshapeok="t" o:connecttype="rect" textboxrect="1018,3163,20582,18437"/>
                </v:shapetype>
                <v:shape id="流程图: 终止 1459093358" o:spid="_x0000_s1147" type="#_x0000_t116" style="position:absolute;left:52850;top:8658;width:4875;height:1743;rotation:-131208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" filled="f" strokecolor="windowText">
                  <v:stroke joinstyle="round"/>
                </v:shape>
                <v:shape id="流程图: 终止 631106561" o:spid="_x0000_s1148" type="#_x0000_t116" style="position:absolute;left:55264;top:14382;width:4870;height:1740;rotation:-131208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" filled="f" strokecolor="windowText">
                  <v:stroke joinstyle="round"/>
                </v:shape>
                <v:shape id="流程图: 终止 1701817453" o:spid="_x0000_s1149" type="#_x0000_t116" style="position:absolute;left:56121;top:16340;width:4871;height:1740;rotation:-131208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" filled="f" strokecolor="windowText">
                  <v:stroke joinstyle="round"/>
                </v:shape>
                <v:shape id="流程图: 终止 1797570813" o:spid="_x0000_s1150" type="#_x0000_t116" style="position:absolute;left:56883;top:18349;width:4871;height:1740;rotation:-131208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" filled="f" strokecolor="windowText">
                  <v:stroke joinstyle="round"/>
                </v:shape>
                <v:shape id="流程图: 终止 1449877565" o:spid="_x0000_s1151" type="#_x0000_t116" style="position:absolute;left:54610;top:12582;width:4177;height:1675;rotation:-131208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" filled="f" strokecolor="windowText">
                  <v:stroke joinstyle="round"/>
                </v:shape>
                <v:shape id="流程图: 终止 1328814894" o:spid="_x0000_s1152" type="#_x0000_t116" style="position:absolute;left:53889;top:10695;width:4172;height:1670;rotation:-131208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" filled="f" strokecolor="windowText">
                  <v:stroke joinstyle="round"/>
                </v:shape>
                <v:shape id="流程图: 过程 1031323132" o:spid="_x0000_s1153" type="#_x0000_t109" style="position:absolute;left:66805;top:1000;width:15049;height:5727;rotation:-35842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" filled="f" strokecolor="windowText">
                  <v:stroke joinstyle="round"/>
                </v:shape>
                <v:line id="直接连接符 1118401176" o:spid="_x0000_s1154" style="position:absolute;flip:y;visibility:visible;mso-wrap-style:square" from="57113,867" to="75533,2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" strokecolor="windowText" strokeweight=".5pt">
                  <v:stroke joinstyle="miter"/>
                </v:line>
                <v:line id="直接连接符 731658004" o:spid="_x0000_s1155" style="position:absolute;flip:y;visibility:visible;mso-wrap-style:square" from="60285,7431" to="67282,11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" strokecolor="windowText" strokeweight=".5pt">
                  <v:stroke joinstyle="miter"/>
                </v:line>
                <v:line id="直接连接符 841350622" o:spid="_x0000_s1156" style="position:absolute;flip:y;visibility:visible;mso-wrap-style:square" from="14287,1344" to="63590,5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" strokecolor="windowText" strokeweight="1.5pt">
                  <v:stroke dashstyle="longDashDotDot" joinstyle="miter"/>
                </v:line>
                <v:line id="直接连接符 1652669340" o:spid="_x0000_s1157" style="position:absolute;flip:x;visibility:visible;mso-wrap-style:square" from="14954,867" to="16097,52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" strokecolor="windowText" strokeweight="1.5pt">
                  <v:stroke dashstyle="longDashDotDot" joinstyle="miter"/>
                </v:line>
                <v:shape id="直接箭头连接符 1546750108" o:spid="_x0000_s1158" type="#_x0000_t32" style="position:absolute;left:4054;top:1440;width:0;height:419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" strokecolor="windowText" strokeweight=".5pt">
                  <v:stroke endarrow="block" joinstyle="miter"/>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箭头: 下 1487592531" o:spid="_x0000_s1159" type="#_x0000_t67" style="position:absolute;left:61531;top:31100;width:2461;height:3819;rotation:835208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" adj="14641" filled="f" strokecolor="windowText">
                  <v:stroke joinstyle="round"/>
                </v:shape>
                <v:shape id="箭头: 下 403943292" o:spid="_x0000_s1160" type="#_x0000_t67" style="position:absolute;left:22960;top:45172;width:2457;height:3816;rotation:57854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" adj="14646" filled="f" strokecolor="windowText">
                  <v:stroke joinstyle="round"/>
                </v:shape>
                <v:line id="直接连接符 1863825691" o:spid="_x0000_s1161" style="position:absolute;flip:y;visibility:visible;mso-wrap-style:square" from="56066,19625" to="63590,22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" strokecolor="windowText" strokeweight="2.25pt">
                  <v:stroke joinstyle="miter"/>
                </v:line>
                <v:rect id="矩形 364397342" o:spid="_x0000_s1162" style="position:absolute;left:18686;top:27909;width:3238;height:30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" filled="f" strokecolor="windowText">
                  <v:stroke joinstyle="round"/>
                </v:rect>
                <v:shape id="文本框 1249359593" o:spid="_x0000_s1163" type="#_x0000_t202" style="position:absolute;left:26575;top:11214;width:6243;height:27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" filled="f" stroked="f">
                  <v:textbox>
                    <w:txbxContent>
                      <w:p w14:paraId="46FDCE9C" w14:textId="77777777" w:rsidR="00EF4562" w:rsidRDefault="00000000">
                        <w:pPr>
                          <w:spacing w:line="240" w:lineRule="auto"/>
                          <w:ind w:firstLineChars="0" w:firstLine="0"/>
                          <w:rPr>
                            <w:sz w:val="21"/>
                            <w:szCs w:val="21"/>
                          </w:rPr>
                        </w:pPr>
                        <w:r>
                          <w:rPr>
                            <w:rFonts w:hint="eastAsia"/>
                            <w:sz w:val="21"/>
                            <w:szCs w:val="21"/>
                          </w:rPr>
                          <w:t>站房</w:t>
                        </w:r>
                        <w:r>
                          <w:rPr>
                            <w:rFonts w:hint="eastAsia"/>
                            <w:sz w:val="21"/>
                            <w:szCs w:val="21"/>
                          </w:rPr>
                          <w:t>2</w:t>
                        </w:r>
                      </w:p>
                    </w:txbxContent>
                  </v:textbox>
                </v:shape>
                <v:line id="直接连接符 777629749" o:spid="_x0000_s1164" style="position:absolute;visibility:visible;mso-wrap-style:square" from="20319,10478" to="20858,15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" strokecolor="windowText" strokeweight=".5pt">
                  <v:stroke joinstyle="miter"/>
                </v:line>
                <v:shape id="文本框 1" o:spid="_x0000_s1165" type="#_x0000_t202" style="position:absolute;left:57211;top:2810;width:12329;height:4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" filled="f" stroked="f">
                  <v:textbox>
                    <w:txbxContent>
                      <w:p w14:paraId="272B6FCF" w14:textId="77777777" w:rsidR="00EF4562" w:rsidRDefault="00000000">
                        <w:pPr>
                          <w:spacing w:line="240" w:lineRule="auto"/>
                          <w:ind w:firstLineChars="0" w:firstLine="0"/>
                          <w:rPr>
                            <w:sz w:val="21"/>
                            <w:szCs w:val="21"/>
                          </w:rPr>
                        </w:pPr>
                        <w:r>
                          <w:rPr>
                            <w:rFonts w:hint="eastAsia"/>
                            <w:sz w:val="21"/>
                            <w:szCs w:val="21"/>
                          </w:rPr>
                          <w:t>锦州吉尔运输有限公司废弃车棚</w:t>
                        </w:r>
                      </w:p>
                    </w:txbxContent>
                  </v:textbox>
                </v:shape>
                <v:shape id="文本框 1" o:spid="_x0000_s1166" type="#_x0000_t202" style="position:absolute;left:2381;top:41048;width:7620;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" filled="f" stroked="f">
                  <v:textbox>
                    <w:txbxContent>
                      <w:p w14:paraId="1CBE827E" w14:textId="77777777" w:rsidR="00EF4562" w:rsidRDefault="00000000">
                        <w:pPr>
                          <w:spacing w:line="240" w:lineRule="auto"/>
                          <w:ind w:firstLineChars="0" w:firstLine="0"/>
                          <w:rPr>
                            <w:sz w:val="21"/>
                            <w:szCs w:val="21"/>
                          </w:rPr>
                        </w:pPr>
                        <w:r>
                          <w:rPr>
                            <w:rFonts w:hint="eastAsia"/>
                            <w:sz w:val="21"/>
                            <w:szCs w:val="21"/>
                          </w:rPr>
                          <w:t>民用建筑</w:t>
                        </w:r>
                      </w:p>
                    </w:txbxContent>
                  </v:textbox>
                </v:shape>
                <v:shape id="文本框 1" o:spid="_x0000_s1167" type="#_x0000_t202" style="position:absolute;left:1895;top:28079;width:5248;height:2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" filled="f" stroked="f">
                  <v:textbox>
                    <w:txbxContent>
                      <w:p w14:paraId="5E52185B" w14:textId="77777777" w:rsidR="00EF4562" w:rsidRDefault="00000000">
                        <w:pPr>
                          <w:spacing w:line="240" w:lineRule="auto"/>
                          <w:ind w:firstLineChars="0" w:firstLine="0"/>
                          <w:rPr>
                            <w:sz w:val="21"/>
                            <w:szCs w:val="21"/>
                          </w:rPr>
                        </w:pPr>
                        <w:r>
                          <w:rPr>
                            <w:rFonts w:hint="eastAsia"/>
                            <w:sz w:val="21"/>
                            <w:szCs w:val="21"/>
                          </w:rPr>
                          <w:t>温室</w:t>
                        </w:r>
                      </w:p>
                    </w:txbxContent>
                  </v:textbox>
                </v:shape>
                <v:shape id="文本框 1" o:spid="_x0000_s1168" type="#_x0000_t202" style="position:absolute;left:31234;top:22120;width:9102;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" filled="f" stroked="f">
                  <v:textbox>
                    <w:txbxContent>
                      <w:p w14:paraId="76F56F9C" w14:textId="77777777" w:rsidR="00EF4562" w:rsidRDefault="00000000">
                        <w:pPr>
                          <w:spacing w:line="240" w:lineRule="auto"/>
                          <w:ind w:firstLineChars="0" w:firstLine="0"/>
                          <w:rPr>
                            <w:sz w:val="21"/>
                            <w:szCs w:val="21"/>
                          </w:rPr>
                        </w:pPr>
                        <w:r>
                          <w:rPr>
                            <w:rFonts w:hint="eastAsia"/>
                            <w:sz w:val="21"/>
                            <w:szCs w:val="21"/>
                          </w:rPr>
                          <w:t>站房</w:t>
                        </w:r>
                        <w:r>
                          <w:rPr>
                            <w:rFonts w:hint="eastAsia"/>
                            <w:sz w:val="21"/>
                            <w:szCs w:val="21"/>
                          </w:rPr>
                          <w:t>1</w:t>
                        </w:r>
                        <w:r>
                          <w:rPr>
                            <w:rFonts w:hint="eastAsia"/>
                            <w:sz w:val="21"/>
                            <w:szCs w:val="21"/>
                          </w:rPr>
                          <w:t>（</w:t>
                        </w:r>
                        <w:r>
                          <w:rPr>
                            <w:rFonts w:hint="eastAsia"/>
                            <w:sz w:val="21"/>
                            <w:szCs w:val="21"/>
                          </w:rPr>
                          <w:t>2F</w:t>
                        </w:r>
                        <w:r>
                          <w:rPr>
                            <w:rFonts w:hint="eastAsia"/>
                            <w:sz w:val="21"/>
                            <w:szCs w:val="21"/>
                          </w:rPr>
                          <w:t>）</w:t>
                        </w:r>
                      </w:p>
                    </w:txbxContent>
                  </v:textbox>
                </v:shape>
                <v:shape id="文本框 1" o:spid="_x0000_s1169" type="#_x0000_t202" style="position:absolute;left:15264;top:12697;width:5916;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" filled="f" stroked="f">
                  <v:textbox>
                    <w:txbxContent>
                      <w:p w14:paraId="44C8B2AD" w14:textId="77777777" w:rsidR="00EF4562" w:rsidRDefault="00000000">
                        <w:pPr>
                          <w:spacing w:line="240" w:lineRule="auto"/>
                          <w:ind w:firstLineChars="0" w:firstLine="0"/>
                          <w:rPr>
                            <w:sz w:val="21"/>
                            <w:szCs w:val="21"/>
                          </w:rPr>
                        </w:pPr>
                        <w:r>
                          <w:rPr>
                            <w:rFonts w:hint="eastAsia"/>
                            <w:sz w:val="21"/>
                            <w:szCs w:val="21"/>
                          </w:rPr>
                          <w:t>配电室</w:t>
                        </w:r>
                      </w:p>
                    </w:txbxContent>
                  </v:textbox>
                </v:shape>
                <v:shape id="文本框 1" o:spid="_x0000_s1170" type="#_x0000_t202" style="position:absolute;left:70053;top:867;width:12326;height:4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" filled="f" stroked="f">
                  <v:textbox>
                    <w:txbxContent>
                      <w:p w14:paraId="3479834B" w14:textId="77777777" w:rsidR="00EF4562" w:rsidRDefault="00000000">
                        <w:pPr>
                          <w:spacing w:line="240" w:lineRule="auto"/>
                          <w:ind w:firstLineChars="0" w:firstLine="0"/>
                          <w:rPr>
                            <w:sz w:val="21"/>
                            <w:szCs w:val="21"/>
                          </w:rPr>
                        </w:pPr>
                        <w:r>
                          <w:rPr>
                            <w:rFonts w:hint="eastAsia"/>
                            <w:sz w:val="21"/>
                            <w:szCs w:val="21"/>
                          </w:rPr>
                          <w:t>锦州吉尔运输有限公司办公楼</w:t>
                        </w:r>
                      </w:p>
                    </w:txbxContent>
                  </v:textbox>
                </v:shape>
                <v:shape id="文本框 1" o:spid="_x0000_s1171" type="#_x0000_t202" style="position:absolute;left:21353;top:20233;width:7829;height:4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" filled="f" stroked="f">
                  <v:textbox>
                    <w:txbxContent>
                      <w:p w14:paraId="28CFDC67" w14:textId="77777777" w:rsidR="00EF4562" w:rsidRDefault="00000000">
                        <w:pPr>
                          <w:spacing w:line="240" w:lineRule="auto"/>
                          <w:ind w:firstLineChars="0" w:firstLine="0"/>
                          <w:rPr>
                            <w:sz w:val="21"/>
                            <w:szCs w:val="21"/>
                          </w:rPr>
                        </w:pPr>
                        <w:r>
                          <w:rPr>
                            <w:rFonts w:hint="eastAsia"/>
                            <w:sz w:val="21"/>
                            <w:szCs w:val="21"/>
                          </w:rPr>
                          <w:t>增压</w:t>
                        </w:r>
                        <w:r>
                          <w:rPr>
                            <w:rFonts w:hint="eastAsia"/>
                            <w:sz w:val="21"/>
                            <w:szCs w:val="21"/>
                          </w:rPr>
                          <w:t>EAG</w:t>
                        </w:r>
                        <w:r>
                          <w:rPr>
                            <w:rFonts w:hint="eastAsia"/>
                            <w:sz w:val="21"/>
                            <w:szCs w:val="21"/>
                          </w:rPr>
                          <w:t>气化器</w:t>
                        </w:r>
                      </w:p>
                    </w:txbxContent>
                  </v:textbox>
                </v:shape>
                <v:shape id="文本框 1" o:spid="_x0000_s1172" type="#_x0000_t202" style="position:absolute;left:55681;top:17601;width:7870;height:2941;rotation:-147461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" filled="f" stroked="f">
                  <v:textbox>
                    <w:txbxContent>
                      <w:p w14:paraId="4AD32228" w14:textId="77777777" w:rsidR="00EF4562" w:rsidRDefault="00000000">
                        <w:pPr>
                          <w:spacing w:line="240" w:lineRule="auto"/>
                          <w:ind w:firstLineChars="0" w:firstLine="0"/>
                          <w:rPr>
                            <w:sz w:val="21"/>
                            <w:szCs w:val="21"/>
                          </w:rPr>
                        </w:pPr>
                        <w:r>
                          <w:rPr>
                            <w:rFonts w:hint="eastAsia"/>
                            <w:sz w:val="21"/>
                            <w:szCs w:val="21"/>
                          </w:rPr>
                          <w:t>柴油储罐</w:t>
                        </w:r>
                      </w:p>
                    </w:txbxContent>
                  </v:textbox>
                </v:shape>
                <v:shape id="文本框 1" o:spid="_x0000_s1173" type="#_x0000_t202" style="position:absolute;left:46427;top:40742;width:11793;height:2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" filled="f" stroked="f">
                  <v:textbox>
                    <w:txbxContent>
                      <w:p w14:paraId="3E0AF3D8" w14:textId="77777777" w:rsidR="00EF4562" w:rsidRDefault="00000000">
                        <w:pPr>
                          <w:spacing w:line="240" w:lineRule="auto"/>
                          <w:ind w:firstLineChars="0" w:firstLine="0"/>
                          <w:rPr>
                            <w:sz w:val="21"/>
                            <w:szCs w:val="21"/>
                          </w:rPr>
                        </w:pPr>
                        <w:r>
                          <w:rPr>
                            <w:rFonts w:hint="eastAsia"/>
                            <w:sz w:val="21"/>
                            <w:szCs w:val="21"/>
                          </w:rPr>
                          <w:t>锦大线</w:t>
                        </w:r>
                      </w:p>
                    </w:txbxContent>
                  </v:textbox>
                </v:shape>
                <v:shape id="文本框 1" o:spid="_x0000_s1174" type="#_x0000_t202" style="position:absolute;left:64184;top:31342;width:5356;height:2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" filled="f" stroked="f">
                  <v:textbox>
                    <w:txbxContent>
                      <w:p w14:paraId="48B3786F" w14:textId="77777777" w:rsidR="00EF4562" w:rsidRDefault="00000000">
                        <w:pPr>
                          <w:spacing w:line="240" w:lineRule="auto"/>
                          <w:ind w:firstLineChars="0" w:firstLine="0"/>
                          <w:rPr>
                            <w:sz w:val="21"/>
                            <w:szCs w:val="21"/>
                          </w:rPr>
                        </w:pPr>
                        <w:r>
                          <w:rPr>
                            <w:rFonts w:hint="eastAsia"/>
                            <w:sz w:val="21"/>
                            <w:szCs w:val="21"/>
                          </w:rPr>
                          <w:t>入口</w:t>
                        </w:r>
                      </w:p>
                    </w:txbxContent>
                  </v:textbox>
                </v:shape>
                <v:shape id="文本框 1" o:spid="_x0000_s1175" type="#_x0000_t202" style="position:absolute;left:25272;top:44481;width:5323;height:2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" filled="f" stroked="f">
                  <v:textbox>
                    <w:txbxContent>
                      <w:p w14:paraId="70C3CBA9" w14:textId="77777777" w:rsidR="00EF4562" w:rsidRDefault="00000000">
                        <w:pPr>
                          <w:spacing w:line="240" w:lineRule="auto"/>
                          <w:ind w:firstLineChars="0" w:firstLine="0"/>
                          <w:rPr>
                            <w:sz w:val="21"/>
                            <w:szCs w:val="21"/>
                          </w:rPr>
                        </w:pPr>
                        <w:r>
                          <w:rPr>
                            <w:rFonts w:hint="eastAsia"/>
                            <w:sz w:val="21"/>
                            <w:szCs w:val="21"/>
                          </w:rPr>
                          <w:t>出口</w:t>
                        </w:r>
                      </w:p>
                    </w:txbxContent>
                  </v:textbox>
                </v:shape>
                <v:line id="直接连接符 130591547" o:spid="_x0000_s1176" style="position:absolute;flip:y;visibility:visible;mso-wrap-style:square" from="34194,36298" to="58948,46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" strokecolor="windowText" strokeweight=".5pt">
                  <v:stroke joinstyle="miter"/>
                </v:line>
                <v:line id="直接连接符 748095235" o:spid="_x0000_s1177" style="position:absolute;flip:y;visibility:visible;mso-wrap-style:square" from="58948,34126" to="80676,3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" strokecolor="windowText" strokeweight=".5pt">
                  <v:stroke joinstyle="miter"/>
                </v:line>
                <v:line id="直接连接符 881088928" o:spid="_x0000_s1178" style="position:absolute;flip:y;visibility:visible;mso-wrap-style:square" from="35909,37995" to="58948,47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" strokecolor="windowText">
                  <v:stroke dashstyle="dash"/>
                </v:line>
                <v:line id="直接连接符 260524877" o:spid="_x0000_s1179" style="position:absolute;flip:y;visibility:visible;mso-wrap-style:square" from="58948,35953" to="80676,37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" strokecolor="windowText">
                  <v:stroke dashstyle="dash"/>
                </v:line>
                <v:line id="直接连接符 138617513" o:spid="_x0000_s1180" style="position:absolute;flip:y;visibility:visible;mso-wrap-style:square" from="37100,39719" to="59721,48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" strokecolor="windowText" strokeweight=".5pt">
                  <v:stroke joinstyle="miter"/>
                </v:line>
                <v:line id="直接连接符 56329500" o:spid="_x0000_s1181" style="position:absolute;flip:y;visibility:visible;mso-wrap-style:square" from="59721,37433" to="80676,39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" strokecolor="windowText" strokeweight=".5pt">
                  <v:stroke joinstyle="miter"/>
                </v:line>
                <v:shape id="文本框 1" o:spid="_x0000_s1182" type="#_x0000_t202" style="position:absolute;left:57629;top:11408;width:5799;height:2782;rotation:457024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" filled="f" stroked="f">
                  <v:textbox>
                    <w:txbxContent>
                      <w:p w14:paraId="336E6FBE" w14:textId="77777777" w:rsidR="00EF4562" w:rsidRDefault="00000000">
                        <w:pPr>
                          <w:ind w:firstLine="197"/>
                          <w:rPr>
                            <w:b/>
                            <w:bCs/>
                            <w:spacing w:val="-20"/>
                            <w:w w:val="66"/>
                            <w:sz w:val="21"/>
                            <w:szCs w:val="21"/>
                          </w:rPr>
                        </w:pPr>
                        <w:r>
                          <w:rPr>
                            <w:rFonts w:hint="eastAsia"/>
                            <w:b/>
                            <w:bCs/>
                            <w:spacing w:val="-20"/>
                            <w:w w:val="66"/>
                            <w:sz w:val="21"/>
                            <w:szCs w:val="21"/>
                          </w:rPr>
                          <w:t>。。。。。。</w:t>
                        </w:r>
                      </w:p>
                    </w:txbxContent>
                  </v:textbox>
                </v:shape>
                <v:shape id="文本框 1" o:spid="_x0000_s1183" type="#_x0000_t202" style="position:absolute;left:46628;top:26330;width:9261;height:2743;rotation:-138122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" filled="f" stroked="f">
                  <v:textbox>
                    <w:txbxContent>
                      <w:p w14:paraId="53CE9A6F" w14:textId="77777777" w:rsidR="00EF4562" w:rsidRDefault="00000000">
                        <w:pPr>
                          <w:spacing w:line="240" w:lineRule="auto"/>
                          <w:ind w:firstLineChars="0" w:firstLine="0"/>
                          <w:rPr>
                            <w:sz w:val="21"/>
                            <w:szCs w:val="21"/>
                          </w:rPr>
                        </w:pPr>
                        <w:r>
                          <w:rPr>
                            <w:rFonts w:hint="eastAsia"/>
                            <w:sz w:val="21"/>
                            <w:szCs w:val="21"/>
                          </w:rPr>
                          <w:t>LNG</w:t>
                        </w:r>
                        <w:r>
                          <w:rPr>
                            <w:rFonts w:hint="eastAsia"/>
                            <w:sz w:val="21"/>
                            <w:szCs w:val="21"/>
                          </w:rPr>
                          <w:t>加气机</w:t>
                        </w:r>
                      </w:p>
                    </w:txbxContent>
                  </v:textbox>
                </v:shape>
                <v:shape id="文本框 1" o:spid="_x0000_s1184" type="#_x0000_t202" style="position:absolute;left:52865;top:9662;width:7670;height:4813;rotation:-147461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" filled="f" stroked="f">
                  <v:textbox>
                    <w:txbxContent>
                      <w:p w14:paraId="10F768FA" w14:textId="77777777" w:rsidR="00EF4562" w:rsidRDefault="00000000">
                        <w:pPr>
                          <w:spacing w:line="240" w:lineRule="auto"/>
                          <w:ind w:firstLineChars="0" w:firstLine="0"/>
                          <w:rPr>
                            <w:sz w:val="21"/>
                            <w:szCs w:val="21"/>
                          </w:rPr>
                        </w:pPr>
                        <w:r>
                          <w:rPr>
                            <w:rFonts w:hint="eastAsia"/>
                            <w:sz w:val="21"/>
                            <w:szCs w:val="21"/>
                          </w:rPr>
                          <w:t>车用乙醇</w:t>
                        </w:r>
                      </w:p>
                      <w:p w14:paraId="7E82E76E" w14:textId="77777777" w:rsidR="00EF4562" w:rsidRDefault="00000000">
                        <w:pPr>
                          <w:spacing w:line="240" w:lineRule="auto"/>
                          <w:ind w:firstLineChars="0" w:firstLine="0"/>
                          <w:rPr>
                            <w:sz w:val="21"/>
                            <w:szCs w:val="21"/>
                          </w:rPr>
                        </w:pPr>
                        <w:r>
                          <w:rPr>
                            <w:rFonts w:hint="eastAsia"/>
                            <w:sz w:val="21"/>
                            <w:szCs w:val="21"/>
                          </w:rPr>
                          <w:t>汽油储罐</w:t>
                        </w:r>
                      </w:p>
                    </w:txbxContent>
                  </v:textbox>
                </v:shape>
                <v:shape id="文本框 1" o:spid="_x0000_s1185" type="#_x0000_t202" style="position:absolute;left:51312;top:7762;width:8050;height:2940;rotation:-147461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" filled="f" stroked="f">
                  <v:textbox>
                    <w:txbxContent>
                      <w:p w14:paraId="2458EC7A" w14:textId="77777777" w:rsidR="00EF4562" w:rsidRDefault="00000000">
                        <w:pPr>
                          <w:spacing w:line="240" w:lineRule="auto"/>
                          <w:ind w:firstLineChars="0" w:firstLine="0"/>
                          <w:rPr>
                            <w:sz w:val="21"/>
                            <w:szCs w:val="21"/>
                          </w:rPr>
                        </w:pPr>
                        <w:r>
                          <w:rPr>
                            <w:rFonts w:hint="eastAsia"/>
                            <w:sz w:val="21"/>
                            <w:szCs w:val="21"/>
                          </w:rPr>
                          <w:t>柴油储罐</w:t>
                        </w:r>
                      </w:p>
                    </w:txbxContent>
                  </v:textbox>
                </v:shape>
                <v:shape id="文本框 1" o:spid="_x0000_s1186" type="#_x0000_t202" style="position:absolute;left:53824;top:13556;width:7617;height:2940;rotation:-147461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" filled="f" stroked="f">
                  <v:textbox>
                    <w:txbxContent>
                      <w:p w14:paraId="55680000" w14:textId="77777777" w:rsidR="00EF4562" w:rsidRDefault="00000000">
                        <w:pPr>
                          <w:spacing w:line="240" w:lineRule="auto"/>
                          <w:ind w:firstLineChars="0" w:firstLine="0"/>
                          <w:rPr>
                            <w:sz w:val="21"/>
                            <w:szCs w:val="21"/>
                          </w:rPr>
                        </w:pPr>
                        <w:r>
                          <w:rPr>
                            <w:rFonts w:hint="eastAsia"/>
                            <w:sz w:val="21"/>
                            <w:szCs w:val="21"/>
                          </w:rPr>
                          <w:t>柴油储罐</w:t>
                        </w:r>
                      </w:p>
                    </w:txbxContent>
                  </v:textbox>
                </v:shape>
                <v:shape id="文本框 1" o:spid="_x0000_s1187" type="#_x0000_t202" style="position:absolute;left:54838;top:16015;width:7751;height:2844;rotation:-1474615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" filled="f" stroked="f">
                  <v:textbox>
                    <w:txbxContent>
                      <w:p w14:paraId="3022D9D9" w14:textId="77777777" w:rsidR="00EF4562" w:rsidRDefault="00000000">
                        <w:pPr>
                          <w:spacing w:line="240" w:lineRule="auto"/>
                          <w:ind w:firstLineChars="0" w:firstLine="0"/>
                          <w:rPr>
                            <w:sz w:val="21"/>
                            <w:szCs w:val="21"/>
                          </w:rPr>
                        </w:pPr>
                        <w:r>
                          <w:rPr>
                            <w:rFonts w:hint="eastAsia"/>
                            <w:sz w:val="21"/>
                            <w:szCs w:val="21"/>
                          </w:rPr>
                          <w:t>柴油储罐</w:t>
                        </w:r>
                      </w:p>
                    </w:txbxContent>
                  </v:textbox>
                </v:shape>
                <v:shape id="文本框 1" o:spid="_x0000_s1188" type="#_x0000_t202" style="position:absolute;left:24811;top:34393;width:8785;height:2476;rotation:-129334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" filled="f" stroked="f">
                  <v:textbox>
                    <w:txbxContent>
                      <w:p w14:paraId="208F1D08" w14:textId="77777777" w:rsidR="00EF4562" w:rsidRDefault="00000000">
                        <w:pPr>
                          <w:spacing w:line="240" w:lineRule="auto"/>
                          <w:ind w:firstLineChars="0" w:firstLine="0"/>
                          <w:rPr>
                            <w:sz w:val="21"/>
                            <w:szCs w:val="21"/>
                          </w:rPr>
                        </w:pPr>
                        <w:r>
                          <w:rPr>
                            <w:sz w:val="21"/>
                            <w:szCs w:val="21"/>
                          </w:rPr>
                          <w:t>LNG</w:t>
                        </w:r>
                        <w:r>
                          <w:rPr>
                            <w:rFonts w:hint="eastAsia"/>
                            <w:sz w:val="21"/>
                            <w:szCs w:val="21"/>
                          </w:rPr>
                          <w:t>加气机</w:t>
                        </w:r>
                      </w:p>
                    </w:txbxContent>
                  </v:textbox>
                </v:shape>
                <v:shape id="文本框 1" o:spid="_x0000_s1189" type="#_x0000_t202" style="position:absolute;left:32338;top:37364;width:8899;height:3977;rotation:-143287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" filled="f" stroked="f">
                  <v:textbox>
                    <w:txbxContent>
                      <w:p w14:paraId="5FB03F1E" w14:textId="77777777" w:rsidR="00EF4562" w:rsidRDefault="00000000">
                        <w:pPr>
                          <w:spacing w:line="240" w:lineRule="auto"/>
                          <w:ind w:firstLineChars="0" w:firstLine="0"/>
                          <w:jc w:val="center"/>
                          <w:rPr>
                            <w:sz w:val="21"/>
                            <w:szCs w:val="21"/>
                          </w:rPr>
                        </w:pPr>
                        <w:r>
                          <w:rPr>
                            <w:rFonts w:hint="eastAsia"/>
                            <w:sz w:val="21"/>
                            <w:szCs w:val="21"/>
                          </w:rPr>
                          <w:t>柴油加油机</w:t>
                        </w:r>
                      </w:p>
                      <w:p w14:paraId="07725BE3" w14:textId="77777777" w:rsidR="00EF4562" w:rsidRDefault="00000000">
                        <w:pPr>
                          <w:spacing w:line="240" w:lineRule="auto"/>
                          <w:ind w:firstLineChars="0" w:firstLine="0"/>
                          <w:jc w:val="center"/>
                          <w:rPr>
                            <w:sz w:val="21"/>
                            <w:szCs w:val="21"/>
                          </w:rPr>
                        </w:pPr>
                        <w:r>
                          <w:rPr>
                            <w:rFonts w:hint="eastAsia"/>
                            <w:sz w:val="21"/>
                            <w:szCs w:val="21"/>
                          </w:rPr>
                          <w:t>J103</w:t>
                        </w:r>
                      </w:p>
                    </w:txbxContent>
                  </v:textbox>
                </v:shape>
                <v:shape id="文本框 1" o:spid="_x0000_s1190" type="#_x0000_t202" style="position:absolute;left:14866;top:19595;width:7725;height:5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" filled="f" stroked="f">
                  <v:textbox>
                    <w:txbxContent>
                      <w:p w14:paraId="13A2705E" w14:textId="77777777" w:rsidR="00EF4562" w:rsidRDefault="00000000">
                        <w:pPr>
                          <w:spacing w:line="240" w:lineRule="auto"/>
                          <w:ind w:firstLineChars="0" w:firstLine="0"/>
                          <w:rPr>
                            <w:sz w:val="21"/>
                            <w:szCs w:val="21"/>
                          </w:rPr>
                        </w:pPr>
                        <w:r>
                          <w:rPr>
                            <w:rFonts w:hint="eastAsia"/>
                            <w:sz w:val="21"/>
                            <w:szCs w:val="21"/>
                          </w:rPr>
                          <w:t>空浴式卸车增压器</w:t>
                        </w:r>
                      </w:p>
                    </w:txbxContent>
                  </v:textbox>
                </v:shape>
                <v:shape id="文本框 1" o:spid="_x0000_s1191" type="#_x0000_t202" style="position:absolute;left:37157;top:27737;width:8736;height:6204;rotation:-130272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" filled="f" stroked="f">
                  <v:textbox>
                    <w:txbxContent>
                      <w:p w14:paraId="5449084C" w14:textId="77777777" w:rsidR="00EF4562" w:rsidRDefault="00000000">
                        <w:pPr>
                          <w:spacing w:line="240" w:lineRule="auto"/>
                          <w:ind w:firstLineChars="0" w:firstLine="0"/>
                          <w:jc w:val="center"/>
                          <w:rPr>
                            <w:sz w:val="21"/>
                            <w:szCs w:val="21"/>
                          </w:rPr>
                        </w:pPr>
                        <w:r>
                          <w:rPr>
                            <w:rFonts w:hint="eastAsia"/>
                            <w:sz w:val="21"/>
                            <w:szCs w:val="21"/>
                          </w:rPr>
                          <w:t>车用乙醇</w:t>
                        </w:r>
                      </w:p>
                      <w:p w14:paraId="10D02DD8" w14:textId="77777777" w:rsidR="00EF4562" w:rsidRDefault="00000000">
                        <w:pPr>
                          <w:spacing w:line="240" w:lineRule="auto"/>
                          <w:ind w:firstLineChars="0" w:firstLine="0"/>
                          <w:jc w:val="center"/>
                          <w:rPr>
                            <w:sz w:val="21"/>
                            <w:szCs w:val="21"/>
                          </w:rPr>
                        </w:pPr>
                        <w:r>
                          <w:rPr>
                            <w:rFonts w:hint="eastAsia"/>
                            <w:sz w:val="21"/>
                            <w:szCs w:val="21"/>
                          </w:rPr>
                          <w:t>汽油加油机</w:t>
                        </w:r>
                      </w:p>
                      <w:p w14:paraId="1D7B6FF8" w14:textId="77777777" w:rsidR="00EF4562" w:rsidRDefault="00000000">
                        <w:pPr>
                          <w:spacing w:line="240" w:lineRule="auto"/>
                          <w:ind w:firstLineChars="0" w:firstLine="0"/>
                          <w:jc w:val="center"/>
                          <w:rPr>
                            <w:sz w:val="21"/>
                            <w:szCs w:val="21"/>
                          </w:rPr>
                        </w:pPr>
                        <w:r>
                          <w:rPr>
                            <w:rFonts w:hint="eastAsia"/>
                            <w:sz w:val="21"/>
                            <w:szCs w:val="21"/>
                          </w:rPr>
                          <w:t>J105</w:t>
                        </w:r>
                      </w:p>
                    </w:txbxContent>
                  </v:textbox>
                </v:shape>
                <v:shape id="文本框 1" o:spid="_x0000_s1192" type="#_x0000_t202" style="position:absolute;left:29321;top:28103;width:8518;height:4017;rotation:-143287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" filled="f" stroked="f">
                  <v:textbox>
                    <w:txbxContent>
                      <w:p w14:paraId="7AABE58E" w14:textId="77777777" w:rsidR="00EF4562" w:rsidRDefault="00000000">
                        <w:pPr>
                          <w:spacing w:line="240" w:lineRule="auto"/>
                          <w:ind w:firstLineChars="0" w:firstLine="0"/>
                          <w:jc w:val="center"/>
                          <w:rPr>
                            <w:sz w:val="21"/>
                            <w:szCs w:val="21"/>
                          </w:rPr>
                        </w:pPr>
                        <w:r>
                          <w:rPr>
                            <w:rFonts w:hint="eastAsia"/>
                            <w:sz w:val="21"/>
                            <w:szCs w:val="21"/>
                          </w:rPr>
                          <w:t>柴油加油机</w:t>
                        </w:r>
                      </w:p>
                      <w:p w14:paraId="2F925FEA" w14:textId="77777777" w:rsidR="00EF4562" w:rsidRDefault="00000000">
                        <w:pPr>
                          <w:spacing w:line="240" w:lineRule="auto"/>
                          <w:ind w:firstLineChars="0" w:firstLine="0"/>
                          <w:jc w:val="center"/>
                          <w:rPr>
                            <w:sz w:val="21"/>
                            <w:szCs w:val="21"/>
                          </w:rPr>
                        </w:pPr>
                        <w:r>
                          <w:rPr>
                            <w:rFonts w:hint="eastAsia"/>
                            <w:sz w:val="21"/>
                            <w:szCs w:val="21"/>
                          </w:rPr>
                          <w:t>J104</w:t>
                        </w:r>
                      </w:p>
                    </w:txbxContent>
                  </v:textbox>
                </v:shape>
                <v:shape id="文本框 1" o:spid="_x0000_s1193" type="#_x0000_t202" style="position:absolute;left:39394;top:34863;width:9005;height:4499;rotation:-143287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" filled="f" stroked="f">
                  <v:textbox>
                    <w:txbxContent>
                      <w:p w14:paraId="606A11A5" w14:textId="77777777" w:rsidR="00EF4562" w:rsidRDefault="00000000">
                        <w:pPr>
                          <w:spacing w:line="240" w:lineRule="auto"/>
                          <w:ind w:firstLineChars="0" w:firstLine="0"/>
                          <w:jc w:val="center"/>
                          <w:rPr>
                            <w:sz w:val="21"/>
                            <w:szCs w:val="21"/>
                          </w:rPr>
                        </w:pPr>
                        <w:r>
                          <w:rPr>
                            <w:rFonts w:hint="eastAsia"/>
                            <w:sz w:val="21"/>
                            <w:szCs w:val="21"/>
                          </w:rPr>
                          <w:t>柴油加油机</w:t>
                        </w:r>
                      </w:p>
                      <w:p w14:paraId="6033CE1E" w14:textId="77777777" w:rsidR="00EF4562" w:rsidRDefault="00000000">
                        <w:pPr>
                          <w:spacing w:line="240" w:lineRule="auto"/>
                          <w:ind w:firstLineChars="0" w:firstLine="0"/>
                          <w:jc w:val="center"/>
                          <w:rPr>
                            <w:sz w:val="21"/>
                            <w:szCs w:val="21"/>
                          </w:rPr>
                        </w:pPr>
                        <w:r>
                          <w:rPr>
                            <w:rFonts w:hint="eastAsia"/>
                            <w:sz w:val="21"/>
                            <w:szCs w:val="21"/>
                          </w:rPr>
                          <w:t>J102</w:t>
                        </w:r>
                      </w:p>
                    </w:txbxContent>
                  </v:textbox>
                </v:shape>
                <v:shape id="文本框 1" o:spid="_x0000_s1194" type="#_x0000_t202" style="position:absolute;left:41698;top:21520;width:8677;height:6038;rotation:-129055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" filled="f" stroked="f">
                  <v:textbox>
                    <w:txbxContent>
                      <w:p w14:paraId="7DF83271" w14:textId="77777777" w:rsidR="00EF4562" w:rsidRDefault="00000000">
                        <w:pPr>
                          <w:spacing w:line="240" w:lineRule="auto"/>
                          <w:ind w:firstLineChars="0" w:firstLine="0"/>
                          <w:jc w:val="center"/>
                          <w:rPr>
                            <w:sz w:val="21"/>
                            <w:szCs w:val="21"/>
                          </w:rPr>
                        </w:pPr>
                        <w:r>
                          <w:rPr>
                            <w:rFonts w:hint="eastAsia"/>
                            <w:sz w:val="21"/>
                            <w:szCs w:val="21"/>
                          </w:rPr>
                          <w:t>车用乙醇</w:t>
                        </w:r>
                      </w:p>
                      <w:p w14:paraId="35B4039A" w14:textId="77777777" w:rsidR="00EF4562" w:rsidRDefault="00000000">
                        <w:pPr>
                          <w:spacing w:line="240" w:lineRule="auto"/>
                          <w:ind w:firstLineChars="0" w:firstLine="0"/>
                          <w:jc w:val="center"/>
                          <w:rPr>
                            <w:sz w:val="21"/>
                            <w:szCs w:val="21"/>
                          </w:rPr>
                        </w:pPr>
                        <w:r>
                          <w:rPr>
                            <w:rFonts w:hint="eastAsia"/>
                            <w:sz w:val="21"/>
                            <w:szCs w:val="21"/>
                          </w:rPr>
                          <w:t>汽油加油机</w:t>
                        </w:r>
                      </w:p>
                      <w:p w14:paraId="55FAE9CF" w14:textId="77777777" w:rsidR="00EF4562" w:rsidRDefault="00000000">
                        <w:pPr>
                          <w:spacing w:line="240" w:lineRule="auto"/>
                          <w:ind w:firstLineChars="0" w:firstLine="0"/>
                          <w:jc w:val="center"/>
                          <w:rPr>
                            <w:sz w:val="21"/>
                            <w:szCs w:val="21"/>
                          </w:rPr>
                        </w:pPr>
                        <w:r>
                          <w:rPr>
                            <w:rFonts w:hint="eastAsia"/>
                            <w:sz w:val="21"/>
                            <w:szCs w:val="21"/>
                          </w:rPr>
                          <w:t>J106</w:t>
                        </w:r>
                      </w:p>
                    </w:txbxContent>
                  </v:textbox>
                </v:shape>
                <v:shape id="文本框 1" o:spid="_x0000_s1195" type="#_x0000_t202" style="position:absolute;left:47544;top:31732;width:9978;height:5781;rotation:-123363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" filled="f" stroked="f">
                  <v:textbox>
                    <w:txbxContent>
                      <w:p w14:paraId="1665CB0E" w14:textId="77777777" w:rsidR="00EF4562" w:rsidRDefault="00000000">
                        <w:pPr>
                          <w:spacing w:line="240" w:lineRule="auto"/>
                          <w:ind w:firstLineChars="0" w:firstLine="0"/>
                          <w:jc w:val="center"/>
                          <w:rPr>
                            <w:sz w:val="21"/>
                            <w:szCs w:val="21"/>
                          </w:rPr>
                        </w:pPr>
                        <w:r>
                          <w:rPr>
                            <w:rFonts w:hint="eastAsia"/>
                            <w:sz w:val="21"/>
                            <w:szCs w:val="21"/>
                          </w:rPr>
                          <w:t>车用乙醇</w:t>
                        </w:r>
                      </w:p>
                      <w:p w14:paraId="5A2B9287" w14:textId="77777777" w:rsidR="00EF4562" w:rsidRDefault="00000000">
                        <w:pPr>
                          <w:spacing w:line="240" w:lineRule="auto"/>
                          <w:ind w:firstLineChars="0" w:firstLine="0"/>
                          <w:jc w:val="center"/>
                          <w:rPr>
                            <w:sz w:val="21"/>
                            <w:szCs w:val="21"/>
                          </w:rPr>
                        </w:pPr>
                        <w:r>
                          <w:rPr>
                            <w:rFonts w:hint="eastAsia"/>
                            <w:sz w:val="21"/>
                            <w:szCs w:val="21"/>
                          </w:rPr>
                          <w:t>汽油加油机</w:t>
                        </w:r>
                        <w:r>
                          <w:rPr>
                            <w:rFonts w:hint="eastAsia"/>
                            <w:sz w:val="21"/>
                            <w:szCs w:val="21"/>
                          </w:rPr>
                          <w:t>J101</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196" type="#_x0000_t41" style="position:absolute;left:29320;top:868;width:9978;height:2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" adj="-2853,25033,1637,15858" filled="f" strokecolor="windowText">
                  <v:stroke joinstyle="round"/>
                  <v:textbox>
                    <w:txbxContent>
                      <w:p w14:paraId="4812E8C5" w14:textId="77777777" w:rsidR="00EF4562" w:rsidRDefault="00000000">
                        <w:pPr>
                          <w:spacing w:line="240" w:lineRule="auto"/>
                          <w:ind w:firstLineChars="0" w:firstLine="0"/>
                          <w:rPr>
                            <w:sz w:val="21"/>
                            <w:szCs w:val="21"/>
                          </w:rPr>
                        </w:pPr>
                        <w:r>
                          <w:rPr>
                            <w:rFonts w:hint="eastAsia"/>
                            <w:sz w:val="21"/>
                            <w:szCs w:val="21"/>
                          </w:rPr>
                          <w:t>架空电力线</w:t>
                        </w:r>
                        <w:r>
                          <w:rPr>
                            <w:rFonts w:hint="eastAsia"/>
                            <w:sz w:val="21"/>
                            <w:szCs w:val="21"/>
                          </w:rPr>
                          <w:t>2</w:t>
                        </w:r>
                      </w:p>
                    </w:txbxContent>
                  </v:textbox>
                  <o:callout v:ext="edit" minusy="t"/>
                </v:shape>
                <v:shape id="文本框 1" o:spid="_x0000_s1197" type="#_x0000_t202" style="position:absolute;left:10712;top:19097;width:4345;height:4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" filled="f" stroked="f">
                  <v:textbox>
                    <w:txbxContent>
                      <w:p w14:paraId="65766C93" w14:textId="77777777" w:rsidR="00EF4562" w:rsidRDefault="00000000">
                        <w:pPr>
                          <w:spacing w:line="240" w:lineRule="auto"/>
                          <w:ind w:firstLineChars="0" w:firstLine="0"/>
                          <w:rPr>
                            <w:sz w:val="21"/>
                            <w:szCs w:val="21"/>
                          </w:rPr>
                        </w:pPr>
                        <w:r>
                          <w:rPr>
                            <w:rFonts w:hint="eastAsia"/>
                            <w:sz w:val="21"/>
                            <w:szCs w:val="21"/>
                          </w:rPr>
                          <w:t>土路</w:t>
                        </w:r>
                      </w:p>
                    </w:txbxContent>
                  </v:textbox>
                </v:shape>
                <v:shape id="文本框 1" o:spid="_x0000_s1198" type="#_x0000_t202" style="position:absolute;left:16505;top:32753;width:10343;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" filled="f" stroked="f">
                  <v:textbox>
                    <w:txbxContent>
                      <w:p w14:paraId="53D277AC" w14:textId="77777777" w:rsidR="00EF4562" w:rsidRDefault="00000000">
                        <w:pPr>
                          <w:spacing w:line="240" w:lineRule="auto"/>
                          <w:ind w:firstLineChars="0" w:firstLine="0"/>
                          <w:rPr>
                            <w:sz w:val="21"/>
                            <w:szCs w:val="21"/>
                          </w:rPr>
                        </w:pPr>
                        <w:r>
                          <w:rPr>
                            <w:rFonts w:hint="eastAsia"/>
                            <w:sz w:val="21"/>
                            <w:szCs w:val="21"/>
                          </w:rPr>
                          <w:t>支架版卸车撬</w:t>
                        </w:r>
                      </w:p>
                    </w:txbxContent>
                  </v:textbox>
                </v:shape>
                <v:shape id="文本框 1" o:spid="_x0000_s1199" type="#_x0000_t202" style="position:absolute;left:21353;top:27027;width:8842;height:4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" filled="f" stroked="f">
                  <v:textbox>
                    <w:txbxContent>
                      <w:p w14:paraId="2FFE8530" w14:textId="77777777" w:rsidR="00EF4562" w:rsidRDefault="00000000">
                        <w:pPr>
                          <w:spacing w:line="240" w:lineRule="auto"/>
                          <w:ind w:firstLineChars="0" w:firstLine="0"/>
                          <w:rPr>
                            <w:sz w:val="21"/>
                            <w:szCs w:val="21"/>
                          </w:rPr>
                        </w:pPr>
                        <w:r>
                          <w:rPr>
                            <w:rFonts w:hint="eastAsia"/>
                            <w:sz w:val="21"/>
                            <w:szCs w:val="21"/>
                          </w:rPr>
                          <w:t>LNG</w:t>
                        </w:r>
                        <w:r>
                          <w:rPr>
                            <w:rFonts w:hint="eastAsia"/>
                            <w:sz w:val="21"/>
                            <w:szCs w:val="21"/>
                          </w:rPr>
                          <w:t>储罐潜液泵一体撬</w:t>
                        </w:r>
                      </w:p>
                    </w:txbxContent>
                  </v:textbox>
                </v:shape>
                <v:shape id="文本框 1" o:spid="_x0000_s1200" type="#_x0000_t41" style="position:absolute;left:16281;top:38582;width:10294;height:33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" adj="-2853,25033,1637,15858" filled="f" strokecolor="windowText">
                  <v:stroke joinstyle="round"/>
                  <v:textbox>
                    <w:txbxContent>
                      <w:p w14:paraId="39208E79" w14:textId="77777777" w:rsidR="00EF4562" w:rsidRDefault="00000000">
                        <w:pPr>
                          <w:spacing w:line="240" w:lineRule="auto"/>
                          <w:ind w:firstLineChars="0" w:firstLine="0"/>
                          <w:rPr>
                            <w:sz w:val="21"/>
                            <w:szCs w:val="21"/>
                          </w:rPr>
                        </w:pPr>
                        <w:r>
                          <w:rPr>
                            <w:rFonts w:hint="eastAsia"/>
                            <w:sz w:val="21"/>
                            <w:szCs w:val="21"/>
                          </w:rPr>
                          <w:t>架空电力线</w:t>
                        </w:r>
                        <w:r>
                          <w:rPr>
                            <w:rFonts w:hint="eastAsia"/>
                            <w:sz w:val="21"/>
                            <w:szCs w:val="21"/>
                          </w:rPr>
                          <w:t>1</w:t>
                        </w:r>
                      </w:p>
                    </w:txbxContent>
                  </v:textbox>
                  <o:callout v:ext="edit" minusy="t"/>
                </v:shape>
                <v:shape id="文本框 1" o:spid="_x0000_s1201" type="#_x0000_t41" style="position:absolute;left:19352;top:648;width:6343;height:2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" adj="-1853,31688,1637,15858" filled="f" strokecolor="windowText">
                  <v:stroke joinstyle="round"/>
                  <v:textbox>
                    <w:txbxContent>
                      <w:p w14:paraId="60767A6C" w14:textId="77777777" w:rsidR="00EF4562" w:rsidRDefault="00000000">
                        <w:pPr>
                          <w:spacing w:line="240" w:lineRule="auto"/>
                          <w:ind w:firstLineChars="0" w:firstLine="0"/>
                          <w:rPr>
                            <w:sz w:val="21"/>
                            <w:szCs w:val="21"/>
                          </w:rPr>
                        </w:pPr>
                        <w:r>
                          <w:rPr>
                            <w:rFonts w:hint="eastAsia"/>
                            <w:sz w:val="21"/>
                            <w:szCs w:val="21"/>
                          </w:rPr>
                          <w:t>变压器</w:t>
                        </w:r>
                      </w:p>
                    </w:txbxContent>
                  </v:textbox>
                  <o:callout v:ext="edit" minusy="t"/>
                </v:shape>
                <v:shape id="文本框 1" o:spid="_x0000_s1202" type="#_x0000_t41" style="position:absolute;left:45458;top:4295;width:5183;height:2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" adj="-4023,-3081,2027,9936" filled="f" strokecolor="windowText">
                  <v:stroke joinstyle="round"/>
                  <v:textbox>
                    <w:txbxContent>
                      <w:p w14:paraId="025C934C" w14:textId="77777777" w:rsidR="00EF4562" w:rsidRDefault="00000000">
                        <w:pPr>
                          <w:spacing w:line="240" w:lineRule="auto"/>
                          <w:ind w:firstLineChars="0" w:firstLine="0"/>
                          <w:rPr>
                            <w:sz w:val="21"/>
                            <w:szCs w:val="21"/>
                          </w:rPr>
                        </w:pPr>
                        <w:r>
                          <w:rPr>
                            <w:rFonts w:hint="eastAsia"/>
                            <w:sz w:val="21"/>
                            <w:szCs w:val="21"/>
                          </w:rPr>
                          <w:t>围墙</w:t>
                        </w:r>
                      </w:p>
                    </w:txbxContent>
                  </v:textbox>
                </v:shape>
                <v:shape id="文本框 1" o:spid="_x0000_s1203" type="#_x0000_t41" style="position:absolute;left:7620;top:25128;width:10589;height:2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" adj="22819,22795,19042,12142" filled="f" strokecolor="windowText">
                  <v:stroke joinstyle="round"/>
                  <v:textbox>
                    <w:txbxContent>
                      <w:p w14:paraId="678A96FE" w14:textId="77777777" w:rsidR="00EF4562" w:rsidRDefault="00000000">
                        <w:pPr>
                          <w:spacing w:line="240" w:lineRule="auto"/>
                          <w:ind w:firstLineChars="0" w:firstLine="0"/>
                          <w:rPr>
                            <w:sz w:val="21"/>
                            <w:szCs w:val="21"/>
                          </w:rPr>
                        </w:pPr>
                        <w:r>
                          <w:rPr>
                            <w:rFonts w:hint="eastAsia"/>
                            <w:sz w:val="21"/>
                            <w:szCs w:val="21"/>
                          </w:rPr>
                          <w:t>LNG</w:t>
                        </w:r>
                        <w:r>
                          <w:rPr>
                            <w:rFonts w:hint="eastAsia"/>
                            <w:sz w:val="21"/>
                            <w:szCs w:val="21"/>
                          </w:rPr>
                          <w:t>放散管</w:t>
                        </w:r>
                      </w:p>
                    </w:txbxContent>
                  </v:textbox>
                  <o:callout v:ext="edit" minusx="t" minusy="t"/>
                </v:shape>
                <v:shape id="文本框 1" o:spid="_x0000_s1204" type="#_x0000_t202" style="position:absolute;left:4225;top:3421;width:3915;height:2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" filled="f" stroked="f">
                  <v:textbox>
                    <w:txbxContent>
                      <w:p w14:paraId="12330E33" w14:textId="77777777" w:rsidR="00EF4562" w:rsidRDefault="00000000">
                        <w:pPr>
                          <w:spacing w:line="240" w:lineRule="auto"/>
                          <w:ind w:firstLineChars="0" w:firstLine="0"/>
                          <w:rPr>
                            <w:sz w:val="21"/>
                            <w:szCs w:val="21"/>
                          </w:rPr>
                        </w:pPr>
                        <w:r>
                          <w:rPr>
                            <w:rFonts w:hint="eastAsia"/>
                            <w:sz w:val="21"/>
                            <w:szCs w:val="21"/>
                          </w:rPr>
                          <w:t>N</w:t>
                        </w:r>
                      </w:p>
                    </w:txbxContent>
                  </v:textbox>
                </v:shape>
                <v:rect id="矩形 1564325475" o:spid="_x0000_s1205" style="position:absolute;left:50578;top:15533;width:4895;height:1886;rotation:457259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" filled="f" strokecolor="windowText">
                  <v:stroke joinstyle="round"/>
                </v:rect>
                <v:shape id="文本框 1" o:spid="_x0000_s1206" type="#_x0000_t202" style="position:absolute;left:47556;top:15097;width:8846;height:2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" filled="f" stroked="f">
                  <v:textbox>
                    <w:txbxContent>
                      <w:p w14:paraId="67B5A273" w14:textId="77777777" w:rsidR="00EF4562" w:rsidRDefault="00000000">
                        <w:pPr>
                          <w:spacing w:line="240" w:lineRule="auto"/>
                          <w:ind w:firstLineChars="0" w:firstLine="0"/>
                          <w:rPr>
                            <w:sz w:val="21"/>
                            <w:szCs w:val="21"/>
                          </w:rPr>
                        </w:pPr>
                        <w:r>
                          <w:rPr>
                            <w:rFonts w:hint="eastAsia"/>
                            <w:sz w:val="21"/>
                            <w:szCs w:val="21"/>
                          </w:rPr>
                          <w:t>密闭卸油口</w:t>
                        </w:r>
                      </w:p>
                    </w:txbxContent>
                  </v:textbox>
                </v:shape>
                <v:shape id="文本框 1" o:spid="_x0000_s1207" type="#_x0000_t41" style="position:absolute;left:63590;top:10608;width:7466;height:2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" adj="-7902,22805,1637,15858" filled="f" strokecolor="windowText">
                  <v:stroke joinstyle="round"/>
                  <v:textbox>
                    <w:txbxContent>
                      <w:p w14:paraId="54ECBDF3" w14:textId="77777777" w:rsidR="00EF4562" w:rsidRDefault="00000000">
                        <w:pPr>
                          <w:spacing w:line="240" w:lineRule="auto"/>
                          <w:ind w:firstLineChars="0" w:firstLine="0"/>
                          <w:rPr>
                            <w:sz w:val="21"/>
                            <w:szCs w:val="21"/>
                          </w:rPr>
                        </w:pPr>
                        <w:r>
                          <w:rPr>
                            <w:rFonts w:hint="eastAsia"/>
                            <w:sz w:val="21"/>
                            <w:szCs w:val="21"/>
                          </w:rPr>
                          <w:t>通气管口</w:t>
                        </w:r>
                      </w:p>
                    </w:txbxContent>
                  </v:textbox>
                  <o:callout v:ext="edit" minusy="t"/>
                </v:shape>
                <v:shape id="文本框 1" o:spid="_x0000_s1208" type="#_x0000_t202" style="position:absolute;left:55839;top:49870;width:17122;height:2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" filled="f" stroked="f">
                  <v:textbox>
                    <w:txbxContent>
                      <w:p w14:paraId="487A9B67" w14:textId="77777777" w:rsidR="00EF4562" w:rsidRDefault="00000000">
                        <w:pPr>
                          <w:spacing w:line="240" w:lineRule="auto"/>
                          <w:ind w:firstLineChars="0" w:firstLine="0"/>
                          <w:rPr>
                            <w:sz w:val="21"/>
                            <w:szCs w:val="21"/>
                          </w:rPr>
                        </w:pPr>
                        <w:r>
                          <w:rPr>
                            <w:rFonts w:hint="eastAsia"/>
                            <w:sz w:val="21"/>
                            <w:szCs w:val="21"/>
                          </w:rPr>
                          <w:t>注：红色为本次评价范围</w:t>
                        </w:r>
                      </w:p>
                    </w:txbxContent>
                  </v:textbox>
                </v:shape>
                <v:shape id="直接箭头连接符 1505242082" o:spid="_x0000_s1209" type="#_x0000_t32" style="position:absolute;left:31234;top:33497;width:4675;height:422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" strokecolor="#5b9bd5" strokeweight=".5pt">
                  <v:stroke startarrow="block" endarrow="block" joinstyle="miter"/>
                </v:shape>
                <v:shape id="直接箭头连接符 1934375506" o:spid="_x0000_s1210" type="#_x0000_t32" style="position:absolute;left:32634;top:28719;width:3260;height:899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" strokecolor="#5b9bd5" strokeweight=".5pt">
                  <v:stroke startarrow="block" endarrow="block" joinstyle="miter"/>
                </v:shape>
                <v:shape id="直接箭头连接符 1206500023" o:spid="_x0000_s1211" type="#_x0000_t32" style="position:absolute;left:35894;top:37430;width:2491;height:70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" strokecolor="#5b9bd5" strokeweight=".5pt">
                  <v:stroke startarrow="block" endarrow="block" joinstyle="miter"/>
                </v:shape>
                <v:shape id="直接箭头连接符 355740145" o:spid="_x0000_s1212" type="#_x0000_t32" style="position:absolute;left:14954;top:37677;width:21348;height:75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" strokecolor="#5b9bd5" strokeweight=".5pt">
                  <v:stroke startarrow="block" endarrow="block" joinstyle="miter"/>
                </v:shape>
                <v:shape id="直接箭头连接符 1094934693" o:spid="_x0000_s1213" type="#_x0000_t32" style="position:absolute;left:49530;top:32485;width:2706;height:64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" strokecolor="#5b9bd5" strokeweight=".5pt">
                  <v:stroke startarrow="block" endarrow="block" joinstyle="miter"/>
                </v:shape>
                <v:shape id="直接箭头连接符 186637765" o:spid="_x0000_s1214" type="#_x0000_t32" style="position:absolute;left:49530;top:26297;width:0;height:6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" strokecolor="#5b9bd5" strokeweight=".5pt">
                  <v:stroke startarrow="block" endarrow="block" joinstyle="miter"/>
                </v:shape>
                <v:shape id="直接箭头连接符 574240858" o:spid="_x0000_s1215" type="#_x0000_t32" style="position:absolute;left:49530;top:7876;width:17752;height:248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" strokecolor="#5b9bd5" strokeweight=".5pt">
                  <v:stroke startarrow="block" endarrow="block" joinstyle="miter"/>
                </v:shape>
                <v:shape id="文本框 1" o:spid="_x0000_s1216" type="#_x0000_t202" style="position:absolute;left:34107;top:32361;width:6091;height:2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" filled="f" stroked="f">
                  <v:textbox>
                    <w:txbxContent>
                      <w:p w14:paraId="36D22593" w14:textId="77777777" w:rsidR="00EF4562" w:rsidRDefault="00000000">
                        <w:pPr>
                          <w:spacing w:line="240" w:lineRule="auto"/>
                          <w:ind w:firstLineChars="0" w:firstLine="0"/>
                          <w:rPr>
                            <w:sz w:val="21"/>
                            <w:szCs w:val="21"/>
                          </w:rPr>
                        </w:pPr>
                        <w:r>
                          <w:rPr>
                            <w:rFonts w:hint="eastAsia"/>
                            <w:sz w:val="21"/>
                            <w:szCs w:val="21"/>
                          </w:rPr>
                          <w:t>18.2m</w:t>
                        </w:r>
                      </w:p>
                    </w:txbxContent>
                  </v:textbox>
                </v:shape>
                <v:shape id="文本框 1" o:spid="_x0000_s1217" type="#_x0000_t202" style="position:absolute;left:30595;top:35214;width:5299;height:2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" filled="f" stroked="f">
                  <v:textbox>
                    <w:txbxContent>
                      <w:p w14:paraId="6EABCF60" w14:textId="77777777" w:rsidR="00EF4562" w:rsidRDefault="00000000">
                        <w:pPr>
                          <w:spacing w:line="240" w:lineRule="auto"/>
                          <w:ind w:firstLineChars="0" w:firstLine="0"/>
                          <w:rPr>
                            <w:sz w:val="21"/>
                            <w:szCs w:val="21"/>
                          </w:rPr>
                        </w:pPr>
                        <w:r>
                          <w:rPr>
                            <w:rFonts w:hint="eastAsia"/>
                            <w:sz w:val="21"/>
                            <w:szCs w:val="21"/>
                          </w:rPr>
                          <w:t>12m</w:t>
                        </w:r>
                      </w:p>
                    </w:txbxContent>
                  </v:textbox>
                </v:shape>
                <v:shape id="文本框 1" o:spid="_x0000_s1218" type="#_x0000_t202" style="position:absolute;left:22591;top:41385;width:6288;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" filled="f" stroked="f">
                  <v:textbox>
                    <w:txbxContent>
                      <w:p w14:paraId="30370891" w14:textId="77777777" w:rsidR="00EF4562" w:rsidRDefault="00000000">
                        <w:pPr>
                          <w:spacing w:line="240" w:lineRule="auto"/>
                          <w:ind w:firstLineChars="0" w:firstLine="0"/>
                          <w:rPr>
                            <w:sz w:val="21"/>
                            <w:szCs w:val="21"/>
                          </w:rPr>
                        </w:pPr>
                        <w:r>
                          <w:rPr>
                            <w:rFonts w:hint="eastAsia"/>
                            <w:sz w:val="21"/>
                            <w:szCs w:val="21"/>
                          </w:rPr>
                          <w:t>28.2m</w:t>
                        </w:r>
                      </w:p>
                    </w:txbxContent>
                  </v:textbox>
                </v:shape>
                <v:shape id="文本框 1" o:spid="_x0000_s1219" type="#_x0000_t202" style="position:absolute;left:48070;top:36934;width:4680;height:2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" filled="f" stroked="f">
                  <v:textbox>
                    <w:txbxContent>
                      <w:p w14:paraId="09F9E5D5" w14:textId="77777777" w:rsidR="00EF4562" w:rsidRDefault="00000000">
                        <w:pPr>
                          <w:spacing w:line="240" w:lineRule="auto"/>
                          <w:ind w:firstLineChars="0" w:firstLine="0"/>
                          <w:rPr>
                            <w:sz w:val="21"/>
                            <w:szCs w:val="21"/>
                          </w:rPr>
                        </w:pPr>
                        <w:r>
                          <w:rPr>
                            <w:rFonts w:hint="eastAsia"/>
                            <w:sz w:val="21"/>
                            <w:szCs w:val="21"/>
                          </w:rPr>
                          <w:t>25m</w:t>
                        </w:r>
                      </w:p>
                    </w:txbxContent>
                  </v:textbox>
                </v:shape>
                <v:shape id="文本框 1" o:spid="_x0000_s1220" type="#_x0000_t202" style="position:absolute;left:34194;top:40739;width:4479;height:2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" filled="f" stroked="f">
                  <v:textbox>
                    <w:txbxContent>
                      <w:p w14:paraId="4698C7B0" w14:textId="77777777" w:rsidR="00EF4562" w:rsidRDefault="00000000">
                        <w:pPr>
                          <w:spacing w:line="240" w:lineRule="auto"/>
                          <w:ind w:firstLineChars="0" w:firstLine="0"/>
                          <w:rPr>
                            <w:sz w:val="21"/>
                            <w:szCs w:val="21"/>
                          </w:rPr>
                        </w:pPr>
                        <w:r>
                          <w:rPr>
                            <w:rFonts w:hint="eastAsia"/>
                            <w:sz w:val="21"/>
                            <w:szCs w:val="21"/>
                          </w:rPr>
                          <w:t>25m</w:t>
                        </w:r>
                      </w:p>
                    </w:txbxContent>
                  </v:textbox>
                </v:shape>
                <v:shape id="文本框 1" o:spid="_x0000_s1221" type="#_x0000_t202" style="position:absolute;left:46525;top:29058;width:5523;height:2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" filled="f" stroked="f">
                  <v:textbox>
                    <w:txbxContent>
                      <w:p w14:paraId="7F911780" w14:textId="77777777" w:rsidR="00EF4562" w:rsidRDefault="00000000">
                        <w:pPr>
                          <w:spacing w:line="240" w:lineRule="auto"/>
                          <w:ind w:firstLineChars="0" w:firstLine="0"/>
                          <w:rPr>
                            <w:sz w:val="21"/>
                            <w:szCs w:val="21"/>
                          </w:rPr>
                        </w:pPr>
                        <w:r>
                          <w:rPr>
                            <w:rFonts w:hint="eastAsia"/>
                            <w:sz w:val="21"/>
                            <w:szCs w:val="21"/>
                          </w:rPr>
                          <w:t>12m</w:t>
                        </w:r>
                      </w:p>
                    </w:txbxContent>
                  </v:textbox>
                </v:shape>
                <v:shape id="文本框 1" o:spid="_x0000_s1222" type="#_x0000_t202" style="position:absolute;left:55333;top:23516;width:4952;height:2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" filled="f" stroked="f">
                  <v:textbox>
                    <w:txbxContent>
                      <w:p w14:paraId="2CBACE54" w14:textId="77777777" w:rsidR="00EF4562" w:rsidRDefault="00000000">
                        <w:pPr>
                          <w:spacing w:line="240" w:lineRule="auto"/>
                          <w:ind w:firstLineChars="0" w:firstLine="0"/>
                          <w:rPr>
                            <w:sz w:val="21"/>
                            <w:szCs w:val="21"/>
                          </w:rPr>
                        </w:pPr>
                        <w:r>
                          <w:rPr>
                            <w:rFonts w:hint="eastAsia"/>
                            <w:sz w:val="21"/>
                            <w:szCs w:val="21"/>
                          </w:rPr>
                          <w:t>46m</w:t>
                        </w:r>
                      </w:p>
                    </w:txbxContent>
                  </v:textbox>
                </v:shape>
                <v:line id="直接连接符 259479172" o:spid="_x0000_s1223" style="position:absolute;visibility:visible;mso-wrap-style:square" from="23829,10050" to="24362,15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" strokecolor="windowText" strokeweight=".5pt">
                  <v:stroke joinstyle="miter"/>
                </v:line>
                <v:shape id="文本框 1" o:spid="_x0000_s1224" type="#_x0000_t202" style="position:absolute;left:20136;top:10149;width:6553;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" filled="f" stroked="f">
                  <v:textbox>
                    <w:txbxContent>
                      <w:p w14:paraId="72D138B7" w14:textId="77777777" w:rsidR="00EF4562" w:rsidRDefault="00000000">
                        <w:pPr>
                          <w:spacing w:line="240" w:lineRule="auto"/>
                          <w:ind w:firstLineChars="0" w:firstLine="0"/>
                          <w:rPr>
                            <w:rFonts w:cs="Times New Roman"/>
                            <w:sz w:val="21"/>
                            <w:szCs w:val="21"/>
                            <w14:ligatures w14:val="none"/>
                          </w:rPr>
                        </w:pPr>
                        <w:r>
                          <w:rPr>
                            <w:rFonts w:hint="eastAsia"/>
                            <w:sz w:val="21"/>
                            <w:szCs w:val="21"/>
                          </w:rPr>
                          <w:t>柴油发电机间</w:t>
                        </w:r>
                      </w:p>
                    </w:txbxContent>
                  </v:textbox>
                </v:shape>
                <w10:anchorlock/>
              </v:group>
            </w:pict>
          </mc:Fallback>
        </mc:AlternateContent>
      </w:r>
    </w:p>
    <w:p w14:paraId="18ECC6A7" w14:textId="77777777" w:rsidR="00EF4562" w:rsidRDefault="00000000">
      <w:pPr>
        <w:spacing w:line="240" w:lineRule="auto"/>
        <w:ind w:firstLineChars="0" w:firstLine="0"/>
        <w:jc w:val="center"/>
        <w:rPr>
          <w:rFonts w:ascii="黑体" w:eastAsia="黑体" w:hAnsi="黑体" w:hint="eastAsia"/>
          <w:sz w:val="24"/>
        </w:rPr>
        <w:sectPr w:rsidR="00EF4562">
          <w:pgSz w:w="16838" w:h="11906" w:orient="landscape"/>
          <w:pgMar w:top="1588" w:right="1418" w:bottom="1134" w:left="1134" w:header="851" w:footer="992" w:gutter="0"/>
          <w:cols w:space="425"/>
          <w:docGrid w:type="linesAndChars" w:linePitch="381"/>
        </w:sectPr>
      </w:pPr>
      <w:r>
        <w:rPr>
          <w:rFonts w:ascii="黑体" w:eastAsia="黑体" w:hAnsi="黑体" w:hint="eastAsia"/>
          <w:sz w:val="24"/>
        </w:rPr>
        <w:t>图</w:t>
      </w:r>
      <w:r>
        <w:rPr>
          <w:rFonts w:eastAsia="黑体" w:cs="Times New Roman"/>
          <w:sz w:val="24"/>
        </w:rPr>
        <w:t>2.4-5</w:t>
      </w:r>
      <w:r>
        <w:rPr>
          <w:rFonts w:ascii="黑体" w:eastAsia="黑体" w:hAnsi="黑体" w:hint="eastAsia"/>
          <w:sz w:val="24"/>
        </w:rPr>
        <w:t xml:space="preserve">  该站周边环境及总平面布置图</w:t>
      </w:r>
    </w:p>
    <w:p w14:paraId="4E8DB8B4" w14:textId="77777777" w:rsidR="00EF4562" w:rsidRDefault="00000000">
      <w:pPr>
        <w:ind w:firstLine="560"/>
      </w:pPr>
      <w:r>
        <w:rPr>
          <w:rFonts w:hint="eastAsia"/>
        </w:rPr>
        <w:lastRenderedPageBreak/>
        <w:t>（</w:t>
      </w:r>
      <w:r>
        <w:rPr>
          <w:rFonts w:hint="eastAsia"/>
        </w:rPr>
        <w:t>2</w:t>
      </w:r>
      <w:r>
        <w:rPr>
          <w:rFonts w:hint="eastAsia"/>
        </w:rPr>
        <w:t>）上下游生产装置的关系</w:t>
      </w:r>
    </w:p>
    <w:p w14:paraId="2DF3A889" w14:textId="77777777" w:rsidR="00EF4562" w:rsidRDefault="00000000">
      <w:pPr>
        <w:ind w:firstLine="560"/>
      </w:pPr>
      <w:r>
        <w:rPr>
          <w:rFonts w:hint="eastAsia"/>
        </w:rPr>
        <w:t>危险化学品专用罐车将车用乙醇汽油、柴油运送至站内，采用密闭卸油方式按油品品种分别存放在站内储罐中，再经加油机计量加入进站加油车辆的油箱内。不涉及上下游生产装置关系。</w:t>
      </w:r>
    </w:p>
    <w:p w14:paraId="77954CC2" w14:textId="77777777" w:rsidR="00EF4562" w:rsidRDefault="00000000">
      <w:pPr>
        <w:keepNext/>
        <w:spacing w:beforeLines="100" w:before="312" w:afterLines="100" w:after="312"/>
        <w:ind w:firstLineChars="0" w:firstLine="0"/>
        <w:jc w:val="center"/>
        <w:outlineLvl w:val="1"/>
        <w:rPr>
          <w:rFonts w:ascii="楷体" w:eastAsia="楷体" w:hAnsi="楷体" w:hint="eastAsia"/>
          <w:b/>
          <w:bCs/>
          <w:sz w:val="32"/>
          <w:szCs w:val="32"/>
        </w:rPr>
      </w:pPr>
      <w:bookmarkStart w:id="18" w:name="_Toc207695627"/>
      <w:r>
        <w:rPr>
          <w:rFonts w:eastAsia="楷体" w:cs="Times New Roman"/>
          <w:b/>
          <w:bCs/>
          <w:sz w:val="32"/>
          <w:szCs w:val="32"/>
        </w:rPr>
        <w:t>2.5</w:t>
      </w:r>
      <w:r>
        <w:rPr>
          <w:rFonts w:ascii="楷体" w:eastAsia="楷体" w:hAnsi="楷体" w:hint="eastAsia"/>
          <w:b/>
          <w:bCs/>
          <w:sz w:val="32"/>
          <w:szCs w:val="32"/>
        </w:rPr>
        <w:t>建设项目配套和辅助工程名称、能力、介质来源</w:t>
      </w:r>
      <w:bookmarkEnd w:id="18"/>
    </w:p>
    <w:p w14:paraId="35AEA923" w14:textId="77777777" w:rsidR="00EF4562" w:rsidRDefault="00000000">
      <w:pPr>
        <w:spacing w:beforeLines="50" w:before="156" w:afterLines="50" w:after="156"/>
        <w:ind w:firstLine="562"/>
        <w:outlineLvl w:val="2"/>
        <w:rPr>
          <w:rFonts w:ascii="黑体" w:eastAsia="黑体" w:hAnsi="黑体" w:hint="eastAsia"/>
          <w:b/>
          <w:bCs/>
        </w:rPr>
      </w:pPr>
      <w:r>
        <w:rPr>
          <w:rFonts w:eastAsia="黑体" w:cs="Times New Roman"/>
          <w:b/>
          <w:bCs/>
        </w:rPr>
        <w:t>2.5.1</w:t>
      </w:r>
      <w:r>
        <w:rPr>
          <w:rFonts w:ascii="黑体" w:eastAsia="黑体" w:hAnsi="黑体" w:hint="eastAsia"/>
          <w:b/>
          <w:bCs/>
        </w:rPr>
        <w:t>给排水</w:t>
      </w:r>
    </w:p>
    <w:p w14:paraId="089B6488"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1</w:t>
      </w:r>
      <w:r>
        <w:rPr>
          <w:rFonts w:cs="Times New Roman" w:hint="eastAsia"/>
          <w:szCs w:val="28"/>
          <w14:ligatures w14:val="none"/>
        </w:rPr>
        <w:t>）给水</w:t>
      </w:r>
    </w:p>
    <w:p w14:paraId="4C6C6D74" w14:textId="77777777" w:rsidR="00EF4562" w:rsidRDefault="00000000">
      <w:pPr>
        <w:ind w:firstLine="560"/>
        <w:rPr>
          <w:rFonts w:cs="Times New Roman"/>
          <w:szCs w:val="28"/>
          <w14:ligatures w14:val="none"/>
        </w:rPr>
      </w:pPr>
      <w:r>
        <w:rPr>
          <w:rFonts w:cs="Times New Roman" w:hint="eastAsia"/>
          <w:szCs w:val="28"/>
          <w14:ligatures w14:val="none"/>
        </w:rPr>
        <w:t>该站用水主要为日常生活用水、地面冲洗用水及油罐清洗用水，站内给水源自自打水井。</w:t>
      </w:r>
    </w:p>
    <w:p w14:paraId="76AFCFE2"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2</w:t>
      </w:r>
      <w:r>
        <w:rPr>
          <w:rFonts w:cs="Times New Roman" w:hint="eastAsia"/>
          <w:szCs w:val="28"/>
          <w14:ligatures w14:val="none"/>
        </w:rPr>
        <w:t>）排水</w:t>
      </w:r>
    </w:p>
    <w:p w14:paraId="51C6FBA6" w14:textId="77777777" w:rsidR="00EF4562" w:rsidRDefault="00000000">
      <w:pPr>
        <w:ind w:firstLine="560"/>
        <w:rPr>
          <w:rFonts w:cs="Times New Roman"/>
          <w:szCs w:val="28"/>
          <w14:ligatures w14:val="none"/>
        </w:rPr>
      </w:pPr>
      <w:r>
        <w:rPr>
          <w:rFonts w:cs="Times New Roman" w:hint="eastAsia"/>
          <w:szCs w:val="28"/>
          <w14:ligatures w14:val="none"/>
        </w:rPr>
        <w:t>该站排水包括生产污水、雨水及生活污水。该站在围墙内设置水封井，水封井的水封高度不小于</w:t>
      </w:r>
      <w:r>
        <w:rPr>
          <w:rFonts w:cs="Times New Roman" w:hint="eastAsia"/>
          <w:szCs w:val="28"/>
          <w14:ligatures w14:val="none"/>
        </w:rPr>
        <w:t>0.25m</w:t>
      </w:r>
      <w:r>
        <w:rPr>
          <w:rFonts w:cs="Times New Roman" w:hint="eastAsia"/>
          <w:szCs w:val="28"/>
          <w14:ligatures w14:val="none"/>
        </w:rPr>
        <w:t>，水封井设沉泥段，沉泥段高度不小于</w:t>
      </w:r>
      <w:r>
        <w:rPr>
          <w:rFonts w:cs="Times New Roman" w:hint="eastAsia"/>
          <w:szCs w:val="28"/>
          <w14:ligatures w14:val="none"/>
        </w:rPr>
        <w:t>0.25m</w:t>
      </w:r>
      <w:r>
        <w:rPr>
          <w:rFonts w:cs="Times New Roman" w:hint="eastAsia"/>
          <w:szCs w:val="28"/>
          <w14:ligatures w14:val="none"/>
        </w:rPr>
        <w:t>。该站未采用暗沟排水。</w:t>
      </w:r>
    </w:p>
    <w:p w14:paraId="59B0F488" w14:textId="77777777" w:rsidR="00EF4562" w:rsidRDefault="00000000">
      <w:pPr>
        <w:ind w:firstLine="560"/>
        <w:rPr>
          <w:rFonts w:cs="Times New Roman"/>
          <w:szCs w:val="28"/>
          <w14:ligatures w14:val="none"/>
        </w:rPr>
      </w:pPr>
      <w:r>
        <w:rPr>
          <w:rFonts w:cs="Times New Roman" w:hint="eastAsia"/>
          <w:szCs w:val="28"/>
          <w14:ligatures w14:val="none"/>
        </w:rPr>
        <w:t>生产污水主要源自储罐清洗（一般为每</w:t>
      </w:r>
      <w:r>
        <w:rPr>
          <w:rFonts w:cs="Times New Roman" w:hint="eastAsia"/>
          <w:szCs w:val="28"/>
          <w14:ligatures w14:val="none"/>
        </w:rPr>
        <w:t>5</w:t>
      </w:r>
      <w:r>
        <w:rPr>
          <w:rFonts w:cs="Times New Roman" w:hint="eastAsia"/>
          <w:szCs w:val="28"/>
          <w14:ligatures w14:val="none"/>
        </w:rPr>
        <w:t>年清洗一次）。清洗油罐委托有相应资质的危废处置单位进行合规处理，处理过程产生的污水由有相应资质的危废处置单位负责处理。</w:t>
      </w:r>
    </w:p>
    <w:p w14:paraId="74A1EE74" w14:textId="77777777" w:rsidR="00EF4562" w:rsidRDefault="00000000">
      <w:pPr>
        <w:ind w:firstLine="560"/>
        <w:rPr>
          <w:rFonts w:cs="Times New Roman"/>
          <w:szCs w:val="28"/>
          <w14:ligatures w14:val="none"/>
        </w:rPr>
      </w:pPr>
      <w:r>
        <w:rPr>
          <w:rFonts w:cs="Times New Roman" w:hint="eastAsia"/>
          <w:szCs w:val="28"/>
          <w14:ligatures w14:val="none"/>
        </w:rPr>
        <w:t>生活污水排入化粪池，定期外委清掏。排水井、雨水口和化粪池未设在作业区和可燃液体出现泄漏事故时可能流经的部位。</w:t>
      </w:r>
    </w:p>
    <w:p w14:paraId="0345CB4F" w14:textId="77777777" w:rsidR="00EF4562" w:rsidRDefault="00000000">
      <w:pPr>
        <w:ind w:firstLine="560"/>
        <w:rPr>
          <w:rFonts w:cs="Times New Roman"/>
          <w:szCs w:val="28"/>
          <w14:ligatures w14:val="none"/>
        </w:rPr>
      </w:pPr>
      <w:r>
        <w:rPr>
          <w:rFonts w:cs="Times New Roman" w:hint="eastAsia"/>
          <w:szCs w:val="28"/>
          <w14:ligatures w14:val="none"/>
        </w:rPr>
        <w:t>站内雨水散排。</w:t>
      </w:r>
    </w:p>
    <w:p w14:paraId="27955038" w14:textId="77777777" w:rsidR="00EF4562" w:rsidRDefault="00000000">
      <w:pPr>
        <w:spacing w:beforeLines="50" w:before="156" w:afterLines="50" w:after="156"/>
        <w:ind w:firstLine="562"/>
        <w:outlineLvl w:val="2"/>
        <w:rPr>
          <w:rFonts w:ascii="黑体" w:eastAsia="黑体" w:hAnsi="黑体" w:hint="eastAsia"/>
          <w:b/>
          <w:bCs/>
        </w:rPr>
      </w:pPr>
      <w:r>
        <w:rPr>
          <w:rFonts w:eastAsia="黑体" w:cs="Times New Roman"/>
          <w:b/>
          <w:bCs/>
        </w:rPr>
        <w:t>2.5.2</w:t>
      </w:r>
      <w:r>
        <w:rPr>
          <w:rFonts w:ascii="黑体" w:eastAsia="黑体" w:hAnsi="黑体" w:hint="eastAsia"/>
          <w:b/>
          <w:bCs/>
        </w:rPr>
        <w:t>供配电</w:t>
      </w:r>
    </w:p>
    <w:p w14:paraId="263348DE" w14:textId="77777777" w:rsidR="00EF4562" w:rsidRDefault="00000000">
      <w:pPr>
        <w:ind w:firstLine="560"/>
        <w:rPr>
          <w:rFonts w:cs="Times New Roman"/>
        </w:rPr>
      </w:pPr>
      <w:bookmarkStart w:id="19" w:name="OLE_LINK15"/>
      <w:r>
        <w:rPr>
          <w:rFonts w:cs="Times New Roman" w:hint="eastAsia"/>
        </w:rPr>
        <w:t>（</w:t>
      </w:r>
      <w:r>
        <w:rPr>
          <w:rFonts w:cs="Times New Roman" w:hint="eastAsia"/>
        </w:rPr>
        <w:t>1</w:t>
      </w:r>
      <w:r>
        <w:rPr>
          <w:rFonts w:cs="Times New Roman" w:hint="eastAsia"/>
        </w:rPr>
        <w:t>）供电负荷及供电方案</w:t>
      </w:r>
    </w:p>
    <w:p w14:paraId="187F32EF" w14:textId="77777777" w:rsidR="00EF4562" w:rsidRDefault="00000000">
      <w:pPr>
        <w:ind w:firstLine="560"/>
        <w:rPr>
          <w:rFonts w:cs="Times New Roman"/>
        </w:rPr>
      </w:pPr>
      <w:r>
        <w:rPr>
          <w:rFonts w:cs="Times New Roman" w:hint="eastAsia"/>
        </w:rPr>
        <w:t>供电负荷：该站供电负荷等级为三级。信息系统采用</w:t>
      </w:r>
      <w:r>
        <w:rPr>
          <w:rFonts w:cs="Times New Roman" w:hint="eastAsia"/>
        </w:rPr>
        <w:t>UPS</w:t>
      </w:r>
      <w:r>
        <w:rPr>
          <w:rFonts w:cs="Times New Roman" w:hint="eastAsia"/>
        </w:rPr>
        <w:t>备用电源供电。</w:t>
      </w:r>
    </w:p>
    <w:p w14:paraId="62D1BCD6" w14:textId="77777777" w:rsidR="00EF4562" w:rsidRDefault="00000000">
      <w:pPr>
        <w:ind w:firstLine="560"/>
        <w:rPr>
          <w:rFonts w:cs="Times New Roman"/>
        </w:rPr>
      </w:pPr>
      <w:r>
        <w:rPr>
          <w:rFonts w:cs="Times New Roman" w:hint="eastAsia"/>
        </w:rPr>
        <w:t>供电方案：该站电源由市政供电，配电系统接地型式采用</w:t>
      </w:r>
      <w:r>
        <w:rPr>
          <w:rFonts w:cs="Times New Roman" w:hint="eastAsia"/>
        </w:rPr>
        <w:t>TN-S</w:t>
      </w:r>
      <w:r>
        <w:rPr>
          <w:rFonts w:cs="Times New Roman" w:hint="eastAsia"/>
        </w:rPr>
        <w:t>系统。</w:t>
      </w:r>
      <w:r>
        <w:rPr>
          <w:rFonts w:cs="Times New Roman" w:hint="eastAsia"/>
        </w:rPr>
        <w:lastRenderedPageBreak/>
        <w:t>设置</w:t>
      </w:r>
      <w:r>
        <w:rPr>
          <w:rFonts w:cs="Times New Roman" w:hint="eastAsia"/>
        </w:rPr>
        <w:t>1</w:t>
      </w:r>
      <w:r>
        <w:rPr>
          <w:rFonts w:cs="Times New Roman" w:hint="eastAsia"/>
        </w:rPr>
        <w:t>台</w:t>
      </w:r>
      <w:r>
        <w:rPr>
          <w:rFonts w:cs="Times New Roman" w:hint="eastAsia"/>
        </w:rPr>
        <w:t>150kW</w:t>
      </w:r>
      <w:r>
        <w:rPr>
          <w:rFonts w:cs="Times New Roman" w:hint="eastAsia"/>
        </w:rPr>
        <w:t>柴油发电机作为备用电源。信息系统及视频监控系统设置</w:t>
      </w:r>
      <w:r>
        <w:rPr>
          <w:rFonts w:cs="Times New Roman" w:hint="eastAsia"/>
        </w:rPr>
        <w:t>UPS</w:t>
      </w:r>
      <w:r>
        <w:rPr>
          <w:rFonts w:cs="Times New Roman" w:hint="eastAsia"/>
        </w:rPr>
        <w:t>备用电源。</w:t>
      </w:r>
    </w:p>
    <w:p w14:paraId="2346388F" w14:textId="77777777" w:rsidR="00EF4562" w:rsidRDefault="00000000">
      <w:pPr>
        <w:ind w:firstLine="560"/>
        <w:rPr>
          <w:rFonts w:cs="Times New Roman"/>
        </w:rPr>
      </w:pPr>
      <w:bookmarkStart w:id="20" w:name="_Hlk206847651"/>
      <w:r>
        <w:rPr>
          <w:rFonts w:cs="Times New Roman" w:hint="eastAsia"/>
        </w:rPr>
        <w:t>（</w:t>
      </w:r>
      <w:r>
        <w:rPr>
          <w:rFonts w:cs="Times New Roman" w:hint="eastAsia"/>
        </w:rPr>
        <w:t>2</w:t>
      </w:r>
      <w:r>
        <w:rPr>
          <w:rFonts w:cs="Times New Roman" w:hint="eastAsia"/>
        </w:rPr>
        <w:t>）爆炸危险区域电气设备选型</w:t>
      </w:r>
    </w:p>
    <w:bookmarkEnd w:id="20"/>
    <w:p w14:paraId="57F47F1E" w14:textId="77777777" w:rsidR="00EF4562" w:rsidRDefault="00000000">
      <w:pPr>
        <w:ind w:firstLine="560"/>
        <w:rPr>
          <w:rFonts w:cs="Times New Roman"/>
        </w:rPr>
      </w:pPr>
      <w:r>
        <w:rPr>
          <w:rFonts w:cs="Times New Roman" w:hint="eastAsia"/>
        </w:rPr>
        <w:t>站房、罩棚、配电室等设应急照明灯，应急照明电源采用自带蓄电池，连续供电时间不少于</w:t>
      </w:r>
      <w:r>
        <w:rPr>
          <w:rFonts w:cs="Times New Roman" w:hint="eastAsia"/>
        </w:rPr>
        <w:t>90min</w:t>
      </w:r>
      <w:r>
        <w:rPr>
          <w:rFonts w:cs="Times New Roman" w:hint="eastAsia"/>
        </w:rPr>
        <w:t>。</w:t>
      </w:r>
    </w:p>
    <w:p w14:paraId="59BD9271" w14:textId="77777777" w:rsidR="00EF4562" w:rsidRDefault="00000000">
      <w:pPr>
        <w:ind w:firstLine="560"/>
        <w:rPr>
          <w:rFonts w:cs="Times New Roman"/>
        </w:rPr>
      </w:pPr>
      <w:r>
        <w:rPr>
          <w:rFonts w:cs="Times New Roman" w:hint="eastAsia"/>
        </w:rPr>
        <w:t>罩棚、站房等建构筑物的照明灯具，选用非防爆型，罩棚下的灯具选用防护等级</w:t>
      </w:r>
      <w:r>
        <w:rPr>
          <w:rFonts w:cs="Times New Roman" w:hint="eastAsia"/>
        </w:rPr>
        <w:t>IP44</w:t>
      </w:r>
      <w:r>
        <w:rPr>
          <w:rFonts w:cs="Times New Roman" w:hint="eastAsia"/>
        </w:rPr>
        <w:t>的节能型照明灯具。</w:t>
      </w:r>
    </w:p>
    <w:p w14:paraId="58A7CC25" w14:textId="77777777" w:rsidR="00EF4562" w:rsidRDefault="00000000">
      <w:pPr>
        <w:ind w:firstLine="560"/>
        <w:rPr>
          <w:rFonts w:cs="Times New Roman"/>
        </w:rPr>
      </w:pPr>
      <w:r>
        <w:rPr>
          <w:rFonts w:cs="Times New Roman" w:hint="eastAsia"/>
        </w:rPr>
        <w:t>爆炸危险区域内安装的电气设备、仪表选用符合相应等级的防爆型设备，爆炸危险区域电气设备电缆接线采用防爆挠性管保护，电气线路套管穿过不同区域之间的孔洞采用非燃性材料严密封堵，在爆炸性气体环境</w:t>
      </w:r>
      <w:r>
        <w:rPr>
          <w:rFonts w:cs="Times New Roman" w:hint="eastAsia"/>
        </w:rPr>
        <w:t>1</w:t>
      </w:r>
      <w:r>
        <w:rPr>
          <w:rFonts w:cs="Times New Roman" w:hint="eastAsia"/>
        </w:rPr>
        <w:t>区、</w:t>
      </w:r>
      <w:r>
        <w:rPr>
          <w:rFonts w:cs="Times New Roman" w:hint="eastAsia"/>
        </w:rPr>
        <w:t>2</w:t>
      </w:r>
      <w:r>
        <w:rPr>
          <w:rFonts w:cs="Times New Roman" w:hint="eastAsia"/>
        </w:rPr>
        <w:t>区内钢管配线的电气线路用防爆胶泥做隔离密封。</w:t>
      </w:r>
    </w:p>
    <w:p w14:paraId="384F9224" w14:textId="77777777" w:rsidR="00EF4562" w:rsidRDefault="00000000">
      <w:pPr>
        <w:ind w:firstLine="560"/>
        <w:rPr>
          <w:rFonts w:cs="Times New Roman"/>
        </w:rPr>
      </w:pPr>
      <w:r>
        <w:rPr>
          <w:rFonts w:cs="Times New Roman" w:hint="eastAsia"/>
        </w:rPr>
        <w:t>爆炸危险区域照明灯具选用防爆型灯具，其防爆等级不低于</w:t>
      </w:r>
      <w:r>
        <w:rPr>
          <w:rFonts w:cs="Times New Roman" w:hint="eastAsia"/>
        </w:rPr>
        <w:t>ExdIIBT4</w:t>
      </w:r>
      <w:r>
        <w:rPr>
          <w:rFonts w:cs="Times New Roman" w:hint="eastAsia"/>
        </w:rPr>
        <w:t>级。</w:t>
      </w:r>
    </w:p>
    <w:p w14:paraId="5FA63BBA" w14:textId="77777777" w:rsidR="00EF4562" w:rsidRDefault="00000000">
      <w:pPr>
        <w:ind w:firstLine="560"/>
        <w:rPr>
          <w:rFonts w:cs="Times New Roman"/>
        </w:rPr>
      </w:pPr>
      <w:r>
        <w:rPr>
          <w:rFonts w:cs="Times New Roman" w:hint="eastAsia"/>
        </w:rPr>
        <w:t>（</w:t>
      </w:r>
      <w:r>
        <w:rPr>
          <w:rFonts w:cs="Times New Roman" w:hint="eastAsia"/>
        </w:rPr>
        <w:t>3</w:t>
      </w:r>
      <w:r>
        <w:rPr>
          <w:rFonts w:cs="Times New Roman" w:hint="eastAsia"/>
        </w:rPr>
        <w:t>）防雷、防静电接地</w:t>
      </w:r>
    </w:p>
    <w:p w14:paraId="074E47CF" w14:textId="77777777" w:rsidR="00EF4562" w:rsidRDefault="00000000">
      <w:pPr>
        <w:ind w:firstLine="560"/>
        <w:rPr>
          <w:rFonts w:cs="Times New Roman"/>
        </w:rPr>
      </w:pPr>
      <w:r>
        <w:rPr>
          <w:rFonts w:cs="Times New Roman" w:hint="eastAsia"/>
        </w:rPr>
        <w:t>防雷接地、防静电接地、电气设备的工作接地、保护接地及信息系统的接地采用共用接地装置，接地电阻不应大于</w:t>
      </w:r>
      <w:r>
        <w:rPr>
          <w:rFonts w:cs="Times New Roman" w:hint="eastAsia"/>
        </w:rPr>
        <w:t>4</w:t>
      </w:r>
      <w:r>
        <w:rPr>
          <w:rFonts w:cs="Times New Roman" w:hint="eastAsia"/>
        </w:rPr>
        <w:t>Ω。</w:t>
      </w:r>
    </w:p>
    <w:p w14:paraId="61257FA1" w14:textId="77777777" w:rsidR="00EF4562" w:rsidRDefault="00000000">
      <w:pPr>
        <w:ind w:firstLine="560"/>
        <w:rPr>
          <w:rFonts w:cs="Times New Roman"/>
        </w:rPr>
      </w:pPr>
      <w:r>
        <w:rPr>
          <w:rFonts w:cs="Times New Roman" w:hint="eastAsia"/>
        </w:rPr>
        <w:t>加油机内部均进行接地；对金属管道的法兰等的连接处采取导线跨接；在供配电系统的电源端安装与设备耐压水平相适应的过电压（电涌）保护器。</w:t>
      </w:r>
      <w:bookmarkEnd w:id="19"/>
    </w:p>
    <w:p w14:paraId="769E1C80" w14:textId="77777777" w:rsidR="00EF4562" w:rsidRDefault="00000000">
      <w:pPr>
        <w:spacing w:beforeLines="50" w:before="156" w:afterLines="50" w:after="156"/>
        <w:ind w:firstLine="562"/>
        <w:outlineLvl w:val="2"/>
        <w:rPr>
          <w:rFonts w:ascii="黑体" w:eastAsia="黑体" w:hAnsi="黑体" w:hint="eastAsia"/>
          <w:b/>
          <w:bCs/>
        </w:rPr>
      </w:pPr>
      <w:r>
        <w:rPr>
          <w:rFonts w:eastAsia="黑体" w:cs="Times New Roman"/>
          <w:b/>
          <w:bCs/>
        </w:rPr>
        <w:t>2.5.</w:t>
      </w:r>
      <w:r>
        <w:rPr>
          <w:rFonts w:eastAsia="黑体" w:cs="Times New Roman" w:hint="eastAsia"/>
          <w:b/>
          <w:bCs/>
        </w:rPr>
        <w:t>3</w:t>
      </w:r>
      <w:r>
        <w:rPr>
          <w:rFonts w:ascii="黑体" w:eastAsia="黑体" w:hAnsi="黑体" w:hint="eastAsia"/>
          <w:b/>
          <w:bCs/>
        </w:rPr>
        <w:t>自动控制</w:t>
      </w:r>
    </w:p>
    <w:p w14:paraId="2AB8529D" w14:textId="77777777" w:rsidR="00EF4562" w:rsidRDefault="00000000">
      <w:pPr>
        <w:ind w:firstLine="560"/>
        <w:rPr>
          <w:rFonts w:cs="Times New Roman"/>
          <w:szCs w:val="28"/>
          <w14:ligatures w14:val="none"/>
        </w:rPr>
      </w:pPr>
      <w:r>
        <w:rPr>
          <w:rFonts w:cs="Times New Roman" w:hint="eastAsia"/>
          <w:szCs w:val="28"/>
          <w14:ligatures w14:val="none"/>
        </w:rPr>
        <w:t>站内设置监测及信息管理系统。包括油罐液位监测系统、油罐防渗检测系统、视频监控系统、紧急切断装置和可燃气体报警器。</w:t>
      </w:r>
    </w:p>
    <w:p w14:paraId="7C460B1A"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1</w:t>
      </w:r>
      <w:r>
        <w:rPr>
          <w:rFonts w:cs="Times New Roman" w:hint="eastAsia"/>
          <w:szCs w:val="28"/>
          <w14:ligatures w14:val="none"/>
        </w:rPr>
        <w:t>）油罐液位监测系统</w:t>
      </w:r>
    </w:p>
    <w:p w14:paraId="2624DBE2" w14:textId="77777777" w:rsidR="00EF4562" w:rsidRDefault="00000000">
      <w:pPr>
        <w:ind w:firstLine="560"/>
        <w:rPr>
          <w:rFonts w:cs="Times New Roman"/>
          <w:szCs w:val="28"/>
          <w14:ligatures w14:val="none"/>
        </w:rPr>
      </w:pPr>
      <w:r>
        <w:rPr>
          <w:rFonts w:cs="Times New Roman" w:hint="eastAsia"/>
          <w:szCs w:val="28"/>
          <w14:ligatures w14:val="none"/>
        </w:rPr>
        <w:t>该站利旧原有液位监控系统，每台油罐上设置一台具有高液位报警功能的远传液位计，仪表检测信号远传至办公室。</w:t>
      </w:r>
    </w:p>
    <w:p w14:paraId="6F143541"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2</w:t>
      </w:r>
      <w:r>
        <w:rPr>
          <w:rFonts w:cs="Times New Roman" w:hint="eastAsia"/>
          <w:szCs w:val="28"/>
          <w14:ligatures w14:val="none"/>
        </w:rPr>
        <w:t>）防渗检测系统</w:t>
      </w:r>
    </w:p>
    <w:p w14:paraId="754BFBBE" w14:textId="77777777" w:rsidR="00EF4562" w:rsidRDefault="00000000">
      <w:pPr>
        <w:ind w:firstLine="560"/>
        <w:rPr>
          <w:rFonts w:cs="Times New Roman"/>
          <w:szCs w:val="28"/>
          <w14:ligatures w14:val="none"/>
        </w:rPr>
      </w:pPr>
      <w:r>
        <w:rPr>
          <w:rFonts w:cs="Times New Roman" w:hint="eastAsia"/>
          <w:szCs w:val="28"/>
          <w14:ligatures w14:val="none"/>
        </w:rPr>
        <w:lastRenderedPageBreak/>
        <w:t>油罐和双层管道分别设有油气渗漏检测报警装置。</w:t>
      </w:r>
    </w:p>
    <w:p w14:paraId="7F058F0C" w14:textId="77777777" w:rsidR="00EF4562" w:rsidRDefault="00000000">
      <w:pPr>
        <w:ind w:firstLine="560"/>
        <w:rPr>
          <w:rFonts w:cs="Times New Roman"/>
          <w:szCs w:val="28"/>
          <w14:ligatures w14:val="none"/>
        </w:rPr>
      </w:pPr>
      <w:r>
        <w:rPr>
          <w:rFonts w:cs="Times New Roman" w:hint="eastAsia"/>
          <w:szCs w:val="28"/>
          <w14:ligatures w14:val="none"/>
        </w:rPr>
        <w:t>该站利旧原有油罐油气渗漏检测报警装置，双层油罐设置渗漏检测立管，并设置在线监测系统，保证油罐内、外壁任何部位出现渗漏均能被发现。</w:t>
      </w:r>
    </w:p>
    <w:p w14:paraId="134DB646" w14:textId="77777777" w:rsidR="00EF4562" w:rsidRDefault="00000000">
      <w:pPr>
        <w:ind w:firstLine="560"/>
        <w:rPr>
          <w:rFonts w:cs="Times New Roman"/>
          <w:szCs w:val="28"/>
          <w14:ligatures w14:val="none"/>
        </w:rPr>
      </w:pPr>
      <w:r>
        <w:rPr>
          <w:rFonts w:cs="Times New Roman" w:hint="eastAsia"/>
          <w:szCs w:val="28"/>
          <w14:ligatures w14:val="none"/>
        </w:rPr>
        <w:t>该站利旧原有双层管道油气渗漏检测报警装置，双层管道泄漏检测系统由泄漏检测仪、泄漏探测器和集液罐组成，完成对双层管道的泄漏检测。泄漏探测器、集液罐安装在输油管道最低点处，泄漏检测仪设置在站房控制室内。泄漏检测仪具有</w:t>
      </w:r>
      <w:r>
        <w:rPr>
          <w:rFonts w:cs="Times New Roman" w:hint="eastAsia"/>
          <w:szCs w:val="28"/>
          <w14:ligatures w14:val="none"/>
        </w:rPr>
        <w:t>RS-485</w:t>
      </w:r>
      <w:r>
        <w:rPr>
          <w:rFonts w:cs="Times New Roman" w:hint="eastAsia"/>
          <w:szCs w:val="28"/>
          <w14:ligatures w14:val="none"/>
        </w:rPr>
        <w:t>通讯接口、声光报警、消音、故障自诊断等功能。</w:t>
      </w:r>
    </w:p>
    <w:p w14:paraId="27565919"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3</w:t>
      </w:r>
      <w:r>
        <w:rPr>
          <w:rFonts w:cs="Times New Roman" w:hint="eastAsia"/>
          <w:szCs w:val="28"/>
          <w14:ligatures w14:val="none"/>
        </w:rPr>
        <w:t>）视频监控系统</w:t>
      </w:r>
    </w:p>
    <w:p w14:paraId="36A4DA5E" w14:textId="77777777" w:rsidR="00EF4562" w:rsidRDefault="00000000">
      <w:pPr>
        <w:ind w:firstLine="560"/>
        <w:rPr>
          <w:rFonts w:cs="Times New Roman"/>
          <w:szCs w:val="28"/>
          <w14:ligatures w14:val="none"/>
        </w:rPr>
      </w:pPr>
      <w:r>
        <w:rPr>
          <w:rFonts w:cs="Times New Roman" w:hint="eastAsia"/>
          <w:szCs w:val="28"/>
          <w14:ligatures w14:val="none"/>
        </w:rPr>
        <w:t>该站利旧原有视频监控系统，监控范围可覆盖加油作业区及储罐区。采集的视频图像信息保存期限不少于</w:t>
      </w:r>
      <w:r>
        <w:rPr>
          <w:rFonts w:cs="Times New Roman" w:hint="eastAsia"/>
          <w:szCs w:val="28"/>
          <w14:ligatures w14:val="none"/>
        </w:rPr>
        <w:t>90d</w:t>
      </w:r>
      <w:r>
        <w:rPr>
          <w:rFonts w:cs="Times New Roman" w:hint="eastAsia"/>
          <w:szCs w:val="28"/>
          <w14:ligatures w14:val="none"/>
        </w:rPr>
        <w:t>。</w:t>
      </w:r>
    </w:p>
    <w:p w14:paraId="6D5A0A28"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4</w:t>
      </w:r>
      <w:r>
        <w:rPr>
          <w:rFonts w:cs="Times New Roman" w:hint="eastAsia"/>
          <w:szCs w:val="28"/>
          <w14:ligatures w14:val="none"/>
        </w:rPr>
        <w:t>）紧急切断系统</w:t>
      </w:r>
    </w:p>
    <w:p w14:paraId="3244A1B5" w14:textId="77777777" w:rsidR="00EF4562" w:rsidRDefault="00000000">
      <w:pPr>
        <w:ind w:firstLine="560"/>
        <w:rPr>
          <w:rFonts w:cs="Times New Roman"/>
          <w:szCs w:val="28"/>
          <w14:ligatures w14:val="none"/>
        </w:rPr>
      </w:pPr>
      <w:r>
        <w:rPr>
          <w:rFonts w:cs="Times New Roman" w:hint="eastAsia"/>
          <w:szCs w:val="28"/>
          <w14:ligatures w14:val="none"/>
        </w:rPr>
        <w:t>该站设有紧急切断系统，该系统能在事故状态下实现紧急停车和关闭紧急切断阀的保护功能。紧急切断系统只能手动复位</w:t>
      </w:r>
      <w:r>
        <w:rPr>
          <w:rFonts w:cs="Times New Roman"/>
          <w:szCs w:val="28"/>
          <w14:ligatures w14:val="none"/>
        </w:rPr>
        <w:t>。</w:t>
      </w:r>
    </w:p>
    <w:p w14:paraId="0DFC7C4A" w14:textId="77777777" w:rsidR="00EF4562" w:rsidRDefault="00000000">
      <w:pPr>
        <w:ind w:firstLine="560"/>
        <w:rPr>
          <w:rFonts w:cs="Times New Roman"/>
          <w:szCs w:val="28"/>
          <w14:ligatures w14:val="none"/>
        </w:rPr>
      </w:pPr>
      <w:r>
        <w:rPr>
          <w:rFonts w:cs="Times New Roman" w:hint="eastAsia"/>
          <w:szCs w:val="28"/>
          <w14:ligatures w14:val="none"/>
        </w:rPr>
        <w:t>（</w:t>
      </w:r>
      <w:r>
        <w:rPr>
          <w:rFonts w:cs="Times New Roman" w:hint="eastAsia"/>
          <w:szCs w:val="28"/>
          <w14:ligatures w14:val="none"/>
        </w:rPr>
        <w:t>5</w:t>
      </w:r>
      <w:r>
        <w:rPr>
          <w:rFonts w:cs="Times New Roman" w:hint="eastAsia"/>
          <w:szCs w:val="28"/>
          <w14:ligatures w14:val="none"/>
        </w:rPr>
        <w:t>）可燃气体报警器</w:t>
      </w:r>
    </w:p>
    <w:p w14:paraId="2A38ED10" w14:textId="77777777" w:rsidR="00EF4562" w:rsidRDefault="00000000">
      <w:pPr>
        <w:ind w:firstLine="560"/>
        <w:rPr>
          <w:rFonts w:cs="Times New Roman"/>
          <w:szCs w:val="28"/>
          <w14:ligatures w14:val="none"/>
        </w:rPr>
      </w:pPr>
      <w:r>
        <w:rPr>
          <w:rFonts w:cs="Times New Roman" w:hint="eastAsia"/>
          <w:szCs w:val="28"/>
          <w14:ligatures w14:val="none"/>
        </w:rPr>
        <w:t>该站设置</w:t>
      </w:r>
      <w:r>
        <w:rPr>
          <w:rFonts w:cs="Times New Roman" w:hint="eastAsia"/>
          <w:szCs w:val="28"/>
          <w14:ligatures w14:val="none"/>
        </w:rPr>
        <w:t>2</w:t>
      </w:r>
      <w:r>
        <w:rPr>
          <w:rFonts w:cs="Times New Roman" w:hint="eastAsia"/>
          <w:szCs w:val="28"/>
          <w14:ligatures w14:val="none"/>
        </w:rPr>
        <w:t>台可燃气体报警器，分别位于</w:t>
      </w:r>
      <w:r>
        <w:rPr>
          <w:rFonts w:cs="Times New Roman" w:hint="eastAsia"/>
          <w:szCs w:val="28"/>
          <w14:ligatures w14:val="none"/>
        </w:rPr>
        <w:t>J102</w:t>
      </w:r>
      <w:r>
        <w:rPr>
          <w:rFonts w:cs="Times New Roman" w:hint="eastAsia"/>
          <w:szCs w:val="28"/>
          <w14:ligatures w14:val="none"/>
        </w:rPr>
        <w:t>车用乙醇汽油加油机、</w:t>
      </w:r>
      <w:r>
        <w:rPr>
          <w:rFonts w:cs="Times New Roman" w:hint="eastAsia"/>
          <w:szCs w:val="28"/>
          <w14:ligatures w14:val="none"/>
        </w:rPr>
        <w:t>J105</w:t>
      </w:r>
      <w:r>
        <w:rPr>
          <w:rFonts w:cs="Times New Roman" w:hint="eastAsia"/>
          <w:szCs w:val="28"/>
          <w14:ligatures w14:val="none"/>
        </w:rPr>
        <w:t>柴油加油机上（本次改造不涉及），探测器水平覆盖范围为</w:t>
      </w:r>
      <w:r>
        <w:rPr>
          <w:rFonts w:cs="Times New Roman" w:hint="eastAsia"/>
          <w:szCs w:val="28"/>
          <w14:ligatures w14:val="none"/>
        </w:rPr>
        <w:t>10m</w:t>
      </w:r>
      <w:r>
        <w:rPr>
          <w:rFonts w:cs="Times New Roman" w:hint="eastAsia"/>
          <w:szCs w:val="28"/>
          <w14:ligatures w14:val="none"/>
        </w:rPr>
        <w:t>，安装高度距地面</w:t>
      </w:r>
      <w:r>
        <w:rPr>
          <w:rFonts w:cs="Times New Roman" w:hint="eastAsia"/>
          <w:szCs w:val="28"/>
          <w14:ligatures w14:val="none"/>
        </w:rPr>
        <w:t>0.3m</w:t>
      </w:r>
      <w:r>
        <w:rPr>
          <w:rFonts w:cs="Times New Roman" w:hint="eastAsia"/>
          <w:szCs w:val="28"/>
          <w14:ligatures w14:val="none"/>
        </w:rPr>
        <w:t>。当可燃气体浓度达到爆炸下限</w:t>
      </w:r>
      <w:r>
        <w:rPr>
          <w:rFonts w:cs="Times New Roman" w:hint="eastAsia"/>
          <w:szCs w:val="28"/>
          <w14:ligatures w14:val="none"/>
        </w:rPr>
        <w:t>25%</w:t>
      </w:r>
      <w:r>
        <w:rPr>
          <w:rFonts w:cs="Times New Roman" w:hint="eastAsia"/>
          <w:szCs w:val="28"/>
          <w14:ligatures w14:val="none"/>
        </w:rPr>
        <w:t>时实现现场声光报警。</w:t>
      </w:r>
    </w:p>
    <w:p w14:paraId="64EB51E8" w14:textId="77777777" w:rsidR="00EF4562" w:rsidRDefault="00000000">
      <w:pPr>
        <w:keepNext/>
        <w:spacing w:beforeLines="50" w:before="156" w:afterLines="50" w:after="156"/>
        <w:ind w:firstLine="562"/>
        <w:outlineLvl w:val="2"/>
        <w:rPr>
          <w:rFonts w:ascii="黑体" w:eastAsia="黑体" w:hAnsi="黑体" w:hint="eastAsia"/>
          <w:b/>
          <w:bCs/>
        </w:rPr>
      </w:pPr>
      <w:r>
        <w:rPr>
          <w:rFonts w:eastAsia="黑体" w:cs="Times New Roman"/>
          <w:b/>
          <w:bCs/>
        </w:rPr>
        <w:t>2.5.</w:t>
      </w:r>
      <w:r>
        <w:rPr>
          <w:rFonts w:eastAsia="黑体" w:cs="Times New Roman" w:hint="eastAsia"/>
          <w:b/>
          <w:bCs/>
        </w:rPr>
        <w:t>4</w:t>
      </w:r>
      <w:r>
        <w:rPr>
          <w:rFonts w:ascii="黑体" w:eastAsia="黑体" w:hAnsi="黑体" w:hint="eastAsia"/>
          <w:b/>
          <w:bCs/>
        </w:rPr>
        <w:t>消防</w:t>
      </w:r>
    </w:p>
    <w:p w14:paraId="32B21BFB" w14:textId="77777777" w:rsidR="00EF4562" w:rsidRDefault="00000000">
      <w:pPr>
        <w:ind w:firstLine="560"/>
        <w:rPr>
          <w:rFonts w:cs="Times New Roman"/>
          <w:szCs w:val="28"/>
          <w14:ligatures w14:val="none"/>
        </w:rPr>
      </w:pPr>
      <w:r>
        <w:rPr>
          <w:rFonts w:cs="Times New Roman" w:hint="eastAsia"/>
          <w:szCs w:val="28"/>
          <w14:ligatures w14:val="none"/>
        </w:rPr>
        <w:t>根据《汽车加油加气加氢站技术标准》（</w:t>
      </w:r>
      <w:r>
        <w:rPr>
          <w:rFonts w:cs="Times New Roman" w:hint="eastAsia"/>
          <w:szCs w:val="28"/>
          <w14:ligatures w14:val="none"/>
        </w:rPr>
        <w:t>GB 50156-2021</w:t>
      </w:r>
      <w:r>
        <w:rPr>
          <w:rFonts w:cs="Times New Roman" w:hint="eastAsia"/>
          <w:szCs w:val="28"/>
          <w14:ligatures w14:val="none"/>
        </w:rPr>
        <w:t>）第</w:t>
      </w:r>
      <w:r>
        <w:rPr>
          <w:rFonts w:cs="Times New Roman" w:hint="eastAsia"/>
          <w:szCs w:val="28"/>
          <w14:ligatures w14:val="none"/>
        </w:rPr>
        <w:t>12.2.3</w:t>
      </w:r>
      <w:r>
        <w:rPr>
          <w:rFonts w:cs="Times New Roman" w:hint="eastAsia"/>
          <w:szCs w:val="28"/>
          <w14:ligatures w14:val="none"/>
        </w:rPr>
        <w:t>条，合建站中地上</w:t>
      </w:r>
      <w:r>
        <w:rPr>
          <w:rFonts w:cs="Times New Roman" w:hint="eastAsia"/>
          <w:szCs w:val="28"/>
          <w14:ligatures w14:val="none"/>
        </w:rPr>
        <w:t>LNG</w:t>
      </w:r>
      <w:r>
        <w:rPr>
          <w:rFonts w:cs="Times New Roman" w:hint="eastAsia"/>
          <w:szCs w:val="28"/>
          <w14:ligatures w14:val="none"/>
        </w:rPr>
        <w:t>储罐总容积不大于</w:t>
      </w:r>
      <w:r>
        <w:rPr>
          <w:rFonts w:cs="Times New Roman" w:hint="eastAsia"/>
          <w:szCs w:val="28"/>
          <w14:ligatures w14:val="none"/>
        </w:rPr>
        <w:t>60m</w:t>
      </w:r>
      <w:r>
        <w:rPr>
          <w:rFonts w:cs="Times New Roman" w:hint="eastAsia"/>
          <w:szCs w:val="28"/>
          <w:vertAlign w:val="superscript"/>
          <w14:ligatures w14:val="none"/>
        </w:rPr>
        <w:t>3</w:t>
      </w:r>
      <w:r>
        <w:rPr>
          <w:rFonts w:cs="Times New Roman" w:hint="eastAsia"/>
          <w:szCs w:val="28"/>
          <w14:ligatures w14:val="none"/>
        </w:rPr>
        <w:t>时，可不设消防给水系统。</w:t>
      </w:r>
    </w:p>
    <w:p w14:paraId="75E838D5" w14:textId="77777777" w:rsidR="00EF4562" w:rsidRDefault="00000000">
      <w:pPr>
        <w:ind w:firstLine="560"/>
        <w:rPr>
          <w:rFonts w:cs="Times New Roman"/>
          <w:szCs w:val="28"/>
          <w14:ligatures w14:val="none"/>
        </w:rPr>
      </w:pPr>
      <w:r>
        <w:rPr>
          <w:rFonts w:cs="Times New Roman" w:hint="eastAsia"/>
          <w:szCs w:val="28"/>
          <w14:ligatures w14:val="none"/>
        </w:rPr>
        <w:t>该站加油区设有</w:t>
      </w:r>
      <w:r>
        <w:rPr>
          <w:rFonts w:cs="Times New Roman" w:hint="eastAsia"/>
          <w:szCs w:val="28"/>
          <w14:ligatures w14:val="none"/>
        </w:rPr>
        <w:t>12</w:t>
      </w:r>
      <w:r>
        <w:rPr>
          <w:rFonts w:cs="Times New Roman" w:hint="eastAsia"/>
          <w:szCs w:val="28"/>
          <w14:ligatures w14:val="none"/>
        </w:rPr>
        <w:t>具</w:t>
      </w:r>
      <w:r>
        <w:rPr>
          <w:rFonts w:cs="Times New Roman" w:hint="eastAsia"/>
          <w:szCs w:val="28"/>
          <w14:ligatures w14:val="none"/>
        </w:rPr>
        <w:t>4kg</w:t>
      </w:r>
      <w:r>
        <w:rPr>
          <w:rFonts w:cs="Times New Roman" w:hint="eastAsia"/>
          <w:szCs w:val="28"/>
          <w14:ligatures w14:val="none"/>
        </w:rPr>
        <w:t>手提式干粉灭火器、</w:t>
      </w:r>
      <w:r>
        <w:rPr>
          <w:rFonts w:cs="Times New Roman" w:hint="eastAsia"/>
          <w:szCs w:val="28"/>
          <w14:ligatures w14:val="none"/>
        </w:rPr>
        <w:t>10</w:t>
      </w:r>
      <w:r>
        <w:rPr>
          <w:rFonts w:cs="Times New Roman" w:hint="eastAsia"/>
          <w:szCs w:val="28"/>
          <w14:ligatures w14:val="none"/>
        </w:rPr>
        <w:t>块灭火毯；储罐区配备</w:t>
      </w:r>
      <w:r>
        <w:rPr>
          <w:rFonts w:cs="Times New Roman" w:hint="eastAsia"/>
          <w:szCs w:val="28"/>
          <w14:ligatures w14:val="none"/>
        </w:rPr>
        <w:t>1</w:t>
      </w:r>
      <w:r>
        <w:rPr>
          <w:rFonts w:cs="Times New Roman" w:hint="eastAsia"/>
          <w:szCs w:val="28"/>
          <w14:ligatures w14:val="none"/>
        </w:rPr>
        <w:t>台</w:t>
      </w:r>
      <w:r>
        <w:rPr>
          <w:rFonts w:cs="Times New Roman" w:hint="eastAsia"/>
          <w:szCs w:val="28"/>
          <w14:ligatures w14:val="none"/>
        </w:rPr>
        <w:t>35kg</w:t>
      </w:r>
      <w:r>
        <w:rPr>
          <w:rFonts w:cs="Times New Roman" w:hint="eastAsia"/>
          <w:szCs w:val="28"/>
          <w14:ligatures w14:val="none"/>
        </w:rPr>
        <w:t>推车式干粉灭火器、</w:t>
      </w:r>
      <w:r>
        <w:rPr>
          <w:rFonts w:cs="Times New Roman" w:hint="eastAsia"/>
          <w:szCs w:val="28"/>
          <w14:ligatures w14:val="none"/>
        </w:rPr>
        <w:t>2m</w:t>
      </w:r>
      <w:r>
        <w:rPr>
          <w:rFonts w:cs="Times New Roman" w:hint="eastAsia"/>
          <w:szCs w:val="28"/>
          <w:vertAlign w:val="superscript"/>
          <w14:ligatures w14:val="none"/>
        </w:rPr>
        <w:t>3</w:t>
      </w:r>
      <w:r>
        <w:rPr>
          <w:rFonts w:cs="Times New Roman" w:hint="eastAsia"/>
          <w:szCs w:val="28"/>
          <w14:ligatures w14:val="none"/>
        </w:rPr>
        <w:t>消防沙；站房内配备</w:t>
      </w:r>
      <w:r>
        <w:rPr>
          <w:rFonts w:cs="Times New Roman" w:hint="eastAsia"/>
          <w:szCs w:val="28"/>
          <w14:ligatures w14:val="none"/>
        </w:rPr>
        <w:t>6</w:t>
      </w:r>
      <w:r>
        <w:rPr>
          <w:rFonts w:cs="Times New Roman" w:hint="eastAsia"/>
          <w:szCs w:val="28"/>
          <w14:ligatures w14:val="none"/>
        </w:rPr>
        <w:t>具</w:t>
      </w:r>
      <w:r>
        <w:rPr>
          <w:rFonts w:cs="Times New Roman" w:hint="eastAsia"/>
          <w:szCs w:val="28"/>
          <w14:ligatures w14:val="none"/>
        </w:rPr>
        <w:t>5kg</w:t>
      </w:r>
      <w:r>
        <w:rPr>
          <w:rFonts w:cs="Times New Roman" w:hint="eastAsia"/>
          <w:szCs w:val="28"/>
          <w14:ligatures w14:val="none"/>
        </w:rPr>
        <w:t>手提式干粉灭火器。</w:t>
      </w:r>
    </w:p>
    <w:p w14:paraId="68D93C9C" w14:textId="77777777" w:rsidR="00EF4562" w:rsidRDefault="00000000">
      <w:pPr>
        <w:keepNext/>
        <w:spacing w:beforeLines="50" w:before="156" w:afterLines="50" w:after="156"/>
        <w:ind w:firstLine="562"/>
        <w:outlineLvl w:val="2"/>
        <w:rPr>
          <w:rFonts w:eastAsia="黑体" w:cs="Times New Roman"/>
          <w:b/>
          <w:bCs/>
        </w:rPr>
      </w:pPr>
      <w:r>
        <w:rPr>
          <w:rFonts w:eastAsia="黑体" w:cs="Times New Roman"/>
          <w:b/>
          <w:bCs/>
        </w:rPr>
        <w:lastRenderedPageBreak/>
        <w:t>2.5.</w:t>
      </w:r>
      <w:r>
        <w:rPr>
          <w:rFonts w:eastAsia="黑体" w:cs="Times New Roman" w:hint="eastAsia"/>
          <w:b/>
          <w:bCs/>
        </w:rPr>
        <w:t>5</w:t>
      </w:r>
      <w:r>
        <w:rPr>
          <w:rFonts w:eastAsia="黑体" w:cs="Times New Roman" w:hint="eastAsia"/>
          <w:b/>
          <w:bCs/>
        </w:rPr>
        <w:t>运输</w:t>
      </w:r>
    </w:p>
    <w:p w14:paraId="70F728FA" w14:textId="77777777" w:rsidR="00EF4562" w:rsidRDefault="00000000">
      <w:pPr>
        <w:ind w:firstLine="560"/>
      </w:pPr>
      <w:r>
        <w:rPr>
          <w:rFonts w:hint="eastAsia"/>
        </w:rPr>
        <w:t>该站不负责所经营的车用乙醇汽油、柴油运输，委托有危险化学品运输资质的企业负责运输。</w:t>
      </w:r>
    </w:p>
    <w:p w14:paraId="54EBE5C5" w14:textId="77777777" w:rsidR="00EF4562" w:rsidRDefault="00000000">
      <w:pPr>
        <w:keepNext/>
        <w:keepLines/>
        <w:spacing w:beforeLines="100" w:before="312" w:afterLines="100" w:after="312"/>
        <w:ind w:firstLineChars="0" w:firstLine="0"/>
        <w:jc w:val="center"/>
        <w:outlineLvl w:val="1"/>
        <w:rPr>
          <w:rFonts w:ascii="楷体" w:eastAsia="楷体" w:hAnsi="楷体" w:hint="eastAsia"/>
          <w:b/>
          <w:bCs/>
          <w:sz w:val="32"/>
          <w:szCs w:val="32"/>
        </w:rPr>
      </w:pPr>
      <w:bookmarkStart w:id="21" w:name="_Toc207695628"/>
      <w:r>
        <w:rPr>
          <w:rFonts w:eastAsia="楷体" w:cs="Times New Roman"/>
          <w:b/>
          <w:bCs/>
          <w:sz w:val="32"/>
          <w:szCs w:val="32"/>
        </w:rPr>
        <w:t>2.6</w:t>
      </w:r>
      <w:r>
        <w:rPr>
          <w:rFonts w:ascii="楷体" w:eastAsia="楷体" w:hAnsi="楷体" w:hint="eastAsia"/>
          <w:b/>
          <w:bCs/>
          <w:sz w:val="32"/>
          <w:szCs w:val="32"/>
        </w:rPr>
        <w:t>建设项目选用的主要装置（设备）设施名称、型号、材质、数量和主要特种设备</w:t>
      </w:r>
      <w:bookmarkEnd w:id="21"/>
    </w:p>
    <w:p w14:paraId="78DAA695" w14:textId="77777777" w:rsidR="00EF4562" w:rsidRDefault="00000000">
      <w:pPr>
        <w:keepNext/>
        <w:keepLines/>
        <w:spacing w:beforeLines="50" w:before="156" w:afterLines="50" w:after="156"/>
        <w:ind w:firstLine="562"/>
        <w:outlineLvl w:val="2"/>
        <w:rPr>
          <w:rFonts w:ascii="黑体" w:eastAsia="黑体" w:hAnsi="黑体" w:hint="eastAsia"/>
          <w:b/>
          <w:bCs/>
        </w:rPr>
      </w:pPr>
      <w:r>
        <w:rPr>
          <w:rFonts w:eastAsia="黑体" w:cs="Times New Roman"/>
          <w:b/>
          <w:bCs/>
        </w:rPr>
        <w:t>2.6.1</w:t>
      </w:r>
      <w:r>
        <w:rPr>
          <w:rFonts w:ascii="黑体" w:eastAsia="黑体" w:hAnsi="黑体" w:hint="eastAsia"/>
          <w:b/>
          <w:bCs/>
        </w:rPr>
        <w:t>主要设备、设施</w:t>
      </w:r>
    </w:p>
    <w:p w14:paraId="7735912B" w14:textId="77777777" w:rsidR="00EF4562" w:rsidRDefault="00000000">
      <w:pPr>
        <w:ind w:firstLine="560"/>
      </w:pPr>
      <w:r>
        <w:rPr>
          <w:rFonts w:hint="eastAsia"/>
        </w:rPr>
        <w:t>主要设备、设施详见下表。</w:t>
      </w:r>
    </w:p>
    <w:p w14:paraId="5D0F2651" w14:textId="77777777" w:rsidR="00EF4562"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2.6-1</w:t>
      </w:r>
      <w:r>
        <w:rPr>
          <w:rFonts w:ascii="黑体" w:eastAsia="黑体" w:hAnsi="黑体" w:hint="eastAsia"/>
          <w:sz w:val="24"/>
        </w:rPr>
        <w:t xml:space="preserve">  主要设备、设施一览表</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6"/>
        <w:gridCol w:w="2646"/>
        <w:gridCol w:w="1670"/>
        <w:gridCol w:w="1242"/>
        <w:gridCol w:w="2800"/>
      </w:tblGrid>
      <w:tr w:rsidR="00EF4562" w14:paraId="0F78CD35" w14:textId="77777777">
        <w:trPr>
          <w:cantSplit/>
          <w:trHeight w:val="567"/>
          <w:tblHeader/>
          <w:jc w:val="center"/>
        </w:trPr>
        <w:tc>
          <w:tcPr>
            <w:tcW w:w="445" w:type="pct"/>
            <w:vAlign w:val="center"/>
          </w:tcPr>
          <w:p w14:paraId="293DC978"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序号</w:t>
            </w:r>
          </w:p>
        </w:tc>
        <w:tc>
          <w:tcPr>
            <w:tcW w:w="1442" w:type="pct"/>
            <w:vAlign w:val="center"/>
          </w:tcPr>
          <w:p w14:paraId="4266C47B"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设备、设施名称</w:t>
            </w:r>
          </w:p>
        </w:tc>
        <w:tc>
          <w:tcPr>
            <w:tcW w:w="910" w:type="pct"/>
            <w:vAlign w:val="center"/>
          </w:tcPr>
          <w:p w14:paraId="7B8C6BE3"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规格型号</w:t>
            </w:r>
          </w:p>
        </w:tc>
        <w:tc>
          <w:tcPr>
            <w:tcW w:w="677" w:type="pct"/>
            <w:vAlign w:val="center"/>
          </w:tcPr>
          <w:p w14:paraId="5513CF10" w14:textId="77777777" w:rsidR="00EF4562" w:rsidRDefault="00000000">
            <w:pPr>
              <w:spacing w:line="240" w:lineRule="auto"/>
              <w:ind w:firstLineChars="0" w:firstLine="0"/>
              <w:jc w:val="center"/>
              <w:rPr>
                <w:rFonts w:cs="Times New Roman"/>
                <w:bCs/>
                <w:sz w:val="21"/>
                <w:szCs w:val="21"/>
                <w14:ligatures w14:val="none"/>
              </w:rPr>
            </w:pPr>
            <w:r>
              <w:rPr>
                <w:rFonts w:cs="Times New Roman" w:hint="eastAsia"/>
                <w:bCs/>
                <w:sz w:val="21"/>
                <w:szCs w:val="21"/>
                <w14:ligatures w14:val="none"/>
              </w:rPr>
              <w:t>数量</w:t>
            </w:r>
          </w:p>
        </w:tc>
        <w:tc>
          <w:tcPr>
            <w:tcW w:w="1526" w:type="pct"/>
            <w:vAlign w:val="center"/>
          </w:tcPr>
          <w:p w14:paraId="73FB6C5B"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备注</w:t>
            </w:r>
          </w:p>
        </w:tc>
      </w:tr>
      <w:tr w:rsidR="00EF4562" w14:paraId="7819E673" w14:textId="77777777">
        <w:trPr>
          <w:cantSplit/>
          <w:trHeight w:val="567"/>
          <w:jc w:val="center"/>
        </w:trPr>
        <w:tc>
          <w:tcPr>
            <w:tcW w:w="445" w:type="pct"/>
            <w:vAlign w:val="center"/>
          </w:tcPr>
          <w:p w14:paraId="28651E55"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4A495F9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车用乙醇汽油储罐</w:t>
            </w:r>
          </w:p>
        </w:tc>
        <w:tc>
          <w:tcPr>
            <w:tcW w:w="910" w:type="pct"/>
            <w:vAlign w:val="center"/>
          </w:tcPr>
          <w:p w14:paraId="7BE442D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35m</w:t>
            </w:r>
            <w:r>
              <w:rPr>
                <w:rFonts w:cs="Times New Roman" w:hint="eastAsia"/>
                <w:sz w:val="21"/>
                <w:szCs w:val="21"/>
                <w14:ligatures w14:val="none"/>
              </w:rPr>
              <w:t>³</w:t>
            </w:r>
          </w:p>
        </w:tc>
        <w:tc>
          <w:tcPr>
            <w:tcW w:w="677" w:type="pct"/>
            <w:vAlign w:val="center"/>
          </w:tcPr>
          <w:p w14:paraId="7EE469D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座</w:t>
            </w:r>
          </w:p>
        </w:tc>
        <w:tc>
          <w:tcPr>
            <w:tcW w:w="1526" w:type="pct"/>
            <w:vAlign w:val="center"/>
          </w:tcPr>
          <w:p w14:paraId="1BBE8C5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利旧、埋地、卧式、</w:t>
            </w:r>
            <w:r>
              <w:rPr>
                <w:rFonts w:cs="Times New Roman" w:hint="eastAsia"/>
                <w:sz w:val="21"/>
                <w:szCs w:val="21"/>
                <w14:ligatures w14:val="none"/>
              </w:rPr>
              <w:t>S</w:t>
            </w:r>
            <w:r>
              <w:rPr>
                <w:rFonts w:cs="Times New Roman"/>
                <w:sz w:val="21"/>
                <w:szCs w:val="21"/>
                <w14:ligatures w14:val="none"/>
              </w:rPr>
              <w:t>F</w:t>
            </w:r>
            <w:r>
              <w:rPr>
                <w:rFonts w:cs="Times New Roman" w:hint="eastAsia"/>
                <w:sz w:val="21"/>
                <w:szCs w:val="21"/>
                <w14:ligatures w14:val="none"/>
              </w:rPr>
              <w:t>罐</w:t>
            </w:r>
          </w:p>
        </w:tc>
      </w:tr>
      <w:tr w:rsidR="00EF4562" w14:paraId="7F471D96" w14:textId="77777777">
        <w:trPr>
          <w:cantSplit/>
          <w:trHeight w:val="567"/>
          <w:jc w:val="center"/>
        </w:trPr>
        <w:tc>
          <w:tcPr>
            <w:tcW w:w="445" w:type="pct"/>
            <w:vAlign w:val="center"/>
          </w:tcPr>
          <w:p w14:paraId="14AAC09E"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14:ligatures w14:val="none"/>
              </w:rPr>
            </w:pPr>
          </w:p>
        </w:tc>
        <w:tc>
          <w:tcPr>
            <w:tcW w:w="1442" w:type="pct"/>
            <w:vAlign w:val="center"/>
          </w:tcPr>
          <w:p w14:paraId="75AC242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柴油储罐</w:t>
            </w:r>
          </w:p>
        </w:tc>
        <w:tc>
          <w:tcPr>
            <w:tcW w:w="910" w:type="pct"/>
            <w:vAlign w:val="center"/>
          </w:tcPr>
          <w:p w14:paraId="67F47D5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40</w:t>
            </w:r>
            <w:r>
              <w:rPr>
                <w:rFonts w:cs="Times New Roman"/>
                <w:sz w:val="21"/>
                <w:szCs w:val="21"/>
                <w14:ligatures w14:val="none"/>
              </w:rPr>
              <w:t>m</w:t>
            </w:r>
            <w:r>
              <w:rPr>
                <w:rFonts w:cs="Times New Roman"/>
                <w:sz w:val="21"/>
                <w:szCs w:val="21"/>
                <w:vertAlign w:val="superscript"/>
                <w14:ligatures w14:val="none"/>
              </w:rPr>
              <w:t>3</w:t>
            </w:r>
          </w:p>
        </w:tc>
        <w:tc>
          <w:tcPr>
            <w:tcW w:w="677" w:type="pct"/>
            <w:vAlign w:val="center"/>
          </w:tcPr>
          <w:p w14:paraId="2979F01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w:t>
            </w:r>
            <w:r>
              <w:rPr>
                <w:rFonts w:cs="Times New Roman"/>
                <w:sz w:val="21"/>
                <w:szCs w:val="21"/>
                <w14:ligatures w14:val="none"/>
              </w:rPr>
              <w:t>座</w:t>
            </w:r>
          </w:p>
        </w:tc>
        <w:tc>
          <w:tcPr>
            <w:tcW w:w="1526" w:type="pct"/>
            <w:vAlign w:val="center"/>
          </w:tcPr>
          <w:p w14:paraId="45FC68A3" w14:textId="77777777" w:rsidR="00EF4562" w:rsidRDefault="00000000">
            <w:pPr>
              <w:spacing w:line="240" w:lineRule="auto"/>
              <w:ind w:firstLineChars="0" w:firstLine="0"/>
              <w:jc w:val="center"/>
              <w:rPr>
                <w:rFonts w:cs="Times New Roman"/>
                <w:sz w:val="21"/>
                <w14:ligatures w14:val="none"/>
              </w:rPr>
            </w:pPr>
            <w:r>
              <w:rPr>
                <w:rFonts w:cs="Times New Roman" w:hint="eastAsia"/>
                <w:sz w:val="21"/>
                <w:szCs w:val="21"/>
                <w14:ligatures w14:val="none"/>
              </w:rPr>
              <w:t>利旧、埋地、卧式、</w:t>
            </w:r>
            <w:r>
              <w:rPr>
                <w:rFonts w:cs="Times New Roman" w:hint="eastAsia"/>
                <w:sz w:val="21"/>
                <w:szCs w:val="21"/>
                <w14:ligatures w14:val="none"/>
              </w:rPr>
              <w:t>S</w:t>
            </w:r>
            <w:r>
              <w:rPr>
                <w:rFonts w:cs="Times New Roman"/>
                <w:sz w:val="21"/>
                <w:szCs w:val="21"/>
                <w14:ligatures w14:val="none"/>
              </w:rPr>
              <w:t>F</w:t>
            </w:r>
            <w:r>
              <w:rPr>
                <w:rFonts w:cs="Times New Roman" w:hint="eastAsia"/>
                <w:sz w:val="21"/>
                <w:szCs w:val="21"/>
                <w14:ligatures w14:val="none"/>
              </w:rPr>
              <w:t>罐</w:t>
            </w:r>
          </w:p>
        </w:tc>
      </w:tr>
      <w:tr w:rsidR="00EF4562" w14:paraId="15FE7E95" w14:textId="77777777">
        <w:trPr>
          <w:cantSplit/>
          <w:trHeight w:val="567"/>
          <w:jc w:val="center"/>
        </w:trPr>
        <w:tc>
          <w:tcPr>
            <w:tcW w:w="445" w:type="pct"/>
            <w:vAlign w:val="center"/>
          </w:tcPr>
          <w:p w14:paraId="664704AB"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14:ligatures w14:val="none"/>
              </w:rPr>
            </w:pPr>
          </w:p>
        </w:tc>
        <w:tc>
          <w:tcPr>
            <w:tcW w:w="1442" w:type="pct"/>
            <w:vAlign w:val="center"/>
          </w:tcPr>
          <w:p w14:paraId="4D8AF3A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车用乙醇汽油</w:t>
            </w:r>
            <w:r>
              <w:rPr>
                <w:rFonts w:cs="Times New Roman"/>
                <w:sz w:val="21"/>
                <w:szCs w:val="21"/>
                <w14:ligatures w14:val="none"/>
              </w:rPr>
              <w:t>加油机</w:t>
            </w:r>
          </w:p>
        </w:tc>
        <w:tc>
          <w:tcPr>
            <w:tcW w:w="910" w:type="pct"/>
            <w:vAlign w:val="center"/>
          </w:tcPr>
          <w:p w14:paraId="66B23E35"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Q=</w:t>
            </w:r>
            <w:r>
              <w:rPr>
                <w:rFonts w:cs="Times New Roman" w:hint="eastAsia"/>
                <w:sz w:val="21"/>
                <w:szCs w:val="21"/>
                <w14:ligatures w14:val="none"/>
              </w:rPr>
              <w:t>5~</w:t>
            </w:r>
            <w:r>
              <w:rPr>
                <w:rFonts w:cs="Times New Roman"/>
                <w:sz w:val="21"/>
                <w:szCs w:val="21"/>
                <w14:ligatures w14:val="none"/>
              </w:rPr>
              <w:t>50L/min</w:t>
            </w:r>
          </w:p>
        </w:tc>
        <w:tc>
          <w:tcPr>
            <w:tcW w:w="677" w:type="pct"/>
            <w:vAlign w:val="center"/>
          </w:tcPr>
          <w:p w14:paraId="5F0970B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w:t>
            </w:r>
            <w:r>
              <w:rPr>
                <w:rFonts w:cs="Times New Roman"/>
                <w:sz w:val="21"/>
                <w:szCs w:val="21"/>
                <w14:ligatures w14:val="none"/>
              </w:rPr>
              <w:t>台</w:t>
            </w:r>
          </w:p>
        </w:tc>
        <w:tc>
          <w:tcPr>
            <w:tcW w:w="1526" w:type="pct"/>
            <w:vAlign w:val="center"/>
          </w:tcPr>
          <w:p w14:paraId="0835E0D2" w14:textId="77777777" w:rsidR="00EF4562" w:rsidRDefault="00000000">
            <w:pPr>
              <w:spacing w:line="240" w:lineRule="auto"/>
              <w:ind w:firstLineChars="0" w:firstLine="0"/>
              <w:jc w:val="center"/>
              <w:rPr>
                <w:rFonts w:cs="Times New Roman"/>
                <w:sz w:val="21"/>
                <w14:ligatures w14:val="none"/>
              </w:rPr>
            </w:pPr>
            <w:r>
              <w:rPr>
                <w:rFonts w:cs="Times New Roman" w:hint="eastAsia"/>
                <w:sz w:val="21"/>
                <w14:ligatures w14:val="none"/>
              </w:rPr>
              <w:t>自吸式，</w:t>
            </w:r>
            <w:r>
              <w:rPr>
                <w:rFonts w:cs="Times New Roman" w:hint="eastAsia"/>
                <w:sz w:val="21"/>
                <w14:ligatures w14:val="none"/>
              </w:rPr>
              <w:t>J105</w:t>
            </w:r>
            <w:r>
              <w:rPr>
                <w:rFonts w:cs="Times New Roman" w:hint="eastAsia"/>
                <w:sz w:val="21"/>
                <w14:ligatures w14:val="none"/>
              </w:rPr>
              <w:t>、</w:t>
            </w:r>
            <w:r>
              <w:rPr>
                <w:rFonts w:cs="Times New Roman" w:hint="eastAsia"/>
                <w:sz w:val="21"/>
                <w14:ligatures w14:val="none"/>
              </w:rPr>
              <w:t>J106</w:t>
            </w:r>
            <w:r>
              <w:rPr>
                <w:rFonts w:cs="Times New Roman" w:hint="eastAsia"/>
                <w:sz w:val="21"/>
                <w14:ligatures w14:val="none"/>
              </w:rPr>
              <w:t>利旧（双枪单油品），</w:t>
            </w:r>
            <w:r>
              <w:rPr>
                <w:rFonts w:cs="Times New Roman" w:hint="eastAsia"/>
                <w:sz w:val="21"/>
                <w14:ligatures w14:val="none"/>
              </w:rPr>
              <w:t>J101</w:t>
            </w:r>
            <w:r>
              <w:rPr>
                <w:rFonts w:cs="Times New Roman" w:hint="eastAsia"/>
                <w:sz w:val="21"/>
                <w14:ligatures w14:val="none"/>
              </w:rPr>
              <w:t>新建（四枪双油品）</w:t>
            </w:r>
          </w:p>
        </w:tc>
      </w:tr>
      <w:tr w:rsidR="00EF4562" w14:paraId="51CDD333" w14:textId="77777777">
        <w:trPr>
          <w:cantSplit/>
          <w:trHeight w:val="567"/>
          <w:jc w:val="center"/>
        </w:trPr>
        <w:tc>
          <w:tcPr>
            <w:tcW w:w="445" w:type="pct"/>
            <w:vAlign w:val="center"/>
          </w:tcPr>
          <w:p w14:paraId="5F4AC6A2"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14:ligatures w14:val="none"/>
              </w:rPr>
            </w:pPr>
          </w:p>
        </w:tc>
        <w:tc>
          <w:tcPr>
            <w:tcW w:w="1442" w:type="pct"/>
            <w:vAlign w:val="center"/>
          </w:tcPr>
          <w:p w14:paraId="52B3310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柴油加油机</w:t>
            </w:r>
          </w:p>
        </w:tc>
        <w:tc>
          <w:tcPr>
            <w:tcW w:w="910" w:type="pct"/>
            <w:vAlign w:val="center"/>
          </w:tcPr>
          <w:p w14:paraId="3F6BF2BE"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Q=</w:t>
            </w:r>
            <w:r>
              <w:rPr>
                <w:rFonts w:cs="Times New Roman" w:hint="eastAsia"/>
                <w:sz w:val="21"/>
                <w:szCs w:val="21"/>
                <w14:ligatures w14:val="none"/>
              </w:rPr>
              <w:t>5~</w:t>
            </w:r>
            <w:r>
              <w:rPr>
                <w:rFonts w:cs="Times New Roman"/>
                <w:sz w:val="21"/>
                <w:szCs w:val="21"/>
                <w14:ligatures w14:val="none"/>
              </w:rPr>
              <w:t>50L/min</w:t>
            </w:r>
          </w:p>
        </w:tc>
        <w:tc>
          <w:tcPr>
            <w:tcW w:w="677" w:type="pct"/>
            <w:vAlign w:val="center"/>
          </w:tcPr>
          <w:p w14:paraId="2B4C34C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w:t>
            </w:r>
            <w:r>
              <w:rPr>
                <w:rFonts w:cs="Times New Roman"/>
                <w:sz w:val="21"/>
                <w:szCs w:val="21"/>
                <w14:ligatures w14:val="none"/>
              </w:rPr>
              <w:t>台</w:t>
            </w:r>
          </w:p>
        </w:tc>
        <w:tc>
          <w:tcPr>
            <w:tcW w:w="1526" w:type="pct"/>
            <w:vAlign w:val="center"/>
          </w:tcPr>
          <w:p w14:paraId="259149E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自吸式，</w:t>
            </w:r>
            <w:r>
              <w:rPr>
                <w:rFonts w:cs="Times New Roman" w:hint="eastAsia"/>
                <w:sz w:val="21"/>
                <w:szCs w:val="21"/>
                <w14:ligatures w14:val="none"/>
              </w:rPr>
              <w:t>J102</w:t>
            </w:r>
            <w:r>
              <w:rPr>
                <w:rFonts w:cs="Times New Roman" w:hint="eastAsia"/>
                <w:sz w:val="21"/>
                <w:szCs w:val="21"/>
                <w14:ligatures w14:val="none"/>
              </w:rPr>
              <w:t>、</w:t>
            </w:r>
            <w:r>
              <w:rPr>
                <w:rFonts w:cs="Times New Roman" w:hint="eastAsia"/>
                <w:sz w:val="21"/>
                <w:szCs w:val="21"/>
                <w14:ligatures w14:val="none"/>
              </w:rPr>
              <w:t>J104</w:t>
            </w:r>
            <w:r>
              <w:rPr>
                <w:rFonts w:cs="Times New Roman" w:hint="eastAsia"/>
                <w:sz w:val="21"/>
                <w:szCs w:val="21"/>
                <w14:ligatures w14:val="none"/>
              </w:rPr>
              <w:t>利旧（双枪单油品），</w:t>
            </w:r>
            <w:r>
              <w:rPr>
                <w:rFonts w:cs="Times New Roman" w:hint="eastAsia"/>
                <w:sz w:val="21"/>
                <w:szCs w:val="21"/>
                <w14:ligatures w14:val="none"/>
              </w:rPr>
              <w:t>J103</w:t>
            </w:r>
            <w:r>
              <w:rPr>
                <w:rFonts w:cs="Times New Roman" w:hint="eastAsia"/>
                <w:sz w:val="21"/>
                <w:szCs w:val="21"/>
                <w14:ligatures w14:val="none"/>
              </w:rPr>
              <w:t>新建（四枪双油品）</w:t>
            </w:r>
          </w:p>
        </w:tc>
      </w:tr>
      <w:tr w:rsidR="00EF4562" w14:paraId="20FB9140" w14:textId="77777777">
        <w:trPr>
          <w:cantSplit/>
          <w:trHeight w:val="567"/>
          <w:jc w:val="center"/>
        </w:trPr>
        <w:tc>
          <w:tcPr>
            <w:tcW w:w="445" w:type="pct"/>
            <w:vAlign w:val="center"/>
          </w:tcPr>
          <w:p w14:paraId="602C3E04"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14:ligatures w14:val="none"/>
              </w:rPr>
            </w:pPr>
          </w:p>
        </w:tc>
        <w:tc>
          <w:tcPr>
            <w:tcW w:w="1442" w:type="pct"/>
            <w:vAlign w:val="center"/>
          </w:tcPr>
          <w:p w14:paraId="1C540E4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kern w:val="0"/>
                <w:sz w:val="21"/>
                <w:szCs w:val="21"/>
                <w14:ligatures w14:val="none"/>
              </w:rPr>
              <w:t>车用乙醇汽油通气管</w:t>
            </w:r>
          </w:p>
        </w:tc>
        <w:tc>
          <w:tcPr>
            <w:tcW w:w="910" w:type="pct"/>
            <w:vAlign w:val="center"/>
          </w:tcPr>
          <w:p w14:paraId="5FB45FB5"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77" w:type="pct"/>
            <w:vAlign w:val="center"/>
          </w:tcPr>
          <w:p w14:paraId="25C8792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根</w:t>
            </w:r>
          </w:p>
        </w:tc>
        <w:tc>
          <w:tcPr>
            <w:tcW w:w="1526" w:type="pct"/>
            <w:vAlign w:val="center"/>
          </w:tcPr>
          <w:p w14:paraId="16DC6AD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利旧</w:t>
            </w:r>
          </w:p>
        </w:tc>
      </w:tr>
      <w:tr w:rsidR="00EF4562" w14:paraId="35B46599" w14:textId="77777777">
        <w:trPr>
          <w:cantSplit/>
          <w:trHeight w:val="567"/>
          <w:jc w:val="center"/>
        </w:trPr>
        <w:tc>
          <w:tcPr>
            <w:tcW w:w="445" w:type="pct"/>
            <w:vAlign w:val="center"/>
          </w:tcPr>
          <w:p w14:paraId="6E00013D"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113C7BD2"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柴油通气管</w:t>
            </w:r>
          </w:p>
        </w:tc>
        <w:tc>
          <w:tcPr>
            <w:tcW w:w="910" w:type="pct"/>
            <w:vAlign w:val="center"/>
          </w:tcPr>
          <w:p w14:paraId="5866E81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77" w:type="pct"/>
            <w:vAlign w:val="center"/>
          </w:tcPr>
          <w:p w14:paraId="7EE30BD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w:t>
            </w:r>
            <w:r>
              <w:rPr>
                <w:rFonts w:cs="Times New Roman" w:hint="eastAsia"/>
                <w:sz w:val="21"/>
                <w:szCs w:val="21"/>
                <w14:ligatures w14:val="none"/>
              </w:rPr>
              <w:t>根</w:t>
            </w:r>
          </w:p>
        </w:tc>
        <w:tc>
          <w:tcPr>
            <w:tcW w:w="1526" w:type="pct"/>
            <w:vAlign w:val="center"/>
          </w:tcPr>
          <w:p w14:paraId="674AA54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利旧</w:t>
            </w:r>
          </w:p>
        </w:tc>
      </w:tr>
      <w:tr w:rsidR="00EF4562" w14:paraId="71907327" w14:textId="77777777">
        <w:trPr>
          <w:cantSplit/>
          <w:trHeight w:val="567"/>
          <w:jc w:val="center"/>
        </w:trPr>
        <w:tc>
          <w:tcPr>
            <w:tcW w:w="445" w:type="pct"/>
            <w:vAlign w:val="center"/>
          </w:tcPr>
          <w:p w14:paraId="64AA6443"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77D55BB1"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呼吸阀</w:t>
            </w:r>
          </w:p>
        </w:tc>
        <w:tc>
          <w:tcPr>
            <w:tcW w:w="910" w:type="pct"/>
            <w:vAlign w:val="center"/>
          </w:tcPr>
          <w:p w14:paraId="4F2B9115" w14:textId="77777777" w:rsidR="00EF4562" w:rsidRDefault="00000000">
            <w:pPr>
              <w:spacing w:line="240" w:lineRule="auto"/>
              <w:ind w:firstLineChars="0" w:firstLine="0"/>
              <w:jc w:val="center"/>
              <w:rPr>
                <w:rFonts w:cs="Times New Roman"/>
                <w:sz w:val="21"/>
                <w:szCs w:val="21"/>
                <w14:ligatures w14:val="none"/>
              </w:rPr>
            </w:pPr>
            <w:r>
              <w:rPr>
                <w:rFonts w:cs="Times New Roman"/>
                <w:kern w:val="0"/>
                <w:sz w:val="21"/>
                <w:szCs w:val="21"/>
                <w14:ligatures w14:val="none"/>
              </w:rPr>
              <w:t>DN50</w:t>
            </w:r>
          </w:p>
        </w:tc>
        <w:tc>
          <w:tcPr>
            <w:tcW w:w="677" w:type="pct"/>
            <w:vAlign w:val="center"/>
          </w:tcPr>
          <w:p w14:paraId="5569AF2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个</w:t>
            </w:r>
          </w:p>
        </w:tc>
        <w:tc>
          <w:tcPr>
            <w:tcW w:w="1526" w:type="pct"/>
            <w:vAlign w:val="center"/>
          </w:tcPr>
          <w:p w14:paraId="5271C49C"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利旧，带阻火功能</w:t>
            </w:r>
          </w:p>
        </w:tc>
      </w:tr>
      <w:tr w:rsidR="00EF4562" w14:paraId="39D0AC7C" w14:textId="77777777">
        <w:trPr>
          <w:cantSplit/>
          <w:trHeight w:val="567"/>
          <w:jc w:val="center"/>
        </w:trPr>
        <w:tc>
          <w:tcPr>
            <w:tcW w:w="445" w:type="pct"/>
            <w:vAlign w:val="center"/>
          </w:tcPr>
          <w:p w14:paraId="4D9EA13E"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599CADF3"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阻火器</w:t>
            </w:r>
          </w:p>
        </w:tc>
        <w:tc>
          <w:tcPr>
            <w:tcW w:w="910" w:type="pct"/>
            <w:vAlign w:val="center"/>
          </w:tcPr>
          <w:p w14:paraId="6ACA28BA"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kern w:val="0"/>
                <w:sz w:val="21"/>
                <w:szCs w:val="21"/>
                <w14:ligatures w14:val="none"/>
              </w:rPr>
              <w:t>DN50</w:t>
            </w:r>
          </w:p>
        </w:tc>
        <w:tc>
          <w:tcPr>
            <w:tcW w:w="677" w:type="pct"/>
            <w:vAlign w:val="center"/>
          </w:tcPr>
          <w:p w14:paraId="6889658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r>
              <w:rPr>
                <w:rFonts w:cs="Times New Roman" w:hint="eastAsia"/>
                <w:sz w:val="21"/>
                <w:szCs w:val="21"/>
                <w14:ligatures w14:val="none"/>
              </w:rPr>
              <w:t>个</w:t>
            </w:r>
          </w:p>
        </w:tc>
        <w:tc>
          <w:tcPr>
            <w:tcW w:w="1526" w:type="pct"/>
            <w:vAlign w:val="center"/>
          </w:tcPr>
          <w:p w14:paraId="7A08AC8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利旧</w:t>
            </w:r>
          </w:p>
        </w:tc>
      </w:tr>
      <w:tr w:rsidR="00EF4562" w14:paraId="1A06D6F0" w14:textId="77777777">
        <w:trPr>
          <w:cantSplit/>
          <w:trHeight w:val="567"/>
          <w:jc w:val="center"/>
        </w:trPr>
        <w:tc>
          <w:tcPr>
            <w:tcW w:w="445" w:type="pct"/>
            <w:vAlign w:val="center"/>
          </w:tcPr>
          <w:p w14:paraId="1575F647"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6975C47A"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卸油油气回收主管</w:t>
            </w:r>
          </w:p>
        </w:tc>
        <w:tc>
          <w:tcPr>
            <w:tcW w:w="910" w:type="pct"/>
            <w:vAlign w:val="center"/>
          </w:tcPr>
          <w:p w14:paraId="65FF6F7C"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sz w:val="21"/>
                <w:szCs w:val="21"/>
                <w14:ligatures w14:val="none"/>
              </w:rPr>
              <w:t>DN100</w:t>
            </w:r>
          </w:p>
        </w:tc>
        <w:tc>
          <w:tcPr>
            <w:tcW w:w="677" w:type="pct"/>
            <w:vAlign w:val="center"/>
          </w:tcPr>
          <w:p w14:paraId="1364C8D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根</w:t>
            </w:r>
          </w:p>
        </w:tc>
        <w:tc>
          <w:tcPr>
            <w:tcW w:w="1526" w:type="pct"/>
            <w:vAlign w:val="center"/>
          </w:tcPr>
          <w:p w14:paraId="1C7A471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14:ligatures w14:val="none"/>
              </w:rPr>
              <w:t>利旧</w:t>
            </w:r>
          </w:p>
        </w:tc>
      </w:tr>
      <w:tr w:rsidR="00EF4562" w14:paraId="62AAB762" w14:textId="77777777">
        <w:trPr>
          <w:cantSplit/>
          <w:trHeight w:val="567"/>
          <w:jc w:val="center"/>
        </w:trPr>
        <w:tc>
          <w:tcPr>
            <w:tcW w:w="445" w:type="pct"/>
            <w:vAlign w:val="center"/>
          </w:tcPr>
          <w:p w14:paraId="13707FE5"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5DE72B5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油罐液位监测系统</w:t>
            </w:r>
          </w:p>
        </w:tc>
        <w:tc>
          <w:tcPr>
            <w:tcW w:w="910" w:type="pct"/>
            <w:vAlign w:val="center"/>
          </w:tcPr>
          <w:p w14:paraId="0876767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77" w:type="pct"/>
            <w:vAlign w:val="center"/>
          </w:tcPr>
          <w:p w14:paraId="43AB35C7"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1</w:t>
            </w:r>
            <w:r>
              <w:rPr>
                <w:rFonts w:cs="Times New Roman"/>
                <w:sz w:val="21"/>
                <w:szCs w:val="21"/>
                <w14:ligatures w14:val="none"/>
              </w:rPr>
              <w:t>套</w:t>
            </w:r>
          </w:p>
        </w:tc>
        <w:tc>
          <w:tcPr>
            <w:tcW w:w="1526" w:type="pct"/>
            <w:vAlign w:val="center"/>
          </w:tcPr>
          <w:p w14:paraId="1A3AF3E1" w14:textId="77777777" w:rsidR="00EF4562" w:rsidRDefault="00000000">
            <w:pPr>
              <w:spacing w:line="240" w:lineRule="auto"/>
              <w:ind w:firstLineChars="0" w:firstLine="0"/>
              <w:jc w:val="center"/>
              <w:rPr>
                <w:rFonts w:cs="Times New Roman"/>
                <w:sz w:val="21"/>
                <w:szCs w:val="21"/>
                <w:highlight w:val="yellow"/>
                <w14:ligatures w14:val="none"/>
              </w:rPr>
            </w:pPr>
            <w:r>
              <w:rPr>
                <w:rFonts w:cs="Times New Roman" w:hint="eastAsia"/>
                <w:sz w:val="21"/>
                <w:szCs w:val="21"/>
                <w14:ligatures w14:val="none"/>
              </w:rPr>
              <w:t>利旧</w:t>
            </w:r>
          </w:p>
        </w:tc>
      </w:tr>
      <w:tr w:rsidR="00EF4562" w14:paraId="1675EA47" w14:textId="77777777">
        <w:trPr>
          <w:cantSplit/>
          <w:trHeight w:val="567"/>
          <w:jc w:val="center"/>
        </w:trPr>
        <w:tc>
          <w:tcPr>
            <w:tcW w:w="445" w:type="pct"/>
            <w:vAlign w:val="center"/>
          </w:tcPr>
          <w:p w14:paraId="4A4A10BB"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16709F8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油罐</w:t>
            </w:r>
            <w:r>
              <w:rPr>
                <w:rFonts w:cs="Times New Roman"/>
                <w:sz w:val="21"/>
                <w:szCs w:val="21"/>
                <w14:ligatures w14:val="none"/>
              </w:rPr>
              <w:t>渗漏</w:t>
            </w:r>
            <w:r>
              <w:rPr>
                <w:rFonts w:cs="Times New Roman" w:hint="eastAsia"/>
                <w:sz w:val="21"/>
                <w:szCs w:val="21"/>
                <w14:ligatures w14:val="none"/>
              </w:rPr>
              <w:t>检测报警装置</w:t>
            </w:r>
          </w:p>
        </w:tc>
        <w:tc>
          <w:tcPr>
            <w:tcW w:w="910" w:type="pct"/>
            <w:vAlign w:val="center"/>
          </w:tcPr>
          <w:p w14:paraId="79A44CA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77" w:type="pct"/>
            <w:vAlign w:val="center"/>
          </w:tcPr>
          <w:p w14:paraId="2F1DFB1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w:t>
            </w:r>
            <w:r>
              <w:rPr>
                <w:rFonts w:cs="Times New Roman"/>
                <w:sz w:val="21"/>
                <w:szCs w:val="21"/>
                <w14:ligatures w14:val="none"/>
              </w:rPr>
              <w:t>套</w:t>
            </w:r>
          </w:p>
        </w:tc>
        <w:tc>
          <w:tcPr>
            <w:tcW w:w="1526" w:type="pct"/>
            <w:vAlign w:val="center"/>
          </w:tcPr>
          <w:p w14:paraId="2C355E78" w14:textId="77777777" w:rsidR="00EF4562" w:rsidRDefault="00000000">
            <w:pPr>
              <w:spacing w:line="240" w:lineRule="auto"/>
              <w:ind w:firstLineChars="0" w:firstLine="0"/>
              <w:jc w:val="center"/>
              <w:rPr>
                <w:rFonts w:cs="Times New Roman"/>
                <w:sz w:val="21"/>
                <w:szCs w:val="21"/>
                <w:highlight w:val="yellow"/>
                <w14:ligatures w14:val="none"/>
              </w:rPr>
            </w:pPr>
            <w:r>
              <w:rPr>
                <w:rFonts w:cs="Times New Roman" w:hint="eastAsia"/>
                <w:sz w:val="21"/>
                <w:szCs w:val="21"/>
                <w14:ligatures w14:val="none"/>
              </w:rPr>
              <w:t>利旧</w:t>
            </w:r>
          </w:p>
        </w:tc>
      </w:tr>
      <w:tr w:rsidR="00EF4562" w14:paraId="34C3A275" w14:textId="77777777">
        <w:trPr>
          <w:cantSplit/>
          <w:trHeight w:val="567"/>
          <w:jc w:val="center"/>
        </w:trPr>
        <w:tc>
          <w:tcPr>
            <w:tcW w:w="445" w:type="pct"/>
            <w:vAlign w:val="center"/>
          </w:tcPr>
          <w:p w14:paraId="44A9609D"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30EC311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kern w:val="0"/>
                <w:sz w:val="21"/>
                <w:szCs w:val="21"/>
                <w14:ligatures w14:val="none"/>
              </w:rPr>
              <w:t>双层管道油气渗漏检测报警装置</w:t>
            </w:r>
          </w:p>
        </w:tc>
        <w:tc>
          <w:tcPr>
            <w:tcW w:w="910" w:type="pct"/>
            <w:vAlign w:val="center"/>
          </w:tcPr>
          <w:p w14:paraId="70231E55"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77" w:type="pct"/>
            <w:vAlign w:val="center"/>
          </w:tcPr>
          <w:p w14:paraId="0E4F95D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套</w:t>
            </w:r>
          </w:p>
        </w:tc>
        <w:tc>
          <w:tcPr>
            <w:tcW w:w="1526" w:type="pct"/>
            <w:vAlign w:val="center"/>
          </w:tcPr>
          <w:p w14:paraId="1E33655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14:ligatures w14:val="none"/>
              </w:rPr>
              <w:t>利旧</w:t>
            </w:r>
          </w:p>
        </w:tc>
      </w:tr>
      <w:tr w:rsidR="00EF4562" w14:paraId="1AEB8444" w14:textId="77777777">
        <w:trPr>
          <w:cantSplit/>
          <w:trHeight w:val="567"/>
          <w:jc w:val="center"/>
        </w:trPr>
        <w:tc>
          <w:tcPr>
            <w:tcW w:w="445" w:type="pct"/>
            <w:vAlign w:val="center"/>
          </w:tcPr>
          <w:p w14:paraId="503C32E7"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30799DF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不间断电源（</w:t>
            </w:r>
            <w:r>
              <w:rPr>
                <w:rFonts w:cs="Times New Roman" w:hint="eastAsia"/>
                <w:sz w:val="21"/>
                <w:szCs w:val="21"/>
                <w14:ligatures w14:val="none"/>
              </w:rPr>
              <w:t>U</w:t>
            </w:r>
            <w:r>
              <w:rPr>
                <w:rFonts w:cs="Times New Roman"/>
                <w:sz w:val="21"/>
                <w14:ligatures w14:val="none"/>
              </w:rPr>
              <w:t>PS</w:t>
            </w:r>
            <w:r>
              <w:rPr>
                <w:rFonts w:cs="Times New Roman" w:hint="eastAsia"/>
                <w:sz w:val="21"/>
                <w:szCs w:val="21"/>
                <w14:ligatures w14:val="none"/>
              </w:rPr>
              <w:t>）</w:t>
            </w:r>
          </w:p>
        </w:tc>
        <w:tc>
          <w:tcPr>
            <w:tcW w:w="910" w:type="pct"/>
            <w:vAlign w:val="center"/>
          </w:tcPr>
          <w:p w14:paraId="44ACC7B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3k</w:t>
            </w:r>
            <w:r>
              <w:rPr>
                <w:rFonts w:cs="Times New Roman"/>
                <w:sz w:val="21"/>
                <w:szCs w:val="21"/>
                <w14:ligatures w14:val="none"/>
              </w:rPr>
              <w:t>VA</w:t>
            </w:r>
          </w:p>
        </w:tc>
        <w:tc>
          <w:tcPr>
            <w:tcW w:w="677" w:type="pct"/>
            <w:vAlign w:val="center"/>
          </w:tcPr>
          <w:p w14:paraId="3377AFC5"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1</w:t>
            </w:r>
            <w:r>
              <w:rPr>
                <w:rFonts w:cs="Times New Roman"/>
                <w:sz w:val="21"/>
                <w:szCs w:val="21"/>
                <w14:ligatures w14:val="none"/>
              </w:rPr>
              <w:t>套</w:t>
            </w:r>
          </w:p>
        </w:tc>
        <w:tc>
          <w:tcPr>
            <w:tcW w:w="1526" w:type="pct"/>
            <w:vAlign w:val="center"/>
          </w:tcPr>
          <w:p w14:paraId="119EFA0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利旧</w:t>
            </w:r>
          </w:p>
        </w:tc>
      </w:tr>
      <w:tr w:rsidR="00EF4562" w14:paraId="1D070E2C" w14:textId="77777777">
        <w:trPr>
          <w:cantSplit/>
          <w:trHeight w:val="567"/>
          <w:jc w:val="center"/>
        </w:trPr>
        <w:tc>
          <w:tcPr>
            <w:tcW w:w="445" w:type="pct"/>
            <w:vAlign w:val="center"/>
          </w:tcPr>
          <w:p w14:paraId="583DD960"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57C92C50"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视频监控系统</w:t>
            </w:r>
          </w:p>
        </w:tc>
        <w:tc>
          <w:tcPr>
            <w:tcW w:w="910" w:type="pct"/>
            <w:vAlign w:val="center"/>
          </w:tcPr>
          <w:p w14:paraId="5BB5DD3E"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sz w:val="21"/>
                <w:szCs w:val="21"/>
                <w14:ligatures w14:val="none"/>
              </w:rPr>
              <w:t>-</w:t>
            </w:r>
          </w:p>
        </w:tc>
        <w:tc>
          <w:tcPr>
            <w:tcW w:w="677" w:type="pct"/>
            <w:vAlign w:val="center"/>
          </w:tcPr>
          <w:p w14:paraId="6AF567B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w:t>
            </w:r>
            <w:r>
              <w:rPr>
                <w:rFonts w:cs="Times New Roman" w:hint="eastAsia"/>
                <w:sz w:val="21"/>
                <w14:ligatures w14:val="none"/>
              </w:rPr>
              <w:t>套</w:t>
            </w:r>
          </w:p>
        </w:tc>
        <w:tc>
          <w:tcPr>
            <w:tcW w:w="1526" w:type="pct"/>
            <w:vAlign w:val="center"/>
          </w:tcPr>
          <w:p w14:paraId="6399C428" w14:textId="77777777" w:rsidR="00EF4562" w:rsidRDefault="00000000">
            <w:pPr>
              <w:spacing w:line="240" w:lineRule="auto"/>
              <w:ind w:firstLineChars="0" w:firstLine="0"/>
              <w:jc w:val="center"/>
              <w:rPr>
                <w:rFonts w:cs="Times New Roman"/>
                <w:sz w:val="21"/>
                <w14:ligatures w14:val="none"/>
              </w:rPr>
            </w:pPr>
            <w:r>
              <w:rPr>
                <w:rFonts w:cs="Times New Roman" w:hint="eastAsia"/>
                <w:sz w:val="21"/>
                <w14:ligatures w14:val="none"/>
              </w:rPr>
              <w:t>利旧</w:t>
            </w:r>
          </w:p>
        </w:tc>
      </w:tr>
      <w:tr w:rsidR="00EF4562" w14:paraId="66DD7161" w14:textId="77777777">
        <w:trPr>
          <w:cantSplit/>
          <w:trHeight w:val="567"/>
          <w:jc w:val="center"/>
        </w:trPr>
        <w:tc>
          <w:tcPr>
            <w:tcW w:w="445" w:type="pct"/>
            <w:vAlign w:val="center"/>
          </w:tcPr>
          <w:p w14:paraId="32B76715"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40FA53D7"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静电接地报警器</w:t>
            </w:r>
          </w:p>
        </w:tc>
        <w:tc>
          <w:tcPr>
            <w:tcW w:w="910" w:type="pct"/>
            <w:vAlign w:val="center"/>
          </w:tcPr>
          <w:p w14:paraId="5E6F365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77" w:type="pct"/>
            <w:vAlign w:val="center"/>
          </w:tcPr>
          <w:p w14:paraId="6B83D21C"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台</w:t>
            </w:r>
          </w:p>
        </w:tc>
        <w:tc>
          <w:tcPr>
            <w:tcW w:w="1526" w:type="pct"/>
            <w:vAlign w:val="center"/>
          </w:tcPr>
          <w:p w14:paraId="3B2072B6" w14:textId="77777777" w:rsidR="00EF4562" w:rsidRDefault="00000000">
            <w:pPr>
              <w:spacing w:line="240" w:lineRule="auto"/>
              <w:ind w:firstLineChars="0" w:firstLine="0"/>
              <w:jc w:val="center"/>
              <w:rPr>
                <w:rFonts w:cs="Times New Roman"/>
                <w:sz w:val="21"/>
                <w14:ligatures w14:val="none"/>
              </w:rPr>
            </w:pPr>
            <w:r>
              <w:rPr>
                <w:rFonts w:cs="Times New Roman" w:hint="eastAsia"/>
                <w:sz w:val="21"/>
                <w14:ligatures w14:val="none"/>
              </w:rPr>
              <w:t>利旧</w:t>
            </w:r>
          </w:p>
        </w:tc>
      </w:tr>
      <w:tr w:rsidR="00EF4562" w14:paraId="6D3F5EA8" w14:textId="77777777">
        <w:trPr>
          <w:cantSplit/>
          <w:trHeight w:val="567"/>
          <w:jc w:val="center"/>
        </w:trPr>
        <w:tc>
          <w:tcPr>
            <w:tcW w:w="445" w:type="pct"/>
            <w:vAlign w:val="center"/>
          </w:tcPr>
          <w:p w14:paraId="58537818"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1533131A"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本安型人体静电消除器</w:t>
            </w:r>
          </w:p>
        </w:tc>
        <w:tc>
          <w:tcPr>
            <w:tcW w:w="910" w:type="pct"/>
            <w:vAlign w:val="center"/>
          </w:tcPr>
          <w:p w14:paraId="637092E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77" w:type="pct"/>
            <w:vAlign w:val="center"/>
          </w:tcPr>
          <w:p w14:paraId="70BF91A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个</w:t>
            </w:r>
          </w:p>
        </w:tc>
        <w:tc>
          <w:tcPr>
            <w:tcW w:w="1526" w:type="pct"/>
            <w:vAlign w:val="center"/>
          </w:tcPr>
          <w:p w14:paraId="0044DF83" w14:textId="77777777" w:rsidR="00EF4562" w:rsidRDefault="00000000">
            <w:pPr>
              <w:spacing w:line="240" w:lineRule="auto"/>
              <w:ind w:firstLineChars="0" w:firstLine="0"/>
              <w:jc w:val="center"/>
              <w:rPr>
                <w:rFonts w:cs="Times New Roman"/>
                <w:sz w:val="21"/>
                <w14:ligatures w14:val="none"/>
              </w:rPr>
            </w:pPr>
            <w:r>
              <w:rPr>
                <w:rFonts w:cs="Times New Roman" w:hint="eastAsia"/>
                <w:sz w:val="21"/>
                <w14:ligatures w14:val="none"/>
              </w:rPr>
              <w:t>利旧</w:t>
            </w:r>
          </w:p>
        </w:tc>
      </w:tr>
      <w:tr w:rsidR="00EF4562" w14:paraId="632BE64A" w14:textId="77777777">
        <w:trPr>
          <w:cantSplit/>
          <w:trHeight w:val="567"/>
          <w:jc w:val="center"/>
        </w:trPr>
        <w:tc>
          <w:tcPr>
            <w:tcW w:w="445" w:type="pct"/>
            <w:vAlign w:val="center"/>
          </w:tcPr>
          <w:p w14:paraId="331F4A78"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5278B3FC"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紧急切断按钮</w:t>
            </w:r>
          </w:p>
        </w:tc>
        <w:tc>
          <w:tcPr>
            <w:tcW w:w="910" w:type="pct"/>
            <w:vAlign w:val="center"/>
          </w:tcPr>
          <w:p w14:paraId="7B9DB4F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77" w:type="pct"/>
            <w:vAlign w:val="center"/>
          </w:tcPr>
          <w:p w14:paraId="6C337F0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个</w:t>
            </w:r>
          </w:p>
        </w:tc>
        <w:tc>
          <w:tcPr>
            <w:tcW w:w="1526" w:type="pct"/>
            <w:vAlign w:val="center"/>
          </w:tcPr>
          <w:p w14:paraId="0E9E1F85" w14:textId="77777777" w:rsidR="00EF4562" w:rsidRDefault="00000000">
            <w:pPr>
              <w:spacing w:line="240" w:lineRule="auto"/>
              <w:ind w:firstLineChars="0" w:firstLine="0"/>
              <w:jc w:val="center"/>
              <w:rPr>
                <w:rFonts w:cs="Times New Roman"/>
                <w:sz w:val="21"/>
                <w14:ligatures w14:val="none"/>
              </w:rPr>
            </w:pPr>
            <w:r>
              <w:rPr>
                <w:rFonts w:cs="Times New Roman" w:hint="eastAsia"/>
                <w:sz w:val="21"/>
                <w14:ligatures w14:val="none"/>
              </w:rPr>
              <w:t>利旧，站房内</w:t>
            </w:r>
          </w:p>
        </w:tc>
      </w:tr>
      <w:tr w:rsidR="00EF4562" w14:paraId="44175329" w14:textId="77777777">
        <w:trPr>
          <w:cantSplit/>
          <w:trHeight w:val="567"/>
          <w:jc w:val="center"/>
        </w:trPr>
        <w:tc>
          <w:tcPr>
            <w:tcW w:w="445" w:type="pct"/>
            <w:vAlign w:val="center"/>
          </w:tcPr>
          <w:p w14:paraId="262E8ED5"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632A5512"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柴油发电机</w:t>
            </w:r>
          </w:p>
        </w:tc>
        <w:tc>
          <w:tcPr>
            <w:tcW w:w="910" w:type="pct"/>
            <w:vAlign w:val="center"/>
          </w:tcPr>
          <w:p w14:paraId="6A0E8F9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150kW</w:t>
            </w:r>
          </w:p>
        </w:tc>
        <w:tc>
          <w:tcPr>
            <w:tcW w:w="677" w:type="pct"/>
            <w:vAlign w:val="center"/>
          </w:tcPr>
          <w:p w14:paraId="4BA898C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台</w:t>
            </w:r>
          </w:p>
        </w:tc>
        <w:tc>
          <w:tcPr>
            <w:tcW w:w="1526" w:type="pct"/>
            <w:vAlign w:val="center"/>
          </w:tcPr>
          <w:p w14:paraId="1DFB1312" w14:textId="77777777" w:rsidR="00EF4562" w:rsidRDefault="00000000">
            <w:pPr>
              <w:spacing w:line="240" w:lineRule="auto"/>
              <w:ind w:firstLineChars="0" w:firstLine="0"/>
              <w:jc w:val="center"/>
              <w:rPr>
                <w:rFonts w:cs="Times New Roman"/>
                <w:sz w:val="21"/>
                <w14:ligatures w14:val="none"/>
              </w:rPr>
            </w:pPr>
            <w:r>
              <w:rPr>
                <w:rFonts w:cs="Times New Roman" w:hint="eastAsia"/>
                <w:sz w:val="21"/>
                <w14:ligatures w14:val="none"/>
              </w:rPr>
              <w:t>利旧</w:t>
            </w:r>
          </w:p>
        </w:tc>
      </w:tr>
      <w:tr w:rsidR="00EF4562" w14:paraId="60665A4D" w14:textId="77777777">
        <w:trPr>
          <w:cantSplit/>
          <w:trHeight w:val="567"/>
          <w:jc w:val="center"/>
        </w:trPr>
        <w:tc>
          <w:tcPr>
            <w:tcW w:w="445" w:type="pct"/>
            <w:vAlign w:val="center"/>
          </w:tcPr>
          <w:p w14:paraId="4DDE1985" w14:textId="77777777" w:rsidR="00EF4562" w:rsidRDefault="00EF4562">
            <w:pPr>
              <w:numPr>
                <w:ilvl w:val="0"/>
                <w:numId w:val="1"/>
              </w:numPr>
              <w:tabs>
                <w:tab w:val="left" w:pos="1200"/>
                <w:tab w:val="left" w:pos="1276"/>
              </w:tabs>
              <w:spacing w:line="240" w:lineRule="auto"/>
              <w:ind w:left="0" w:firstLineChars="0" w:firstLine="0"/>
              <w:jc w:val="center"/>
              <w:rPr>
                <w:rFonts w:cs="Times New Roman"/>
                <w:kern w:val="0"/>
                <w:sz w:val="21"/>
                <w:lang w:eastAsia="en-US"/>
                <w14:ligatures w14:val="none"/>
              </w:rPr>
            </w:pPr>
          </w:p>
        </w:tc>
        <w:tc>
          <w:tcPr>
            <w:tcW w:w="1442" w:type="pct"/>
            <w:vAlign w:val="center"/>
          </w:tcPr>
          <w:p w14:paraId="5C85E40C"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hint="eastAsia"/>
                <w:kern w:val="0"/>
                <w:sz w:val="21"/>
                <w:szCs w:val="21"/>
                <w14:ligatures w14:val="none"/>
              </w:rPr>
              <w:t>可燃气体报警器</w:t>
            </w:r>
          </w:p>
        </w:tc>
        <w:tc>
          <w:tcPr>
            <w:tcW w:w="910" w:type="pct"/>
            <w:vAlign w:val="center"/>
          </w:tcPr>
          <w:p w14:paraId="178A8D4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77" w:type="pct"/>
            <w:vAlign w:val="center"/>
          </w:tcPr>
          <w:p w14:paraId="395BC73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个</w:t>
            </w:r>
          </w:p>
        </w:tc>
        <w:tc>
          <w:tcPr>
            <w:tcW w:w="1526" w:type="pct"/>
            <w:vAlign w:val="center"/>
          </w:tcPr>
          <w:p w14:paraId="10F6A00A" w14:textId="77777777" w:rsidR="00EF4562" w:rsidRDefault="00000000">
            <w:pPr>
              <w:spacing w:line="240" w:lineRule="auto"/>
              <w:ind w:firstLineChars="0" w:firstLine="0"/>
              <w:jc w:val="center"/>
              <w:rPr>
                <w:rFonts w:cs="Times New Roman"/>
                <w:sz w:val="21"/>
                <w14:ligatures w14:val="none"/>
              </w:rPr>
            </w:pPr>
            <w:r>
              <w:rPr>
                <w:rFonts w:cs="Times New Roman" w:hint="eastAsia"/>
                <w:sz w:val="21"/>
                <w14:ligatures w14:val="none"/>
              </w:rPr>
              <w:t>利旧</w:t>
            </w:r>
          </w:p>
        </w:tc>
      </w:tr>
    </w:tbl>
    <w:p w14:paraId="51A31E6D" w14:textId="77777777" w:rsidR="00EF4562" w:rsidRDefault="00000000">
      <w:pPr>
        <w:keepNext/>
        <w:spacing w:beforeLines="50" w:before="156" w:afterLines="50" w:after="156"/>
        <w:ind w:firstLine="562"/>
        <w:outlineLvl w:val="2"/>
        <w:rPr>
          <w:rFonts w:ascii="黑体" w:eastAsia="黑体" w:hAnsi="黑体" w:hint="eastAsia"/>
          <w:b/>
          <w:bCs/>
        </w:rPr>
      </w:pPr>
      <w:r>
        <w:rPr>
          <w:rFonts w:eastAsia="黑体" w:cs="Times New Roman"/>
          <w:b/>
          <w:bCs/>
        </w:rPr>
        <w:t>2.6.2</w:t>
      </w:r>
      <w:r>
        <w:rPr>
          <w:rFonts w:ascii="黑体" w:eastAsia="黑体" w:hAnsi="黑体" w:hint="eastAsia"/>
          <w:b/>
          <w:bCs/>
        </w:rPr>
        <w:t>主要特种设备</w:t>
      </w:r>
    </w:p>
    <w:p w14:paraId="79D32F5C" w14:textId="77777777" w:rsidR="00EF4562" w:rsidRDefault="00000000">
      <w:pPr>
        <w:ind w:firstLine="560"/>
      </w:pPr>
      <w:r>
        <w:rPr>
          <w:rFonts w:hint="eastAsia"/>
        </w:rPr>
        <w:t>该项目不涉及特种设备。</w:t>
      </w:r>
    </w:p>
    <w:p w14:paraId="35CCCE9D" w14:textId="77777777" w:rsidR="00EF4562" w:rsidRDefault="00000000">
      <w:pPr>
        <w:keepNext/>
        <w:spacing w:beforeLines="100" w:before="312" w:afterLines="100" w:after="312"/>
        <w:ind w:firstLineChars="0" w:firstLine="0"/>
        <w:jc w:val="center"/>
        <w:outlineLvl w:val="1"/>
        <w:rPr>
          <w:rFonts w:ascii="楷体" w:eastAsia="楷体" w:hAnsi="楷体" w:hint="eastAsia"/>
          <w:b/>
          <w:bCs/>
          <w:sz w:val="32"/>
          <w:szCs w:val="32"/>
        </w:rPr>
      </w:pPr>
      <w:bookmarkStart w:id="22" w:name="_Toc207695629"/>
      <w:r>
        <w:rPr>
          <w:rFonts w:eastAsia="楷体" w:cs="Times New Roman"/>
          <w:b/>
          <w:bCs/>
          <w:sz w:val="32"/>
          <w:szCs w:val="32"/>
        </w:rPr>
        <w:t>2.7</w:t>
      </w:r>
      <w:r>
        <w:rPr>
          <w:rFonts w:ascii="楷体" w:eastAsia="楷体" w:hAnsi="楷体" w:hint="eastAsia"/>
          <w:b/>
          <w:bCs/>
          <w:sz w:val="32"/>
          <w:szCs w:val="32"/>
        </w:rPr>
        <w:t>劳动定员</w:t>
      </w:r>
      <w:bookmarkEnd w:id="22"/>
    </w:p>
    <w:p w14:paraId="0D1F2FFC" w14:textId="77777777" w:rsidR="00EF4562" w:rsidRDefault="00000000">
      <w:pPr>
        <w:ind w:firstLine="560"/>
        <w:sectPr w:rsidR="00EF4562">
          <w:pgSz w:w="11906" w:h="16838"/>
          <w:pgMar w:top="1418" w:right="1134" w:bottom="1134" w:left="1588" w:header="851" w:footer="992" w:gutter="0"/>
          <w:cols w:space="425"/>
          <w:docGrid w:type="linesAndChars" w:linePitch="312"/>
        </w:sectPr>
      </w:pPr>
      <w:r>
        <w:rPr>
          <w:rFonts w:cs="Times New Roman" w:hint="eastAsia"/>
          <w:szCs w:val="28"/>
          <w14:ligatures w14:val="none"/>
        </w:rPr>
        <w:t>本项目仅对加油机和加油管线改造，依托原有工作人员，该站现有劳动定员</w:t>
      </w:r>
      <w:r>
        <w:rPr>
          <w:rFonts w:cs="Times New Roman" w:hint="eastAsia"/>
          <w:szCs w:val="28"/>
          <w14:ligatures w14:val="none"/>
        </w:rPr>
        <w:t>13</w:t>
      </w:r>
      <w:r>
        <w:rPr>
          <w:rFonts w:cs="Times New Roman" w:hint="eastAsia"/>
          <w:szCs w:val="28"/>
          <w14:ligatures w14:val="none"/>
        </w:rPr>
        <w:t>人，包括主要负责人</w:t>
      </w:r>
      <w:r>
        <w:rPr>
          <w:rFonts w:cs="Times New Roman" w:hint="eastAsia"/>
          <w:szCs w:val="28"/>
          <w14:ligatures w14:val="none"/>
        </w:rPr>
        <w:t>1</w:t>
      </w:r>
      <w:r>
        <w:rPr>
          <w:rFonts w:cs="Times New Roman" w:hint="eastAsia"/>
          <w:szCs w:val="28"/>
          <w14:ligatures w14:val="none"/>
        </w:rPr>
        <w:t>人，专职安全管理人员</w:t>
      </w:r>
      <w:r>
        <w:rPr>
          <w:rFonts w:cs="Times New Roman" w:hint="eastAsia"/>
          <w:szCs w:val="28"/>
          <w14:ligatures w14:val="none"/>
        </w:rPr>
        <w:t>1</w:t>
      </w:r>
      <w:r>
        <w:rPr>
          <w:rFonts w:cs="Times New Roman" w:hint="eastAsia"/>
          <w:szCs w:val="28"/>
          <w14:ligatures w14:val="none"/>
        </w:rPr>
        <w:t>人及加油加气员</w:t>
      </w:r>
      <w:r>
        <w:rPr>
          <w:rFonts w:cs="Times New Roman" w:hint="eastAsia"/>
          <w:szCs w:val="28"/>
          <w14:ligatures w14:val="none"/>
        </w:rPr>
        <w:t>11</w:t>
      </w:r>
      <w:r>
        <w:rPr>
          <w:rFonts w:cs="Times New Roman" w:hint="eastAsia"/>
          <w:szCs w:val="28"/>
          <w14:ligatures w14:val="none"/>
        </w:rPr>
        <w:t>人。管理人员采取白班工作制，加油加气人员采取三班两运转工作制。</w:t>
      </w:r>
    </w:p>
    <w:p w14:paraId="00808CF3" w14:textId="77777777" w:rsidR="00EF4562" w:rsidRDefault="00000000">
      <w:pPr>
        <w:spacing w:beforeLines="150" w:before="468" w:afterLines="150" w:after="468"/>
        <w:ind w:firstLineChars="0" w:firstLine="0"/>
        <w:jc w:val="center"/>
        <w:outlineLvl w:val="0"/>
        <w:rPr>
          <w:rFonts w:ascii="黑体" w:eastAsia="黑体" w:hAnsi="黑体" w:hint="eastAsia"/>
          <w:b/>
          <w:bCs/>
          <w:sz w:val="32"/>
          <w:szCs w:val="32"/>
        </w:rPr>
      </w:pPr>
      <w:bookmarkStart w:id="23" w:name="_Toc207695630"/>
      <w:r>
        <w:rPr>
          <w:rFonts w:eastAsia="黑体" w:cs="Times New Roman"/>
          <w:b/>
          <w:bCs/>
          <w:sz w:val="32"/>
          <w:szCs w:val="32"/>
        </w:rPr>
        <w:lastRenderedPageBreak/>
        <w:t>3</w:t>
      </w:r>
      <w:r>
        <w:rPr>
          <w:rFonts w:ascii="黑体" w:eastAsia="黑体" w:hAnsi="黑体" w:hint="eastAsia"/>
          <w:b/>
          <w:bCs/>
          <w:sz w:val="32"/>
          <w:szCs w:val="32"/>
        </w:rPr>
        <w:t>原料、中间产品、最终产品或者储存的危险化学品的理化性能指标</w:t>
      </w:r>
      <w:bookmarkEnd w:id="23"/>
    </w:p>
    <w:p w14:paraId="5EABF4CE" w14:textId="77777777" w:rsidR="00EF4562" w:rsidRDefault="00000000">
      <w:pPr>
        <w:ind w:firstLine="560"/>
        <w:rPr>
          <w:rFonts w:cs="Times New Roman"/>
          <w:szCs w:val="28"/>
          <w:lang w:bidi="ar"/>
          <w14:ligatures w14:val="none"/>
        </w:rPr>
      </w:pPr>
      <w:bookmarkStart w:id="24" w:name="_Hlk182906797"/>
      <w:r>
        <w:rPr>
          <w:rFonts w:cs="Times New Roman" w:hint="eastAsia"/>
          <w:szCs w:val="28"/>
          <w:lang w:bidi="ar"/>
          <w14:ligatures w14:val="none"/>
        </w:rPr>
        <w:t>本项目涉及物质有车用乙醇汽油和柴油。</w:t>
      </w:r>
    </w:p>
    <w:p w14:paraId="05DB7B53" w14:textId="77777777" w:rsidR="00EF4562" w:rsidRDefault="00000000">
      <w:pPr>
        <w:ind w:firstLine="560"/>
        <w:rPr>
          <w:rFonts w:cs="Times New Roman"/>
        </w:rPr>
      </w:pPr>
      <w:r>
        <w:rPr>
          <w:rFonts w:cs="Times New Roman" w:hint="eastAsia"/>
        </w:rPr>
        <w:t>根据《危险化学品目录（</w:t>
      </w:r>
      <w:r>
        <w:rPr>
          <w:rFonts w:cs="Times New Roman" w:hint="eastAsia"/>
        </w:rPr>
        <w:t>2015</w:t>
      </w:r>
      <w:r>
        <w:rPr>
          <w:rFonts w:cs="Times New Roman" w:hint="eastAsia"/>
        </w:rPr>
        <w:t>版）》（国家安全生产监督管理总局等十部门公告</w:t>
      </w:r>
      <w:r>
        <w:rPr>
          <w:rFonts w:cs="Times New Roman" w:hint="eastAsia"/>
        </w:rPr>
        <w:t>[2015]</w:t>
      </w:r>
      <w:r>
        <w:rPr>
          <w:rFonts w:cs="Times New Roman" w:hint="eastAsia"/>
        </w:rPr>
        <w:t>第</w:t>
      </w:r>
      <w:r>
        <w:rPr>
          <w:rFonts w:cs="Times New Roman" w:hint="eastAsia"/>
        </w:rPr>
        <w:t>5</w:t>
      </w:r>
      <w:r>
        <w:rPr>
          <w:rFonts w:cs="Times New Roman" w:hint="eastAsia"/>
        </w:rPr>
        <w:t>号，</w:t>
      </w:r>
      <w:r>
        <w:rPr>
          <w:rFonts w:cs="Times New Roman" w:hint="eastAsia"/>
        </w:rPr>
        <w:t>2015</w:t>
      </w:r>
      <w:r>
        <w:rPr>
          <w:rFonts w:cs="Times New Roman" w:hint="eastAsia"/>
        </w:rPr>
        <w:t>年</w:t>
      </w:r>
      <w:r>
        <w:rPr>
          <w:rFonts w:cs="Times New Roman" w:hint="eastAsia"/>
        </w:rPr>
        <w:t>5</w:t>
      </w:r>
      <w:r>
        <w:rPr>
          <w:rFonts w:cs="Times New Roman" w:hint="eastAsia"/>
        </w:rPr>
        <w:t>月</w:t>
      </w:r>
      <w:r>
        <w:rPr>
          <w:rFonts w:cs="Times New Roman" w:hint="eastAsia"/>
        </w:rPr>
        <w:t>1</w:t>
      </w:r>
      <w:r>
        <w:rPr>
          <w:rFonts w:cs="Times New Roman" w:hint="eastAsia"/>
        </w:rPr>
        <w:t>日起实施）及《关于调整危险化学品目录（</w:t>
      </w:r>
      <w:r>
        <w:rPr>
          <w:rFonts w:cs="Times New Roman" w:hint="eastAsia"/>
        </w:rPr>
        <w:t>2015</w:t>
      </w:r>
      <w:r>
        <w:rPr>
          <w:rFonts w:cs="Times New Roman" w:hint="eastAsia"/>
        </w:rPr>
        <w:t>版）的公告》（中华人民共和国应急管理部等十部门公告</w:t>
      </w:r>
      <w:r>
        <w:rPr>
          <w:rFonts w:cs="Times New Roman" w:hint="eastAsia"/>
        </w:rPr>
        <w:t>2022</w:t>
      </w:r>
      <w:r>
        <w:rPr>
          <w:rFonts w:cs="Times New Roman" w:hint="eastAsia"/>
        </w:rPr>
        <w:t>年第</w:t>
      </w:r>
      <w:r>
        <w:rPr>
          <w:rFonts w:cs="Times New Roman" w:hint="eastAsia"/>
        </w:rPr>
        <w:t>8</w:t>
      </w:r>
      <w:r>
        <w:rPr>
          <w:rFonts w:cs="Times New Roman" w:hint="eastAsia"/>
        </w:rPr>
        <w:t>号，</w:t>
      </w:r>
      <w:r>
        <w:rPr>
          <w:rFonts w:cs="Times New Roman" w:hint="eastAsia"/>
        </w:rPr>
        <w:t>2023</w:t>
      </w:r>
      <w:r>
        <w:rPr>
          <w:rFonts w:cs="Times New Roman" w:hint="eastAsia"/>
        </w:rPr>
        <w:t>年</w:t>
      </w:r>
      <w:r>
        <w:rPr>
          <w:rFonts w:cs="Times New Roman" w:hint="eastAsia"/>
        </w:rPr>
        <w:t>01</w:t>
      </w:r>
      <w:r>
        <w:rPr>
          <w:rFonts w:cs="Times New Roman" w:hint="eastAsia"/>
        </w:rPr>
        <w:t>月</w:t>
      </w:r>
      <w:r>
        <w:rPr>
          <w:rFonts w:cs="Times New Roman" w:hint="eastAsia"/>
        </w:rPr>
        <w:t>01</w:t>
      </w:r>
      <w:r>
        <w:rPr>
          <w:rFonts w:cs="Times New Roman" w:hint="eastAsia"/>
        </w:rPr>
        <w:t>日实施），本项目涉及的车用乙醇汽油及柴油属于危险化学品。</w:t>
      </w:r>
    </w:p>
    <w:p w14:paraId="5016E117" w14:textId="77777777" w:rsidR="00EF4562" w:rsidRDefault="00000000">
      <w:pPr>
        <w:ind w:firstLine="560"/>
        <w:rPr>
          <w:rFonts w:cs="Times New Roman"/>
        </w:rPr>
      </w:pPr>
      <w:r>
        <w:rPr>
          <w:rFonts w:cs="Times New Roman" w:hint="eastAsia"/>
        </w:rPr>
        <w:t>根据《国家安全监管总局关于公布首批重点监管的危险化学品名录的通知》（安监总管三</w:t>
      </w:r>
      <w:r>
        <w:rPr>
          <w:rFonts w:cs="Times New Roman" w:hint="eastAsia"/>
        </w:rPr>
        <w:t>[2011]95</w:t>
      </w:r>
      <w:r>
        <w:rPr>
          <w:rFonts w:cs="Times New Roman" w:hint="eastAsia"/>
        </w:rPr>
        <w:t>号）和《国家安全监管总局关于公布第二批重点监管危险化学品名录的通知》（安监总管三</w:t>
      </w:r>
      <w:r>
        <w:rPr>
          <w:rFonts w:cs="Times New Roman" w:hint="eastAsia"/>
        </w:rPr>
        <w:t>[2013]12</w:t>
      </w:r>
      <w:r>
        <w:rPr>
          <w:rFonts w:cs="Times New Roman" w:hint="eastAsia"/>
        </w:rPr>
        <w:t>号），本项目涉及的车用乙醇汽油属于重点监管的危险化学品。</w:t>
      </w:r>
    </w:p>
    <w:p w14:paraId="18C60334" w14:textId="77777777" w:rsidR="00EF4562" w:rsidRDefault="00000000">
      <w:pPr>
        <w:ind w:firstLine="560"/>
        <w:rPr>
          <w:rFonts w:cs="Times New Roman"/>
        </w:rPr>
      </w:pPr>
      <w:r>
        <w:rPr>
          <w:rFonts w:cs="Times New Roman" w:hint="eastAsia"/>
        </w:rPr>
        <w:t>根据《特别管控危险化学品目录（第一版）》（应急管理部、工业和信息化部、公安部、交通运输部公告</w:t>
      </w:r>
      <w:r>
        <w:rPr>
          <w:rFonts w:cs="Times New Roman" w:hint="eastAsia"/>
        </w:rPr>
        <w:t>2020</w:t>
      </w:r>
      <w:r>
        <w:rPr>
          <w:rFonts w:cs="Times New Roman" w:hint="eastAsia"/>
        </w:rPr>
        <w:t>年第</w:t>
      </w:r>
      <w:r>
        <w:rPr>
          <w:rFonts w:cs="Times New Roman" w:hint="eastAsia"/>
        </w:rPr>
        <w:t>3</w:t>
      </w:r>
      <w:r>
        <w:rPr>
          <w:rFonts w:cs="Times New Roman" w:hint="eastAsia"/>
        </w:rPr>
        <w:t>号），本项目涉及的车用乙醇汽油属于特别管控危险化学品。</w:t>
      </w:r>
    </w:p>
    <w:p w14:paraId="7F759F2E" w14:textId="77777777" w:rsidR="00EF4562" w:rsidRDefault="00000000">
      <w:pPr>
        <w:ind w:firstLine="560"/>
      </w:pPr>
      <w:r>
        <w:rPr>
          <w:rFonts w:cs="Times New Roman" w:hint="eastAsia"/>
          <w:szCs w:val="28"/>
          <w:lang w:bidi="ar"/>
          <w14:ligatures w14:val="none"/>
        </w:rPr>
        <w:t>本项目涉及危险化学品的危险、有害因素分析如下</w:t>
      </w:r>
      <w:r>
        <w:rPr>
          <w:rFonts w:hint="eastAsia"/>
        </w:rPr>
        <w:t>。</w:t>
      </w:r>
    </w:p>
    <w:bookmarkEnd w:id="24"/>
    <w:p w14:paraId="5E6897E1" w14:textId="77777777" w:rsidR="00EF4562" w:rsidRDefault="00EF4562">
      <w:pPr>
        <w:ind w:firstLineChars="0" w:firstLine="0"/>
        <w:rPr>
          <w:color w:val="FF0000"/>
        </w:rPr>
        <w:sectPr w:rsidR="00EF4562">
          <w:pgSz w:w="11906" w:h="16838"/>
          <w:pgMar w:top="1418" w:right="1134" w:bottom="1134" w:left="1588" w:header="851" w:footer="992" w:gutter="0"/>
          <w:cols w:space="425"/>
          <w:docGrid w:type="linesAndChars" w:linePitch="312"/>
        </w:sectPr>
      </w:pPr>
    </w:p>
    <w:p w14:paraId="6D97696E" w14:textId="77777777" w:rsidR="00EF4562" w:rsidRDefault="00000000">
      <w:pPr>
        <w:ind w:firstLine="560"/>
      </w:pPr>
      <w:r>
        <w:rPr>
          <w:rFonts w:hint="eastAsia"/>
        </w:rPr>
        <w:lastRenderedPageBreak/>
        <w:t>该项目涉及的车用乙醇汽油的危险特性，详见下表</w:t>
      </w:r>
      <w:r>
        <w:rPr>
          <w:rFonts w:hint="eastAsia"/>
        </w:rPr>
        <w:t>3.1-1</w:t>
      </w:r>
      <w:r>
        <w:rPr>
          <w:rFonts w:hint="eastAsia"/>
        </w:rPr>
        <w:t>。</w:t>
      </w:r>
    </w:p>
    <w:p w14:paraId="64B480DE"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3.1-1</w:t>
      </w:r>
      <w:r>
        <w:rPr>
          <w:rFonts w:ascii="黑体" w:eastAsia="黑体" w:hAnsi="黑体" w:hint="eastAsia"/>
          <w:sz w:val="24"/>
        </w:rPr>
        <w:t xml:space="preserve">  该项目涉及的主要化学品的危险特性</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6"/>
        <w:gridCol w:w="854"/>
        <w:gridCol w:w="811"/>
        <w:gridCol w:w="733"/>
        <w:gridCol w:w="736"/>
        <w:gridCol w:w="855"/>
        <w:gridCol w:w="2336"/>
        <w:gridCol w:w="1219"/>
        <w:gridCol w:w="889"/>
        <w:gridCol w:w="852"/>
        <w:gridCol w:w="1084"/>
        <w:gridCol w:w="592"/>
        <w:gridCol w:w="725"/>
        <w:gridCol w:w="841"/>
        <w:gridCol w:w="753"/>
      </w:tblGrid>
      <w:tr w:rsidR="00EF4562" w14:paraId="32CC691B" w14:textId="77777777">
        <w:trPr>
          <w:trHeight w:val="476"/>
          <w:tblHeader/>
          <w:jc w:val="center"/>
        </w:trPr>
        <w:tc>
          <w:tcPr>
            <w:tcW w:w="293" w:type="pct"/>
            <w:vAlign w:val="center"/>
          </w:tcPr>
          <w:p w14:paraId="7BC0B1AA"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物料名称</w:t>
            </w:r>
          </w:p>
        </w:tc>
        <w:tc>
          <w:tcPr>
            <w:tcW w:w="303" w:type="pct"/>
            <w:vAlign w:val="center"/>
          </w:tcPr>
          <w:p w14:paraId="2A6CD1FA"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危险化学品目录序号</w:t>
            </w:r>
          </w:p>
        </w:tc>
        <w:tc>
          <w:tcPr>
            <w:tcW w:w="287" w:type="pct"/>
            <w:vAlign w:val="center"/>
          </w:tcPr>
          <w:p w14:paraId="2BC02A2E"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CAS</w:t>
            </w:r>
            <w:r>
              <w:rPr>
                <w:rFonts w:cs="Times New Roman"/>
                <w:sz w:val="21"/>
                <w:szCs w:val="21"/>
                <w14:ligatures w14:val="none"/>
              </w:rPr>
              <w:t>号</w:t>
            </w:r>
          </w:p>
        </w:tc>
        <w:tc>
          <w:tcPr>
            <w:tcW w:w="260" w:type="pct"/>
            <w:vAlign w:val="center"/>
          </w:tcPr>
          <w:p w14:paraId="061EEFB2"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UN</w:t>
            </w:r>
            <w:r>
              <w:rPr>
                <w:rFonts w:cs="Times New Roman"/>
                <w:sz w:val="21"/>
                <w:szCs w:val="21"/>
                <w14:ligatures w14:val="none"/>
              </w:rPr>
              <w:t>编号</w:t>
            </w:r>
          </w:p>
        </w:tc>
        <w:tc>
          <w:tcPr>
            <w:tcW w:w="261" w:type="pct"/>
            <w:vAlign w:val="center"/>
          </w:tcPr>
          <w:p w14:paraId="6BDE2FFE"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包装类别</w:t>
            </w:r>
          </w:p>
        </w:tc>
        <w:tc>
          <w:tcPr>
            <w:tcW w:w="303" w:type="pct"/>
            <w:vAlign w:val="center"/>
          </w:tcPr>
          <w:p w14:paraId="45E4032E"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主要危险性</w:t>
            </w:r>
          </w:p>
        </w:tc>
        <w:tc>
          <w:tcPr>
            <w:tcW w:w="828" w:type="pct"/>
            <w:vAlign w:val="center"/>
          </w:tcPr>
          <w:p w14:paraId="575AE8BB"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危险化学品</w:t>
            </w:r>
          </w:p>
          <w:p w14:paraId="559F32C9"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分类</w:t>
            </w:r>
          </w:p>
        </w:tc>
        <w:tc>
          <w:tcPr>
            <w:tcW w:w="432" w:type="pct"/>
            <w:vAlign w:val="center"/>
          </w:tcPr>
          <w:p w14:paraId="576C3597"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密度（</w:t>
            </w:r>
            <w:r>
              <w:rPr>
                <w:rFonts w:cs="Times New Roman"/>
                <w:sz w:val="21"/>
                <w:szCs w:val="21"/>
                <w14:ligatures w14:val="none"/>
              </w:rPr>
              <w:t>t/m</w:t>
            </w:r>
            <w:r>
              <w:rPr>
                <w:rFonts w:cs="Times New Roman"/>
                <w:sz w:val="21"/>
                <w:szCs w:val="21"/>
                <w:vertAlign w:val="superscript"/>
                <w14:ligatures w14:val="none"/>
              </w:rPr>
              <w:t>3</w:t>
            </w:r>
            <w:r>
              <w:rPr>
                <w:rFonts w:cs="Times New Roman"/>
                <w:sz w:val="21"/>
                <w:szCs w:val="21"/>
                <w14:ligatures w14:val="none"/>
              </w:rPr>
              <w:t>）</w:t>
            </w:r>
          </w:p>
        </w:tc>
        <w:tc>
          <w:tcPr>
            <w:tcW w:w="315" w:type="pct"/>
            <w:vAlign w:val="center"/>
          </w:tcPr>
          <w:p w14:paraId="6D50C343"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沸点</w:t>
            </w:r>
          </w:p>
          <w:p w14:paraId="4E5FC046"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w:t>
            </w:r>
            <w:r>
              <w:rPr>
                <w:rFonts w:cs="Times New Roman"/>
                <w:sz w:val="21"/>
                <w:szCs w:val="21"/>
                <w14:ligatures w14:val="none"/>
              </w:rPr>
              <w:t>℃</w:t>
            </w:r>
            <w:r>
              <w:rPr>
                <w:rFonts w:cs="Times New Roman"/>
                <w:sz w:val="21"/>
                <w:szCs w:val="21"/>
                <w14:ligatures w14:val="none"/>
              </w:rPr>
              <w:t>）</w:t>
            </w:r>
          </w:p>
        </w:tc>
        <w:tc>
          <w:tcPr>
            <w:tcW w:w="302" w:type="pct"/>
            <w:vAlign w:val="center"/>
          </w:tcPr>
          <w:p w14:paraId="4A601CAA"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闪点（</w:t>
            </w:r>
            <w:r>
              <w:rPr>
                <w:rFonts w:cs="Times New Roman"/>
                <w:sz w:val="21"/>
                <w:szCs w:val="21"/>
                <w14:ligatures w14:val="none"/>
              </w:rPr>
              <w:t>℃</w:t>
            </w:r>
            <w:r>
              <w:rPr>
                <w:rFonts w:cs="Times New Roman"/>
                <w:sz w:val="21"/>
                <w:szCs w:val="21"/>
                <w14:ligatures w14:val="none"/>
              </w:rPr>
              <w:t>）</w:t>
            </w:r>
          </w:p>
        </w:tc>
        <w:tc>
          <w:tcPr>
            <w:tcW w:w="384" w:type="pct"/>
            <w:vAlign w:val="center"/>
          </w:tcPr>
          <w:p w14:paraId="64387A6D"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职业接触限值</w:t>
            </w:r>
          </w:p>
        </w:tc>
        <w:tc>
          <w:tcPr>
            <w:tcW w:w="210" w:type="pct"/>
            <w:vAlign w:val="center"/>
          </w:tcPr>
          <w:p w14:paraId="65BD8B2D"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毒性等级</w:t>
            </w:r>
          </w:p>
        </w:tc>
        <w:tc>
          <w:tcPr>
            <w:tcW w:w="257" w:type="pct"/>
            <w:vAlign w:val="center"/>
          </w:tcPr>
          <w:p w14:paraId="3391268C"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爆炸极限</w:t>
            </w:r>
          </w:p>
        </w:tc>
        <w:tc>
          <w:tcPr>
            <w:tcW w:w="298" w:type="pct"/>
            <w:vAlign w:val="center"/>
          </w:tcPr>
          <w:p w14:paraId="6280A399"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火灾危险性分类</w:t>
            </w:r>
          </w:p>
        </w:tc>
        <w:tc>
          <w:tcPr>
            <w:tcW w:w="267" w:type="pct"/>
            <w:vAlign w:val="center"/>
          </w:tcPr>
          <w:p w14:paraId="7C10FD25"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危害特性</w:t>
            </w:r>
          </w:p>
        </w:tc>
      </w:tr>
      <w:tr w:rsidR="00EF4562" w14:paraId="6CDA389C" w14:textId="77777777">
        <w:trPr>
          <w:trHeight w:val="412"/>
          <w:jc w:val="center"/>
        </w:trPr>
        <w:tc>
          <w:tcPr>
            <w:tcW w:w="293" w:type="pct"/>
            <w:vAlign w:val="center"/>
          </w:tcPr>
          <w:p w14:paraId="66E9039A"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车用乙醇汽油</w:t>
            </w:r>
          </w:p>
        </w:tc>
        <w:tc>
          <w:tcPr>
            <w:tcW w:w="303" w:type="pct"/>
            <w:vAlign w:val="center"/>
          </w:tcPr>
          <w:p w14:paraId="143C2023" w14:textId="77777777" w:rsidR="00EF4562" w:rsidRDefault="00000000">
            <w:pPr>
              <w:widowControl/>
              <w:spacing w:line="240" w:lineRule="auto"/>
              <w:ind w:firstLineChars="0" w:firstLine="0"/>
              <w:jc w:val="center"/>
              <w:rPr>
                <w:rFonts w:cs="Times New Roman"/>
                <w:sz w:val="21"/>
                <w:szCs w:val="21"/>
                <w14:ligatures w14:val="none"/>
              </w:rPr>
            </w:pPr>
            <w:r>
              <w:rPr>
                <w:rFonts w:cs="Times New Roman"/>
                <w:sz w:val="21"/>
                <w:szCs w:val="21"/>
                <w14:ligatures w14:val="none"/>
              </w:rPr>
              <w:t>1630</w:t>
            </w:r>
          </w:p>
        </w:tc>
        <w:tc>
          <w:tcPr>
            <w:tcW w:w="287" w:type="pct"/>
            <w:vAlign w:val="center"/>
          </w:tcPr>
          <w:p w14:paraId="61A9957C" w14:textId="77777777" w:rsidR="00EF4562" w:rsidRDefault="00000000">
            <w:pPr>
              <w:widowControl/>
              <w:spacing w:line="240" w:lineRule="auto"/>
              <w:ind w:firstLineChars="0" w:firstLine="0"/>
              <w:jc w:val="center"/>
              <w:rPr>
                <w:rFonts w:cs="Times New Roman"/>
                <w:sz w:val="21"/>
                <w:szCs w:val="21"/>
                <w14:ligatures w14:val="none"/>
              </w:rPr>
            </w:pPr>
            <w:r>
              <w:rPr>
                <w:rFonts w:cs="Times New Roman"/>
                <w:sz w:val="21"/>
                <w:szCs w:val="21"/>
                <w14:ligatures w14:val="none"/>
              </w:rPr>
              <w:t>86290-81-5</w:t>
            </w:r>
          </w:p>
        </w:tc>
        <w:tc>
          <w:tcPr>
            <w:tcW w:w="260" w:type="pct"/>
            <w:vAlign w:val="center"/>
          </w:tcPr>
          <w:p w14:paraId="41D8ADC8" w14:textId="77777777" w:rsidR="00EF4562" w:rsidRDefault="00000000">
            <w:pPr>
              <w:widowControl/>
              <w:spacing w:line="240" w:lineRule="auto"/>
              <w:ind w:firstLineChars="0" w:firstLine="0"/>
              <w:jc w:val="center"/>
              <w:rPr>
                <w:rFonts w:cs="Times New Roman"/>
                <w:sz w:val="21"/>
                <w:szCs w:val="21"/>
                <w14:ligatures w14:val="none"/>
              </w:rPr>
            </w:pPr>
            <w:r>
              <w:rPr>
                <w:rFonts w:cs="Times New Roman"/>
                <w:sz w:val="21"/>
                <w:szCs w:val="21"/>
                <w14:ligatures w14:val="none"/>
              </w:rPr>
              <w:t>1203</w:t>
            </w:r>
          </w:p>
        </w:tc>
        <w:tc>
          <w:tcPr>
            <w:tcW w:w="261" w:type="pct"/>
            <w:vAlign w:val="center"/>
          </w:tcPr>
          <w:p w14:paraId="308FB589" w14:textId="77777777" w:rsidR="00EF4562" w:rsidRDefault="00000000">
            <w:pPr>
              <w:widowControl/>
              <w:spacing w:line="240" w:lineRule="auto"/>
              <w:ind w:firstLineChars="0" w:firstLine="0"/>
              <w:jc w:val="center"/>
              <w:rPr>
                <w:rFonts w:cs="Times New Roman"/>
                <w:sz w:val="21"/>
                <w:szCs w:val="21"/>
                <w14:ligatures w14:val="none"/>
              </w:rPr>
            </w:pPr>
            <w:r>
              <w:rPr>
                <w:rFonts w:cs="Times New Roman"/>
                <w:sz w:val="21"/>
                <w:szCs w:val="21"/>
                <w14:ligatures w14:val="none"/>
              </w:rPr>
              <w:t>Ⅱ</w:t>
            </w:r>
          </w:p>
        </w:tc>
        <w:tc>
          <w:tcPr>
            <w:tcW w:w="303" w:type="pct"/>
            <w:vAlign w:val="center"/>
          </w:tcPr>
          <w:p w14:paraId="1434277B" w14:textId="77777777" w:rsidR="00EF4562" w:rsidRDefault="00000000">
            <w:pPr>
              <w:widowControl/>
              <w:spacing w:line="240" w:lineRule="auto"/>
              <w:ind w:firstLineChars="0" w:firstLine="0"/>
              <w:jc w:val="center"/>
              <w:rPr>
                <w:rFonts w:cs="Times New Roman"/>
                <w:sz w:val="21"/>
                <w:szCs w:val="21"/>
                <w14:ligatures w14:val="none"/>
              </w:rPr>
            </w:pPr>
            <w:r>
              <w:rPr>
                <w:rFonts w:cs="Times New Roman"/>
                <w:sz w:val="21"/>
                <w:szCs w:val="21"/>
                <w14:ligatures w14:val="none"/>
              </w:rPr>
              <w:t>3</w:t>
            </w:r>
          </w:p>
        </w:tc>
        <w:tc>
          <w:tcPr>
            <w:tcW w:w="828" w:type="pct"/>
            <w:vAlign w:val="center"/>
          </w:tcPr>
          <w:p w14:paraId="2FDB63F0" w14:textId="77777777" w:rsidR="00EF4562" w:rsidRDefault="00000000">
            <w:pPr>
              <w:widowControl/>
              <w:spacing w:line="240" w:lineRule="auto"/>
              <w:ind w:firstLineChars="0" w:firstLine="0"/>
              <w:rPr>
                <w:rFonts w:cs="Times New Roman"/>
                <w:kern w:val="0"/>
                <w:sz w:val="21"/>
                <w:szCs w:val="21"/>
                <w14:ligatures w14:val="none"/>
              </w:rPr>
            </w:pPr>
            <w:r>
              <w:rPr>
                <w:rFonts w:cs="Times New Roman"/>
                <w:sz w:val="21"/>
                <w:szCs w:val="21"/>
                <w14:ligatures w14:val="none"/>
              </w:rPr>
              <w:t>易燃液体，类别</w:t>
            </w:r>
            <w:r>
              <w:rPr>
                <w:rFonts w:cs="Times New Roman"/>
                <w:sz w:val="21"/>
                <w:szCs w:val="21"/>
                <w14:ligatures w14:val="none"/>
              </w:rPr>
              <w:t>2</w:t>
            </w:r>
            <w:r>
              <w:rPr>
                <w:rFonts w:cs="Times New Roman"/>
                <w:kern w:val="0"/>
                <w:sz w:val="21"/>
                <w:szCs w:val="21"/>
                <w14:ligatures w14:val="none"/>
              </w:rPr>
              <w:t>*</w:t>
            </w:r>
          </w:p>
          <w:p w14:paraId="0E95C841"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生殖细胞致突变性，类别</w:t>
            </w:r>
            <w:r>
              <w:rPr>
                <w:rFonts w:cs="Times New Roman"/>
                <w:kern w:val="0"/>
                <w:sz w:val="21"/>
                <w:szCs w:val="21"/>
                <w14:ligatures w14:val="none"/>
              </w:rPr>
              <w:t>1B</w:t>
            </w:r>
          </w:p>
          <w:p w14:paraId="233025D4"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致癌性，类别</w:t>
            </w:r>
            <w:r>
              <w:rPr>
                <w:rFonts w:cs="Times New Roman"/>
                <w:kern w:val="0"/>
                <w:sz w:val="21"/>
                <w:szCs w:val="21"/>
                <w14:ligatures w14:val="none"/>
              </w:rPr>
              <w:t>2</w:t>
            </w:r>
          </w:p>
          <w:p w14:paraId="0928030C"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危害水生环境</w:t>
            </w:r>
            <w:r>
              <w:rPr>
                <w:rFonts w:cs="Times New Roman"/>
                <w:kern w:val="0"/>
                <w:sz w:val="21"/>
                <w:szCs w:val="21"/>
                <w14:ligatures w14:val="none"/>
              </w:rPr>
              <w:t>-</w:t>
            </w:r>
            <w:r>
              <w:rPr>
                <w:rFonts w:cs="Times New Roman"/>
                <w:kern w:val="0"/>
                <w:sz w:val="21"/>
                <w:szCs w:val="21"/>
                <w14:ligatures w14:val="none"/>
              </w:rPr>
              <w:t>急性危害，类别</w:t>
            </w:r>
            <w:r>
              <w:rPr>
                <w:rFonts w:cs="Times New Roman"/>
                <w:kern w:val="0"/>
                <w:sz w:val="21"/>
                <w:szCs w:val="21"/>
                <w14:ligatures w14:val="none"/>
              </w:rPr>
              <w:t>2</w:t>
            </w:r>
          </w:p>
          <w:p w14:paraId="5F098C58" w14:textId="77777777" w:rsidR="00EF4562" w:rsidRDefault="00000000">
            <w:pPr>
              <w:spacing w:line="240" w:lineRule="auto"/>
              <w:ind w:firstLineChars="0" w:firstLine="0"/>
              <w:rPr>
                <w:rFonts w:cs="Times New Roman"/>
                <w:sz w:val="21"/>
                <w:szCs w:val="21"/>
                <w14:ligatures w14:val="none"/>
              </w:rPr>
            </w:pPr>
            <w:r>
              <w:rPr>
                <w:rFonts w:cs="Times New Roman"/>
                <w:kern w:val="0"/>
                <w:sz w:val="21"/>
                <w:szCs w:val="21"/>
                <w14:ligatures w14:val="none"/>
              </w:rPr>
              <w:t>危害水生环境</w:t>
            </w:r>
            <w:r>
              <w:rPr>
                <w:rFonts w:cs="Times New Roman"/>
                <w:kern w:val="0"/>
                <w:sz w:val="21"/>
                <w:szCs w:val="21"/>
                <w14:ligatures w14:val="none"/>
              </w:rPr>
              <w:t>-</w:t>
            </w:r>
            <w:r>
              <w:rPr>
                <w:rFonts w:cs="Times New Roman"/>
                <w:kern w:val="0"/>
                <w:sz w:val="21"/>
                <w:szCs w:val="21"/>
                <w14:ligatures w14:val="none"/>
              </w:rPr>
              <w:t>长期危害，类别</w:t>
            </w:r>
            <w:r>
              <w:rPr>
                <w:rFonts w:cs="Times New Roman"/>
                <w:kern w:val="0"/>
                <w:sz w:val="21"/>
                <w:szCs w:val="21"/>
                <w14:ligatures w14:val="none"/>
              </w:rPr>
              <w:t>2</w:t>
            </w:r>
          </w:p>
        </w:tc>
        <w:tc>
          <w:tcPr>
            <w:tcW w:w="432" w:type="pct"/>
            <w:vAlign w:val="center"/>
          </w:tcPr>
          <w:p w14:paraId="0C59F386" w14:textId="77777777" w:rsidR="00EF4562" w:rsidRDefault="00000000">
            <w:pPr>
              <w:spacing w:line="240" w:lineRule="auto"/>
              <w:ind w:firstLineChars="0" w:firstLine="0"/>
              <w:jc w:val="center"/>
              <w:rPr>
                <w:rFonts w:cs="Times New Roman"/>
                <w:sz w:val="21"/>
                <w:szCs w:val="21"/>
                <w14:ligatures w14:val="none"/>
              </w:rPr>
            </w:pPr>
            <w:r>
              <w:rPr>
                <w:rFonts w:cs="Times New Roman"/>
                <w:kern w:val="0"/>
                <w:sz w:val="21"/>
                <w:szCs w:val="21"/>
                <w14:ligatures w14:val="none"/>
              </w:rPr>
              <w:t>0.70</w:t>
            </w:r>
            <w:r>
              <w:rPr>
                <w:rFonts w:cs="Times New Roman"/>
                <w:kern w:val="0"/>
                <w:sz w:val="21"/>
                <w:szCs w:val="21"/>
                <w14:ligatures w14:val="none"/>
              </w:rPr>
              <w:t>～</w:t>
            </w:r>
            <w:r>
              <w:rPr>
                <w:rFonts w:cs="Times New Roman"/>
                <w:kern w:val="0"/>
                <w:sz w:val="21"/>
                <w:szCs w:val="21"/>
                <w14:ligatures w14:val="none"/>
              </w:rPr>
              <w:t>0.80</w:t>
            </w:r>
          </w:p>
        </w:tc>
        <w:tc>
          <w:tcPr>
            <w:tcW w:w="315" w:type="pct"/>
            <w:vAlign w:val="center"/>
          </w:tcPr>
          <w:p w14:paraId="71E01034"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30-205</w:t>
            </w:r>
          </w:p>
        </w:tc>
        <w:tc>
          <w:tcPr>
            <w:tcW w:w="302" w:type="pct"/>
            <w:vAlign w:val="center"/>
          </w:tcPr>
          <w:p w14:paraId="3BDA8165"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-46</w:t>
            </w:r>
          </w:p>
        </w:tc>
        <w:tc>
          <w:tcPr>
            <w:tcW w:w="384" w:type="pct"/>
            <w:vAlign w:val="center"/>
          </w:tcPr>
          <w:p w14:paraId="48A2C5C0"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PC-TWA</w:t>
            </w:r>
            <w:r>
              <w:rPr>
                <w:rFonts w:cs="Times New Roman"/>
                <w:sz w:val="21"/>
                <w:szCs w:val="21"/>
                <w14:ligatures w14:val="none"/>
              </w:rPr>
              <w:t>：</w:t>
            </w:r>
            <w:r>
              <w:rPr>
                <w:rFonts w:cs="Times New Roman"/>
                <w:sz w:val="21"/>
                <w:szCs w:val="21"/>
                <w14:ligatures w14:val="none"/>
              </w:rPr>
              <w:t>300mg/m³</w:t>
            </w:r>
          </w:p>
        </w:tc>
        <w:tc>
          <w:tcPr>
            <w:tcW w:w="210" w:type="pct"/>
            <w:vAlign w:val="center"/>
          </w:tcPr>
          <w:p w14:paraId="27892A39"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低毒</w:t>
            </w:r>
          </w:p>
        </w:tc>
        <w:tc>
          <w:tcPr>
            <w:tcW w:w="257" w:type="pct"/>
            <w:vAlign w:val="center"/>
          </w:tcPr>
          <w:p w14:paraId="54258D85"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1.4%-7.6%</w:t>
            </w:r>
          </w:p>
        </w:tc>
        <w:tc>
          <w:tcPr>
            <w:tcW w:w="298" w:type="pct"/>
            <w:vAlign w:val="center"/>
          </w:tcPr>
          <w:p w14:paraId="3FB305BA"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甲类</w:t>
            </w:r>
          </w:p>
        </w:tc>
        <w:tc>
          <w:tcPr>
            <w:tcW w:w="267" w:type="pct"/>
            <w:vAlign w:val="center"/>
          </w:tcPr>
          <w:p w14:paraId="51EF8550"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高度易燃液体</w:t>
            </w:r>
          </w:p>
        </w:tc>
      </w:tr>
      <w:tr w:rsidR="00EF4562" w14:paraId="1EF1B7D5" w14:textId="77777777">
        <w:trPr>
          <w:trHeight w:val="412"/>
          <w:jc w:val="center"/>
        </w:trPr>
        <w:tc>
          <w:tcPr>
            <w:tcW w:w="293" w:type="pct"/>
            <w:vAlign w:val="center"/>
          </w:tcPr>
          <w:p w14:paraId="0ABA9DC1"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rPr>
              <w:t>柴油</w:t>
            </w:r>
          </w:p>
        </w:tc>
        <w:tc>
          <w:tcPr>
            <w:tcW w:w="303" w:type="pct"/>
            <w:vAlign w:val="center"/>
          </w:tcPr>
          <w:p w14:paraId="3442A9F0" w14:textId="77777777" w:rsidR="00EF4562" w:rsidRDefault="00000000">
            <w:pPr>
              <w:widowControl/>
              <w:spacing w:line="240" w:lineRule="auto"/>
              <w:ind w:firstLineChars="0" w:firstLine="0"/>
              <w:jc w:val="center"/>
              <w:rPr>
                <w:rFonts w:cs="Times New Roman"/>
                <w:sz w:val="21"/>
                <w:szCs w:val="21"/>
                <w14:ligatures w14:val="none"/>
              </w:rPr>
            </w:pPr>
            <w:r>
              <w:rPr>
                <w:rFonts w:cs="Times New Roman"/>
                <w:sz w:val="21"/>
                <w:szCs w:val="21"/>
              </w:rPr>
              <w:t>1674</w:t>
            </w:r>
          </w:p>
        </w:tc>
        <w:tc>
          <w:tcPr>
            <w:tcW w:w="287" w:type="pct"/>
            <w:vAlign w:val="center"/>
          </w:tcPr>
          <w:p w14:paraId="7C7E3832" w14:textId="77777777" w:rsidR="00EF4562" w:rsidRDefault="00000000">
            <w:pPr>
              <w:widowControl/>
              <w:spacing w:line="240" w:lineRule="auto"/>
              <w:ind w:firstLineChars="0" w:firstLine="0"/>
              <w:jc w:val="center"/>
              <w:rPr>
                <w:rFonts w:cs="Times New Roman"/>
                <w:sz w:val="21"/>
                <w:szCs w:val="21"/>
                <w14:ligatures w14:val="none"/>
              </w:rPr>
            </w:pPr>
            <w:r>
              <w:rPr>
                <w:rFonts w:cs="Times New Roman"/>
                <w:sz w:val="21"/>
                <w:szCs w:val="21"/>
              </w:rPr>
              <w:t>68334-30-5</w:t>
            </w:r>
          </w:p>
        </w:tc>
        <w:tc>
          <w:tcPr>
            <w:tcW w:w="260" w:type="pct"/>
            <w:vAlign w:val="center"/>
          </w:tcPr>
          <w:p w14:paraId="113ED878" w14:textId="77777777" w:rsidR="00EF4562" w:rsidRDefault="00000000">
            <w:pPr>
              <w:widowControl/>
              <w:spacing w:line="240" w:lineRule="auto"/>
              <w:ind w:firstLineChars="0" w:firstLine="0"/>
              <w:jc w:val="center"/>
              <w:rPr>
                <w:rFonts w:cs="Times New Roman"/>
                <w:sz w:val="21"/>
                <w:szCs w:val="21"/>
                <w14:ligatures w14:val="none"/>
              </w:rPr>
            </w:pPr>
            <w:r>
              <w:rPr>
                <w:rFonts w:cs="Times New Roman"/>
                <w:sz w:val="21"/>
                <w:szCs w:val="21"/>
              </w:rPr>
              <w:t>1202</w:t>
            </w:r>
          </w:p>
        </w:tc>
        <w:tc>
          <w:tcPr>
            <w:tcW w:w="261" w:type="pct"/>
            <w:vAlign w:val="center"/>
          </w:tcPr>
          <w:p w14:paraId="33032246" w14:textId="77777777" w:rsidR="00EF4562" w:rsidRDefault="00000000">
            <w:pPr>
              <w:widowControl/>
              <w:spacing w:line="240" w:lineRule="auto"/>
              <w:ind w:firstLineChars="0" w:firstLine="0"/>
              <w:jc w:val="center"/>
              <w:rPr>
                <w:rFonts w:cs="Times New Roman"/>
                <w:sz w:val="21"/>
                <w:szCs w:val="21"/>
                <w14:ligatures w14:val="none"/>
              </w:rPr>
            </w:pPr>
            <w:r>
              <w:rPr>
                <w:rFonts w:cs="Times New Roman"/>
                <w:sz w:val="21"/>
                <w:szCs w:val="21"/>
              </w:rPr>
              <w:t>Ⅲ</w:t>
            </w:r>
          </w:p>
        </w:tc>
        <w:tc>
          <w:tcPr>
            <w:tcW w:w="303" w:type="pct"/>
            <w:vAlign w:val="center"/>
          </w:tcPr>
          <w:p w14:paraId="1A46B77E" w14:textId="77777777" w:rsidR="00EF4562" w:rsidRDefault="00000000">
            <w:pPr>
              <w:widowControl/>
              <w:spacing w:line="240" w:lineRule="auto"/>
              <w:ind w:firstLineChars="0" w:firstLine="0"/>
              <w:jc w:val="center"/>
              <w:rPr>
                <w:rFonts w:cs="Times New Roman"/>
                <w:sz w:val="21"/>
                <w:szCs w:val="21"/>
                <w14:ligatures w14:val="none"/>
              </w:rPr>
            </w:pPr>
            <w:r>
              <w:rPr>
                <w:rFonts w:cs="Times New Roman"/>
                <w:sz w:val="21"/>
                <w:szCs w:val="21"/>
              </w:rPr>
              <w:t>3</w:t>
            </w:r>
          </w:p>
        </w:tc>
        <w:tc>
          <w:tcPr>
            <w:tcW w:w="828" w:type="pct"/>
            <w:vAlign w:val="center"/>
          </w:tcPr>
          <w:p w14:paraId="25FA0B02" w14:textId="77777777" w:rsidR="00EF4562" w:rsidRDefault="00000000">
            <w:pPr>
              <w:widowControl/>
              <w:spacing w:line="240" w:lineRule="auto"/>
              <w:ind w:firstLineChars="0" w:firstLine="0"/>
              <w:rPr>
                <w:rFonts w:cs="Times New Roman"/>
                <w:sz w:val="21"/>
                <w:szCs w:val="21"/>
                <w14:ligatures w14:val="none"/>
              </w:rPr>
            </w:pPr>
            <w:r>
              <w:rPr>
                <w:rFonts w:cs="Times New Roman"/>
                <w:sz w:val="21"/>
                <w:szCs w:val="21"/>
              </w:rPr>
              <w:t>易燃液体，类别</w:t>
            </w:r>
            <w:r>
              <w:rPr>
                <w:rFonts w:cs="Times New Roman"/>
                <w:sz w:val="21"/>
                <w:szCs w:val="21"/>
              </w:rPr>
              <w:t>3</w:t>
            </w:r>
          </w:p>
        </w:tc>
        <w:tc>
          <w:tcPr>
            <w:tcW w:w="432" w:type="pct"/>
            <w:vAlign w:val="center"/>
          </w:tcPr>
          <w:p w14:paraId="048501FB" w14:textId="77777777" w:rsidR="00EF4562" w:rsidRDefault="00000000">
            <w:pPr>
              <w:spacing w:line="240" w:lineRule="auto"/>
              <w:ind w:firstLineChars="0" w:firstLine="0"/>
              <w:jc w:val="center"/>
              <w:rPr>
                <w:rFonts w:cs="Times New Roman"/>
                <w:kern w:val="0"/>
                <w:sz w:val="21"/>
                <w:szCs w:val="21"/>
                <w14:ligatures w14:val="none"/>
              </w:rPr>
            </w:pPr>
            <w:r>
              <w:rPr>
                <w:rFonts w:cs="Times New Roman"/>
                <w:kern w:val="0"/>
                <w:sz w:val="21"/>
                <w:szCs w:val="21"/>
              </w:rPr>
              <w:t>0.79</w:t>
            </w:r>
            <w:r>
              <w:rPr>
                <w:rFonts w:cs="Times New Roman"/>
                <w:kern w:val="0"/>
                <w:sz w:val="21"/>
                <w:szCs w:val="21"/>
              </w:rPr>
              <w:t>～</w:t>
            </w:r>
            <w:r>
              <w:rPr>
                <w:rFonts w:cs="Times New Roman"/>
                <w:kern w:val="0"/>
                <w:sz w:val="21"/>
                <w:szCs w:val="21"/>
              </w:rPr>
              <w:t>0.85</w:t>
            </w:r>
          </w:p>
        </w:tc>
        <w:tc>
          <w:tcPr>
            <w:tcW w:w="315" w:type="pct"/>
            <w:vAlign w:val="center"/>
          </w:tcPr>
          <w:p w14:paraId="7DA99AC6"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rPr>
              <w:t>282-338</w:t>
            </w:r>
          </w:p>
        </w:tc>
        <w:tc>
          <w:tcPr>
            <w:tcW w:w="302" w:type="pct"/>
            <w:vAlign w:val="center"/>
          </w:tcPr>
          <w:p w14:paraId="6EA39EA7"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rPr>
              <w:t>≥45</w:t>
            </w:r>
          </w:p>
        </w:tc>
        <w:tc>
          <w:tcPr>
            <w:tcW w:w="384" w:type="pct"/>
            <w:vAlign w:val="center"/>
          </w:tcPr>
          <w:p w14:paraId="160A6F45"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rPr>
              <w:t>-</w:t>
            </w:r>
          </w:p>
        </w:tc>
        <w:tc>
          <w:tcPr>
            <w:tcW w:w="210" w:type="pct"/>
            <w:vAlign w:val="center"/>
          </w:tcPr>
          <w:p w14:paraId="295B749F"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rPr>
              <w:t>低毒</w:t>
            </w:r>
          </w:p>
        </w:tc>
        <w:tc>
          <w:tcPr>
            <w:tcW w:w="257" w:type="pct"/>
            <w:vAlign w:val="center"/>
          </w:tcPr>
          <w:p w14:paraId="3495C756"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rPr>
              <w:t>0.6%-6.5%</w:t>
            </w:r>
          </w:p>
        </w:tc>
        <w:tc>
          <w:tcPr>
            <w:tcW w:w="298" w:type="pct"/>
            <w:vAlign w:val="center"/>
          </w:tcPr>
          <w:p w14:paraId="710D0455"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rPr>
              <w:t>乙类</w:t>
            </w:r>
            <w:r>
              <w:rPr>
                <w:rFonts w:cs="Times New Roman"/>
                <w:sz w:val="21"/>
                <w:szCs w:val="21"/>
              </w:rPr>
              <w:t>/</w:t>
            </w:r>
            <w:r>
              <w:rPr>
                <w:rFonts w:cs="Times New Roman"/>
                <w:sz w:val="21"/>
                <w:szCs w:val="21"/>
              </w:rPr>
              <w:t>丙类</w:t>
            </w:r>
          </w:p>
        </w:tc>
        <w:tc>
          <w:tcPr>
            <w:tcW w:w="267" w:type="pct"/>
            <w:vAlign w:val="center"/>
          </w:tcPr>
          <w:p w14:paraId="1B6C25C5" w14:textId="77777777" w:rsidR="00EF4562" w:rsidRDefault="00000000">
            <w:pPr>
              <w:spacing w:line="240" w:lineRule="auto"/>
              <w:ind w:firstLineChars="0" w:firstLine="0"/>
              <w:jc w:val="center"/>
              <w:rPr>
                <w:rFonts w:cs="Times New Roman"/>
                <w:sz w:val="21"/>
                <w:szCs w:val="21"/>
                <w14:ligatures w14:val="none"/>
              </w:rPr>
            </w:pPr>
            <w:r>
              <w:rPr>
                <w:rFonts w:cs="Times New Roman"/>
                <w:bCs/>
                <w:sz w:val="21"/>
                <w:szCs w:val="21"/>
              </w:rPr>
              <w:t>易燃、刺激性</w:t>
            </w:r>
          </w:p>
        </w:tc>
      </w:tr>
      <w:tr w:rsidR="00EF4562" w14:paraId="63EE4A64" w14:textId="77777777">
        <w:trPr>
          <w:trHeight w:val="412"/>
          <w:jc w:val="center"/>
        </w:trPr>
        <w:tc>
          <w:tcPr>
            <w:tcW w:w="5000" w:type="pct"/>
            <w:gridSpan w:val="15"/>
          </w:tcPr>
          <w:p w14:paraId="3A2621DF" w14:textId="77777777" w:rsidR="00EF4562" w:rsidRDefault="00000000">
            <w:pPr>
              <w:adjustRightInd/>
              <w:snapToGrid/>
              <w:spacing w:line="240" w:lineRule="auto"/>
              <w:ind w:firstLineChars="0" w:firstLine="0"/>
              <w:jc w:val="left"/>
              <w:rPr>
                <w:rFonts w:cs="Times New Roman"/>
                <w:color w:val="FF0000"/>
                <w:sz w:val="21"/>
                <w:szCs w:val="21"/>
                <w14:ligatures w14:val="none"/>
              </w:rPr>
            </w:pPr>
            <w:r>
              <w:rPr>
                <w:rFonts w:cs="Times New Roman" w:hint="eastAsia"/>
                <w:sz w:val="21"/>
                <w:szCs w:val="21"/>
                <w14:ligatures w14:val="none"/>
              </w:rPr>
              <w:t>注：根据《危险货物品名表》（</w:t>
            </w:r>
            <w:r>
              <w:rPr>
                <w:rFonts w:cs="Times New Roman" w:hint="eastAsia"/>
                <w:sz w:val="21"/>
                <w:szCs w:val="21"/>
                <w14:ligatures w14:val="none"/>
              </w:rPr>
              <w:t>GB 12268-2012</w:t>
            </w:r>
            <w:r>
              <w:rPr>
                <w:rFonts w:cs="Times New Roman" w:hint="eastAsia"/>
                <w:sz w:val="21"/>
                <w:szCs w:val="21"/>
                <w14:ligatures w14:val="none"/>
              </w:rPr>
              <w:t>）辨识出车用乙醇汽油的</w:t>
            </w:r>
            <w:r>
              <w:rPr>
                <w:rFonts w:cs="Times New Roman" w:hint="eastAsia"/>
                <w:sz w:val="21"/>
                <w:szCs w:val="21"/>
                <w14:ligatures w14:val="none"/>
              </w:rPr>
              <w:t>UN</w:t>
            </w:r>
            <w:r>
              <w:rPr>
                <w:rFonts w:cs="Times New Roman" w:hint="eastAsia"/>
                <w:sz w:val="21"/>
                <w:szCs w:val="21"/>
                <w14:ligatures w14:val="none"/>
              </w:rPr>
              <w:t>编号、包装类别及主要危险性。</w:t>
            </w:r>
          </w:p>
        </w:tc>
      </w:tr>
    </w:tbl>
    <w:p w14:paraId="47A8CB20" w14:textId="77777777" w:rsidR="00EF4562" w:rsidRDefault="00EF4562">
      <w:pPr>
        <w:ind w:firstLine="560"/>
        <w:sectPr w:rsidR="00EF4562">
          <w:pgSz w:w="16838" w:h="11906" w:orient="landscape"/>
          <w:pgMar w:top="1418" w:right="1134" w:bottom="1134" w:left="1588" w:header="851" w:footer="992" w:gutter="0"/>
          <w:cols w:space="425"/>
          <w:docGrid w:type="linesAndChars" w:linePitch="381"/>
        </w:sectPr>
      </w:pPr>
    </w:p>
    <w:p w14:paraId="31855A93" w14:textId="77777777" w:rsidR="00EF4562" w:rsidRDefault="00000000">
      <w:pPr>
        <w:spacing w:beforeLines="150" w:before="571" w:afterLines="150" w:after="571"/>
        <w:ind w:firstLineChars="0" w:firstLine="0"/>
        <w:jc w:val="center"/>
        <w:outlineLvl w:val="0"/>
        <w:rPr>
          <w:rFonts w:ascii="黑体" w:eastAsia="黑体" w:hAnsi="黑体" w:hint="eastAsia"/>
          <w:b/>
          <w:bCs/>
          <w:sz w:val="32"/>
          <w:szCs w:val="32"/>
        </w:rPr>
      </w:pPr>
      <w:bookmarkStart w:id="25" w:name="_Toc207695631"/>
      <w:r>
        <w:rPr>
          <w:rFonts w:eastAsia="黑体" w:cs="Times New Roman"/>
          <w:b/>
          <w:bCs/>
          <w:sz w:val="32"/>
          <w:szCs w:val="32"/>
        </w:rPr>
        <w:lastRenderedPageBreak/>
        <w:t>4</w:t>
      </w:r>
      <w:r>
        <w:rPr>
          <w:rFonts w:ascii="黑体" w:eastAsia="黑体" w:hAnsi="黑体" w:hint="eastAsia"/>
          <w:b/>
          <w:bCs/>
          <w:sz w:val="32"/>
          <w:szCs w:val="32"/>
        </w:rPr>
        <w:t>危险化学品包装、储存、运输的技术要求</w:t>
      </w:r>
      <w:bookmarkEnd w:id="25"/>
    </w:p>
    <w:p w14:paraId="63F08BF9" w14:textId="77777777" w:rsidR="00EF4562" w:rsidRDefault="00000000">
      <w:pPr>
        <w:ind w:firstLine="560"/>
      </w:pPr>
      <w:r>
        <w:rPr>
          <w:rFonts w:hint="eastAsia"/>
        </w:rPr>
        <w:t>根据《化学品分类和标签规范》、《危险货物运输包装类别划分方法》，并查阅《危险化学品安全技术全书》、《新编危险物品安全手册》等资料，对该项目储存经营过程中涉及危险化学品车用乙醇汽油、柴油包装、储存、运输技术要求的分析结果，见表</w:t>
      </w:r>
      <w:r>
        <w:rPr>
          <w:rFonts w:hint="eastAsia"/>
        </w:rPr>
        <w:t>4.1-1</w:t>
      </w:r>
      <w:r>
        <w:rPr>
          <w:rFonts w:hint="eastAsia"/>
        </w:rPr>
        <w:t>。</w:t>
      </w:r>
    </w:p>
    <w:p w14:paraId="1E36AFBE"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4.1-1</w:t>
      </w:r>
      <w:r>
        <w:rPr>
          <w:rFonts w:ascii="黑体" w:eastAsia="黑体" w:hAnsi="黑体" w:hint="eastAsia"/>
          <w:sz w:val="24"/>
        </w:rPr>
        <w:t xml:space="preserve">  危险化学品储存、运输技术要求</w:t>
      </w:r>
    </w:p>
    <w:tbl>
      <w:tblPr>
        <w:tblpPr w:leftFromText="180" w:rightFromText="180"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
        <w:gridCol w:w="1560"/>
        <w:gridCol w:w="7502"/>
      </w:tblGrid>
      <w:tr w:rsidR="00EF4562" w14:paraId="41182825" w14:textId="77777777">
        <w:trPr>
          <w:gridBefore w:val="1"/>
          <w:wBefore w:w="61" w:type="pct"/>
        </w:trPr>
        <w:tc>
          <w:tcPr>
            <w:tcW w:w="4939" w:type="pct"/>
            <w:gridSpan w:val="2"/>
          </w:tcPr>
          <w:p w14:paraId="3300CF29" w14:textId="77777777" w:rsidR="00EF4562" w:rsidRDefault="00000000">
            <w:pPr>
              <w:adjustRightInd/>
              <w:snapToGrid/>
              <w:spacing w:line="240" w:lineRule="auto"/>
              <w:ind w:firstLineChars="0" w:firstLine="215"/>
              <w:rPr>
                <w:rFonts w:cs="Times New Roman"/>
                <w:b/>
                <w:spacing w:val="2"/>
                <w:kern w:val="0"/>
                <w:sz w:val="21"/>
                <w:szCs w:val="21"/>
                <w14:ligatures w14:val="none"/>
              </w:rPr>
            </w:pPr>
            <w:r>
              <w:rPr>
                <w:rFonts w:cs="Times New Roman"/>
                <w:b/>
                <w:spacing w:val="2"/>
                <w:kern w:val="0"/>
                <w:sz w:val="21"/>
                <w:szCs w:val="21"/>
                <w14:ligatures w14:val="none"/>
              </w:rPr>
              <w:t>一、车用乙醇汽油</w:t>
            </w:r>
          </w:p>
        </w:tc>
      </w:tr>
      <w:tr w:rsidR="00EF4562" w14:paraId="2A4CFA52" w14:textId="77777777">
        <w:trPr>
          <w:gridBefore w:val="1"/>
          <w:wBefore w:w="61" w:type="pct"/>
        </w:trPr>
        <w:tc>
          <w:tcPr>
            <w:tcW w:w="850" w:type="pct"/>
            <w:vAlign w:val="center"/>
          </w:tcPr>
          <w:p w14:paraId="56C8DB85"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包装类别</w:t>
            </w:r>
          </w:p>
        </w:tc>
        <w:tc>
          <w:tcPr>
            <w:tcW w:w="4089" w:type="pct"/>
          </w:tcPr>
          <w:p w14:paraId="729A737A" w14:textId="77777777" w:rsidR="00EF4562" w:rsidRDefault="00000000">
            <w:pPr>
              <w:adjustRightInd/>
              <w:snapToGrid/>
              <w:spacing w:line="240" w:lineRule="auto"/>
              <w:ind w:firstLineChars="0" w:firstLine="0"/>
              <w:rPr>
                <w:rFonts w:cs="Times New Roman"/>
                <w:sz w:val="21"/>
                <w:szCs w:val="21"/>
                <w14:ligatures w14:val="none"/>
              </w:rPr>
            </w:pPr>
            <w:r>
              <w:rPr>
                <w:rFonts w:cs="Times New Roman"/>
                <w:sz w:val="21"/>
                <w:szCs w:val="21"/>
                <w14:ligatures w14:val="none"/>
              </w:rPr>
              <w:t>Ⅱ</w:t>
            </w:r>
            <w:r>
              <w:rPr>
                <w:rFonts w:cs="Times New Roman"/>
                <w:sz w:val="21"/>
                <w:szCs w:val="21"/>
                <w14:ligatures w14:val="none"/>
              </w:rPr>
              <w:t>类</w:t>
            </w:r>
          </w:p>
        </w:tc>
      </w:tr>
      <w:tr w:rsidR="00EF4562" w14:paraId="4BE48FD6" w14:textId="77777777">
        <w:trPr>
          <w:gridBefore w:val="1"/>
          <w:wBefore w:w="61" w:type="pct"/>
        </w:trPr>
        <w:tc>
          <w:tcPr>
            <w:tcW w:w="850" w:type="pct"/>
            <w:vAlign w:val="center"/>
          </w:tcPr>
          <w:p w14:paraId="662BDDF3"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危险标志</w:t>
            </w:r>
          </w:p>
        </w:tc>
        <w:tc>
          <w:tcPr>
            <w:tcW w:w="4089" w:type="pct"/>
          </w:tcPr>
          <w:p w14:paraId="3BEE9C07" w14:textId="77777777" w:rsidR="00EF4562" w:rsidRDefault="00000000">
            <w:pPr>
              <w:adjustRightInd/>
              <w:snapToGrid/>
              <w:spacing w:line="240" w:lineRule="auto"/>
              <w:ind w:firstLineChars="0" w:firstLine="0"/>
              <w:rPr>
                <w:rFonts w:cs="Times New Roman"/>
                <w:sz w:val="21"/>
                <w:szCs w:val="21"/>
                <w14:ligatures w14:val="none"/>
              </w:rPr>
            </w:pPr>
            <w:r>
              <w:rPr>
                <w:rFonts w:cs="Times New Roman"/>
                <w:sz w:val="21"/>
                <w:szCs w:val="21"/>
                <w14:ligatures w14:val="none"/>
              </w:rPr>
              <w:t>易燃液体</w:t>
            </w:r>
          </w:p>
        </w:tc>
      </w:tr>
      <w:tr w:rsidR="00EF4562" w14:paraId="32A4009F" w14:textId="77777777">
        <w:trPr>
          <w:gridBefore w:val="1"/>
          <w:wBefore w:w="61" w:type="pct"/>
        </w:trPr>
        <w:tc>
          <w:tcPr>
            <w:tcW w:w="850" w:type="pct"/>
            <w:vAlign w:val="center"/>
          </w:tcPr>
          <w:p w14:paraId="1A6ECFAC"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包装方法</w:t>
            </w:r>
          </w:p>
        </w:tc>
        <w:tc>
          <w:tcPr>
            <w:tcW w:w="4089" w:type="pct"/>
          </w:tcPr>
          <w:p w14:paraId="2821C58A" w14:textId="77777777" w:rsidR="00EF4562" w:rsidRDefault="00000000">
            <w:pPr>
              <w:adjustRightInd/>
              <w:snapToGrid/>
              <w:spacing w:line="240" w:lineRule="auto"/>
              <w:ind w:firstLineChars="0" w:firstLine="0"/>
              <w:rPr>
                <w:rFonts w:cs="Times New Roman"/>
                <w:sz w:val="21"/>
                <w:szCs w:val="21"/>
                <w14:ligatures w14:val="none"/>
              </w:rPr>
            </w:pPr>
            <w:r>
              <w:rPr>
                <w:rFonts w:cs="Times New Roman"/>
                <w:sz w:val="21"/>
                <w:szCs w:val="21"/>
                <w14:ligatures w14:val="none"/>
              </w:rPr>
              <w:t>罐装</w:t>
            </w:r>
          </w:p>
        </w:tc>
      </w:tr>
      <w:tr w:rsidR="00EF4562" w14:paraId="744DE4F7" w14:textId="77777777">
        <w:trPr>
          <w:gridBefore w:val="1"/>
          <w:wBefore w:w="61" w:type="pct"/>
        </w:trPr>
        <w:tc>
          <w:tcPr>
            <w:tcW w:w="850" w:type="pct"/>
            <w:vAlign w:val="center"/>
          </w:tcPr>
          <w:p w14:paraId="58B8A429"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储存、运输技术要求</w:t>
            </w:r>
          </w:p>
        </w:tc>
        <w:tc>
          <w:tcPr>
            <w:tcW w:w="4089" w:type="pct"/>
          </w:tcPr>
          <w:p w14:paraId="3E7E8EEA" w14:textId="77777777" w:rsidR="00EF4562" w:rsidRDefault="00000000">
            <w:pPr>
              <w:adjustRightInd/>
              <w:snapToGrid/>
              <w:spacing w:line="240" w:lineRule="auto"/>
              <w:ind w:firstLineChars="0" w:firstLine="0"/>
              <w:rPr>
                <w:rFonts w:cs="Times New Roman"/>
                <w:kern w:val="0"/>
                <w:sz w:val="21"/>
                <w:szCs w:val="21"/>
                <w14:ligatures w14:val="none"/>
              </w:rPr>
            </w:pPr>
            <w:r>
              <w:rPr>
                <w:rFonts w:cs="Times New Roman"/>
                <w:kern w:val="0"/>
                <w:sz w:val="21"/>
                <w:szCs w:val="21"/>
                <w14:ligatures w14:val="none"/>
              </w:rPr>
              <w:t>1</w:t>
            </w:r>
            <w:r>
              <w:rPr>
                <w:rFonts w:cs="Times New Roman"/>
                <w:kern w:val="0"/>
                <w:sz w:val="21"/>
                <w:szCs w:val="21"/>
                <w14:ligatures w14:val="none"/>
              </w:rPr>
              <w:t>、储存安全</w:t>
            </w:r>
          </w:p>
          <w:p w14:paraId="183D6E91" w14:textId="77777777" w:rsidR="00EF4562" w:rsidRDefault="00000000">
            <w:pPr>
              <w:adjustRightInd/>
              <w:snapToGrid/>
              <w:spacing w:line="240" w:lineRule="auto"/>
              <w:ind w:firstLineChars="0" w:firstLine="0"/>
              <w:rPr>
                <w:rFonts w:cs="Times New Roman"/>
                <w:b/>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1</w:t>
            </w:r>
            <w:r>
              <w:rPr>
                <w:rFonts w:cs="Times New Roman"/>
                <w:kern w:val="0"/>
                <w:sz w:val="21"/>
                <w:szCs w:val="21"/>
                <w14:ligatures w14:val="none"/>
              </w:rPr>
              <w:t>）远离火种、热源。炎热季节应采取喷淋、通风等降温措施。</w:t>
            </w:r>
          </w:p>
          <w:p w14:paraId="07C77610" w14:textId="77777777" w:rsidR="00EF4562" w:rsidRDefault="00000000">
            <w:pPr>
              <w:widowControl/>
              <w:adjustRightInd/>
              <w:snapToGrid/>
              <w:spacing w:line="240" w:lineRule="auto"/>
              <w:ind w:firstLineChars="0" w:firstLine="0"/>
              <w:jc w:val="left"/>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2</w:t>
            </w:r>
            <w:r>
              <w:rPr>
                <w:rFonts w:cs="Times New Roman"/>
                <w:kern w:val="0"/>
                <w:sz w:val="21"/>
                <w:szCs w:val="21"/>
                <w14:ligatures w14:val="none"/>
              </w:rPr>
              <w:t>）应与氧化剂分开存放，切忌混储。用储罐、铁桶等容器盛装，不要用塑料桶来存放车用乙醇汽油。盛装时，切不可充满，要留出必要的安全空间。</w:t>
            </w:r>
          </w:p>
          <w:p w14:paraId="0A08FEEF" w14:textId="77777777" w:rsidR="00EF4562" w:rsidRDefault="00000000">
            <w:pPr>
              <w:widowControl/>
              <w:adjustRightInd/>
              <w:snapToGrid/>
              <w:spacing w:line="240" w:lineRule="auto"/>
              <w:ind w:firstLineChars="0" w:firstLine="0"/>
              <w:jc w:val="left"/>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3</w:t>
            </w:r>
            <w:r>
              <w:rPr>
                <w:rFonts w:cs="Times New Roman"/>
                <w:kern w:val="0"/>
                <w:sz w:val="21"/>
                <w:szCs w:val="21"/>
                <w14:ligatures w14:val="none"/>
              </w:rPr>
              <w:t>）采用防爆型照明、通风设施。禁止使用易产生火花的机械设备和工具。储存区应备有泄漏应急处理设备和合适的收容材料。罐储时要有防火防爆技术措施。</w:t>
            </w:r>
          </w:p>
          <w:p w14:paraId="1628D65E" w14:textId="77777777" w:rsidR="00EF4562" w:rsidRDefault="00000000">
            <w:pPr>
              <w:adjustRightInd/>
              <w:snapToGrid/>
              <w:spacing w:line="240" w:lineRule="auto"/>
              <w:ind w:firstLineChars="0" w:firstLine="0"/>
              <w:rPr>
                <w:rFonts w:cs="Times New Roman"/>
                <w:b/>
                <w:kern w:val="0"/>
                <w:sz w:val="21"/>
                <w:szCs w:val="21"/>
                <w14:ligatures w14:val="none"/>
              </w:rPr>
            </w:pPr>
            <w:r>
              <w:rPr>
                <w:rFonts w:cs="Times New Roman"/>
                <w:kern w:val="0"/>
                <w:sz w:val="21"/>
                <w:szCs w:val="21"/>
                <w14:ligatures w14:val="none"/>
              </w:rPr>
              <w:t>2</w:t>
            </w:r>
            <w:r>
              <w:rPr>
                <w:rFonts w:cs="Times New Roman"/>
                <w:kern w:val="0"/>
                <w:sz w:val="21"/>
                <w:szCs w:val="21"/>
                <w14:ligatures w14:val="none"/>
              </w:rPr>
              <w:t>、运输安全</w:t>
            </w:r>
          </w:p>
          <w:p w14:paraId="37B488D3" w14:textId="77777777" w:rsidR="00EF4562" w:rsidRDefault="00000000">
            <w:pPr>
              <w:widowControl/>
              <w:adjustRightInd/>
              <w:snapToGrid/>
              <w:spacing w:line="240" w:lineRule="auto"/>
              <w:ind w:firstLineChars="0" w:firstLine="0"/>
              <w:jc w:val="left"/>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1</w:t>
            </w:r>
            <w:r>
              <w:rPr>
                <w:rFonts w:cs="Times New Roman"/>
                <w:kern w:val="0"/>
                <w:sz w:val="21"/>
                <w:szCs w:val="21"/>
                <w14:ligatures w14:val="none"/>
              </w:rPr>
              <w:t>）运输车辆应有危险货物运输标志、安装具有行驶记录功能的卫星定位装置。未经公安机关批准，运输车辆不得进入危险化学品运输车辆限制通行的区域。</w:t>
            </w:r>
          </w:p>
          <w:p w14:paraId="23F1D4BB" w14:textId="77777777" w:rsidR="00EF4562" w:rsidRDefault="00000000">
            <w:pPr>
              <w:widowControl/>
              <w:adjustRightInd/>
              <w:snapToGrid/>
              <w:spacing w:line="240" w:lineRule="auto"/>
              <w:ind w:firstLineChars="0" w:firstLine="0"/>
              <w:jc w:val="left"/>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2</w:t>
            </w:r>
            <w:r>
              <w:rPr>
                <w:rFonts w:cs="Times New Roman"/>
                <w:kern w:val="0"/>
                <w:sz w:val="21"/>
                <w:szCs w:val="21"/>
                <w14:ligatures w14:val="none"/>
              </w:rPr>
              <w:t>）车用乙醇汽油装于专用的槽车</w:t>
            </w:r>
            <w:r>
              <w:rPr>
                <w:rFonts w:cs="Times New Roman" w:hint="eastAsia"/>
                <w:kern w:val="0"/>
                <w:sz w:val="21"/>
                <w:szCs w:val="21"/>
                <w14:ligatures w14:val="none"/>
              </w:rPr>
              <w:t>（</w:t>
            </w:r>
            <w:r>
              <w:rPr>
                <w:rFonts w:cs="Times New Roman"/>
                <w:kern w:val="0"/>
                <w:sz w:val="21"/>
                <w:szCs w:val="21"/>
                <w14:ligatures w14:val="none"/>
              </w:rPr>
              <w:t>船</w:t>
            </w:r>
            <w:r>
              <w:rPr>
                <w:rFonts w:cs="Times New Roman" w:hint="eastAsia"/>
                <w:kern w:val="0"/>
                <w:sz w:val="21"/>
                <w:szCs w:val="21"/>
                <w14:ligatures w14:val="none"/>
              </w:rPr>
              <w:t>）</w:t>
            </w:r>
            <w:r>
              <w:rPr>
                <w:rFonts w:cs="Times New Roman"/>
                <w:kern w:val="0"/>
                <w:sz w:val="21"/>
                <w:szCs w:val="21"/>
                <w14:ligatures w14:val="none"/>
              </w:rPr>
              <w:t>内运输，槽车</w:t>
            </w:r>
            <w:r>
              <w:rPr>
                <w:rFonts w:cs="Times New Roman" w:hint="eastAsia"/>
                <w:kern w:val="0"/>
                <w:sz w:val="21"/>
                <w:szCs w:val="21"/>
                <w14:ligatures w14:val="none"/>
              </w:rPr>
              <w:t>（</w:t>
            </w:r>
            <w:r>
              <w:rPr>
                <w:rFonts w:cs="Times New Roman"/>
                <w:kern w:val="0"/>
                <w:sz w:val="21"/>
                <w:szCs w:val="21"/>
                <w14:ligatures w14:val="none"/>
              </w:rPr>
              <w:t>船</w:t>
            </w:r>
            <w:r>
              <w:rPr>
                <w:rFonts w:cs="Times New Roman" w:hint="eastAsia"/>
                <w:kern w:val="0"/>
                <w:sz w:val="21"/>
                <w:szCs w:val="21"/>
                <w14:ligatures w14:val="none"/>
              </w:rPr>
              <w:t>）</w:t>
            </w:r>
            <w:r>
              <w:rPr>
                <w:rFonts w:cs="Times New Roman"/>
                <w:kern w:val="0"/>
                <w:sz w:val="21"/>
                <w:szCs w:val="21"/>
                <w14:ligatures w14:val="none"/>
              </w:rPr>
              <w:t>应定期清理；用其他包装容器运输时，容器须用盖密封。运送车用乙醇汽油的油罐汽车，必须有导静电拖线。对有每分钟</w:t>
            </w:r>
            <w:r>
              <w:rPr>
                <w:rFonts w:cs="Times New Roman"/>
                <w:kern w:val="0"/>
                <w:sz w:val="21"/>
                <w:szCs w:val="21"/>
                <w14:ligatures w14:val="none"/>
              </w:rPr>
              <w:t>0.5m</w:t>
            </w:r>
            <w:r>
              <w:rPr>
                <w:rFonts w:cs="Times New Roman"/>
                <w:kern w:val="0"/>
                <w:sz w:val="21"/>
                <w:szCs w:val="21"/>
                <w:vertAlign w:val="superscript"/>
                <w14:ligatures w14:val="none"/>
              </w:rPr>
              <w:t>3</w:t>
            </w:r>
            <w:r>
              <w:rPr>
                <w:rFonts w:cs="Times New Roman"/>
                <w:kern w:val="0"/>
                <w:sz w:val="21"/>
                <w:szCs w:val="21"/>
                <w14:ligatures w14:val="none"/>
              </w:rPr>
              <w:t>以上的快速装卸油设备的油罐汽车，在装卸油时，除了保证铁链接地外，更要将车上油罐的接地线插入地下并不得浅于</w:t>
            </w:r>
            <w:r>
              <w:rPr>
                <w:rFonts w:cs="Times New Roman"/>
                <w:kern w:val="0"/>
                <w:sz w:val="21"/>
                <w:szCs w:val="21"/>
                <w14:ligatures w14:val="none"/>
              </w:rPr>
              <w:t>100mm</w:t>
            </w:r>
            <w:r>
              <w:rPr>
                <w:rFonts w:cs="Times New Roman"/>
                <w:kern w:val="0"/>
                <w:sz w:val="21"/>
                <w:szCs w:val="21"/>
                <w14:ligatures w14:val="none"/>
              </w:rPr>
              <w:t>。运输时运输车辆应配备相应品种和数量的消防器材。装运该物品的车辆排气管必须配备阻火装置，禁止使用易产生火花的机械设备和工具装卸。汽车槽罐内可设孔隔板以减少震荡产生静电。</w:t>
            </w:r>
          </w:p>
          <w:p w14:paraId="0F7AC7C1" w14:textId="77777777" w:rsidR="00EF4562" w:rsidRDefault="00000000">
            <w:pPr>
              <w:widowControl/>
              <w:adjustRightInd/>
              <w:snapToGrid/>
              <w:spacing w:line="240" w:lineRule="auto"/>
              <w:ind w:firstLineChars="0" w:firstLine="0"/>
              <w:jc w:val="left"/>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3</w:t>
            </w:r>
            <w:r>
              <w:rPr>
                <w:rFonts w:cs="Times New Roman"/>
                <w:kern w:val="0"/>
                <w:sz w:val="21"/>
                <w:szCs w:val="21"/>
                <w14:ligatures w14:val="none"/>
              </w:rPr>
              <w:t>）严禁与氧化剂等混装混运。夏季最好早晚运输，运输途中应防曝晒、防雨淋、防高温。中途停留时应远离火种、热源、高温区及人口密集地段。</w:t>
            </w:r>
          </w:p>
        </w:tc>
      </w:tr>
      <w:tr w:rsidR="00EF4562" w14:paraId="583B32B5" w14:textId="77777777">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Ex>
        <w:tc>
          <w:tcPr>
            <w:tcW w:w="5000" w:type="pct"/>
            <w:gridSpan w:val="3"/>
          </w:tcPr>
          <w:p w14:paraId="6B55DE39" w14:textId="77777777" w:rsidR="00EF4562" w:rsidRDefault="00000000">
            <w:pPr>
              <w:adjustRightInd/>
              <w:snapToGrid/>
              <w:spacing w:line="240" w:lineRule="auto"/>
              <w:ind w:firstLineChars="0" w:firstLine="215"/>
              <w:rPr>
                <w:rFonts w:cs="Times New Roman"/>
                <w:b/>
                <w:spacing w:val="2"/>
                <w:kern w:val="0"/>
                <w:sz w:val="21"/>
                <w:szCs w:val="21"/>
                <w14:ligatures w14:val="none"/>
              </w:rPr>
            </w:pPr>
            <w:r>
              <w:rPr>
                <w:rFonts w:cs="Times New Roman"/>
                <w:b/>
                <w:spacing w:val="2"/>
                <w:kern w:val="0"/>
                <w:sz w:val="21"/>
                <w:szCs w:val="21"/>
                <w14:ligatures w14:val="none"/>
              </w:rPr>
              <w:lastRenderedPageBreak/>
              <w:t>二、柴油</w:t>
            </w:r>
          </w:p>
        </w:tc>
      </w:tr>
      <w:tr w:rsidR="00EF4562" w14:paraId="4704270F" w14:textId="77777777">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Ex>
        <w:tc>
          <w:tcPr>
            <w:tcW w:w="911" w:type="pct"/>
            <w:gridSpan w:val="2"/>
            <w:vAlign w:val="center"/>
          </w:tcPr>
          <w:p w14:paraId="72152949"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包装类别</w:t>
            </w:r>
          </w:p>
        </w:tc>
        <w:tc>
          <w:tcPr>
            <w:tcW w:w="4089" w:type="pct"/>
          </w:tcPr>
          <w:p w14:paraId="30DDC610" w14:textId="77777777" w:rsidR="00EF4562" w:rsidRDefault="00000000">
            <w:pPr>
              <w:adjustRightInd/>
              <w:snapToGrid/>
              <w:spacing w:line="240" w:lineRule="auto"/>
              <w:ind w:firstLineChars="0" w:firstLine="0"/>
              <w:rPr>
                <w:rFonts w:cs="Times New Roman"/>
                <w:sz w:val="21"/>
                <w:szCs w:val="21"/>
                <w14:ligatures w14:val="none"/>
              </w:rPr>
            </w:pPr>
            <w:r>
              <w:rPr>
                <w:rFonts w:cs="Times New Roman"/>
                <w:sz w:val="21"/>
                <w:szCs w:val="21"/>
                <w14:ligatures w14:val="none"/>
              </w:rPr>
              <w:t>Ⅲ</w:t>
            </w:r>
            <w:r>
              <w:rPr>
                <w:rFonts w:cs="Times New Roman"/>
                <w:sz w:val="21"/>
                <w:szCs w:val="21"/>
                <w14:ligatures w14:val="none"/>
              </w:rPr>
              <w:t>类</w:t>
            </w:r>
          </w:p>
        </w:tc>
      </w:tr>
      <w:tr w:rsidR="00EF4562" w14:paraId="4F560605" w14:textId="77777777">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Ex>
        <w:tc>
          <w:tcPr>
            <w:tcW w:w="911" w:type="pct"/>
            <w:gridSpan w:val="2"/>
            <w:vAlign w:val="center"/>
          </w:tcPr>
          <w:p w14:paraId="055B3CB9"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危险标志</w:t>
            </w:r>
          </w:p>
        </w:tc>
        <w:tc>
          <w:tcPr>
            <w:tcW w:w="4089" w:type="pct"/>
          </w:tcPr>
          <w:p w14:paraId="1835499F" w14:textId="77777777" w:rsidR="00EF4562" w:rsidRDefault="00000000">
            <w:pPr>
              <w:adjustRightInd/>
              <w:snapToGrid/>
              <w:spacing w:line="240" w:lineRule="auto"/>
              <w:ind w:firstLineChars="0" w:firstLine="0"/>
              <w:rPr>
                <w:rFonts w:cs="Times New Roman"/>
                <w:sz w:val="21"/>
                <w:szCs w:val="21"/>
                <w14:ligatures w14:val="none"/>
              </w:rPr>
            </w:pPr>
            <w:r>
              <w:rPr>
                <w:rFonts w:cs="Times New Roman"/>
                <w:sz w:val="21"/>
                <w:szCs w:val="21"/>
                <w14:ligatures w14:val="none"/>
              </w:rPr>
              <w:t>易燃液体</w:t>
            </w:r>
          </w:p>
        </w:tc>
      </w:tr>
      <w:tr w:rsidR="00EF4562" w14:paraId="7CF41FF5" w14:textId="77777777">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Ex>
        <w:tc>
          <w:tcPr>
            <w:tcW w:w="911" w:type="pct"/>
            <w:gridSpan w:val="2"/>
            <w:vAlign w:val="center"/>
          </w:tcPr>
          <w:p w14:paraId="3231BC91"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包装方法</w:t>
            </w:r>
          </w:p>
        </w:tc>
        <w:tc>
          <w:tcPr>
            <w:tcW w:w="4089" w:type="pct"/>
          </w:tcPr>
          <w:p w14:paraId="391BDCD8" w14:textId="77777777" w:rsidR="00EF4562" w:rsidRDefault="00000000">
            <w:pPr>
              <w:adjustRightInd/>
              <w:snapToGrid/>
              <w:spacing w:line="240" w:lineRule="auto"/>
              <w:ind w:firstLineChars="0" w:firstLine="0"/>
              <w:rPr>
                <w:rFonts w:cs="Times New Roman"/>
                <w:sz w:val="21"/>
                <w:szCs w:val="21"/>
                <w14:ligatures w14:val="none"/>
              </w:rPr>
            </w:pPr>
            <w:r>
              <w:rPr>
                <w:rFonts w:cs="Times New Roman"/>
                <w:sz w:val="21"/>
                <w:szCs w:val="21"/>
                <w14:ligatures w14:val="none"/>
              </w:rPr>
              <w:t>罐装</w:t>
            </w:r>
          </w:p>
        </w:tc>
      </w:tr>
      <w:tr w:rsidR="00EF4562" w14:paraId="2B823B01" w14:textId="77777777">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Ex>
        <w:tc>
          <w:tcPr>
            <w:tcW w:w="911" w:type="pct"/>
            <w:gridSpan w:val="2"/>
            <w:vAlign w:val="center"/>
          </w:tcPr>
          <w:p w14:paraId="3C7B03DF"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储存、运输技术要求</w:t>
            </w:r>
          </w:p>
        </w:tc>
        <w:tc>
          <w:tcPr>
            <w:tcW w:w="4089" w:type="pct"/>
          </w:tcPr>
          <w:p w14:paraId="5650643E" w14:textId="77777777" w:rsidR="00EF4562" w:rsidRDefault="00000000">
            <w:pPr>
              <w:adjustRightInd/>
              <w:snapToGrid/>
              <w:spacing w:line="240" w:lineRule="auto"/>
              <w:ind w:firstLineChars="0" w:firstLine="0"/>
              <w:rPr>
                <w:rFonts w:cs="Times New Roman"/>
                <w:kern w:val="0"/>
                <w:sz w:val="21"/>
                <w:szCs w:val="21"/>
                <w14:ligatures w14:val="none"/>
              </w:rPr>
            </w:pPr>
            <w:r>
              <w:rPr>
                <w:rFonts w:cs="Times New Roman"/>
                <w:kern w:val="0"/>
                <w:sz w:val="21"/>
                <w:szCs w:val="21"/>
                <w14:ligatures w14:val="none"/>
              </w:rPr>
              <w:t>1</w:t>
            </w:r>
            <w:r>
              <w:rPr>
                <w:rFonts w:cs="Times New Roman"/>
                <w:kern w:val="0"/>
                <w:sz w:val="21"/>
                <w:szCs w:val="21"/>
                <w14:ligatures w14:val="none"/>
              </w:rPr>
              <w:t>、储存安全</w:t>
            </w:r>
          </w:p>
          <w:p w14:paraId="65227D61" w14:textId="77777777" w:rsidR="00EF4562" w:rsidRDefault="00000000">
            <w:pPr>
              <w:adjustRightInd/>
              <w:snapToGrid/>
              <w:spacing w:line="240" w:lineRule="auto"/>
              <w:ind w:firstLineChars="0" w:firstLine="0"/>
              <w:rPr>
                <w:rFonts w:cs="Times New Roman"/>
                <w:sz w:val="21"/>
                <w:szCs w:val="21"/>
                <w14:ligatures w14:val="none"/>
              </w:rPr>
            </w:pPr>
            <w:r>
              <w:rPr>
                <w:rFonts w:cs="Times New Roman"/>
                <w:sz w:val="21"/>
                <w:szCs w:val="21"/>
                <w14:ligatures w14:val="none"/>
              </w:rPr>
              <w:t>远离火种、热源。应与氧化剂、卤素分开存放，切忌混储。采用防爆型照明、通风设施。禁止使用易产生火花的机械设备和工具。储区应备有泄漏应急处理设备和合适的收容材料。</w:t>
            </w:r>
          </w:p>
          <w:p w14:paraId="7730F0CA" w14:textId="77777777" w:rsidR="00EF4562" w:rsidRDefault="00000000">
            <w:pPr>
              <w:adjustRightInd/>
              <w:snapToGrid/>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sz w:val="21"/>
                <w:szCs w:val="21"/>
                <w14:ligatures w14:val="none"/>
              </w:rPr>
              <w:t>、运输安全</w:t>
            </w:r>
          </w:p>
          <w:p w14:paraId="2B926D92" w14:textId="77777777" w:rsidR="00EF4562" w:rsidRDefault="00000000">
            <w:pPr>
              <w:adjustRightInd/>
              <w:snapToGrid/>
              <w:spacing w:line="240" w:lineRule="auto"/>
              <w:ind w:firstLineChars="0" w:firstLine="0"/>
              <w:rPr>
                <w:rFonts w:cs="Times New Roman"/>
                <w:bCs/>
                <w:kern w:val="0"/>
                <w:sz w:val="21"/>
                <w:szCs w:val="21"/>
                <w14:ligatures w14:val="none"/>
              </w:rPr>
            </w:pPr>
            <w:r>
              <w:rPr>
                <w:rFonts w:cs="Times New Roman"/>
                <w:bCs/>
                <w:kern w:val="0"/>
                <w:sz w:val="21"/>
                <w:szCs w:val="21"/>
                <w14:ligatures w14:val="none"/>
              </w:rPr>
              <w:t>运输前应先检查包装容器是否完整、密封，运输过程中要确保容器不泄漏、不倒塌、不坠落、不损坏。运输时运输车辆应配备相应品种和数量的消防器材及泄漏应急处理设备。夏季最好早晚运输。运输时所用的槽（罐）车应有接地链，槽内可设孔隔板以减少震荡产生静电。严禁与氧化剂、卤素、食用化学品等混装混运。运输途中应防曝晒、雨淋，防高温。中途停留时应远离火种、热源、高温区。装运该物品的车辆排气管必须配备阻火装置，禁止使用易产生火花的机械设备和工具装卸。运输车船必须彻底清洗、消毒，否则不得装运其它物品。船运时，配装位置应远离卧室、厨房，并与机舱、电源、火源等部位隔离。公路运输时要按规定路线行驶。</w:t>
            </w:r>
          </w:p>
        </w:tc>
      </w:tr>
    </w:tbl>
    <w:p w14:paraId="3E1E5B59" w14:textId="77777777" w:rsidR="00EF4562" w:rsidRDefault="00000000">
      <w:pPr>
        <w:keepNext/>
        <w:spacing w:beforeLines="150" w:before="571" w:afterLines="150" w:after="571"/>
        <w:ind w:firstLineChars="0" w:firstLine="0"/>
        <w:jc w:val="center"/>
        <w:outlineLvl w:val="0"/>
        <w:rPr>
          <w:rFonts w:ascii="黑体" w:eastAsia="黑体" w:hAnsi="黑体" w:hint="eastAsia"/>
          <w:b/>
          <w:bCs/>
          <w:sz w:val="32"/>
          <w:szCs w:val="32"/>
        </w:rPr>
      </w:pPr>
      <w:bookmarkStart w:id="26" w:name="_Toc207695632"/>
      <w:r>
        <w:rPr>
          <w:rFonts w:eastAsia="黑体" w:cs="Times New Roman"/>
          <w:b/>
          <w:bCs/>
          <w:sz w:val="32"/>
          <w:szCs w:val="32"/>
        </w:rPr>
        <w:t>5</w:t>
      </w:r>
      <w:r>
        <w:rPr>
          <w:rFonts w:ascii="黑体" w:eastAsia="黑体" w:hAnsi="黑体" w:hint="eastAsia"/>
          <w:b/>
          <w:bCs/>
          <w:sz w:val="32"/>
          <w:szCs w:val="32"/>
        </w:rPr>
        <w:t>建设项目的危险、有害因素和危险、有害程度</w:t>
      </w:r>
      <w:bookmarkEnd w:id="26"/>
    </w:p>
    <w:p w14:paraId="2DA331D6" w14:textId="77777777" w:rsidR="00EF4562" w:rsidRDefault="00000000">
      <w:pPr>
        <w:ind w:firstLine="560"/>
      </w:pPr>
      <w:r>
        <w:rPr>
          <w:rFonts w:hint="eastAsia"/>
        </w:rPr>
        <w:t>根据《生产过程危险和有害因素分类与代码》和《企业职工伤亡事故分类》等的有关规定对该项目储存、经营过程中存在的危险、有害因素进行辨识。</w:t>
      </w:r>
    </w:p>
    <w:p w14:paraId="68BBA3AD"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27" w:name="_Toc207695633"/>
      <w:r>
        <w:rPr>
          <w:rFonts w:eastAsia="楷体" w:cs="Times New Roman"/>
          <w:b/>
          <w:bCs/>
          <w:sz w:val="32"/>
          <w:szCs w:val="32"/>
        </w:rPr>
        <w:t>5.1</w:t>
      </w:r>
      <w:r>
        <w:rPr>
          <w:rFonts w:ascii="楷体" w:eastAsia="楷体" w:hAnsi="楷体" w:hint="eastAsia"/>
          <w:b/>
          <w:bCs/>
          <w:sz w:val="32"/>
          <w:szCs w:val="32"/>
        </w:rPr>
        <w:t>危险、有害因素</w:t>
      </w:r>
      <w:bookmarkEnd w:id="27"/>
    </w:p>
    <w:p w14:paraId="018301E3"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5.1.1</w:t>
      </w:r>
      <w:r>
        <w:rPr>
          <w:rFonts w:ascii="黑体" w:eastAsia="黑体" w:hAnsi="黑体" w:hint="eastAsia"/>
          <w:b/>
          <w:bCs/>
        </w:rPr>
        <w:t>建设项目可能造成爆炸、火灾、中毒事故的危险、有害因素及其分布</w:t>
      </w:r>
    </w:p>
    <w:p w14:paraId="19EC135F" w14:textId="77777777" w:rsidR="00EF4562" w:rsidRDefault="00000000">
      <w:pPr>
        <w:ind w:firstLine="560"/>
      </w:pPr>
      <w:r>
        <w:rPr>
          <w:rFonts w:hint="eastAsia"/>
        </w:rPr>
        <w:t>该项目可能造成爆炸、火灾、中毒事故的危险、有害因素及其分布辨识结果，见表</w:t>
      </w:r>
      <w:r>
        <w:rPr>
          <w:rFonts w:hint="eastAsia"/>
        </w:rPr>
        <w:t>5.1-1</w:t>
      </w:r>
      <w:r>
        <w:rPr>
          <w:rFonts w:hint="eastAsia"/>
        </w:rPr>
        <w:t>。</w:t>
      </w:r>
    </w:p>
    <w:p w14:paraId="10AFD5F1"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lastRenderedPageBreak/>
        <w:t>表</w:t>
      </w:r>
      <w:r>
        <w:rPr>
          <w:rFonts w:eastAsia="黑体" w:cs="Times New Roman"/>
          <w:sz w:val="24"/>
        </w:rPr>
        <w:t>5.1-1</w:t>
      </w:r>
      <w:r>
        <w:rPr>
          <w:rFonts w:ascii="黑体" w:eastAsia="黑体" w:hAnsi="黑体" w:hint="eastAsia"/>
          <w:sz w:val="24"/>
        </w:rPr>
        <w:t xml:space="preserve">  可能造成爆炸、火灾、中毒事故的危险、有害因素及其分布辨识结果表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
        <w:gridCol w:w="1686"/>
        <w:gridCol w:w="5413"/>
        <w:gridCol w:w="1073"/>
      </w:tblGrid>
      <w:tr w:rsidR="00EF4562" w14:paraId="09FA78A0" w14:textId="77777777">
        <w:trPr>
          <w:cantSplit/>
          <w:trHeight w:val="454"/>
          <w:jc w:val="center"/>
        </w:trPr>
        <w:tc>
          <w:tcPr>
            <w:tcW w:w="546" w:type="pct"/>
            <w:vAlign w:val="center"/>
          </w:tcPr>
          <w:p w14:paraId="44AF46E5"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序号</w:t>
            </w:r>
          </w:p>
        </w:tc>
        <w:tc>
          <w:tcPr>
            <w:tcW w:w="919" w:type="pct"/>
            <w:vAlign w:val="center"/>
          </w:tcPr>
          <w:p w14:paraId="133F9433"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hint="eastAsia"/>
                <w:bCs/>
                <w:kern w:val="0"/>
                <w:sz w:val="21"/>
                <w:szCs w:val="21"/>
                <w14:ligatures w14:val="none"/>
              </w:rPr>
              <w:t>危险</w:t>
            </w:r>
            <w:r>
              <w:rPr>
                <w:rFonts w:cs="Times New Roman"/>
                <w:bCs/>
                <w:kern w:val="0"/>
                <w:sz w:val="21"/>
                <w:szCs w:val="21"/>
                <w14:ligatures w14:val="none"/>
              </w:rPr>
              <w:t>、有害因素</w:t>
            </w:r>
          </w:p>
        </w:tc>
        <w:tc>
          <w:tcPr>
            <w:tcW w:w="2950" w:type="pct"/>
            <w:vAlign w:val="center"/>
          </w:tcPr>
          <w:p w14:paraId="092531F6"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危险部位或场所</w:t>
            </w:r>
          </w:p>
        </w:tc>
        <w:tc>
          <w:tcPr>
            <w:tcW w:w="585" w:type="pct"/>
            <w:vAlign w:val="center"/>
          </w:tcPr>
          <w:p w14:paraId="72FA5E24"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备注</w:t>
            </w:r>
          </w:p>
        </w:tc>
      </w:tr>
      <w:tr w:rsidR="00EF4562" w14:paraId="2D5261B2" w14:textId="77777777">
        <w:trPr>
          <w:cantSplit/>
          <w:trHeight w:val="454"/>
          <w:jc w:val="center"/>
        </w:trPr>
        <w:tc>
          <w:tcPr>
            <w:tcW w:w="546" w:type="pct"/>
            <w:vAlign w:val="center"/>
          </w:tcPr>
          <w:p w14:paraId="68F25B2E"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1</w:t>
            </w:r>
          </w:p>
        </w:tc>
        <w:tc>
          <w:tcPr>
            <w:tcW w:w="919" w:type="pct"/>
            <w:vAlign w:val="center"/>
          </w:tcPr>
          <w:p w14:paraId="34A0D15F"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火灾</w:t>
            </w:r>
          </w:p>
        </w:tc>
        <w:tc>
          <w:tcPr>
            <w:tcW w:w="2950" w:type="pct"/>
            <w:vAlign w:val="center"/>
          </w:tcPr>
          <w:p w14:paraId="188D054D"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hint="eastAsia"/>
                <w:bCs/>
                <w:kern w:val="0"/>
                <w:sz w:val="21"/>
                <w:szCs w:val="21"/>
                <w14:ligatures w14:val="none"/>
              </w:rPr>
              <w:t>加油区、储罐区、站房、配电设施</w:t>
            </w:r>
          </w:p>
        </w:tc>
        <w:tc>
          <w:tcPr>
            <w:tcW w:w="585" w:type="pct"/>
            <w:vAlign w:val="center"/>
          </w:tcPr>
          <w:p w14:paraId="75112200" w14:textId="77777777" w:rsidR="00EF4562" w:rsidRDefault="00EF4562">
            <w:pPr>
              <w:spacing w:line="240" w:lineRule="auto"/>
              <w:ind w:firstLineChars="0" w:firstLine="0"/>
              <w:jc w:val="center"/>
              <w:rPr>
                <w:rFonts w:cs="Times New Roman"/>
                <w:bCs/>
                <w:kern w:val="0"/>
                <w:sz w:val="21"/>
                <w:szCs w:val="21"/>
                <w14:ligatures w14:val="none"/>
              </w:rPr>
            </w:pPr>
          </w:p>
        </w:tc>
      </w:tr>
      <w:tr w:rsidR="00EF4562" w14:paraId="1EC2A129" w14:textId="77777777">
        <w:trPr>
          <w:cantSplit/>
          <w:trHeight w:val="454"/>
          <w:jc w:val="center"/>
        </w:trPr>
        <w:tc>
          <w:tcPr>
            <w:tcW w:w="546" w:type="pct"/>
            <w:vAlign w:val="center"/>
          </w:tcPr>
          <w:p w14:paraId="4C7AC1B4"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2</w:t>
            </w:r>
          </w:p>
        </w:tc>
        <w:tc>
          <w:tcPr>
            <w:tcW w:w="919" w:type="pct"/>
            <w:vAlign w:val="center"/>
          </w:tcPr>
          <w:p w14:paraId="1C6600A4"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爆炸</w:t>
            </w:r>
          </w:p>
        </w:tc>
        <w:tc>
          <w:tcPr>
            <w:tcW w:w="2950" w:type="pct"/>
            <w:vAlign w:val="center"/>
          </w:tcPr>
          <w:p w14:paraId="10335CC9"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hint="eastAsia"/>
                <w:bCs/>
                <w:kern w:val="0"/>
                <w:sz w:val="21"/>
                <w:szCs w:val="21"/>
                <w14:ligatures w14:val="none"/>
              </w:rPr>
              <w:t>加油区、储罐区</w:t>
            </w:r>
          </w:p>
        </w:tc>
        <w:tc>
          <w:tcPr>
            <w:tcW w:w="585" w:type="pct"/>
            <w:vAlign w:val="center"/>
          </w:tcPr>
          <w:p w14:paraId="1D7B5041" w14:textId="77777777" w:rsidR="00EF4562" w:rsidRDefault="00EF4562">
            <w:pPr>
              <w:spacing w:line="240" w:lineRule="auto"/>
              <w:ind w:firstLineChars="0" w:firstLine="0"/>
              <w:jc w:val="center"/>
              <w:rPr>
                <w:rFonts w:cs="Times New Roman"/>
                <w:bCs/>
                <w:kern w:val="0"/>
                <w:sz w:val="21"/>
                <w:szCs w:val="21"/>
                <w14:ligatures w14:val="none"/>
              </w:rPr>
            </w:pPr>
          </w:p>
        </w:tc>
      </w:tr>
      <w:tr w:rsidR="00EF4562" w14:paraId="4DD43741" w14:textId="77777777">
        <w:trPr>
          <w:cantSplit/>
          <w:trHeight w:val="454"/>
          <w:jc w:val="center"/>
        </w:trPr>
        <w:tc>
          <w:tcPr>
            <w:tcW w:w="546" w:type="pct"/>
            <w:vAlign w:val="center"/>
          </w:tcPr>
          <w:p w14:paraId="2BAD69AD"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3</w:t>
            </w:r>
          </w:p>
        </w:tc>
        <w:tc>
          <w:tcPr>
            <w:tcW w:w="919" w:type="pct"/>
            <w:vAlign w:val="center"/>
          </w:tcPr>
          <w:p w14:paraId="36BBEC23"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中毒和窒息</w:t>
            </w:r>
          </w:p>
        </w:tc>
        <w:tc>
          <w:tcPr>
            <w:tcW w:w="2950" w:type="pct"/>
            <w:vAlign w:val="center"/>
          </w:tcPr>
          <w:p w14:paraId="625ECFD5"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hint="eastAsia"/>
                <w:bCs/>
                <w:kern w:val="0"/>
                <w:sz w:val="21"/>
                <w:szCs w:val="21"/>
                <w14:ligatures w14:val="none"/>
              </w:rPr>
              <w:t>加油区、储罐区</w:t>
            </w:r>
          </w:p>
        </w:tc>
        <w:tc>
          <w:tcPr>
            <w:tcW w:w="585" w:type="pct"/>
            <w:vAlign w:val="center"/>
          </w:tcPr>
          <w:p w14:paraId="6A580567" w14:textId="77777777" w:rsidR="00EF4562" w:rsidRDefault="00EF4562">
            <w:pPr>
              <w:spacing w:line="240" w:lineRule="auto"/>
              <w:ind w:firstLineChars="0" w:firstLine="0"/>
              <w:jc w:val="center"/>
              <w:rPr>
                <w:rFonts w:cs="Times New Roman"/>
                <w:bCs/>
                <w:kern w:val="0"/>
                <w:sz w:val="21"/>
                <w:szCs w:val="21"/>
                <w14:ligatures w14:val="none"/>
              </w:rPr>
            </w:pPr>
          </w:p>
        </w:tc>
      </w:tr>
    </w:tbl>
    <w:p w14:paraId="61589599"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5.1.2</w:t>
      </w:r>
      <w:r>
        <w:rPr>
          <w:rFonts w:ascii="黑体" w:eastAsia="黑体" w:hAnsi="黑体" w:hint="eastAsia"/>
          <w:b/>
          <w:bCs/>
        </w:rPr>
        <w:t>建设项目可能造成作业人员伤亡的其它危险、有害因素及其分布</w:t>
      </w:r>
    </w:p>
    <w:p w14:paraId="1E6FF862" w14:textId="77777777" w:rsidR="00EF4562" w:rsidRDefault="00000000">
      <w:pPr>
        <w:ind w:firstLine="560"/>
      </w:pPr>
      <w:r>
        <w:rPr>
          <w:rFonts w:hint="eastAsia"/>
        </w:rPr>
        <w:t>该项目可能造成作业人员伤亡的其它危险、有害因素及其分布辨识结果，见表</w:t>
      </w:r>
      <w:r>
        <w:rPr>
          <w:rFonts w:hint="eastAsia"/>
        </w:rPr>
        <w:t>5.1-2</w:t>
      </w:r>
      <w:r>
        <w:rPr>
          <w:rFonts w:hint="eastAsia"/>
        </w:rPr>
        <w:t>。</w:t>
      </w:r>
    </w:p>
    <w:p w14:paraId="48988D5C"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5.1-2</w:t>
      </w:r>
      <w:r>
        <w:rPr>
          <w:rFonts w:ascii="黑体" w:eastAsia="黑体" w:hAnsi="黑体" w:hint="eastAsia"/>
          <w:sz w:val="24"/>
        </w:rPr>
        <w:t xml:space="preserve">  可能造成作业人员伤亡的其它危险、有害因素及其分布辨识结果表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0"/>
        <w:gridCol w:w="2221"/>
        <w:gridCol w:w="4944"/>
        <w:gridCol w:w="1069"/>
      </w:tblGrid>
      <w:tr w:rsidR="00EF4562" w14:paraId="49F85BB1" w14:textId="77777777">
        <w:trPr>
          <w:cantSplit/>
          <w:trHeight w:val="454"/>
          <w:tblHeader/>
          <w:jc w:val="center"/>
        </w:trPr>
        <w:tc>
          <w:tcPr>
            <w:tcW w:w="940" w:type="dxa"/>
            <w:vAlign w:val="center"/>
          </w:tcPr>
          <w:p w14:paraId="1F73E062"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序号</w:t>
            </w:r>
          </w:p>
        </w:tc>
        <w:tc>
          <w:tcPr>
            <w:tcW w:w="2221" w:type="dxa"/>
            <w:vAlign w:val="center"/>
          </w:tcPr>
          <w:p w14:paraId="3B73E0E6"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hint="eastAsia"/>
                <w:bCs/>
                <w:kern w:val="0"/>
                <w:sz w:val="21"/>
                <w:szCs w:val="21"/>
                <w14:ligatures w14:val="none"/>
              </w:rPr>
              <w:t>危险</w:t>
            </w:r>
            <w:r>
              <w:rPr>
                <w:rFonts w:cs="Times New Roman"/>
                <w:bCs/>
                <w:kern w:val="0"/>
                <w:sz w:val="21"/>
                <w:szCs w:val="21"/>
                <w14:ligatures w14:val="none"/>
              </w:rPr>
              <w:t>、有害因素</w:t>
            </w:r>
          </w:p>
        </w:tc>
        <w:tc>
          <w:tcPr>
            <w:tcW w:w="4944" w:type="dxa"/>
            <w:vAlign w:val="center"/>
          </w:tcPr>
          <w:p w14:paraId="6787B477"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危险部位或场所</w:t>
            </w:r>
          </w:p>
        </w:tc>
        <w:tc>
          <w:tcPr>
            <w:tcW w:w="1069" w:type="dxa"/>
            <w:vAlign w:val="center"/>
          </w:tcPr>
          <w:p w14:paraId="5C231C0F"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备注</w:t>
            </w:r>
          </w:p>
        </w:tc>
      </w:tr>
      <w:tr w:rsidR="00EF4562" w14:paraId="1CD2978A" w14:textId="77777777">
        <w:trPr>
          <w:cantSplit/>
          <w:trHeight w:val="454"/>
          <w:jc w:val="center"/>
        </w:trPr>
        <w:tc>
          <w:tcPr>
            <w:tcW w:w="940" w:type="dxa"/>
            <w:vAlign w:val="center"/>
          </w:tcPr>
          <w:p w14:paraId="57E272E3" w14:textId="77777777" w:rsidR="00EF4562" w:rsidRDefault="00EF4562">
            <w:pPr>
              <w:numPr>
                <w:ilvl w:val="0"/>
                <w:numId w:val="2"/>
              </w:numPr>
              <w:spacing w:line="240" w:lineRule="auto"/>
              <w:ind w:left="0" w:firstLineChars="0" w:firstLine="0"/>
              <w:jc w:val="center"/>
              <w:rPr>
                <w:rFonts w:cs="Times New Roman"/>
                <w:bCs/>
                <w:kern w:val="0"/>
                <w:sz w:val="21"/>
                <w:szCs w:val="21"/>
                <w14:ligatures w14:val="none"/>
              </w:rPr>
            </w:pPr>
          </w:p>
        </w:tc>
        <w:tc>
          <w:tcPr>
            <w:tcW w:w="2221" w:type="dxa"/>
            <w:vAlign w:val="center"/>
          </w:tcPr>
          <w:p w14:paraId="255E4349"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触电</w:t>
            </w:r>
          </w:p>
        </w:tc>
        <w:tc>
          <w:tcPr>
            <w:tcW w:w="4944" w:type="dxa"/>
            <w:vAlign w:val="center"/>
          </w:tcPr>
          <w:p w14:paraId="2C4812AD"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hint="eastAsia"/>
                <w:bCs/>
                <w:kern w:val="0"/>
                <w:sz w:val="21"/>
                <w:szCs w:val="21"/>
                <w14:ligatures w14:val="none"/>
              </w:rPr>
              <w:t>加油区、站房、配电设施</w:t>
            </w:r>
          </w:p>
        </w:tc>
        <w:tc>
          <w:tcPr>
            <w:tcW w:w="1069" w:type="dxa"/>
            <w:vAlign w:val="center"/>
          </w:tcPr>
          <w:p w14:paraId="64013171" w14:textId="77777777" w:rsidR="00EF4562" w:rsidRDefault="00EF4562">
            <w:pPr>
              <w:spacing w:line="240" w:lineRule="auto"/>
              <w:ind w:firstLineChars="0" w:firstLine="0"/>
              <w:jc w:val="center"/>
              <w:rPr>
                <w:rFonts w:cs="Times New Roman"/>
                <w:bCs/>
                <w:kern w:val="0"/>
                <w:sz w:val="21"/>
                <w:szCs w:val="21"/>
                <w14:ligatures w14:val="none"/>
              </w:rPr>
            </w:pPr>
          </w:p>
        </w:tc>
      </w:tr>
      <w:tr w:rsidR="00EF4562" w14:paraId="3025E91A" w14:textId="77777777">
        <w:trPr>
          <w:cantSplit/>
          <w:trHeight w:val="454"/>
          <w:jc w:val="center"/>
        </w:trPr>
        <w:tc>
          <w:tcPr>
            <w:tcW w:w="940" w:type="dxa"/>
            <w:vAlign w:val="center"/>
          </w:tcPr>
          <w:p w14:paraId="560C5AA7" w14:textId="77777777" w:rsidR="00EF4562" w:rsidRDefault="00EF4562">
            <w:pPr>
              <w:numPr>
                <w:ilvl w:val="0"/>
                <w:numId w:val="2"/>
              </w:numPr>
              <w:spacing w:line="240" w:lineRule="auto"/>
              <w:ind w:left="0" w:firstLineChars="0" w:firstLine="0"/>
              <w:jc w:val="center"/>
              <w:rPr>
                <w:rFonts w:cs="Times New Roman"/>
                <w:bCs/>
                <w:kern w:val="0"/>
                <w:sz w:val="21"/>
                <w:szCs w:val="21"/>
                <w14:ligatures w14:val="none"/>
              </w:rPr>
            </w:pPr>
          </w:p>
        </w:tc>
        <w:tc>
          <w:tcPr>
            <w:tcW w:w="2221" w:type="dxa"/>
            <w:vAlign w:val="center"/>
          </w:tcPr>
          <w:p w14:paraId="32FEAA7C"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车辆伤害</w:t>
            </w:r>
          </w:p>
        </w:tc>
        <w:tc>
          <w:tcPr>
            <w:tcW w:w="4944" w:type="dxa"/>
            <w:vAlign w:val="center"/>
          </w:tcPr>
          <w:p w14:paraId="6EDF2D83"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hint="eastAsia"/>
                <w:bCs/>
                <w:kern w:val="0"/>
                <w:sz w:val="21"/>
                <w:szCs w:val="21"/>
                <w14:ligatures w14:val="none"/>
              </w:rPr>
              <w:t>加油区</w:t>
            </w:r>
          </w:p>
        </w:tc>
        <w:tc>
          <w:tcPr>
            <w:tcW w:w="1069" w:type="dxa"/>
            <w:vAlign w:val="center"/>
          </w:tcPr>
          <w:p w14:paraId="02E1EBF6" w14:textId="77777777" w:rsidR="00EF4562" w:rsidRDefault="00EF4562">
            <w:pPr>
              <w:spacing w:line="240" w:lineRule="auto"/>
              <w:ind w:firstLineChars="0" w:firstLine="0"/>
              <w:jc w:val="center"/>
              <w:rPr>
                <w:rFonts w:cs="Times New Roman"/>
                <w:bCs/>
                <w:kern w:val="0"/>
                <w:sz w:val="21"/>
                <w:szCs w:val="21"/>
                <w14:ligatures w14:val="none"/>
              </w:rPr>
            </w:pPr>
          </w:p>
        </w:tc>
      </w:tr>
      <w:tr w:rsidR="00EF4562" w14:paraId="29FE48A5" w14:textId="77777777">
        <w:trPr>
          <w:cantSplit/>
          <w:trHeight w:val="454"/>
          <w:jc w:val="center"/>
        </w:trPr>
        <w:tc>
          <w:tcPr>
            <w:tcW w:w="940" w:type="dxa"/>
            <w:vAlign w:val="center"/>
          </w:tcPr>
          <w:p w14:paraId="396C4EC8" w14:textId="77777777" w:rsidR="00EF4562" w:rsidRDefault="00EF4562">
            <w:pPr>
              <w:numPr>
                <w:ilvl w:val="0"/>
                <w:numId w:val="2"/>
              </w:numPr>
              <w:spacing w:line="240" w:lineRule="auto"/>
              <w:ind w:left="0" w:firstLineChars="0" w:firstLine="0"/>
              <w:jc w:val="center"/>
              <w:rPr>
                <w:rFonts w:cs="Times New Roman"/>
                <w:bCs/>
                <w:kern w:val="0"/>
                <w:sz w:val="21"/>
                <w:szCs w:val="21"/>
                <w14:ligatures w14:val="none"/>
              </w:rPr>
            </w:pPr>
          </w:p>
        </w:tc>
        <w:tc>
          <w:tcPr>
            <w:tcW w:w="2221" w:type="dxa"/>
            <w:vAlign w:val="center"/>
          </w:tcPr>
          <w:p w14:paraId="0B173250"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物体打击</w:t>
            </w:r>
          </w:p>
        </w:tc>
        <w:tc>
          <w:tcPr>
            <w:tcW w:w="4944" w:type="dxa"/>
            <w:vAlign w:val="center"/>
          </w:tcPr>
          <w:p w14:paraId="13F1F0DF"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hint="eastAsia"/>
                <w:bCs/>
                <w:kern w:val="0"/>
                <w:sz w:val="21"/>
                <w:szCs w:val="21"/>
                <w14:ligatures w14:val="none"/>
              </w:rPr>
              <w:t>加油区、站房</w:t>
            </w:r>
          </w:p>
        </w:tc>
        <w:tc>
          <w:tcPr>
            <w:tcW w:w="1069" w:type="dxa"/>
            <w:vAlign w:val="center"/>
          </w:tcPr>
          <w:p w14:paraId="43B24B44" w14:textId="77777777" w:rsidR="00EF4562" w:rsidRDefault="00EF4562">
            <w:pPr>
              <w:spacing w:line="240" w:lineRule="auto"/>
              <w:ind w:firstLineChars="0" w:firstLine="0"/>
              <w:jc w:val="center"/>
              <w:rPr>
                <w:rFonts w:cs="Times New Roman"/>
                <w:bCs/>
                <w:kern w:val="0"/>
                <w:sz w:val="21"/>
                <w:szCs w:val="21"/>
                <w14:ligatures w14:val="none"/>
              </w:rPr>
            </w:pPr>
          </w:p>
        </w:tc>
      </w:tr>
    </w:tbl>
    <w:p w14:paraId="1B35ACB9"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28" w:name="_Toc207695634"/>
      <w:r>
        <w:rPr>
          <w:rFonts w:eastAsia="楷体" w:cs="Times New Roman"/>
          <w:b/>
          <w:bCs/>
          <w:sz w:val="32"/>
          <w:szCs w:val="32"/>
        </w:rPr>
        <w:t>5.2</w:t>
      </w:r>
      <w:r>
        <w:rPr>
          <w:rFonts w:ascii="楷体" w:eastAsia="楷体" w:hAnsi="楷体" w:hint="eastAsia"/>
          <w:b/>
          <w:bCs/>
          <w:sz w:val="32"/>
          <w:szCs w:val="32"/>
        </w:rPr>
        <w:t>危险、有害程度</w:t>
      </w:r>
      <w:bookmarkEnd w:id="28"/>
    </w:p>
    <w:p w14:paraId="752FF352"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5.2.1</w:t>
      </w:r>
      <w:r>
        <w:rPr>
          <w:rFonts w:ascii="黑体" w:eastAsia="黑体" w:hAnsi="黑体" w:hint="eastAsia"/>
          <w:b/>
          <w:bCs/>
        </w:rPr>
        <w:t>评价单元的划分</w:t>
      </w:r>
    </w:p>
    <w:p w14:paraId="4B9680E2" w14:textId="77777777" w:rsidR="00EF4562" w:rsidRDefault="00000000">
      <w:pPr>
        <w:ind w:firstLine="560"/>
      </w:pPr>
      <w:r>
        <w:rPr>
          <w:rFonts w:hint="eastAsia"/>
        </w:rPr>
        <w:t>根据评价单元的划分原则，结合该站实际情况，该项目评价单元的划分如下：</w:t>
      </w:r>
    </w:p>
    <w:p w14:paraId="67DB2DC0" w14:textId="77777777" w:rsidR="00EF4562" w:rsidRDefault="00000000">
      <w:pPr>
        <w:ind w:firstLine="560"/>
      </w:pPr>
      <w:r>
        <w:rPr>
          <w:rFonts w:hint="eastAsia"/>
        </w:rPr>
        <w:t>（</w:t>
      </w:r>
      <w:r>
        <w:rPr>
          <w:rFonts w:hint="eastAsia"/>
        </w:rPr>
        <w:t>1</w:t>
      </w:r>
      <w:r>
        <w:rPr>
          <w:rFonts w:hint="eastAsia"/>
        </w:rPr>
        <w:t>）选址及总平面布置；</w:t>
      </w:r>
    </w:p>
    <w:p w14:paraId="5E76FBCF" w14:textId="77777777" w:rsidR="00EF4562" w:rsidRDefault="00000000">
      <w:pPr>
        <w:ind w:firstLine="560"/>
      </w:pPr>
      <w:r>
        <w:rPr>
          <w:rFonts w:hint="eastAsia"/>
        </w:rPr>
        <w:t>（</w:t>
      </w:r>
      <w:r>
        <w:rPr>
          <w:rFonts w:hint="eastAsia"/>
        </w:rPr>
        <w:t>2</w:t>
      </w:r>
      <w:r>
        <w:rPr>
          <w:rFonts w:hint="eastAsia"/>
        </w:rPr>
        <w:t>）加油工艺设备、设施及管道；</w:t>
      </w:r>
    </w:p>
    <w:p w14:paraId="15A724F8" w14:textId="77777777" w:rsidR="00EF4562" w:rsidRDefault="00000000">
      <w:pPr>
        <w:ind w:firstLine="560"/>
      </w:pPr>
      <w:r>
        <w:rPr>
          <w:rFonts w:hint="eastAsia"/>
        </w:rPr>
        <w:t>（</w:t>
      </w:r>
      <w:r>
        <w:rPr>
          <w:rFonts w:hint="eastAsia"/>
        </w:rPr>
        <w:t>3</w:t>
      </w:r>
      <w:r>
        <w:rPr>
          <w:rFonts w:hint="eastAsia"/>
        </w:rPr>
        <w:t>）配套和辅助设施；</w:t>
      </w:r>
    </w:p>
    <w:p w14:paraId="4841FFBB" w14:textId="77777777" w:rsidR="00EF4562" w:rsidRDefault="00000000">
      <w:pPr>
        <w:ind w:firstLine="560"/>
      </w:pPr>
      <w:r>
        <w:rPr>
          <w:rFonts w:hint="eastAsia"/>
        </w:rPr>
        <w:t>（</w:t>
      </w:r>
      <w:r>
        <w:rPr>
          <w:rFonts w:hint="eastAsia"/>
        </w:rPr>
        <w:t>4</w:t>
      </w:r>
      <w:r>
        <w:rPr>
          <w:rFonts w:hint="eastAsia"/>
        </w:rPr>
        <w:t>）安全管理。</w:t>
      </w:r>
    </w:p>
    <w:p w14:paraId="26FC8745"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5.2.2</w:t>
      </w:r>
      <w:r>
        <w:rPr>
          <w:rFonts w:ascii="黑体" w:eastAsia="黑体" w:hAnsi="黑体" w:hint="eastAsia"/>
          <w:b/>
          <w:bCs/>
        </w:rPr>
        <w:t>安全评价方法的确定</w:t>
      </w:r>
    </w:p>
    <w:p w14:paraId="40DE2FD8" w14:textId="77777777" w:rsidR="00EF4562" w:rsidRDefault="00000000">
      <w:pPr>
        <w:ind w:firstLine="560"/>
      </w:pPr>
      <w:r>
        <w:rPr>
          <w:rFonts w:hint="eastAsia"/>
        </w:rPr>
        <w:t>结合该项目评价的特点，按照科学、合理、适用的原则选用评价方法。</w:t>
      </w:r>
    </w:p>
    <w:p w14:paraId="26DE39C7" w14:textId="77777777" w:rsidR="00EF4562" w:rsidRDefault="00000000">
      <w:pPr>
        <w:ind w:firstLine="560"/>
      </w:pPr>
      <w:r>
        <w:rPr>
          <w:rFonts w:hint="eastAsia"/>
        </w:rPr>
        <w:lastRenderedPageBreak/>
        <w:t>（</w:t>
      </w:r>
      <w:r>
        <w:rPr>
          <w:rFonts w:hint="eastAsia"/>
        </w:rPr>
        <w:t>1</w:t>
      </w:r>
      <w:r>
        <w:rPr>
          <w:rFonts w:hint="eastAsia"/>
        </w:rPr>
        <w:t>）采用安全检查表法，对该站选址及总平面布置单元、安全管理单元进行分析；</w:t>
      </w:r>
    </w:p>
    <w:p w14:paraId="365B45A2" w14:textId="77777777" w:rsidR="00EF4562" w:rsidRDefault="00000000">
      <w:pPr>
        <w:ind w:firstLine="560"/>
      </w:pPr>
      <w:r>
        <w:rPr>
          <w:rFonts w:hint="eastAsia"/>
        </w:rPr>
        <w:t>（</w:t>
      </w:r>
      <w:r>
        <w:rPr>
          <w:rFonts w:hint="eastAsia"/>
        </w:rPr>
        <w:t>2</w:t>
      </w:r>
      <w:r>
        <w:rPr>
          <w:rFonts w:hint="eastAsia"/>
        </w:rPr>
        <w:t>）采用预先危险性分析法，对加油工艺设备、设施及管道单元、配套和辅助设施单元中存在的危险、有害性进行定性分析；</w:t>
      </w:r>
    </w:p>
    <w:p w14:paraId="668B367C" w14:textId="77777777" w:rsidR="00EF4562" w:rsidRDefault="00000000">
      <w:pPr>
        <w:ind w:firstLine="560"/>
      </w:pPr>
      <w:r>
        <w:rPr>
          <w:rFonts w:hint="eastAsia"/>
        </w:rPr>
        <w:t>（</w:t>
      </w:r>
      <w:r>
        <w:rPr>
          <w:rFonts w:hint="eastAsia"/>
        </w:rPr>
        <w:t>3</w:t>
      </w:r>
      <w:r>
        <w:rPr>
          <w:rFonts w:hint="eastAsia"/>
        </w:rPr>
        <w:t>）采用《蒸气云爆炸伤害模型》预测爆炸能对爆炸源周围的人员和建筑物造成的伤害范围。</w:t>
      </w:r>
    </w:p>
    <w:p w14:paraId="05B61CB3"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5.2.3</w:t>
      </w:r>
      <w:r>
        <w:rPr>
          <w:rFonts w:ascii="黑体" w:eastAsia="黑体" w:hAnsi="黑体" w:hint="eastAsia"/>
          <w:b/>
          <w:bCs/>
        </w:rPr>
        <w:t>固有危险程度的分析</w:t>
      </w:r>
    </w:p>
    <w:p w14:paraId="3677B6DA" w14:textId="77777777" w:rsidR="00EF4562" w:rsidRDefault="00000000">
      <w:pPr>
        <w:ind w:firstLine="560"/>
      </w:pPr>
      <w:r>
        <w:rPr>
          <w:rFonts w:hint="eastAsia"/>
        </w:rPr>
        <w:t>（</w:t>
      </w:r>
      <w:r>
        <w:rPr>
          <w:rFonts w:hint="eastAsia"/>
        </w:rPr>
        <w:t>1</w:t>
      </w:r>
      <w:r>
        <w:rPr>
          <w:rFonts w:hint="eastAsia"/>
        </w:rPr>
        <w:t>）定量分析建设项目中具有爆炸性、可燃性、毒性、腐蚀性的化学品数量、浓度（含量）、状态和所在的作业场所（部位）及其状况（温度、压力）</w:t>
      </w:r>
    </w:p>
    <w:p w14:paraId="29AE8909" w14:textId="77777777" w:rsidR="00EF4562" w:rsidRDefault="00000000">
      <w:pPr>
        <w:ind w:firstLine="560"/>
      </w:pPr>
      <w:r>
        <w:rPr>
          <w:rFonts w:hint="eastAsia"/>
        </w:rPr>
        <w:t>该项目具有爆炸性、可燃性、毒性的化学品数量、浓度（含量）、状态和所在的作业场所（部位）及其状况（温度、压力），见表</w:t>
      </w:r>
      <w:r>
        <w:rPr>
          <w:rFonts w:hint="eastAsia"/>
        </w:rPr>
        <w:t>5.2-1</w:t>
      </w:r>
      <w:r>
        <w:rPr>
          <w:rFonts w:hint="eastAsia"/>
        </w:rPr>
        <w:t>。</w:t>
      </w:r>
    </w:p>
    <w:p w14:paraId="27CBEED2"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5.2-1</w:t>
      </w:r>
      <w:r>
        <w:rPr>
          <w:rFonts w:ascii="黑体" w:eastAsia="黑体" w:hAnsi="黑体" w:hint="eastAsia"/>
          <w:sz w:val="24"/>
        </w:rPr>
        <w:t xml:space="preserve">  具有爆炸性、可燃性、毒性的化学品统计表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969"/>
        <w:gridCol w:w="1062"/>
        <w:gridCol w:w="539"/>
        <w:gridCol w:w="1442"/>
        <w:gridCol w:w="1659"/>
        <w:gridCol w:w="752"/>
        <w:gridCol w:w="2092"/>
      </w:tblGrid>
      <w:tr w:rsidR="00EF4562" w14:paraId="53C40F65" w14:textId="77777777">
        <w:trPr>
          <w:trHeight w:val="454"/>
          <w:jc w:val="center"/>
        </w:trPr>
        <w:tc>
          <w:tcPr>
            <w:tcW w:w="359" w:type="pct"/>
            <w:vAlign w:val="center"/>
          </w:tcPr>
          <w:p w14:paraId="5595ABE1"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序号</w:t>
            </w:r>
          </w:p>
        </w:tc>
        <w:tc>
          <w:tcPr>
            <w:tcW w:w="528" w:type="pct"/>
            <w:vAlign w:val="center"/>
          </w:tcPr>
          <w:p w14:paraId="69EFBC6A"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名称</w:t>
            </w:r>
          </w:p>
        </w:tc>
        <w:tc>
          <w:tcPr>
            <w:tcW w:w="579" w:type="pct"/>
            <w:vAlign w:val="center"/>
          </w:tcPr>
          <w:p w14:paraId="2D1C1B01" w14:textId="77777777" w:rsidR="00EF4562" w:rsidRDefault="00000000">
            <w:pPr>
              <w:spacing w:line="240" w:lineRule="auto"/>
              <w:ind w:firstLineChars="0" w:firstLine="0"/>
              <w:jc w:val="center"/>
              <w:rPr>
                <w:rFonts w:cs="Times New Roman"/>
                <w:bCs/>
                <w:sz w:val="21"/>
                <w:szCs w:val="21"/>
                <w14:ligatures w14:val="none"/>
              </w:rPr>
            </w:pPr>
            <w:r>
              <w:rPr>
                <w:rFonts w:cs="Times New Roman" w:hint="eastAsia"/>
                <w:bCs/>
                <w:sz w:val="21"/>
                <w:szCs w:val="21"/>
                <w14:ligatures w14:val="none"/>
              </w:rPr>
              <w:t>最大</w:t>
            </w:r>
            <w:r>
              <w:rPr>
                <w:rFonts w:cs="Times New Roman"/>
                <w:bCs/>
                <w:sz w:val="21"/>
                <w:szCs w:val="21"/>
                <w14:ligatures w14:val="none"/>
              </w:rPr>
              <w:t>储存量（</w:t>
            </w:r>
            <w:r>
              <w:rPr>
                <w:rFonts w:cs="Times New Roman"/>
                <w:bCs/>
                <w:sz w:val="21"/>
                <w:szCs w:val="21"/>
                <w14:ligatures w14:val="none"/>
              </w:rPr>
              <w:t>t</w:t>
            </w:r>
            <w:r>
              <w:rPr>
                <w:rFonts w:cs="Times New Roman"/>
                <w:bCs/>
                <w:sz w:val="21"/>
                <w:szCs w:val="21"/>
                <w14:ligatures w14:val="none"/>
              </w:rPr>
              <w:t>）</w:t>
            </w:r>
          </w:p>
        </w:tc>
        <w:tc>
          <w:tcPr>
            <w:tcW w:w="294" w:type="pct"/>
            <w:vAlign w:val="center"/>
          </w:tcPr>
          <w:p w14:paraId="2A44CFCE"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状态</w:t>
            </w:r>
          </w:p>
        </w:tc>
        <w:tc>
          <w:tcPr>
            <w:tcW w:w="786" w:type="pct"/>
            <w:vAlign w:val="center"/>
          </w:tcPr>
          <w:p w14:paraId="2CE4CE88"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所在场所（部位）</w:t>
            </w:r>
          </w:p>
        </w:tc>
        <w:tc>
          <w:tcPr>
            <w:tcW w:w="904" w:type="pct"/>
            <w:vAlign w:val="center"/>
          </w:tcPr>
          <w:p w14:paraId="60D3EFD3"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状态（温度、压力）</w:t>
            </w:r>
          </w:p>
        </w:tc>
        <w:tc>
          <w:tcPr>
            <w:tcW w:w="410" w:type="pct"/>
            <w:vAlign w:val="center"/>
          </w:tcPr>
          <w:p w14:paraId="3DA4693D"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浓度</w:t>
            </w:r>
          </w:p>
        </w:tc>
        <w:tc>
          <w:tcPr>
            <w:tcW w:w="1140" w:type="pct"/>
            <w:vAlign w:val="center"/>
          </w:tcPr>
          <w:p w14:paraId="67661F1A"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备注</w:t>
            </w:r>
          </w:p>
        </w:tc>
      </w:tr>
      <w:tr w:rsidR="00EF4562" w14:paraId="0A529185" w14:textId="77777777">
        <w:trPr>
          <w:trHeight w:val="454"/>
          <w:jc w:val="center"/>
        </w:trPr>
        <w:tc>
          <w:tcPr>
            <w:tcW w:w="359" w:type="pct"/>
            <w:vAlign w:val="center"/>
          </w:tcPr>
          <w:p w14:paraId="238F859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w:t>
            </w:r>
          </w:p>
        </w:tc>
        <w:tc>
          <w:tcPr>
            <w:tcW w:w="528" w:type="pct"/>
            <w:vAlign w:val="center"/>
          </w:tcPr>
          <w:p w14:paraId="5403A00E"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车用乙醇汽油</w:t>
            </w:r>
          </w:p>
        </w:tc>
        <w:tc>
          <w:tcPr>
            <w:tcW w:w="579" w:type="pct"/>
            <w:vAlign w:val="center"/>
          </w:tcPr>
          <w:p w14:paraId="2A20228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56</w:t>
            </w:r>
          </w:p>
        </w:tc>
        <w:tc>
          <w:tcPr>
            <w:tcW w:w="294" w:type="pct"/>
            <w:vAlign w:val="center"/>
          </w:tcPr>
          <w:p w14:paraId="2DD8C4DF"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液态</w:t>
            </w:r>
          </w:p>
        </w:tc>
        <w:tc>
          <w:tcPr>
            <w:tcW w:w="786" w:type="pct"/>
            <w:vAlign w:val="center"/>
          </w:tcPr>
          <w:p w14:paraId="70056B3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加油区、储罐区</w:t>
            </w:r>
          </w:p>
        </w:tc>
        <w:tc>
          <w:tcPr>
            <w:tcW w:w="904" w:type="pct"/>
            <w:vAlign w:val="center"/>
          </w:tcPr>
          <w:p w14:paraId="1AEEEC68"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常温、常压</w:t>
            </w:r>
          </w:p>
        </w:tc>
        <w:tc>
          <w:tcPr>
            <w:tcW w:w="410" w:type="pct"/>
            <w:vAlign w:val="center"/>
          </w:tcPr>
          <w:p w14:paraId="5AF019F0"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w:t>
            </w:r>
          </w:p>
        </w:tc>
        <w:tc>
          <w:tcPr>
            <w:tcW w:w="1140" w:type="pct"/>
            <w:vAlign w:val="center"/>
          </w:tcPr>
          <w:p w14:paraId="481FE2F4" w14:textId="77777777" w:rsidR="00EF4562" w:rsidRDefault="00000000">
            <w:pPr>
              <w:spacing w:line="240" w:lineRule="auto"/>
              <w:ind w:firstLineChars="0" w:firstLine="0"/>
              <w:jc w:val="center"/>
              <w:rPr>
                <w:rFonts w:cs="Times New Roman"/>
                <w:sz w:val="21"/>
                <w:szCs w:val="21"/>
                <w14:ligatures w14:val="none"/>
              </w:rPr>
            </w:pPr>
            <w:r>
              <w:rPr>
                <w:rFonts w:cs="Times New Roman"/>
                <w:bCs/>
                <w:sz w:val="21"/>
                <w:szCs w:val="21"/>
                <w14:ligatures w14:val="none"/>
              </w:rPr>
              <w:t>爆炸性、可燃性、毒性</w:t>
            </w:r>
          </w:p>
        </w:tc>
      </w:tr>
      <w:tr w:rsidR="00EF4562" w14:paraId="08B7D3AC" w14:textId="77777777">
        <w:trPr>
          <w:trHeight w:val="454"/>
          <w:jc w:val="center"/>
        </w:trPr>
        <w:tc>
          <w:tcPr>
            <w:tcW w:w="359" w:type="pct"/>
            <w:vAlign w:val="center"/>
          </w:tcPr>
          <w:p w14:paraId="1CA55DD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w:t>
            </w:r>
          </w:p>
        </w:tc>
        <w:tc>
          <w:tcPr>
            <w:tcW w:w="528" w:type="pct"/>
            <w:vAlign w:val="center"/>
          </w:tcPr>
          <w:p w14:paraId="0F0E596D"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柴油</w:t>
            </w:r>
          </w:p>
        </w:tc>
        <w:tc>
          <w:tcPr>
            <w:tcW w:w="579" w:type="pct"/>
            <w:vAlign w:val="center"/>
          </w:tcPr>
          <w:p w14:paraId="34896D4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136</w:t>
            </w:r>
          </w:p>
        </w:tc>
        <w:tc>
          <w:tcPr>
            <w:tcW w:w="294" w:type="pct"/>
            <w:vAlign w:val="center"/>
          </w:tcPr>
          <w:p w14:paraId="17325653"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液态</w:t>
            </w:r>
          </w:p>
        </w:tc>
        <w:tc>
          <w:tcPr>
            <w:tcW w:w="786" w:type="pct"/>
            <w:vAlign w:val="center"/>
          </w:tcPr>
          <w:p w14:paraId="0126689A"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加油区</w:t>
            </w:r>
            <w:r>
              <w:rPr>
                <w:rFonts w:cs="Times New Roman" w:hint="eastAsia"/>
                <w:sz w:val="21"/>
                <w:szCs w:val="21"/>
                <w14:ligatures w14:val="none"/>
              </w:rPr>
              <w:t>、储罐区</w:t>
            </w:r>
          </w:p>
        </w:tc>
        <w:tc>
          <w:tcPr>
            <w:tcW w:w="904" w:type="pct"/>
            <w:vAlign w:val="center"/>
          </w:tcPr>
          <w:p w14:paraId="39878322"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常温、常压</w:t>
            </w:r>
          </w:p>
        </w:tc>
        <w:tc>
          <w:tcPr>
            <w:tcW w:w="410" w:type="pct"/>
            <w:vAlign w:val="center"/>
          </w:tcPr>
          <w:p w14:paraId="1EBE891F"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w:t>
            </w:r>
          </w:p>
        </w:tc>
        <w:tc>
          <w:tcPr>
            <w:tcW w:w="1140" w:type="pct"/>
            <w:vAlign w:val="center"/>
          </w:tcPr>
          <w:p w14:paraId="0E9F1A12"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可燃性、毒性</w:t>
            </w:r>
          </w:p>
        </w:tc>
      </w:tr>
    </w:tbl>
    <w:p w14:paraId="0F402AA1" w14:textId="77777777" w:rsidR="00EF4562" w:rsidRDefault="00000000">
      <w:pPr>
        <w:ind w:firstLine="560"/>
      </w:pPr>
      <w:r>
        <w:rPr>
          <w:rFonts w:hint="eastAsia"/>
        </w:rPr>
        <w:t>（</w:t>
      </w:r>
      <w:r>
        <w:rPr>
          <w:rFonts w:hint="eastAsia"/>
        </w:rPr>
        <w:t>2</w:t>
      </w:r>
      <w:r>
        <w:rPr>
          <w:rFonts w:hint="eastAsia"/>
        </w:rPr>
        <w:t>）定性分析建设项目总的和各个作业场所的固有危险程度</w:t>
      </w:r>
    </w:p>
    <w:p w14:paraId="2BB01E5C" w14:textId="77777777" w:rsidR="00EF4562" w:rsidRDefault="00000000">
      <w:pPr>
        <w:ind w:firstLine="560"/>
      </w:pPr>
      <w:r>
        <w:rPr>
          <w:rFonts w:hint="eastAsia"/>
        </w:rPr>
        <w:t>本报告针对定性分析建设项目固有的危险程度选用“安全检查表法”和“预先危险性评价法”。具体详见附录</w:t>
      </w:r>
      <w:r>
        <w:rPr>
          <w:rFonts w:hint="eastAsia"/>
        </w:rPr>
        <w:t>D</w:t>
      </w:r>
      <w:r>
        <w:rPr>
          <w:rFonts w:hint="eastAsia"/>
        </w:rPr>
        <w:t>。</w:t>
      </w:r>
    </w:p>
    <w:p w14:paraId="1E8967EC" w14:textId="77777777" w:rsidR="00EF4562" w:rsidRDefault="00000000">
      <w:pPr>
        <w:ind w:firstLine="560"/>
      </w:pPr>
      <w:r>
        <w:rPr>
          <w:rFonts w:hint="eastAsia"/>
        </w:rPr>
        <w:t>（</w:t>
      </w:r>
      <w:r>
        <w:rPr>
          <w:rFonts w:hint="eastAsia"/>
        </w:rPr>
        <w:t>3</w:t>
      </w:r>
      <w:r>
        <w:rPr>
          <w:rFonts w:hint="eastAsia"/>
        </w:rPr>
        <w:t>）定量分析建设项目安全评价范围内和各个评价单元的固有危险程度</w:t>
      </w:r>
    </w:p>
    <w:p w14:paraId="18647A90" w14:textId="77777777" w:rsidR="00EF4562" w:rsidRDefault="00000000">
      <w:pPr>
        <w:ind w:firstLine="560"/>
      </w:pPr>
      <w:r>
        <w:rPr>
          <w:rFonts w:cs="Times New Roman"/>
        </w:rPr>
        <w:t>1</w:t>
      </w:r>
      <w:r>
        <w:rPr>
          <w:rFonts w:cs="Times New Roman"/>
        </w:rPr>
        <w:t>）</w:t>
      </w:r>
      <w:r>
        <w:rPr>
          <w:rFonts w:hint="eastAsia"/>
        </w:rPr>
        <w:t>具有爆炸性化学品的质量及相当于梯恩梯（</w:t>
      </w:r>
      <w:r>
        <w:rPr>
          <w:rFonts w:hint="eastAsia"/>
        </w:rPr>
        <w:t>TNT</w:t>
      </w:r>
      <w:r>
        <w:rPr>
          <w:rFonts w:hint="eastAsia"/>
        </w:rPr>
        <w:t>）的摩尔量</w:t>
      </w:r>
    </w:p>
    <w:p w14:paraId="61BEB822" w14:textId="77777777" w:rsidR="00EF4562" w:rsidRDefault="00000000">
      <w:pPr>
        <w:ind w:firstLine="560"/>
      </w:pPr>
      <w:r>
        <w:rPr>
          <w:rFonts w:hint="eastAsia"/>
        </w:rPr>
        <w:t>该项目不涉及爆炸性物质。</w:t>
      </w:r>
    </w:p>
    <w:p w14:paraId="6CAAD7AD" w14:textId="77777777" w:rsidR="00EF4562" w:rsidRDefault="00000000">
      <w:pPr>
        <w:ind w:firstLine="560"/>
      </w:pPr>
      <w:r>
        <w:rPr>
          <w:rFonts w:cs="Times New Roman"/>
        </w:rPr>
        <w:t>2</w:t>
      </w:r>
      <w:r>
        <w:rPr>
          <w:rFonts w:cs="Times New Roman"/>
        </w:rPr>
        <w:t>）</w:t>
      </w:r>
      <w:r>
        <w:rPr>
          <w:rFonts w:hint="eastAsia"/>
        </w:rPr>
        <w:t>具有可燃性的化学品的质量及燃烧后放出的热量</w:t>
      </w:r>
    </w:p>
    <w:p w14:paraId="7120F431"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lastRenderedPageBreak/>
        <w:t>表</w:t>
      </w:r>
      <w:r>
        <w:rPr>
          <w:rFonts w:eastAsia="黑体" w:cs="Times New Roman"/>
          <w:sz w:val="24"/>
        </w:rPr>
        <w:t>5.2-2</w:t>
      </w:r>
      <w:r>
        <w:rPr>
          <w:rFonts w:ascii="黑体" w:eastAsia="黑体" w:hAnsi="黑体" w:hint="eastAsia"/>
          <w:sz w:val="24"/>
        </w:rPr>
        <w:t xml:space="preserve">  可燃性的化学品的质量及燃烧后放出的热量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
        <w:gridCol w:w="1699"/>
        <w:gridCol w:w="1846"/>
        <w:gridCol w:w="1914"/>
        <w:gridCol w:w="2725"/>
      </w:tblGrid>
      <w:tr w:rsidR="00EF4562" w14:paraId="484AD5C4" w14:textId="77777777">
        <w:trPr>
          <w:trHeight w:val="454"/>
          <w:jc w:val="center"/>
        </w:trPr>
        <w:tc>
          <w:tcPr>
            <w:tcW w:w="540" w:type="pct"/>
            <w:vAlign w:val="center"/>
          </w:tcPr>
          <w:p w14:paraId="1844EED2" w14:textId="77777777" w:rsidR="00EF4562" w:rsidRDefault="00000000">
            <w:pPr>
              <w:snapToGrid/>
              <w:spacing w:line="240" w:lineRule="auto"/>
              <w:ind w:firstLineChars="0" w:firstLine="0"/>
              <w:jc w:val="center"/>
              <w:rPr>
                <w:rFonts w:cs="Times New Roman"/>
                <w:bCs/>
                <w:sz w:val="21"/>
                <w:szCs w:val="21"/>
                <w14:ligatures w14:val="none"/>
              </w:rPr>
            </w:pPr>
            <w:r>
              <w:rPr>
                <w:rFonts w:cs="Times New Roman"/>
                <w:bCs/>
                <w:sz w:val="21"/>
                <w:szCs w:val="21"/>
                <w14:ligatures w14:val="none"/>
              </w:rPr>
              <w:t>序号</w:t>
            </w:r>
          </w:p>
        </w:tc>
        <w:tc>
          <w:tcPr>
            <w:tcW w:w="926" w:type="pct"/>
            <w:vAlign w:val="center"/>
          </w:tcPr>
          <w:p w14:paraId="278A9AE0" w14:textId="77777777" w:rsidR="00EF4562" w:rsidRDefault="00000000">
            <w:pPr>
              <w:snapToGrid/>
              <w:spacing w:line="240" w:lineRule="auto"/>
              <w:ind w:firstLineChars="0" w:firstLine="0"/>
              <w:jc w:val="center"/>
              <w:rPr>
                <w:rFonts w:cs="Times New Roman"/>
                <w:bCs/>
                <w:sz w:val="21"/>
                <w:szCs w:val="21"/>
                <w14:ligatures w14:val="none"/>
              </w:rPr>
            </w:pPr>
            <w:r>
              <w:rPr>
                <w:rFonts w:cs="Times New Roman"/>
                <w:bCs/>
                <w:sz w:val="21"/>
                <w:szCs w:val="21"/>
                <w14:ligatures w14:val="none"/>
              </w:rPr>
              <w:t>物质名称</w:t>
            </w:r>
          </w:p>
        </w:tc>
        <w:tc>
          <w:tcPr>
            <w:tcW w:w="1006" w:type="pct"/>
            <w:vAlign w:val="center"/>
          </w:tcPr>
          <w:p w14:paraId="0B6439C7" w14:textId="77777777" w:rsidR="00EF4562" w:rsidRDefault="00000000">
            <w:pPr>
              <w:snapToGrid/>
              <w:spacing w:line="240" w:lineRule="auto"/>
              <w:ind w:firstLineChars="0" w:firstLine="0"/>
              <w:jc w:val="center"/>
              <w:rPr>
                <w:rFonts w:cs="Times New Roman"/>
                <w:bCs/>
                <w:sz w:val="21"/>
                <w:szCs w:val="21"/>
                <w14:ligatures w14:val="none"/>
              </w:rPr>
            </w:pPr>
            <w:r>
              <w:rPr>
                <w:rFonts w:cs="Times New Roman" w:hint="eastAsia"/>
                <w:bCs/>
                <w:sz w:val="21"/>
                <w:szCs w:val="21"/>
                <w14:ligatures w14:val="none"/>
              </w:rPr>
              <w:t>最大</w:t>
            </w:r>
            <w:r>
              <w:rPr>
                <w:rFonts w:cs="Times New Roman"/>
                <w:bCs/>
                <w:sz w:val="21"/>
                <w:szCs w:val="21"/>
                <w14:ligatures w14:val="none"/>
              </w:rPr>
              <w:t>储存量（</w:t>
            </w:r>
            <w:r>
              <w:rPr>
                <w:rFonts w:cs="Times New Roman"/>
                <w:bCs/>
                <w:sz w:val="21"/>
                <w:szCs w:val="21"/>
                <w14:ligatures w14:val="none"/>
              </w:rPr>
              <w:t>t</w:t>
            </w:r>
            <w:r>
              <w:rPr>
                <w:rFonts w:cs="Times New Roman"/>
                <w:bCs/>
                <w:sz w:val="21"/>
                <w:szCs w:val="21"/>
                <w14:ligatures w14:val="none"/>
              </w:rPr>
              <w:t>）</w:t>
            </w:r>
          </w:p>
        </w:tc>
        <w:tc>
          <w:tcPr>
            <w:tcW w:w="1043" w:type="pct"/>
            <w:vAlign w:val="center"/>
          </w:tcPr>
          <w:p w14:paraId="1F0935D3" w14:textId="77777777" w:rsidR="00EF4562" w:rsidRDefault="00000000">
            <w:pPr>
              <w:snapToGrid/>
              <w:spacing w:line="240" w:lineRule="auto"/>
              <w:ind w:firstLineChars="0" w:firstLine="0"/>
              <w:jc w:val="center"/>
              <w:rPr>
                <w:rFonts w:cs="Times New Roman"/>
                <w:bCs/>
                <w:sz w:val="21"/>
                <w:szCs w:val="21"/>
                <w14:ligatures w14:val="none"/>
              </w:rPr>
            </w:pPr>
            <w:r>
              <w:rPr>
                <w:rFonts w:cs="Times New Roman"/>
                <w:bCs/>
                <w:sz w:val="21"/>
                <w:szCs w:val="21"/>
                <w14:ligatures w14:val="none"/>
              </w:rPr>
              <w:t>燃烧热（</w:t>
            </w:r>
            <w:r>
              <w:rPr>
                <w:rFonts w:cs="Times New Roman" w:hint="eastAsia"/>
                <w:bCs/>
                <w:sz w:val="21"/>
                <w:szCs w:val="21"/>
                <w14:ligatures w14:val="none"/>
              </w:rPr>
              <w:t>kJ/kg</w:t>
            </w:r>
            <w:r>
              <w:rPr>
                <w:rFonts w:cs="Times New Roman"/>
                <w:bCs/>
                <w:sz w:val="21"/>
                <w:szCs w:val="21"/>
                <w14:ligatures w14:val="none"/>
              </w:rPr>
              <w:t>）</w:t>
            </w:r>
          </w:p>
        </w:tc>
        <w:tc>
          <w:tcPr>
            <w:tcW w:w="1485" w:type="pct"/>
            <w:vAlign w:val="center"/>
          </w:tcPr>
          <w:p w14:paraId="3F62B1C6" w14:textId="77777777" w:rsidR="00EF4562" w:rsidRDefault="00000000">
            <w:pPr>
              <w:snapToGrid/>
              <w:spacing w:line="240" w:lineRule="auto"/>
              <w:ind w:firstLineChars="0" w:firstLine="0"/>
              <w:jc w:val="center"/>
              <w:rPr>
                <w:rFonts w:cs="Times New Roman"/>
                <w:bCs/>
                <w:sz w:val="21"/>
                <w:szCs w:val="21"/>
                <w14:ligatures w14:val="none"/>
              </w:rPr>
            </w:pPr>
            <w:r>
              <w:rPr>
                <w:rFonts w:cs="Times New Roman"/>
                <w:bCs/>
                <w:sz w:val="21"/>
                <w:szCs w:val="21"/>
                <w14:ligatures w14:val="none"/>
              </w:rPr>
              <w:t>燃烧后</w:t>
            </w:r>
            <w:r>
              <w:rPr>
                <w:rFonts w:cs="Times New Roman" w:hint="eastAsia"/>
                <w:bCs/>
                <w:sz w:val="21"/>
                <w:szCs w:val="21"/>
                <w14:ligatures w14:val="none"/>
              </w:rPr>
              <w:t>放出</w:t>
            </w:r>
            <w:r>
              <w:rPr>
                <w:rFonts w:cs="Times New Roman"/>
                <w:bCs/>
                <w:sz w:val="21"/>
                <w:szCs w:val="21"/>
                <w14:ligatures w14:val="none"/>
              </w:rPr>
              <w:t>的热量（</w:t>
            </w:r>
            <w:r>
              <w:rPr>
                <w:rFonts w:cs="Times New Roman" w:hint="eastAsia"/>
                <w:bCs/>
                <w:sz w:val="21"/>
                <w:szCs w:val="21"/>
                <w14:ligatures w14:val="none"/>
              </w:rPr>
              <w:t>kJ</w:t>
            </w:r>
            <w:r>
              <w:rPr>
                <w:rFonts w:cs="Times New Roman"/>
                <w:bCs/>
                <w:sz w:val="21"/>
                <w:szCs w:val="21"/>
                <w14:ligatures w14:val="none"/>
              </w:rPr>
              <w:t>）</w:t>
            </w:r>
          </w:p>
        </w:tc>
      </w:tr>
      <w:tr w:rsidR="00EF4562" w14:paraId="414503F1" w14:textId="77777777">
        <w:trPr>
          <w:trHeight w:val="454"/>
          <w:jc w:val="center"/>
        </w:trPr>
        <w:tc>
          <w:tcPr>
            <w:tcW w:w="540" w:type="pct"/>
            <w:vAlign w:val="center"/>
          </w:tcPr>
          <w:p w14:paraId="79F79C10" w14:textId="77777777" w:rsidR="00EF4562" w:rsidRDefault="00EF4562">
            <w:pPr>
              <w:numPr>
                <w:ilvl w:val="0"/>
                <w:numId w:val="3"/>
              </w:numPr>
              <w:tabs>
                <w:tab w:val="left" w:pos="1200"/>
                <w:tab w:val="left" w:pos="1276"/>
              </w:tabs>
              <w:snapToGrid/>
              <w:spacing w:line="240" w:lineRule="auto"/>
              <w:ind w:left="0" w:firstLineChars="0" w:firstLine="0"/>
              <w:jc w:val="center"/>
              <w:rPr>
                <w:rFonts w:ascii="Calibri" w:hAnsi="Calibri" w:cs="Times New Roman"/>
                <w:kern w:val="0"/>
                <w:sz w:val="24"/>
                <w14:ligatures w14:val="none"/>
              </w:rPr>
            </w:pPr>
          </w:p>
        </w:tc>
        <w:tc>
          <w:tcPr>
            <w:tcW w:w="926" w:type="pct"/>
            <w:vAlign w:val="center"/>
          </w:tcPr>
          <w:p w14:paraId="2B2B062E" w14:textId="77777777" w:rsidR="00EF4562" w:rsidRDefault="00000000">
            <w:pPr>
              <w:snapToGrid/>
              <w:spacing w:line="240" w:lineRule="auto"/>
              <w:ind w:firstLineChars="0" w:firstLine="0"/>
              <w:jc w:val="center"/>
              <w:rPr>
                <w:rFonts w:cs="Times New Roman"/>
                <w:sz w:val="21"/>
                <w:szCs w:val="21"/>
                <w14:ligatures w14:val="none"/>
              </w:rPr>
            </w:pPr>
            <w:r>
              <w:rPr>
                <w:rFonts w:cs="Times New Roman"/>
                <w:sz w:val="21"/>
                <w:szCs w:val="21"/>
                <w14:ligatures w14:val="none"/>
              </w:rPr>
              <w:t>车用乙醇汽油</w:t>
            </w:r>
          </w:p>
        </w:tc>
        <w:tc>
          <w:tcPr>
            <w:tcW w:w="1006" w:type="pct"/>
            <w:vAlign w:val="center"/>
          </w:tcPr>
          <w:p w14:paraId="2C98C9A3" w14:textId="77777777" w:rsidR="00EF4562" w:rsidRDefault="00000000">
            <w:pPr>
              <w:snapToGrid/>
              <w:spacing w:line="240" w:lineRule="auto"/>
              <w:ind w:firstLineChars="0" w:firstLine="0"/>
              <w:jc w:val="center"/>
              <w:rPr>
                <w:rFonts w:cs="Times New Roman"/>
                <w:sz w:val="21"/>
                <w:szCs w:val="21"/>
                <w14:ligatures w14:val="none"/>
              </w:rPr>
            </w:pPr>
            <w:r>
              <w:rPr>
                <w:rFonts w:cs="Times New Roman" w:hint="eastAsia"/>
                <w:sz w:val="21"/>
                <w:szCs w:val="21"/>
                <w14:ligatures w14:val="none"/>
              </w:rPr>
              <w:t>56</w:t>
            </w:r>
          </w:p>
        </w:tc>
        <w:tc>
          <w:tcPr>
            <w:tcW w:w="1043" w:type="pct"/>
            <w:vAlign w:val="center"/>
          </w:tcPr>
          <w:p w14:paraId="7C7C2B28" w14:textId="77777777" w:rsidR="00EF4562" w:rsidRDefault="00000000">
            <w:pPr>
              <w:snapToGrid/>
              <w:spacing w:line="240" w:lineRule="auto"/>
              <w:ind w:firstLineChars="0" w:firstLine="0"/>
              <w:jc w:val="center"/>
              <w:rPr>
                <w:rFonts w:cs="Times New Roman"/>
                <w:bCs/>
                <w:sz w:val="21"/>
                <w:szCs w:val="21"/>
                <w14:ligatures w14:val="none"/>
              </w:rPr>
            </w:pPr>
            <w:r>
              <w:rPr>
                <w:rFonts w:cs="Times New Roman" w:hint="eastAsia"/>
                <w:bCs/>
                <w:sz w:val="21"/>
                <w:szCs w:val="21"/>
                <w14:ligatures w14:val="none"/>
              </w:rPr>
              <w:t>45980</w:t>
            </w:r>
          </w:p>
        </w:tc>
        <w:tc>
          <w:tcPr>
            <w:tcW w:w="1485" w:type="pct"/>
            <w:vAlign w:val="center"/>
          </w:tcPr>
          <w:p w14:paraId="42909F88" w14:textId="77777777" w:rsidR="00EF4562" w:rsidRDefault="00000000">
            <w:pPr>
              <w:snapToGrid/>
              <w:spacing w:line="240" w:lineRule="auto"/>
              <w:ind w:firstLineChars="0" w:firstLine="0"/>
              <w:jc w:val="center"/>
              <w:rPr>
                <w:rFonts w:cs="Times New Roman"/>
                <w:sz w:val="21"/>
                <w:szCs w:val="21"/>
                <w14:ligatures w14:val="none"/>
              </w:rPr>
            </w:pPr>
            <w:r>
              <w:rPr>
                <w:rFonts w:cs="Times New Roman" w:hint="eastAsia"/>
                <w:sz w:val="21"/>
                <w:szCs w:val="21"/>
                <w14:ligatures w14:val="none"/>
              </w:rPr>
              <w:t>2.57</w:t>
            </w:r>
            <w:r>
              <w:rPr>
                <w:rFonts w:cs="Times New Roman" w:hint="eastAsia"/>
                <w:sz w:val="21"/>
                <w:szCs w:val="21"/>
                <w14:ligatures w14:val="none"/>
              </w:rPr>
              <w:t>×</w:t>
            </w:r>
            <w:r>
              <w:rPr>
                <w:rFonts w:cs="Times New Roman" w:hint="eastAsia"/>
                <w:sz w:val="21"/>
                <w:szCs w:val="21"/>
                <w14:ligatures w14:val="none"/>
              </w:rPr>
              <w:t>10</w:t>
            </w:r>
            <w:r>
              <w:rPr>
                <w:rFonts w:cs="Times New Roman" w:hint="eastAsia"/>
                <w:sz w:val="21"/>
                <w:szCs w:val="21"/>
                <w:vertAlign w:val="superscript"/>
                <w14:ligatures w14:val="none"/>
              </w:rPr>
              <w:t>9</w:t>
            </w:r>
          </w:p>
        </w:tc>
      </w:tr>
      <w:tr w:rsidR="00EF4562" w14:paraId="6F09F814" w14:textId="77777777">
        <w:trPr>
          <w:trHeight w:val="454"/>
          <w:jc w:val="center"/>
        </w:trPr>
        <w:tc>
          <w:tcPr>
            <w:tcW w:w="540" w:type="pct"/>
            <w:vAlign w:val="center"/>
          </w:tcPr>
          <w:p w14:paraId="0FB4FEBC" w14:textId="77777777" w:rsidR="00EF4562" w:rsidRDefault="00EF4562">
            <w:pPr>
              <w:numPr>
                <w:ilvl w:val="0"/>
                <w:numId w:val="3"/>
              </w:numPr>
              <w:tabs>
                <w:tab w:val="left" w:pos="1200"/>
                <w:tab w:val="left" w:pos="1276"/>
              </w:tabs>
              <w:snapToGrid/>
              <w:spacing w:line="240" w:lineRule="auto"/>
              <w:ind w:left="0" w:firstLineChars="0" w:firstLine="0"/>
              <w:jc w:val="center"/>
              <w:rPr>
                <w:rFonts w:ascii="Calibri" w:hAnsi="Calibri" w:cs="Times New Roman"/>
                <w:kern w:val="0"/>
                <w:sz w:val="24"/>
                <w14:ligatures w14:val="none"/>
              </w:rPr>
            </w:pPr>
          </w:p>
        </w:tc>
        <w:tc>
          <w:tcPr>
            <w:tcW w:w="926" w:type="pct"/>
            <w:vAlign w:val="center"/>
          </w:tcPr>
          <w:p w14:paraId="2D9D1F08" w14:textId="77777777" w:rsidR="00EF4562" w:rsidRDefault="00000000">
            <w:pPr>
              <w:snapToGrid/>
              <w:spacing w:line="240" w:lineRule="auto"/>
              <w:ind w:firstLineChars="0" w:firstLine="0"/>
              <w:jc w:val="center"/>
              <w:rPr>
                <w:rFonts w:cs="Times New Roman"/>
                <w:sz w:val="21"/>
                <w:szCs w:val="21"/>
                <w14:ligatures w14:val="none"/>
              </w:rPr>
            </w:pPr>
            <w:r>
              <w:rPr>
                <w:rFonts w:cs="Times New Roman"/>
                <w:sz w:val="21"/>
                <w:szCs w:val="21"/>
                <w14:ligatures w14:val="none"/>
              </w:rPr>
              <w:t>柴油</w:t>
            </w:r>
          </w:p>
        </w:tc>
        <w:tc>
          <w:tcPr>
            <w:tcW w:w="1006" w:type="pct"/>
            <w:vAlign w:val="center"/>
          </w:tcPr>
          <w:p w14:paraId="7FBC3A3D" w14:textId="77777777" w:rsidR="00EF4562" w:rsidRDefault="00000000">
            <w:pPr>
              <w:snapToGrid/>
              <w:spacing w:line="240" w:lineRule="auto"/>
              <w:ind w:firstLineChars="0" w:firstLine="0"/>
              <w:jc w:val="center"/>
              <w:rPr>
                <w:rFonts w:cs="Times New Roman"/>
                <w:sz w:val="21"/>
                <w:szCs w:val="21"/>
                <w14:ligatures w14:val="none"/>
              </w:rPr>
            </w:pPr>
            <w:r>
              <w:rPr>
                <w:rFonts w:cs="Times New Roman" w:hint="eastAsia"/>
                <w:sz w:val="21"/>
                <w:szCs w:val="21"/>
                <w14:ligatures w14:val="none"/>
              </w:rPr>
              <w:t>136</w:t>
            </w:r>
          </w:p>
        </w:tc>
        <w:tc>
          <w:tcPr>
            <w:tcW w:w="1043" w:type="pct"/>
            <w:vAlign w:val="center"/>
          </w:tcPr>
          <w:p w14:paraId="7313292C" w14:textId="77777777" w:rsidR="00EF4562" w:rsidRDefault="00000000">
            <w:pPr>
              <w:snapToGrid/>
              <w:spacing w:line="240" w:lineRule="auto"/>
              <w:ind w:firstLineChars="0" w:firstLine="0"/>
              <w:jc w:val="center"/>
              <w:rPr>
                <w:rFonts w:cs="Times New Roman"/>
                <w:bCs/>
                <w:sz w:val="21"/>
                <w:szCs w:val="21"/>
                <w14:ligatures w14:val="none"/>
              </w:rPr>
            </w:pPr>
            <w:r>
              <w:rPr>
                <w:rFonts w:cs="Times New Roman" w:hint="eastAsia"/>
                <w:bCs/>
                <w:sz w:val="21"/>
                <w:szCs w:val="21"/>
                <w14:ligatures w14:val="none"/>
              </w:rPr>
              <w:t>40184</w:t>
            </w:r>
          </w:p>
        </w:tc>
        <w:tc>
          <w:tcPr>
            <w:tcW w:w="1485" w:type="pct"/>
            <w:vAlign w:val="center"/>
          </w:tcPr>
          <w:p w14:paraId="411F764B" w14:textId="77777777" w:rsidR="00EF4562" w:rsidRDefault="00000000">
            <w:pPr>
              <w:snapToGrid/>
              <w:spacing w:line="240" w:lineRule="auto"/>
              <w:ind w:firstLineChars="0" w:firstLine="0"/>
              <w:jc w:val="center"/>
              <w:rPr>
                <w:rFonts w:cs="Times New Roman"/>
                <w:sz w:val="21"/>
                <w:szCs w:val="21"/>
                <w14:ligatures w14:val="none"/>
              </w:rPr>
            </w:pPr>
            <w:r>
              <w:rPr>
                <w:rFonts w:cs="Times New Roman" w:hint="eastAsia"/>
                <w:sz w:val="21"/>
                <w:szCs w:val="21"/>
                <w14:ligatures w14:val="none"/>
              </w:rPr>
              <w:t>5.47</w:t>
            </w:r>
            <w:r>
              <w:rPr>
                <w:rFonts w:cs="Times New Roman" w:hint="eastAsia"/>
                <w:sz w:val="21"/>
                <w:szCs w:val="21"/>
                <w14:ligatures w14:val="none"/>
              </w:rPr>
              <w:t>×</w:t>
            </w:r>
            <w:r>
              <w:rPr>
                <w:rFonts w:cs="Times New Roman" w:hint="eastAsia"/>
                <w:sz w:val="21"/>
                <w:szCs w:val="21"/>
                <w14:ligatures w14:val="none"/>
              </w:rPr>
              <w:t>10</w:t>
            </w:r>
            <w:r>
              <w:rPr>
                <w:rFonts w:cs="Times New Roman" w:hint="eastAsia"/>
                <w:sz w:val="21"/>
                <w:szCs w:val="21"/>
                <w:vertAlign w:val="superscript"/>
                <w14:ligatures w14:val="none"/>
              </w:rPr>
              <w:t>9</w:t>
            </w:r>
          </w:p>
        </w:tc>
      </w:tr>
    </w:tbl>
    <w:p w14:paraId="6C7F197D" w14:textId="77777777" w:rsidR="00EF4562" w:rsidRDefault="00000000">
      <w:pPr>
        <w:ind w:firstLine="560"/>
      </w:pPr>
      <w:r>
        <w:rPr>
          <w:rFonts w:cs="Times New Roman"/>
        </w:rPr>
        <w:t>3</w:t>
      </w:r>
      <w:r>
        <w:rPr>
          <w:rFonts w:cs="Times New Roman"/>
        </w:rPr>
        <w:t>）</w:t>
      </w:r>
      <w:r>
        <w:rPr>
          <w:rFonts w:hint="eastAsia"/>
        </w:rPr>
        <w:t>具有毒性的化学品的浓度及质量</w:t>
      </w:r>
    </w:p>
    <w:p w14:paraId="6301C4EC" w14:textId="77777777" w:rsidR="00EF4562" w:rsidRDefault="00000000">
      <w:pPr>
        <w:ind w:firstLine="560"/>
      </w:pPr>
      <w:r>
        <w:rPr>
          <w:rFonts w:hint="eastAsia"/>
        </w:rPr>
        <w:t>该项目不涉及高毒及剧毒化学品，车用乙醇汽油职业接触限值：</w:t>
      </w:r>
      <w:r>
        <w:rPr>
          <w:rFonts w:hint="eastAsia"/>
        </w:rPr>
        <w:t>PC-TWA</w:t>
      </w:r>
      <w:r>
        <w:rPr>
          <w:rFonts w:hint="eastAsia"/>
        </w:rPr>
        <w:t>：</w:t>
      </w:r>
      <w:r>
        <w:rPr>
          <w:rFonts w:hint="eastAsia"/>
        </w:rPr>
        <w:t>300mg/m</w:t>
      </w:r>
      <w:r>
        <w:rPr>
          <w:rFonts w:hint="eastAsia"/>
        </w:rPr>
        <w:t>³。</w:t>
      </w:r>
    </w:p>
    <w:p w14:paraId="55EC7CF5" w14:textId="77777777" w:rsidR="00EF4562" w:rsidRDefault="00000000">
      <w:pPr>
        <w:ind w:firstLine="560"/>
      </w:pPr>
      <w:r>
        <w:rPr>
          <w:rFonts w:cs="Times New Roman"/>
        </w:rPr>
        <w:t>4</w:t>
      </w:r>
      <w:r>
        <w:rPr>
          <w:rFonts w:cs="Times New Roman"/>
        </w:rPr>
        <w:t>）</w:t>
      </w:r>
      <w:r>
        <w:rPr>
          <w:rFonts w:hint="eastAsia"/>
        </w:rPr>
        <w:t>具有腐蚀性的化学品的浓度及质量</w:t>
      </w:r>
    </w:p>
    <w:p w14:paraId="6C829A11" w14:textId="77777777" w:rsidR="00EF4562" w:rsidRDefault="00000000">
      <w:pPr>
        <w:ind w:firstLine="560"/>
      </w:pPr>
      <w:r>
        <w:rPr>
          <w:rFonts w:hint="eastAsia"/>
        </w:rPr>
        <w:t>该项目不涉及腐蚀性化学品。</w:t>
      </w:r>
    </w:p>
    <w:p w14:paraId="695D80EC"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5.2.4</w:t>
      </w:r>
      <w:r>
        <w:rPr>
          <w:rFonts w:ascii="黑体" w:eastAsia="黑体" w:hAnsi="黑体" w:hint="eastAsia"/>
          <w:b/>
          <w:bCs/>
        </w:rPr>
        <w:t>风险程度的分析</w:t>
      </w:r>
    </w:p>
    <w:p w14:paraId="4327DC97" w14:textId="77777777" w:rsidR="00EF4562" w:rsidRDefault="00000000">
      <w:pPr>
        <w:ind w:firstLine="560"/>
      </w:pPr>
      <w:r>
        <w:rPr>
          <w:rFonts w:hint="eastAsia"/>
        </w:rPr>
        <w:t>根据选定的安全评价方法对该项目进行相关的分析评价。具体评价结果，见表</w:t>
      </w:r>
      <w:r>
        <w:rPr>
          <w:rFonts w:hint="eastAsia"/>
        </w:rPr>
        <w:t>5.2-3</w:t>
      </w:r>
      <w:r>
        <w:rPr>
          <w:rFonts w:hint="eastAsia"/>
        </w:rPr>
        <w:t>。评价过程，见报告附录</w:t>
      </w:r>
      <w:r>
        <w:rPr>
          <w:rFonts w:hint="eastAsia"/>
        </w:rPr>
        <w:t>D</w:t>
      </w:r>
      <w:r>
        <w:rPr>
          <w:rFonts w:hint="eastAsia"/>
        </w:rPr>
        <w:t>。</w:t>
      </w:r>
    </w:p>
    <w:p w14:paraId="6B46542F"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5.2-3</w:t>
      </w:r>
      <w:r>
        <w:rPr>
          <w:rFonts w:ascii="黑体" w:eastAsia="黑体" w:hAnsi="黑体" w:hint="eastAsia"/>
          <w:sz w:val="24"/>
        </w:rPr>
        <w:t xml:space="preserve">  风险评价结果汇总表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6"/>
        <w:gridCol w:w="2459"/>
        <w:gridCol w:w="5919"/>
      </w:tblGrid>
      <w:tr w:rsidR="00EF4562" w14:paraId="707661C4" w14:textId="77777777">
        <w:trPr>
          <w:trHeight w:val="454"/>
        </w:trPr>
        <w:tc>
          <w:tcPr>
            <w:tcW w:w="434" w:type="pct"/>
            <w:vAlign w:val="center"/>
          </w:tcPr>
          <w:p w14:paraId="04188C49" w14:textId="77777777" w:rsidR="00EF4562" w:rsidRDefault="00000000">
            <w:pPr>
              <w:autoSpaceDE w:val="0"/>
              <w:autoSpaceDN w:val="0"/>
              <w:spacing w:line="240" w:lineRule="auto"/>
              <w:ind w:firstLineChars="0" w:firstLine="0"/>
              <w:jc w:val="center"/>
              <w:rPr>
                <w:rFonts w:cs="Times New Roman"/>
                <w:bCs/>
                <w:sz w:val="21"/>
                <w:szCs w:val="21"/>
                <w14:ligatures w14:val="none"/>
              </w:rPr>
            </w:pPr>
            <w:r>
              <w:rPr>
                <w:rFonts w:cs="Times New Roman" w:hint="eastAsia"/>
                <w:bCs/>
                <w:sz w:val="21"/>
                <w:szCs w:val="21"/>
                <w14:ligatures w14:val="none"/>
              </w:rPr>
              <w:t>序号</w:t>
            </w:r>
          </w:p>
        </w:tc>
        <w:tc>
          <w:tcPr>
            <w:tcW w:w="1340" w:type="pct"/>
            <w:vAlign w:val="center"/>
          </w:tcPr>
          <w:p w14:paraId="3CCA6DB7" w14:textId="77777777" w:rsidR="00EF4562" w:rsidRDefault="00000000">
            <w:pPr>
              <w:autoSpaceDE w:val="0"/>
              <w:autoSpaceDN w:val="0"/>
              <w:spacing w:line="240" w:lineRule="auto"/>
              <w:ind w:firstLineChars="0" w:firstLine="211"/>
              <w:jc w:val="center"/>
              <w:rPr>
                <w:rFonts w:cs="Times New Roman"/>
                <w:bCs/>
                <w:sz w:val="21"/>
                <w:szCs w:val="21"/>
                <w14:ligatures w14:val="none"/>
              </w:rPr>
            </w:pPr>
            <w:r>
              <w:rPr>
                <w:rFonts w:cs="Times New Roman" w:hint="eastAsia"/>
                <w:bCs/>
                <w:sz w:val="21"/>
                <w:szCs w:val="21"/>
                <w14:ligatures w14:val="none"/>
              </w:rPr>
              <w:t>评价方法</w:t>
            </w:r>
          </w:p>
        </w:tc>
        <w:tc>
          <w:tcPr>
            <w:tcW w:w="3226" w:type="pct"/>
            <w:vAlign w:val="center"/>
          </w:tcPr>
          <w:p w14:paraId="3CDFCADD" w14:textId="77777777" w:rsidR="00EF4562" w:rsidRDefault="00000000">
            <w:pPr>
              <w:autoSpaceDE w:val="0"/>
              <w:autoSpaceDN w:val="0"/>
              <w:spacing w:line="240" w:lineRule="auto"/>
              <w:ind w:firstLineChars="0" w:firstLine="211"/>
              <w:jc w:val="center"/>
              <w:rPr>
                <w:rFonts w:cs="Times New Roman"/>
                <w:bCs/>
                <w:sz w:val="21"/>
                <w:szCs w:val="21"/>
                <w14:ligatures w14:val="none"/>
              </w:rPr>
            </w:pPr>
            <w:r>
              <w:rPr>
                <w:rFonts w:cs="Times New Roman" w:hint="eastAsia"/>
                <w:bCs/>
                <w:sz w:val="21"/>
                <w:szCs w:val="21"/>
                <w14:ligatures w14:val="none"/>
              </w:rPr>
              <w:t>评价结果</w:t>
            </w:r>
          </w:p>
        </w:tc>
      </w:tr>
      <w:tr w:rsidR="00EF4562" w14:paraId="074C9277" w14:textId="77777777">
        <w:trPr>
          <w:trHeight w:val="454"/>
        </w:trPr>
        <w:tc>
          <w:tcPr>
            <w:tcW w:w="434" w:type="pct"/>
            <w:vAlign w:val="center"/>
          </w:tcPr>
          <w:p w14:paraId="0891821C" w14:textId="77777777" w:rsidR="00EF4562" w:rsidRDefault="00000000">
            <w:pPr>
              <w:autoSpaceDE w:val="0"/>
              <w:autoSpaceDN w:val="0"/>
              <w:spacing w:line="240" w:lineRule="auto"/>
              <w:ind w:firstLineChars="0" w:firstLine="0"/>
              <w:jc w:val="center"/>
              <w:rPr>
                <w:rFonts w:cs="Times New Roman"/>
                <w:sz w:val="21"/>
                <w:szCs w:val="21"/>
                <w14:ligatures w14:val="none"/>
              </w:rPr>
            </w:pPr>
            <w:r>
              <w:rPr>
                <w:rFonts w:cs="Times New Roman" w:hint="eastAsia"/>
                <w:sz w:val="21"/>
                <w:szCs w:val="21"/>
                <w14:ligatures w14:val="none"/>
              </w:rPr>
              <w:t>1</w:t>
            </w:r>
          </w:p>
        </w:tc>
        <w:tc>
          <w:tcPr>
            <w:tcW w:w="1340" w:type="pct"/>
            <w:vAlign w:val="center"/>
          </w:tcPr>
          <w:p w14:paraId="513920D9" w14:textId="77777777" w:rsidR="00EF4562" w:rsidRDefault="00000000">
            <w:pPr>
              <w:spacing w:line="240" w:lineRule="auto"/>
              <w:ind w:firstLineChars="0"/>
              <w:jc w:val="center"/>
              <w:rPr>
                <w:rFonts w:cs="Times New Roman"/>
                <w:kern w:val="0"/>
                <w:sz w:val="21"/>
                <w:szCs w:val="20"/>
                <w14:ligatures w14:val="none"/>
              </w:rPr>
            </w:pPr>
            <w:r>
              <w:rPr>
                <w:rFonts w:cs="Times New Roman" w:hint="eastAsia"/>
                <w:kern w:val="0"/>
                <w:sz w:val="21"/>
                <w:szCs w:val="20"/>
                <w14:ligatures w14:val="none"/>
              </w:rPr>
              <w:t>安全检查表法</w:t>
            </w:r>
          </w:p>
        </w:tc>
        <w:tc>
          <w:tcPr>
            <w:tcW w:w="3226" w:type="pct"/>
            <w:vAlign w:val="center"/>
          </w:tcPr>
          <w:p w14:paraId="17ADF2E9" w14:textId="77777777" w:rsidR="00EF4562" w:rsidRDefault="00000000">
            <w:pPr>
              <w:autoSpaceDE w:val="0"/>
              <w:autoSpaceDN w:val="0"/>
              <w:spacing w:line="240" w:lineRule="auto"/>
              <w:ind w:firstLineChars="0" w:firstLine="0"/>
              <w:rPr>
                <w:rFonts w:cs="Times New Roman"/>
                <w:sz w:val="21"/>
                <w:szCs w:val="21"/>
                <w14:ligatures w14:val="none"/>
              </w:rPr>
            </w:pPr>
            <w:r>
              <w:rPr>
                <w:rFonts w:cs="Times New Roman" w:hint="eastAsia"/>
                <w:sz w:val="21"/>
                <w:szCs w:val="21"/>
                <w14:ligatures w14:val="none"/>
              </w:rPr>
              <w:t>总平面布置符合要求。安全管理符合要求。</w:t>
            </w:r>
          </w:p>
        </w:tc>
      </w:tr>
      <w:tr w:rsidR="00EF4562" w14:paraId="3E5ECECB" w14:textId="77777777">
        <w:trPr>
          <w:trHeight w:val="454"/>
        </w:trPr>
        <w:tc>
          <w:tcPr>
            <w:tcW w:w="434" w:type="pct"/>
            <w:vAlign w:val="center"/>
          </w:tcPr>
          <w:p w14:paraId="1F9B8D17" w14:textId="77777777" w:rsidR="00EF4562" w:rsidRDefault="00000000">
            <w:pPr>
              <w:autoSpaceDE w:val="0"/>
              <w:autoSpaceDN w:val="0"/>
              <w:spacing w:line="240" w:lineRule="auto"/>
              <w:ind w:firstLineChars="0" w:firstLine="0"/>
              <w:jc w:val="center"/>
              <w:rPr>
                <w:rFonts w:cs="Times New Roman"/>
                <w:sz w:val="21"/>
                <w:szCs w:val="21"/>
                <w14:ligatures w14:val="none"/>
              </w:rPr>
            </w:pPr>
            <w:r>
              <w:rPr>
                <w:rFonts w:cs="Times New Roman" w:hint="eastAsia"/>
                <w:sz w:val="21"/>
                <w:szCs w:val="21"/>
                <w14:ligatures w14:val="none"/>
              </w:rPr>
              <w:t>2</w:t>
            </w:r>
          </w:p>
        </w:tc>
        <w:tc>
          <w:tcPr>
            <w:tcW w:w="1340" w:type="pct"/>
            <w:vAlign w:val="center"/>
          </w:tcPr>
          <w:p w14:paraId="2D806520" w14:textId="77777777" w:rsidR="00EF4562" w:rsidRDefault="00000000">
            <w:pPr>
              <w:spacing w:line="240" w:lineRule="auto"/>
              <w:ind w:firstLineChars="0"/>
              <w:jc w:val="center"/>
              <w:rPr>
                <w:rFonts w:cs="Times New Roman"/>
                <w:kern w:val="0"/>
                <w:sz w:val="21"/>
                <w:szCs w:val="20"/>
                <w14:ligatures w14:val="none"/>
              </w:rPr>
            </w:pPr>
            <w:r>
              <w:rPr>
                <w:rFonts w:cs="Times New Roman" w:hint="eastAsia"/>
                <w:kern w:val="0"/>
                <w:sz w:val="21"/>
                <w:szCs w:val="20"/>
                <w14:ligatures w14:val="none"/>
              </w:rPr>
              <w:t>预先危险性分析</w:t>
            </w:r>
          </w:p>
        </w:tc>
        <w:tc>
          <w:tcPr>
            <w:tcW w:w="3226" w:type="pct"/>
            <w:vAlign w:val="center"/>
          </w:tcPr>
          <w:p w14:paraId="31B45830"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加油工艺设备、设施及管道单元进行分析，发生火灾、爆炸的危险等级为Ⅲ级，属于“危险的，会造成人员伤亡和系统损坏，要立即采取措施”，发生中毒和窒息、触电、物体打击、车辆伤害、机械伤害、噪声、违章作业的危险等级为Ⅱ级，属于“临界的，处于事故边缘状态，暂时尚不能造成人员伤亡和财产损失，应予排除或采取控制措施”。</w:t>
            </w:r>
          </w:p>
          <w:p w14:paraId="6EA801ED"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配套和辅助设施单元发生火灾事故的危险等级为Ⅲ级，属于“危险的，会造成人员伤亡和系统损坏，要立即采取措施”，发生触电的危险等级为Ⅱ级，属于“临界的，处于事故边缘状态，暂时尚不能造成人员伤亡和财产损失，应予排除或采取控制措施”。</w:t>
            </w:r>
          </w:p>
        </w:tc>
      </w:tr>
      <w:tr w:rsidR="00EF4562" w14:paraId="5B606D6B" w14:textId="77777777">
        <w:trPr>
          <w:trHeight w:val="454"/>
        </w:trPr>
        <w:tc>
          <w:tcPr>
            <w:tcW w:w="434" w:type="pct"/>
            <w:vAlign w:val="center"/>
          </w:tcPr>
          <w:p w14:paraId="56301896" w14:textId="77777777" w:rsidR="00EF4562" w:rsidRDefault="00000000">
            <w:pPr>
              <w:autoSpaceDE w:val="0"/>
              <w:autoSpaceDN w:val="0"/>
              <w:spacing w:line="240" w:lineRule="auto"/>
              <w:ind w:firstLineChars="0" w:firstLine="0"/>
              <w:jc w:val="center"/>
              <w:rPr>
                <w:rFonts w:cs="Times New Roman"/>
                <w:sz w:val="21"/>
                <w:szCs w:val="21"/>
                <w14:ligatures w14:val="none"/>
              </w:rPr>
            </w:pPr>
            <w:r>
              <w:rPr>
                <w:rFonts w:cs="Times New Roman" w:hint="eastAsia"/>
                <w:sz w:val="21"/>
                <w:szCs w:val="21"/>
                <w14:ligatures w14:val="none"/>
              </w:rPr>
              <w:t>3</w:t>
            </w:r>
          </w:p>
        </w:tc>
        <w:tc>
          <w:tcPr>
            <w:tcW w:w="1340" w:type="pct"/>
            <w:vAlign w:val="center"/>
          </w:tcPr>
          <w:p w14:paraId="0E2C2057" w14:textId="77777777" w:rsidR="00EF4562" w:rsidRDefault="00000000">
            <w:pPr>
              <w:spacing w:line="240" w:lineRule="auto"/>
              <w:ind w:firstLineChars="0"/>
              <w:jc w:val="center"/>
              <w:rPr>
                <w:rFonts w:cs="Times New Roman"/>
                <w:kern w:val="0"/>
                <w:sz w:val="21"/>
                <w:szCs w:val="20"/>
                <w14:ligatures w14:val="none"/>
              </w:rPr>
            </w:pPr>
            <w:r>
              <w:rPr>
                <w:rFonts w:cs="Times New Roman" w:hint="eastAsia"/>
                <w:kern w:val="0"/>
                <w:sz w:val="21"/>
                <w:szCs w:val="20"/>
                <w14:ligatures w14:val="none"/>
              </w:rPr>
              <w:t>蒸气云爆炸伤害模型</w:t>
            </w:r>
          </w:p>
        </w:tc>
        <w:tc>
          <w:tcPr>
            <w:tcW w:w="3226" w:type="pct"/>
            <w:vAlign w:val="center"/>
          </w:tcPr>
          <w:p w14:paraId="4DE16805"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采用车用乙醇汽油泄漏蒸气云爆炸计算结果：车用乙醇汽油罐发生泄漏引发蒸气云爆炸，死亡半径为</w:t>
            </w:r>
            <w:r>
              <w:rPr>
                <w:rFonts w:cs="Times New Roman" w:hint="eastAsia"/>
                <w:sz w:val="21"/>
                <w:szCs w:val="21"/>
                <w14:ligatures w14:val="none"/>
              </w:rPr>
              <w:t>17.74m</w:t>
            </w:r>
            <w:r>
              <w:rPr>
                <w:rFonts w:cs="Times New Roman" w:hint="eastAsia"/>
                <w:sz w:val="21"/>
                <w:szCs w:val="21"/>
                <w14:ligatures w14:val="none"/>
              </w:rPr>
              <w:t>。该项目涉及的加油设备、设施不在车用乙醇汽油罐发生泄漏引发的蒸气云爆炸死亡半径之内。</w:t>
            </w:r>
          </w:p>
        </w:tc>
      </w:tr>
    </w:tbl>
    <w:p w14:paraId="1D528767" w14:textId="77777777" w:rsidR="00EF4562" w:rsidRDefault="00000000">
      <w:pPr>
        <w:keepNext/>
        <w:keepLines/>
        <w:spacing w:beforeLines="50" w:before="190" w:afterLines="50" w:after="190"/>
        <w:ind w:firstLine="562"/>
        <w:outlineLvl w:val="2"/>
        <w:rPr>
          <w:rFonts w:ascii="黑体" w:eastAsia="黑体" w:hAnsi="黑体" w:hint="eastAsia"/>
          <w:b/>
          <w:bCs/>
        </w:rPr>
      </w:pPr>
      <w:r>
        <w:rPr>
          <w:rFonts w:eastAsia="黑体" w:cs="Times New Roman"/>
          <w:b/>
          <w:bCs/>
        </w:rPr>
        <w:lastRenderedPageBreak/>
        <w:t>5.2.5</w:t>
      </w:r>
      <w:r>
        <w:rPr>
          <w:rFonts w:ascii="黑体" w:eastAsia="黑体" w:hAnsi="黑体" w:hint="eastAsia"/>
          <w:b/>
          <w:bCs/>
        </w:rPr>
        <w:t>与建设项目同样或同类生产技术、工艺、设施在生产或者储存危险化学品过程中发生的事故案例的后果和原因。</w:t>
      </w:r>
    </w:p>
    <w:p w14:paraId="0221329E" w14:textId="77777777" w:rsidR="00EF4562" w:rsidRDefault="00000000">
      <w:pPr>
        <w:ind w:firstLine="560"/>
      </w:pPr>
      <w:r>
        <w:rPr>
          <w:rFonts w:hint="eastAsia"/>
        </w:rPr>
        <w:t>事故案例分析：通过调查，尽可能收集相关事故资料，找出事故发生的潜在隐患，吸取事故经验教训，避免同类事故发生，为该项目的安全生产与科学管理提供参考与借鉴。以下叙述</w:t>
      </w:r>
      <w:r>
        <w:rPr>
          <w:rFonts w:hint="eastAsia"/>
        </w:rPr>
        <w:t>1</w:t>
      </w:r>
      <w:r>
        <w:rPr>
          <w:rFonts w:hint="eastAsia"/>
        </w:rPr>
        <w:t>起事故，希望对企业安全生产和管理能起到借鉴作用。</w:t>
      </w:r>
    </w:p>
    <w:p w14:paraId="4E9F93B7" w14:textId="77777777" w:rsidR="00EF4562" w:rsidRDefault="00000000">
      <w:pPr>
        <w:ind w:firstLine="560"/>
      </w:pPr>
      <w:r>
        <w:rPr>
          <w:rFonts w:hint="eastAsia"/>
        </w:rPr>
        <w:t>案例一：临海市顺风加油站爆燃事故</w:t>
      </w:r>
    </w:p>
    <w:p w14:paraId="5AF2B5CA" w14:textId="77777777" w:rsidR="00EF4562" w:rsidRDefault="00000000">
      <w:pPr>
        <w:ind w:firstLine="560"/>
      </w:pPr>
      <w:r>
        <w:rPr>
          <w:rFonts w:hint="eastAsia"/>
        </w:rPr>
        <w:t>（</w:t>
      </w:r>
      <w:r>
        <w:rPr>
          <w:rFonts w:hint="eastAsia"/>
        </w:rPr>
        <w:t>1</w:t>
      </w:r>
      <w:r>
        <w:rPr>
          <w:rFonts w:hint="eastAsia"/>
        </w:rPr>
        <w:t>）加油站基本状况</w:t>
      </w:r>
    </w:p>
    <w:p w14:paraId="2C34DCDA" w14:textId="77777777" w:rsidR="00EF4562" w:rsidRDefault="00000000">
      <w:pPr>
        <w:ind w:firstLine="560"/>
      </w:pPr>
      <w:r>
        <w:rPr>
          <w:rFonts w:hint="eastAsia"/>
        </w:rPr>
        <w:t>临海市顺风加油站，位于临海市桃渚镇项庄村西边马路旁，法人代表：项某。加油站储备、经营</w:t>
      </w:r>
      <w:r>
        <w:rPr>
          <w:rFonts w:hint="eastAsia"/>
        </w:rPr>
        <w:t>93</w:t>
      </w:r>
      <w:r>
        <w:rPr>
          <w:rFonts w:hint="eastAsia"/>
        </w:rPr>
        <w:t>号车用乙醇汽油和</w:t>
      </w:r>
      <w:r>
        <w:rPr>
          <w:rFonts w:hint="eastAsia"/>
        </w:rPr>
        <w:t>0</w:t>
      </w:r>
      <w:r>
        <w:rPr>
          <w:rFonts w:hint="eastAsia"/>
        </w:rPr>
        <w:t>号柴油两种成品油。站内有两个地下储油罐，每个储油罐约</w:t>
      </w:r>
      <w:r>
        <w:rPr>
          <w:rFonts w:hint="eastAsia"/>
        </w:rPr>
        <w:t>24</w:t>
      </w:r>
      <w:r>
        <w:rPr>
          <w:rFonts w:hint="eastAsia"/>
        </w:rPr>
        <w:t>吨。</w:t>
      </w:r>
    </w:p>
    <w:p w14:paraId="03096234" w14:textId="77777777" w:rsidR="00EF4562" w:rsidRDefault="00000000">
      <w:pPr>
        <w:ind w:firstLine="560"/>
      </w:pPr>
      <w:r>
        <w:rPr>
          <w:rFonts w:hint="eastAsia"/>
        </w:rPr>
        <w:t>（</w:t>
      </w:r>
      <w:r>
        <w:rPr>
          <w:rFonts w:hint="eastAsia"/>
        </w:rPr>
        <w:t>2</w:t>
      </w:r>
      <w:r>
        <w:rPr>
          <w:rFonts w:hint="eastAsia"/>
        </w:rPr>
        <w:t>）事故经过</w:t>
      </w:r>
    </w:p>
    <w:p w14:paraId="1A09118D" w14:textId="77777777" w:rsidR="00EF4562" w:rsidRDefault="00000000">
      <w:pPr>
        <w:ind w:firstLine="560"/>
      </w:pPr>
      <w:r>
        <w:rPr>
          <w:rFonts w:hint="eastAsia"/>
        </w:rPr>
        <w:t>2022</w:t>
      </w:r>
      <w:r>
        <w:rPr>
          <w:rFonts w:hint="eastAsia"/>
        </w:rPr>
        <w:t>年</w:t>
      </w:r>
      <w:r>
        <w:rPr>
          <w:rFonts w:hint="eastAsia"/>
        </w:rPr>
        <w:t>6</w:t>
      </w:r>
      <w:r>
        <w:rPr>
          <w:rFonts w:hint="eastAsia"/>
        </w:rPr>
        <w:t>月</w:t>
      </w:r>
      <w:r>
        <w:rPr>
          <w:rFonts w:hint="eastAsia"/>
        </w:rPr>
        <w:t>1</w:t>
      </w:r>
      <w:r>
        <w:rPr>
          <w:rFonts w:hint="eastAsia"/>
        </w:rPr>
        <w:t>日中午，满载车用乙醇汽油（</w:t>
      </w:r>
      <w:r>
        <w:rPr>
          <w:rFonts w:hint="eastAsia"/>
        </w:rPr>
        <w:t>29.48t</w:t>
      </w:r>
      <w:r>
        <w:rPr>
          <w:rFonts w:hint="eastAsia"/>
        </w:rPr>
        <w:t>）的浙</w:t>
      </w:r>
      <w:r>
        <w:rPr>
          <w:rFonts w:hint="eastAsia"/>
        </w:rPr>
        <w:t>BR257</w:t>
      </w:r>
      <w:r>
        <w:rPr>
          <w:rFonts w:hint="eastAsia"/>
        </w:rPr>
        <w:t>大油罐车到达临海市顺风加油站，并在</w:t>
      </w:r>
      <w:r>
        <w:rPr>
          <w:rFonts w:hint="eastAsia"/>
        </w:rPr>
        <w:t>11</w:t>
      </w:r>
      <w:r>
        <w:rPr>
          <w:rFonts w:hint="eastAsia"/>
        </w:rPr>
        <w:t>点</w:t>
      </w:r>
      <w:r>
        <w:rPr>
          <w:rFonts w:hint="eastAsia"/>
        </w:rPr>
        <w:t>50</w:t>
      </w:r>
      <w:r>
        <w:rPr>
          <w:rFonts w:hint="eastAsia"/>
        </w:rPr>
        <w:t>分左右起先向加油站地下储油罐卸油，当时加油站卸油作业现场人员有林某（浙</w:t>
      </w:r>
      <w:r>
        <w:rPr>
          <w:rFonts w:hint="eastAsia"/>
        </w:rPr>
        <w:t>BR257</w:t>
      </w:r>
      <w:r>
        <w:rPr>
          <w:rFonts w:hint="eastAsia"/>
        </w:rPr>
        <w:t>大油罐车驾驶员，事故发生时在副驾驶室）、潘某（浙</w:t>
      </w:r>
      <w:r>
        <w:rPr>
          <w:rFonts w:hint="eastAsia"/>
        </w:rPr>
        <w:t>BR257</w:t>
      </w:r>
      <w:r>
        <w:rPr>
          <w:rFonts w:hint="eastAsia"/>
        </w:rPr>
        <w:t>大油罐车押送员）、朱某（加油站工作人员，小油罐车浙</w:t>
      </w:r>
      <w:r>
        <w:rPr>
          <w:rFonts w:hint="eastAsia"/>
        </w:rPr>
        <w:t>J76829</w:t>
      </w:r>
      <w:r>
        <w:rPr>
          <w:rFonts w:hint="eastAsia"/>
        </w:rPr>
        <w:t>驾驶员）等</w:t>
      </w:r>
      <w:r>
        <w:rPr>
          <w:rFonts w:hint="eastAsia"/>
        </w:rPr>
        <w:t>3</w:t>
      </w:r>
      <w:r>
        <w:rPr>
          <w:rFonts w:hint="eastAsia"/>
        </w:rPr>
        <w:t>人。</w:t>
      </w:r>
    </w:p>
    <w:p w14:paraId="68F30B97" w14:textId="77777777" w:rsidR="00EF4562" w:rsidRDefault="00000000">
      <w:pPr>
        <w:ind w:firstLine="560"/>
      </w:pPr>
      <w:r>
        <w:rPr>
          <w:rFonts w:hint="eastAsia"/>
        </w:rPr>
        <w:t>在车用乙醇汽油槽罐车卸油的同时，加油站工作人员朱某考虑到地下储油罐装不下这么多油，就开来一辆小油罐车，停到大油罐车旁，从大油罐吸油，来分装一部分车用乙醇汽油。现场由潘某跟朱某两人负责卸油和抽油作业，潘某站在大油罐车车顶负责看护，朱某操作浙</w:t>
      </w:r>
      <w:r>
        <w:rPr>
          <w:rFonts w:hint="eastAsia"/>
        </w:rPr>
        <w:t>J76829</w:t>
      </w:r>
      <w:r>
        <w:rPr>
          <w:rFonts w:hint="eastAsia"/>
        </w:rPr>
        <w:t>小型油罐车从大油罐车吸油。因为抽油时，须要开启抽油泵，抽油泵利用小油罐车的发动机作为动力，因此整个抽油作业过程中小油罐车的发动机并未熄火。</w:t>
      </w:r>
      <w:r>
        <w:rPr>
          <w:rFonts w:hint="eastAsia"/>
        </w:rPr>
        <w:t>12</w:t>
      </w:r>
      <w:r>
        <w:rPr>
          <w:rFonts w:hint="eastAsia"/>
        </w:rPr>
        <w:t>点</w:t>
      </w:r>
      <w:r>
        <w:rPr>
          <w:rFonts w:hint="eastAsia"/>
        </w:rPr>
        <w:t>30</w:t>
      </w:r>
      <w:r>
        <w:rPr>
          <w:rFonts w:hint="eastAsia"/>
        </w:rPr>
        <w:t>分左右，当朱某从小油罐车车顶下来，去开车门的时候，突然发生爆燃，瞬间火焰高窜，朱某被火焰烧伤。火焰甚至喷到距地面有</w:t>
      </w:r>
      <w:r>
        <w:rPr>
          <w:rFonts w:hint="eastAsia"/>
        </w:rPr>
        <w:t>5</w:t>
      </w:r>
      <w:r>
        <w:rPr>
          <w:rFonts w:hint="eastAsia"/>
        </w:rPr>
        <w:t>米高的潘某，将其</w:t>
      </w:r>
      <w:r>
        <w:rPr>
          <w:rFonts w:hint="eastAsia"/>
        </w:rPr>
        <w:lastRenderedPageBreak/>
        <w:t>右脸颊和手灼伤。</w:t>
      </w:r>
    </w:p>
    <w:p w14:paraId="4F1087A1" w14:textId="77777777" w:rsidR="00EF4562" w:rsidRDefault="00000000">
      <w:pPr>
        <w:ind w:firstLine="560"/>
      </w:pPr>
      <w:r>
        <w:rPr>
          <w:rFonts w:hint="eastAsia"/>
        </w:rPr>
        <w:t>12</w:t>
      </w:r>
      <w:r>
        <w:rPr>
          <w:rFonts w:hint="eastAsia"/>
        </w:rPr>
        <w:t>时</w:t>
      </w:r>
      <w:r>
        <w:rPr>
          <w:rFonts w:hint="eastAsia"/>
        </w:rPr>
        <w:t>40</w:t>
      </w:r>
      <w:r>
        <w:rPr>
          <w:rFonts w:hint="eastAsia"/>
        </w:rPr>
        <w:t>分，临海市消防大队接到临海市公安局指挥中心指令，马上出动</w:t>
      </w:r>
      <w:r>
        <w:rPr>
          <w:rFonts w:hint="eastAsia"/>
        </w:rPr>
        <w:t>7</w:t>
      </w:r>
      <w:r>
        <w:rPr>
          <w:rFonts w:hint="eastAsia"/>
        </w:rPr>
        <w:t>辆消防车和</w:t>
      </w:r>
      <w:r>
        <w:rPr>
          <w:rFonts w:hint="eastAsia"/>
        </w:rPr>
        <w:t>42</w:t>
      </w:r>
      <w:r>
        <w:rPr>
          <w:rFonts w:hint="eastAsia"/>
        </w:rPr>
        <w:t>名消防官兵赶往火灾现场。经过消防官兵奋力扑救，大火于</w:t>
      </w:r>
      <w:r>
        <w:rPr>
          <w:rFonts w:hint="eastAsia"/>
        </w:rPr>
        <w:t>15</w:t>
      </w:r>
      <w:r>
        <w:rPr>
          <w:rFonts w:hint="eastAsia"/>
        </w:rPr>
        <w:t>时左右被扑灭，此次火灾造成</w:t>
      </w:r>
      <w:r>
        <w:rPr>
          <w:rFonts w:hint="eastAsia"/>
        </w:rPr>
        <w:t>2</w:t>
      </w:r>
      <w:r>
        <w:rPr>
          <w:rFonts w:hint="eastAsia"/>
        </w:rPr>
        <w:t>人受伤。</w:t>
      </w:r>
    </w:p>
    <w:p w14:paraId="48301B48" w14:textId="77777777" w:rsidR="00EF4562" w:rsidRDefault="00000000">
      <w:pPr>
        <w:ind w:firstLine="560"/>
      </w:pPr>
      <w:r>
        <w:rPr>
          <w:rFonts w:hint="eastAsia"/>
        </w:rPr>
        <w:t>（</w:t>
      </w:r>
      <w:r>
        <w:rPr>
          <w:rFonts w:hint="eastAsia"/>
        </w:rPr>
        <w:t>3</w:t>
      </w:r>
      <w:r>
        <w:rPr>
          <w:rFonts w:hint="eastAsia"/>
        </w:rPr>
        <w:t>）事故缘由</w:t>
      </w:r>
    </w:p>
    <w:p w14:paraId="7893734B" w14:textId="77777777" w:rsidR="00EF4562" w:rsidRDefault="00000000">
      <w:pPr>
        <w:ind w:firstLine="560"/>
      </w:pPr>
      <w:r>
        <w:rPr>
          <w:rFonts w:hint="eastAsia"/>
        </w:rPr>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4BBAF1CA" w14:textId="77777777" w:rsidR="00EF4562" w:rsidRDefault="00000000">
      <w:pPr>
        <w:ind w:firstLine="560"/>
      </w:pPr>
      <w:r>
        <w:rPr>
          <w:rFonts w:hint="eastAsia"/>
        </w:rPr>
        <w:t>（</w:t>
      </w:r>
      <w:r>
        <w:rPr>
          <w:rFonts w:hint="eastAsia"/>
        </w:rPr>
        <w:t>4</w:t>
      </w:r>
      <w:r>
        <w:rPr>
          <w:rFonts w:hint="eastAsia"/>
        </w:rPr>
        <w:t>）事故教训</w:t>
      </w:r>
    </w:p>
    <w:p w14:paraId="5DDAC1CD" w14:textId="77777777" w:rsidR="00EF4562" w:rsidRDefault="00000000">
      <w:pPr>
        <w:ind w:firstLine="560"/>
      </w:pPr>
      <w:r>
        <w:rPr>
          <w:rFonts w:hint="eastAsia"/>
        </w:rPr>
        <w:t>①加油站工作人员风险防范意识淡薄。加油站工作人员朱某用来分装车用乙醇汽油的小型油罐车没有独立的抽油泵，利用外部抽油泵并利用车辆发动机作为动力，因此整个抽油作业过程中小油罐车的发动机并未熄火，且该车排气管未安装阻火器，在这种状况下，当事人还是贸然利用此车抽吸车用乙醇汽油，导致发生爆燃事故。</w:t>
      </w:r>
    </w:p>
    <w:p w14:paraId="2C49B322" w14:textId="77777777" w:rsidR="00EF4562" w:rsidRDefault="00000000">
      <w:pPr>
        <w:ind w:firstLine="560"/>
      </w:pPr>
      <w:r>
        <w:rPr>
          <w:rFonts w:hint="eastAsia"/>
        </w:rPr>
        <w:t>②加油站安全防范措施不到位。</w:t>
      </w:r>
    </w:p>
    <w:p w14:paraId="2269FB24" w14:textId="77777777" w:rsidR="00EF4562" w:rsidRDefault="00000000">
      <w:pPr>
        <w:ind w:firstLine="560"/>
      </w:pPr>
      <w:r>
        <w:rPr>
          <w:rFonts w:hint="eastAsia"/>
        </w:rPr>
        <w:t>③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车用乙醇汽油外漏，致使小油罐车下方积聚大量油气。</w:t>
      </w:r>
    </w:p>
    <w:p w14:paraId="56D45B1C" w14:textId="77777777" w:rsidR="00EF4562" w:rsidRDefault="00000000">
      <w:pPr>
        <w:ind w:firstLine="560"/>
      </w:pPr>
      <w:r>
        <w:rPr>
          <w:rFonts w:hint="eastAsia"/>
        </w:rPr>
        <w:t>以上加油站火灾、爆炸事故</w:t>
      </w:r>
      <w:r>
        <w:rPr>
          <w:rFonts w:hint="eastAsia"/>
        </w:rPr>
        <w:t>2</w:t>
      </w:r>
      <w:r>
        <w:rPr>
          <w:rFonts w:hint="eastAsia"/>
        </w:rPr>
        <w:t>例案例，从事故案例的分析来看，发生火灾事故的加油站都存在违规建设和违章操作。因此在加油站的设计和施工建设中应严格按《汽车加油加气加氢站技术标准》（</w:t>
      </w:r>
      <w:r>
        <w:rPr>
          <w:rFonts w:hint="eastAsia"/>
        </w:rPr>
        <w:t>GB50156-2021</w:t>
      </w:r>
      <w:r>
        <w:rPr>
          <w:rFonts w:hint="eastAsia"/>
        </w:rPr>
        <w:t>）要求进行。</w:t>
      </w:r>
    </w:p>
    <w:p w14:paraId="2BB82281"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29" w:name="_Toc207695635"/>
      <w:r>
        <w:rPr>
          <w:rFonts w:eastAsia="楷体" w:cs="Times New Roman"/>
          <w:b/>
          <w:bCs/>
          <w:sz w:val="32"/>
          <w:szCs w:val="32"/>
        </w:rPr>
        <w:lastRenderedPageBreak/>
        <w:t>5.3</w:t>
      </w:r>
      <w:r>
        <w:rPr>
          <w:rFonts w:ascii="楷体" w:eastAsia="楷体" w:hAnsi="楷体" w:hint="eastAsia"/>
          <w:b/>
          <w:bCs/>
          <w:sz w:val="32"/>
          <w:szCs w:val="32"/>
        </w:rPr>
        <w:t>“两重点一重大”辨识</w:t>
      </w:r>
      <w:bookmarkEnd w:id="29"/>
    </w:p>
    <w:p w14:paraId="521086D4"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5.3.1</w:t>
      </w:r>
      <w:r>
        <w:rPr>
          <w:rFonts w:ascii="黑体" w:eastAsia="黑体" w:hAnsi="黑体" w:hint="eastAsia"/>
          <w:b/>
          <w:bCs/>
        </w:rPr>
        <w:t>重点监管危险化学品情况</w:t>
      </w:r>
    </w:p>
    <w:p w14:paraId="5F11564B" w14:textId="77777777" w:rsidR="00EF4562" w:rsidRDefault="00000000">
      <w:pPr>
        <w:ind w:firstLine="560"/>
      </w:pPr>
      <w:r>
        <w:rPr>
          <w:rFonts w:hint="eastAsia"/>
        </w:rPr>
        <w:t>根据《国家安全监管总局关于公布首批重点监管的危险化学品名录的通知》（安监总管三</w:t>
      </w:r>
      <w:r>
        <w:rPr>
          <w:rFonts w:hint="eastAsia"/>
        </w:rPr>
        <w:t>[2011]95</w:t>
      </w:r>
      <w:r>
        <w:rPr>
          <w:rFonts w:hint="eastAsia"/>
        </w:rPr>
        <w:t>号）和《国家安全监管总局关于公布第二批重点监管危险化学品名录的通知》（安监总管三</w:t>
      </w:r>
      <w:r>
        <w:rPr>
          <w:rFonts w:hint="eastAsia"/>
        </w:rPr>
        <w:t>[2013]12</w:t>
      </w:r>
      <w:r>
        <w:rPr>
          <w:rFonts w:hint="eastAsia"/>
        </w:rPr>
        <w:t>号），该项目涉及的车用乙醇汽油是重点监管危险化学品。</w:t>
      </w:r>
    </w:p>
    <w:p w14:paraId="37286EF0"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5.3.2</w:t>
      </w:r>
      <w:r>
        <w:rPr>
          <w:rFonts w:ascii="黑体" w:eastAsia="黑体" w:hAnsi="黑体" w:hint="eastAsia"/>
          <w:b/>
          <w:bCs/>
        </w:rPr>
        <w:t>重点监管危险化工工艺情况</w:t>
      </w:r>
    </w:p>
    <w:p w14:paraId="2534B20C" w14:textId="77777777" w:rsidR="00EF4562" w:rsidRDefault="00000000">
      <w:pPr>
        <w:ind w:firstLine="560"/>
      </w:pPr>
      <w:r>
        <w:rPr>
          <w:rFonts w:hint="eastAsia"/>
        </w:rPr>
        <w:t>根据《国家安全监管总局关于公布首批重点监管的危险化工工艺目录的通知》和《国家安全监管总局关于公布第二批重点监管危险化工工艺目录和调整首批重点监管危险化工工艺中部分典型工艺的通知》的规定，该项目不涉及重点监管危险化工工艺。</w:t>
      </w:r>
    </w:p>
    <w:p w14:paraId="719F4D6C"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5.3.3</w:t>
      </w:r>
      <w:r>
        <w:rPr>
          <w:rFonts w:ascii="黑体" w:eastAsia="黑体" w:hAnsi="黑体" w:hint="eastAsia"/>
          <w:b/>
          <w:bCs/>
        </w:rPr>
        <w:t>重大危险源辨识</w:t>
      </w:r>
    </w:p>
    <w:p w14:paraId="076A2AFD" w14:textId="77777777" w:rsidR="00EF4562" w:rsidRDefault="00000000">
      <w:pPr>
        <w:ind w:firstLine="560"/>
      </w:pPr>
      <w:r>
        <w:rPr>
          <w:rFonts w:hint="eastAsia"/>
        </w:rPr>
        <w:t>根据《危险化学品重大危险源辨识》（</w:t>
      </w:r>
      <w:r>
        <w:rPr>
          <w:rFonts w:hint="eastAsia"/>
        </w:rPr>
        <w:t>GB 18218-2018</w:t>
      </w:r>
      <w:r>
        <w:rPr>
          <w:rFonts w:hint="eastAsia"/>
        </w:rPr>
        <w:t>）辨识，储罐单元未构成危险化学品重大危险源。该项目未构成危险化学品重大危险源。辨识过程详见附录</w:t>
      </w:r>
      <w:r>
        <w:rPr>
          <w:rFonts w:hint="eastAsia"/>
        </w:rPr>
        <w:t>C.5</w:t>
      </w:r>
      <w:r>
        <w:rPr>
          <w:rFonts w:hint="eastAsia"/>
        </w:rPr>
        <w:t>。</w:t>
      </w:r>
    </w:p>
    <w:p w14:paraId="0EFFDE0A"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30" w:name="_Toc207695636"/>
      <w:r>
        <w:rPr>
          <w:rFonts w:eastAsia="楷体" w:cs="Times New Roman"/>
          <w:b/>
          <w:bCs/>
          <w:sz w:val="32"/>
          <w:szCs w:val="32"/>
        </w:rPr>
        <w:t>5.4</w:t>
      </w:r>
      <w:r>
        <w:rPr>
          <w:rFonts w:ascii="楷体" w:eastAsia="楷体" w:hAnsi="楷体" w:hint="eastAsia"/>
          <w:b/>
          <w:bCs/>
          <w:sz w:val="32"/>
          <w:szCs w:val="32"/>
        </w:rPr>
        <w:t>该项目爆炸危险区域划分</w:t>
      </w:r>
      <w:bookmarkEnd w:id="30"/>
    </w:p>
    <w:p w14:paraId="08F5ECF8" w14:textId="77777777" w:rsidR="00EF4562" w:rsidRDefault="00000000">
      <w:pPr>
        <w:ind w:firstLine="560"/>
      </w:pPr>
      <w:r>
        <w:rPr>
          <w:rFonts w:hint="eastAsia"/>
        </w:rPr>
        <w:t>（</w:t>
      </w:r>
      <w:r>
        <w:rPr>
          <w:rFonts w:hint="eastAsia"/>
        </w:rPr>
        <w:t>1</w:t>
      </w:r>
      <w:r>
        <w:rPr>
          <w:rFonts w:hint="eastAsia"/>
        </w:rPr>
        <w:t>）爆炸危险区域的等级定义应符合现行国家标准《爆炸危险环境电力装置设计规范》（</w:t>
      </w:r>
      <w:r>
        <w:rPr>
          <w:rFonts w:hint="eastAsia"/>
        </w:rPr>
        <w:t>GB 50058-2014</w:t>
      </w:r>
      <w:r>
        <w:rPr>
          <w:rFonts w:hint="eastAsia"/>
        </w:rPr>
        <w:t>）的规定。</w:t>
      </w:r>
    </w:p>
    <w:p w14:paraId="5D909692" w14:textId="77777777" w:rsidR="00EF4562" w:rsidRDefault="00000000">
      <w:pPr>
        <w:ind w:firstLine="560"/>
      </w:pPr>
      <w:r>
        <w:rPr>
          <w:rFonts w:ascii="宋体" w:hAnsi="宋体" w:hint="eastAsia"/>
        </w:rPr>
        <w:t>①</w:t>
      </w:r>
      <w:r>
        <w:rPr>
          <w:rFonts w:hint="eastAsia"/>
        </w:rPr>
        <w:t>0</w:t>
      </w:r>
      <w:r>
        <w:rPr>
          <w:rFonts w:hint="eastAsia"/>
        </w:rPr>
        <w:t>区：连续出现或长期出现爆炸性气体混合物的环境；</w:t>
      </w:r>
    </w:p>
    <w:p w14:paraId="0EED4CE3" w14:textId="77777777" w:rsidR="00EF4562" w:rsidRDefault="00000000">
      <w:pPr>
        <w:ind w:firstLine="560"/>
      </w:pPr>
      <w:r>
        <w:rPr>
          <w:rFonts w:ascii="宋体" w:hAnsi="宋体" w:hint="eastAsia"/>
        </w:rPr>
        <w:t>②</w:t>
      </w:r>
      <w:r>
        <w:rPr>
          <w:rFonts w:hint="eastAsia"/>
        </w:rPr>
        <w:t>1</w:t>
      </w:r>
      <w:r>
        <w:rPr>
          <w:rFonts w:hint="eastAsia"/>
        </w:rPr>
        <w:t>区：在正常运行时可能出现爆炸性气体混合物的环境；</w:t>
      </w:r>
    </w:p>
    <w:p w14:paraId="40AB5EE1" w14:textId="77777777" w:rsidR="00EF4562" w:rsidRDefault="00000000">
      <w:pPr>
        <w:ind w:firstLine="560"/>
      </w:pPr>
      <w:r>
        <w:rPr>
          <w:rFonts w:ascii="宋体" w:hAnsi="宋体" w:hint="eastAsia"/>
        </w:rPr>
        <w:t>③</w:t>
      </w:r>
      <w:r>
        <w:rPr>
          <w:rFonts w:hint="eastAsia"/>
        </w:rPr>
        <w:t>2</w:t>
      </w:r>
      <w:r>
        <w:rPr>
          <w:rFonts w:hint="eastAsia"/>
        </w:rPr>
        <w:t>区：在正常运行时不可能出现爆炸性气体混合物的环境，或即使出现也仅是短时存在爆炸性气体混合物的环境。</w:t>
      </w:r>
    </w:p>
    <w:p w14:paraId="0963C358" w14:textId="77777777" w:rsidR="00EF4562" w:rsidRDefault="00000000">
      <w:pPr>
        <w:ind w:firstLine="560"/>
      </w:pPr>
      <w:r>
        <w:rPr>
          <w:rFonts w:hint="eastAsia"/>
        </w:rPr>
        <w:lastRenderedPageBreak/>
        <w:t>正常运行指正常的开车、运行、停车、易燃物质产品的装卸、密闭容器盖的安装、安全阀、排放阀以及所有工厂设备都在其设计参数范围内的工作状态。</w:t>
      </w:r>
    </w:p>
    <w:p w14:paraId="5349C622" w14:textId="77777777" w:rsidR="00EF4562" w:rsidRDefault="00000000">
      <w:pPr>
        <w:overflowPunct w:val="0"/>
        <w:ind w:firstLine="560"/>
        <w:rPr>
          <w:rFonts w:cs="Times New Roman"/>
          <w:kern w:val="28"/>
          <w:szCs w:val="28"/>
          <w14:ligatures w14:val="none"/>
        </w:rPr>
      </w:pPr>
      <w:r>
        <w:rPr>
          <w:rFonts w:cs="Times New Roman"/>
          <w:kern w:val="28"/>
          <w:szCs w:val="28"/>
          <w14:ligatures w14:val="none"/>
        </w:rPr>
        <w:t>（</w:t>
      </w:r>
      <w:r>
        <w:rPr>
          <w:rFonts w:cs="Times New Roman"/>
          <w:kern w:val="28"/>
          <w:szCs w:val="28"/>
          <w14:ligatures w14:val="none"/>
        </w:rPr>
        <w:t>2</w:t>
      </w:r>
      <w:r>
        <w:rPr>
          <w:rFonts w:cs="Times New Roman"/>
          <w:kern w:val="28"/>
          <w:szCs w:val="28"/>
          <w14:ligatures w14:val="none"/>
        </w:rPr>
        <w:t>）</w:t>
      </w:r>
      <w:r>
        <w:rPr>
          <w:rFonts w:cs="Times New Roman" w:hint="eastAsia"/>
          <w:kern w:val="28"/>
          <w:szCs w:val="28"/>
          <w14:ligatures w14:val="none"/>
        </w:rPr>
        <w:t>根据《汽车加油加气加氢站技术标准》（</w:t>
      </w:r>
      <w:r>
        <w:rPr>
          <w:rFonts w:cs="Times New Roman" w:hint="eastAsia"/>
          <w:kern w:val="28"/>
          <w:szCs w:val="28"/>
          <w14:ligatures w14:val="none"/>
        </w:rPr>
        <w:t>G</w:t>
      </w:r>
      <w:r>
        <w:rPr>
          <w:rFonts w:cs="Times New Roman"/>
          <w:kern w:val="28"/>
          <w:szCs w:val="28"/>
          <w14:ligatures w14:val="none"/>
        </w:rPr>
        <w:t>B 50156-2021</w:t>
      </w:r>
      <w:r>
        <w:rPr>
          <w:rFonts w:cs="Times New Roman" w:hint="eastAsia"/>
          <w:kern w:val="28"/>
          <w:szCs w:val="28"/>
          <w14:ligatures w14:val="none"/>
        </w:rPr>
        <w:t>）附录</w:t>
      </w:r>
      <w:r>
        <w:rPr>
          <w:rFonts w:cs="Times New Roman" w:hint="eastAsia"/>
          <w:kern w:val="28"/>
          <w:szCs w:val="28"/>
          <w14:ligatures w14:val="none"/>
        </w:rPr>
        <w:t>C</w:t>
      </w:r>
      <w:r>
        <w:rPr>
          <w:rFonts w:cs="Times New Roman" w:hint="eastAsia"/>
          <w:kern w:val="28"/>
          <w:szCs w:val="28"/>
          <w14:ligatures w14:val="none"/>
        </w:rPr>
        <w:t>加油加气加氢站内爆炸危险区域的等级和范围划分：</w:t>
      </w:r>
    </w:p>
    <w:p w14:paraId="5042E4E9" w14:textId="77777777" w:rsidR="00EF4562" w:rsidRDefault="00000000">
      <w:pPr>
        <w:overflowPunct w:val="0"/>
        <w:ind w:firstLine="560"/>
        <w:rPr>
          <w:rFonts w:cs="Times New Roman"/>
          <w:kern w:val="28"/>
          <w:szCs w:val="28"/>
          <w14:ligatures w14:val="none"/>
        </w:rPr>
      </w:pPr>
      <w:r>
        <w:rPr>
          <w:rFonts w:cs="Times New Roman"/>
          <w:kern w:val="28"/>
          <w:szCs w:val="28"/>
          <w14:ligatures w14:val="none"/>
        </w:rPr>
        <w:t>1</w:t>
      </w:r>
      <w:r>
        <w:rPr>
          <w:rFonts w:cs="Times New Roman"/>
          <w:kern w:val="28"/>
          <w:szCs w:val="28"/>
          <w14:ligatures w14:val="none"/>
        </w:rPr>
        <w:t>）车用乙醇汽油设施的爆炸危险区域内地坪以下的坑或沟应划分为</w:t>
      </w:r>
      <w:r>
        <w:rPr>
          <w:rFonts w:cs="Times New Roman"/>
          <w:kern w:val="28"/>
          <w:szCs w:val="28"/>
          <w14:ligatures w14:val="none"/>
        </w:rPr>
        <w:t>1</w:t>
      </w:r>
      <w:r>
        <w:rPr>
          <w:rFonts w:cs="Times New Roman"/>
          <w:kern w:val="28"/>
          <w:szCs w:val="28"/>
          <w14:ligatures w14:val="none"/>
        </w:rPr>
        <w:t>区。</w:t>
      </w:r>
    </w:p>
    <w:p w14:paraId="3154A154" w14:textId="77777777" w:rsidR="00EF4562" w:rsidRDefault="00000000">
      <w:pPr>
        <w:overflowPunct w:val="0"/>
        <w:ind w:firstLine="560"/>
        <w:rPr>
          <w:rFonts w:cs="Times New Roman"/>
          <w:kern w:val="28"/>
          <w:szCs w:val="28"/>
          <w14:ligatures w14:val="none"/>
        </w:rPr>
      </w:pPr>
      <w:r>
        <w:rPr>
          <w:rFonts w:cs="Times New Roman"/>
          <w:kern w:val="28"/>
          <w:szCs w:val="28"/>
          <w14:ligatures w14:val="none"/>
        </w:rPr>
        <w:t>2</w:t>
      </w:r>
      <w:r>
        <w:rPr>
          <w:rFonts w:cs="Times New Roman"/>
          <w:kern w:val="28"/>
          <w:szCs w:val="28"/>
          <w14:ligatures w14:val="none"/>
        </w:rPr>
        <w:t>）</w:t>
      </w:r>
      <w:r>
        <w:rPr>
          <w:rFonts w:cs="Times New Roman" w:hint="eastAsia"/>
          <w:kern w:val="28"/>
          <w:szCs w:val="28"/>
          <w14:ligatures w14:val="none"/>
        </w:rPr>
        <w:t>车用乙醇</w:t>
      </w:r>
      <w:r>
        <w:rPr>
          <w:rFonts w:cs="Times New Roman"/>
          <w:kern w:val="28"/>
          <w:szCs w:val="28"/>
          <w14:ligatures w14:val="none"/>
        </w:rPr>
        <w:t>汽油加油机爆炸危险区域划分应符合下列规定（图</w:t>
      </w:r>
      <w:r>
        <w:rPr>
          <w:rFonts w:cs="Times New Roman" w:hint="eastAsia"/>
          <w:kern w:val="28"/>
          <w:szCs w:val="28"/>
          <w14:ligatures w14:val="none"/>
        </w:rPr>
        <w:t>5.4-1</w:t>
      </w:r>
      <w:r>
        <w:rPr>
          <w:rFonts w:cs="Times New Roman"/>
          <w:kern w:val="28"/>
          <w:szCs w:val="28"/>
          <w14:ligatures w14:val="none"/>
        </w:rPr>
        <w:t>）：</w:t>
      </w:r>
    </w:p>
    <w:p w14:paraId="16BDCF76" w14:textId="77777777" w:rsidR="00EF4562" w:rsidRDefault="00000000">
      <w:pPr>
        <w:overflowPunct w:val="0"/>
        <w:ind w:firstLine="560"/>
        <w:rPr>
          <w:rFonts w:cs="Times New Roman"/>
          <w:kern w:val="28"/>
          <w:szCs w:val="28"/>
          <w14:ligatures w14:val="none"/>
        </w:rPr>
      </w:pPr>
      <w:r>
        <w:rPr>
          <w:rFonts w:ascii="宋体" w:hAnsi="宋体" w:cs="Times New Roman" w:hint="eastAsia"/>
          <w:kern w:val="28"/>
          <w:szCs w:val="28"/>
          <w14:ligatures w14:val="none"/>
        </w:rPr>
        <w:t>①</w:t>
      </w:r>
      <w:r>
        <w:rPr>
          <w:rFonts w:cs="Times New Roman"/>
          <w:kern w:val="28"/>
          <w:szCs w:val="28"/>
          <w14:ligatures w14:val="none"/>
        </w:rPr>
        <w:t>加油机壳体内部空间应划分为</w:t>
      </w:r>
      <w:r>
        <w:rPr>
          <w:rFonts w:cs="Times New Roman"/>
          <w:kern w:val="28"/>
          <w:szCs w:val="28"/>
          <w14:ligatures w14:val="none"/>
        </w:rPr>
        <w:t>1</w:t>
      </w:r>
      <w:r>
        <w:rPr>
          <w:rFonts w:cs="Times New Roman"/>
          <w:kern w:val="28"/>
          <w:szCs w:val="28"/>
          <w14:ligatures w14:val="none"/>
        </w:rPr>
        <w:t>区。</w:t>
      </w:r>
    </w:p>
    <w:p w14:paraId="0ACCA156" w14:textId="77777777" w:rsidR="00EF4562" w:rsidRDefault="00000000">
      <w:pPr>
        <w:overflowPunct w:val="0"/>
        <w:ind w:firstLine="560"/>
        <w:rPr>
          <w:rFonts w:cs="Times New Roman"/>
          <w:kern w:val="28"/>
          <w:szCs w:val="28"/>
          <w14:ligatures w14:val="none"/>
        </w:rPr>
      </w:pPr>
      <w:r>
        <w:rPr>
          <w:rFonts w:ascii="宋体" w:hAnsi="宋体" w:cs="Times New Roman" w:hint="eastAsia"/>
          <w:kern w:val="28"/>
          <w:szCs w:val="28"/>
          <w14:ligatures w14:val="none"/>
        </w:rPr>
        <w:t>②</w:t>
      </w:r>
      <w:r>
        <w:rPr>
          <w:rFonts w:cs="Times New Roman"/>
          <w:kern w:val="28"/>
          <w:szCs w:val="28"/>
          <w14:ligatures w14:val="none"/>
        </w:rPr>
        <w:t>以加油机中心线为中心线，以半径为</w:t>
      </w:r>
      <w:r>
        <w:rPr>
          <w:rFonts w:cs="Times New Roman"/>
          <w:kern w:val="28"/>
          <w:szCs w:val="28"/>
          <w14:ligatures w14:val="none"/>
        </w:rPr>
        <w:t>3m</w:t>
      </w:r>
      <w:r>
        <w:rPr>
          <w:rFonts w:cs="Times New Roman"/>
          <w:kern w:val="28"/>
          <w:szCs w:val="28"/>
          <w14:ligatures w14:val="none"/>
        </w:rPr>
        <w:t>的地面区域为底面和以加油机顶部以上</w:t>
      </w:r>
      <w:r>
        <w:rPr>
          <w:rFonts w:cs="Times New Roman"/>
          <w:kern w:val="28"/>
          <w:szCs w:val="28"/>
          <w14:ligatures w14:val="none"/>
        </w:rPr>
        <w:t>0.15m</w:t>
      </w:r>
      <w:r>
        <w:rPr>
          <w:rFonts w:cs="Times New Roman" w:hint="eastAsia"/>
          <w:kern w:val="28"/>
          <w:szCs w:val="28"/>
          <w14:ligatures w14:val="none"/>
        </w:rPr>
        <w:t>、</w:t>
      </w:r>
      <w:r>
        <w:rPr>
          <w:rFonts w:cs="Times New Roman"/>
          <w:kern w:val="28"/>
          <w:szCs w:val="28"/>
          <w14:ligatures w14:val="none"/>
        </w:rPr>
        <w:t>半径为</w:t>
      </w:r>
      <w:r>
        <w:rPr>
          <w:rFonts w:cs="Times New Roman"/>
          <w:kern w:val="28"/>
          <w:szCs w:val="28"/>
          <w14:ligatures w14:val="none"/>
        </w:rPr>
        <w:t>1.5m</w:t>
      </w:r>
      <w:r>
        <w:rPr>
          <w:rFonts w:cs="Times New Roman"/>
          <w:kern w:val="28"/>
          <w:szCs w:val="28"/>
          <w14:ligatures w14:val="none"/>
        </w:rPr>
        <w:t>的平面为顶面的圆台形空间，应划分为</w:t>
      </w:r>
      <w:r>
        <w:rPr>
          <w:rFonts w:cs="Times New Roman"/>
          <w:kern w:val="28"/>
          <w:szCs w:val="28"/>
          <w14:ligatures w14:val="none"/>
        </w:rPr>
        <w:t>2</w:t>
      </w:r>
      <w:r>
        <w:rPr>
          <w:rFonts w:cs="Times New Roman"/>
          <w:kern w:val="28"/>
          <w:szCs w:val="28"/>
          <w14:ligatures w14:val="none"/>
        </w:rPr>
        <w:t>区。</w:t>
      </w:r>
    </w:p>
    <w:p w14:paraId="67560DF2" w14:textId="77777777" w:rsidR="00EF4562" w:rsidRDefault="00000000">
      <w:pPr>
        <w:overflowPunct w:val="0"/>
        <w:ind w:firstLine="560"/>
        <w:rPr>
          <w:rFonts w:cs="Times New Roman"/>
          <w:kern w:val="28"/>
          <w:szCs w:val="28"/>
          <w14:ligatures w14:val="none"/>
        </w:rPr>
      </w:pPr>
      <w:r>
        <w:rPr>
          <w:noProof/>
        </w:rPr>
        <w:drawing>
          <wp:inline distT="0" distB="0" distL="0" distR="0" wp14:anchorId="06F53FB5" wp14:editId="0999B9D4">
            <wp:extent cx="5659120" cy="1943100"/>
            <wp:effectExtent l="0" t="0" r="0" b="0"/>
            <wp:docPr id="3452193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21935" name="图片 1"/>
                    <pic:cNvPicPr>
                      <a:picLocks noChangeAspect="1"/>
                    </pic:cNvPicPr>
                  </pic:nvPicPr>
                  <pic:blipFill>
                    <a:blip r:embed="rId20"/>
                    <a:srcRect t="2591" r="2908" b="31333"/>
                    <a:stretch>
                      <a:fillRect/>
                    </a:stretch>
                  </pic:blipFill>
                  <pic:spPr>
                    <a:xfrm>
                      <a:off x="0" y="0"/>
                      <a:ext cx="5661687" cy="1943924"/>
                    </a:xfrm>
                    <a:prstGeom prst="rect">
                      <a:avLst/>
                    </a:prstGeom>
                    <a:ln>
                      <a:noFill/>
                    </a:ln>
                  </pic:spPr>
                </pic:pic>
              </a:graphicData>
            </a:graphic>
          </wp:inline>
        </w:drawing>
      </w:r>
    </w:p>
    <w:p w14:paraId="6B61F579" w14:textId="77777777" w:rsidR="00EF4562" w:rsidRDefault="00000000">
      <w:pPr>
        <w:overflowPunct w:val="0"/>
        <w:ind w:firstLine="560"/>
        <w:rPr>
          <w:rFonts w:cs="Times New Roman"/>
          <w:kern w:val="28"/>
          <w:szCs w:val="28"/>
          <w14:ligatures w14:val="none"/>
        </w:rPr>
      </w:pPr>
      <w:r>
        <w:rPr>
          <w:rFonts w:cs="Times New Roman"/>
          <w:noProof/>
          <w:kern w:val="28"/>
          <w:szCs w:val="28"/>
          <w14:ligatures w14:val="none"/>
        </w:rPr>
        <w:drawing>
          <wp:inline distT="0" distB="0" distL="0" distR="0" wp14:anchorId="697AC0E5" wp14:editId="25470AF4">
            <wp:extent cx="5039995" cy="429895"/>
            <wp:effectExtent l="0" t="0" r="0" b="8255"/>
            <wp:docPr id="21718446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184460" name="图片 1"/>
                    <pic:cNvPicPr>
                      <a:picLocks noChangeAspect="1"/>
                    </pic:cNvPicPr>
                  </pic:nvPicPr>
                  <pic:blipFill>
                    <a:blip r:embed="rId21"/>
                    <a:srcRect l="7273" b="11181"/>
                    <a:stretch>
                      <a:fillRect/>
                    </a:stretch>
                  </pic:blipFill>
                  <pic:spPr>
                    <a:xfrm>
                      <a:off x="0" y="0"/>
                      <a:ext cx="5052778" cy="431521"/>
                    </a:xfrm>
                    <a:prstGeom prst="rect">
                      <a:avLst/>
                    </a:prstGeom>
                    <a:ln>
                      <a:noFill/>
                    </a:ln>
                  </pic:spPr>
                </pic:pic>
              </a:graphicData>
            </a:graphic>
          </wp:inline>
        </w:drawing>
      </w:r>
    </w:p>
    <w:p w14:paraId="281306C3" w14:textId="77777777" w:rsidR="00EF4562" w:rsidRDefault="00000000">
      <w:pPr>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sz w:val="24"/>
        </w:rPr>
        <w:t>图</w:t>
      </w:r>
      <w:r>
        <w:rPr>
          <w:rFonts w:eastAsia="黑体" w:cs="Times New Roman"/>
          <w:sz w:val="24"/>
        </w:rPr>
        <w:t>5.4-1</w:t>
      </w:r>
      <w:r>
        <w:rPr>
          <w:rFonts w:ascii="黑体" w:eastAsia="黑体" w:hAnsi="黑体" w:hint="eastAsia"/>
          <w:sz w:val="24"/>
        </w:rPr>
        <w:t xml:space="preserve"> </w:t>
      </w:r>
      <w:r>
        <w:rPr>
          <w:rFonts w:ascii="黑体" w:eastAsia="黑体" w:hAnsi="黑体"/>
          <w:sz w:val="24"/>
        </w:rPr>
        <w:t xml:space="preserve"> </w:t>
      </w:r>
      <w:r>
        <w:rPr>
          <w:rFonts w:ascii="黑体" w:eastAsia="黑体" w:hAnsi="黑体" w:hint="eastAsia"/>
          <w:sz w:val="24"/>
        </w:rPr>
        <w:t>车用乙醇</w:t>
      </w:r>
      <w:r>
        <w:rPr>
          <w:rFonts w:ascii="黑体" w:eastAsia="黑体" w:hAnsi="黑体"/>
          <w:sz w:val="24"/>
        </w:rPr>
        <w:t>汽油加油机爆炸危险区域划分</w:t>
      </w:r>
    </w:p>
    <w:p w14:paraId="7CF73E94" w14:textId="77777777" w:rsidR="00EF4562" w:rsidRDefault="00000000">
      <w:pPr>
        <w:ind w:firstLine="560"/>
        <w:sectPr w:rsidR="00EF4562">
          <w:pgSz w:w="11906" w:h="16838"/>
          <w:pgMar w:top="1418" w:right="1134" w:bottom="1134" w:left="1588" w:header="851" w:footer="992" w:gutter="0"/>
          <w:cols w:space="425"/>
          <w:docGrid w:type="linesAndChars" w:linePitch="381"/>
        </w:sectPr>
      </w:pPr>
      <w:r>
        <w:rPr>
          <w:rFonts w:hint="eastAsia"/>
        </w:rPr>
        <w:t>爆炸危险区域划分依据《汽车加油加气加氢站技术标准》</w:t>
      </w:r>
      <w:r>
        <w:rPr>
          <w:rFonts w:hint="eastAsia"/>
        </w:rPr>
        <w:t>GB50156-2021</w:t>
      </w:r>
      <w:r>
        <w:rPr>
          <w:rFonts w:hint="eastAsia"/>
        </w:rPr>
        <w:t>的规定确定，爆炸危险区域内的电器设备选型、安装、电力线路敷设等，符合现行国家标准《爆炸危险环境电力装置设计规范》</w:t>
      </w:r>
      <w:r>
        <w:rPr>
          <w:rFonts w:hint="eastAsia"/>
        </w:rPr>
        <w:t>GB50058-2014</w:t>
      </w:r>
      <w:r>
        <w:rPr>
          <w:rFonts w:hint="eastAsia"/>
        </w:rPr>
        <w:t>的规定。爆炸危险</w:t>
      </w:r>
      <w:r>
        <w:rPr>
          <w:rFonts w:hint="eastAsia"/>
        </w:rPr>
        <w:t>1</w:t>
      </w:r>
      <w:r>
        <w:rPr>
          <w:rFonts w:hint="eastAsia"/>
        </w:rPr>
        <w:t>区内电气设备的防爆等级为</w:t>
      </w:r>
      <w:r>
        <w:rPr>
          <w:rFonts w:hint="eastAsia"/>
        </w:rPr>
        <w:t>EXiaIIBT4 Ga</w:t>
      </w:r>
      <w:r>
        <w:rPr>
          <w:rFonts w:hint="eastAsia"/>
        </w:rPr>
        <w:t>，爆炸危险</w:t>
      </w:r>
      <w:r>
        <w:rPr>
          <w:rFonts w:hint="eastAsia"/>
        </w:rPr>
        <w:t>2</w:t>
      </w:r>
      <w:r>
        <w:rPr>
          <w:rFonts w:hint="eastAsia"/>
        </w:rPr>
        <w:t>区内电气设备的防爆等级为</w:t>
      </w:r>
      <w:r>
        <w:rPr>
          <w:rFonts w:hint="eastAsia"/>
        </w:rPr>
        <w:t>EXdIIBT4 Gb</w:t>
      </w:r>
      <w:r>
        <w:rPr>
          <w:rFonts w:hint="eastAsia"/>
        </w:rPr>
        <w:t>。</w:t>
      </w:r>
    </w:p>
    <w:p w14:paraId="3428A881" w14:textId="77777777" w:rsidR="00EF4562" w:rsidRDefault="00000000">
      <w:pPr>
        <w:spacing w:beforeLines="150" w:before="571" w:afterLines="150" w:after="571"/>
        <w:ind w:firstLineChars="0" w:firstLine="0"/>
        <w:jc w:val="center"/>
        <w:outlineLvl w:val="0"/>
        <w:rPr>
          <w:rFonts w:ascii="黑体" w:eastAsia="黑体" w:hAnsi="黑体" w:hint="eastAsia"/>
          <w:b/>
          <w:bCs/>
          <w:sz w:val="32"/>
          <w:szCs w:val="32"/>
        </w:rPr>
      </w:pPr>
      <w:bookmarkStart w:id="31" w:name="_Toc207695637"/>
      <w:r>
        <w:rPr>
          <w:rFonts w:eastAsia="黑体" w:cs="Times New Roman"/>
          <w:b/>
          <w:bCs/>
          <w:sz w:val="32"/>
          <w:szCs w:val="32"/>
        </w:rPr>
        <w:lastRenderedPageBreak/>
        <w:t>6</w:t>
      </w:r>
      <w:r>
        <w:rPr>
          <w:rFonts w:ascii="黑体" w:eastAsia="黑体" w:hAnsi="黑体" w:hint="eastAsia"/>
          <w:b/>
          <w:bCs/>
          <w:sz w:val="32"/>
          <w:szCs w:val="32"/>
        </w:rPr>
        <w:t>建设项目的安全条件</w:t>
      </w:r>
      <w:bookmarkEnd w:id="31"/>
    </w:p>
    <w:p w14:paraId="16D536B5"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32" w:name="_Toc207695638"/>
      <w:r>
        <w:rPr>
          <w:rFonts w:eastAsia="楷体" w:cs="Times New Roman"/>
          <w:b/>
          <w:bCs/>
          <w:sz w:val="32"/>
          <w:szCs w:val="32"/>
        </w:rPr>
        <w:t>6.1</w:t>
      </w:r>
      <w:r>
        <w:rPr>
          <w:rFonts w:ascii="楷体" w:eastAsia="楷体" w:hAnsi="楷体" w:hint="eastAsia"/>
          <w:b/>
          <w:bCs/>
          <w:sz w:val="32"/>
          <w:szCs w:val="32"/>
        </w:rPr>
        <w:t>建设项目的外部情况</w:t>
      </w:r>
      <w:bookmarkEnd w:id="32"/>
    </w:p>
    <w:p w14:paraId="0CA06911"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6.1.1</w:t>
      </w:r>
      <w:r>
        <w:rPr>
          <w:rFonts w:ascii="黑体" w:eastAsia="黑体" w:hAnsi="黑体" w:hint="eastAsia"/>
          <w:b/>
          <w:bCs/>
        </w:rPr>
        <w:t>建设项目周边24小时内生产经营活动和居民生活的情况</w:t>
      </w:r>
    </w:p>
    <w:p w14:paraId="00EB6435" w14:textId="77777777" w:rsidR="00EF4562" w:rsidRDefault="00000000">
      <w:pPr>
        <w:ind w:firstLine="560"/>
        <w:rPr>
          <w:rFonts w:cs="Times New Roman"/>
          <w:szCs w:val="28"/>
          <w14:ligatures w14:val="none"/>
        </w:rPr>
      </w:pPr>
      <w:r>
        <w:rPr>
          <w:rFonts w:cs="Times New Roman" w:hint="eastAsia"/>
          <w:szCs w:val="28"/>
          <w14:ligatures w14:val="none"/>
        </w:rPr>
        <w:t>该站位于辽宁省锦州市太和区锦汤路</w:t>
      </w:r>
      <w:r>
        <w:rPr>
          <w:rFonts w:cs="Times New Roman" w:hint="eastAsia"/>
          <w:szCs w:val="28"/>
          <w14:ligatures w14:val="none"/>
        </w:rPr>
        <w:t>6</w:t>
      </w:r>
      <w:r>
        <w:rPr>
          <w:rFonts w:cs="Times New Roman" w:hint="eastAsia"/>
          <w:szCs w:val="28"/>
          <w14:ligatures w14:val="none"/>
        </w:rPr>
        <w:t>号，站区东侧为锦州吉尔运输有限公司废弃车棚及办公楼（三类保护物），南侧为锦大线（主干路），西侧为架空电力线</w:t>
      </w:r>
      <w:r>
        <w:rPr>
          <w:rFonts w:cs="Times New Roman" w:hint="eastAsia"/>
          <w:szCs w:val="28"/>
          <w14:ligatures w14:val="none"/>
        </w:rPr>
        <w:t>1</w:t>
      </w:r>
      <w:r>
        <w:rPr>
          <w:rFonts w:cs="Times New Roman" w:hint="eastAsia"/>
          <w:szCs w:val="28"/>
          <w14:ligatures w14:val="none"/>
        </w:rPr>
        <w:t>（</w:t>
      </w:r>
      <w:r>
        <w:rPr>
          <w:rFonts w:cs="Times New Roman" w:hint="eastAsia"/>
          <w:szCs w:val="28"/>
          <w14:ligatures w14:val="none"/>
        </w:rPr>
        <w:t>H=8m</w:t>
      </w:r>
      <w:r>
        <w:rPr>
          <w:rFonts w:cs="Times New Roman" w:hint="eastAsia"/>
          <w:szCs w:val="28"/>
          <w14:ligatures w14:val="none"/>
        </w:rPr>
        <w:t>）、</w:t>
      </w:r>
      <w:r>
        <w:rPr>
          <w:rFonts w:cs="Times New Roman" w:hint="eastAsia"/>
          <w:szCs w:val="28"/>
          <w14:ligatures w14:val="none"/>
        </w:rPr>
        <w:t>1</w:t>
      </w:r>
      <w:r>
        <w:rPr>
          <w:rFonts w:cs="Times New Roman" w:hint="eastAsia"/>
          <w:szCs w:val="28"/>
          <w14:ligatures w14:val="none"/>
        </w:rPr>
        <w:t>条土路（支路）、</w:t>
      </w:r>
      <w:r>
        <w:rPr>
          <w:rFonts w:cs="Times New Roman" w:hint="eastAsia"/>
          <w:szCs w:val="28"/>
          <w14:ligatures w14:val="none"/>
        </w:rPr>
        <w:t>1</w:t>
      </w:r>
      <w:r>
        <w:rPr>
          <w:rFonts w:cs="Times New Roman" w:hint="eastAsia"/>
          <w:szCs w:val="28"/>
          <w14:ligatures w14:val="none"/>
        </w:rPr>
        <w:t>间民用建筑（三类保护物）及温室（三类保护物），北侧为架空电力线</w:t>
      </w:r>
      <w:r>
        <w:rPr>
          <w:rFonts w:cs="Times New Roman" w:hint="eastAsia"/>
          <w:szCs w:val="28"/>
          <w14:ligatures w14:val="none"/>
        </w:rPr>
        <w:t>2</w:t>
      </w:r>
      <w:r>
        <w:rPr>
          <w:rFonts w:cs="Times New Roman" w:hint="eastAsia"/>
          <w:szCs w:val="28"/>
          <w14:ligatures w14:val="none"/>
        </w:rPr>
        <w:t>（</w:t>
      </w:r>
      <w:r>
        <w:rPr>
          <w:rFonts w:cs="Times New Roman" w:hint="eastAsia"/>
          <w:szCs w:val="28"/>
          <w14:ligatures w14:val="none"/>
        </w:rPr>
        <w:t>H=8m</w:t>
      </w:r>
      <w:r>
        <w:rPr>
          <w:rFonts w:cs="Times New Roman" w:hint="eastAsia"/>
          <w:szCs w:val="28"/>
          <w14:ligatures w14:val="none"/>
        </w:rPr>
        <w:t>）。</w:t>
      </w:r>
    </w:p>
    <w:p w14:paraId="616FED1D" w14:textId="77777777" w:rsidR="00EF4562" w:rsidRDefault="00000000">
      <w:pPr>
        <w:ind w:firstLine="560"/>
      </w:pPr>
      <w:r>
        <w:rPr>
          <w:rFonts w:hint="eastAsia"/>
        </w:rPr>
        <w:t>该站周边无自然保护区、风景名胜区、水源保护区等需要特殊保护的用地。项目地理位置见图</w:t>
      </w:r>
      <w:r>
        <w:rPr>
          <w:rFonts w:hint="eastAsia"/>
        </w:rPr>
        <w:t>2.2-1</w:t>
      </w:r>
      <w:r>
        <w:rPr>
          <w:rFonts w:hint="eastAsia"/>
        </w:rPr>
        <w:t>。</w:t>
      </w:r>
    </w:p>
    <w:p w14:paraId="1DE863A8"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6.1.2</w:t>
      </w:r>
      <w:r>
        <w:rPr>
          <w:rFonts w:ascii="黑体" w:eastAsia="黑体" w:hAnsi="黑体" w:hint="eastAsia"/>
          <w:b/>
          <w:bCs/>
        </w:rPr>
        <w:t>所在地的自然条件</w:t>
      </w:r>
    </w:p>
    <w:p w14:paraId="7743D51B" w14:textId="77777777" w:rsidR="00EF4562" w:rsidRDefault="00000000">
      <w:pPr>
        <w:ind w:firstLine="560"/>
        <w:rPr>
          <w:rFonts w:cs="Times New Roman"/>
          <w:color w:val="000000"/>
          <w:szCs w:val="28"/>
          <w14:ligatures w14:val="none"/>
        </w:rPr>
      </w:pPr>
      <w:r>
        <w:rPr>
          <w:rFonts w:cs="Times New Roman"/>
          <w:color w:val="000000"/>
          <w:szCs w:val="28"/>
          <w14:ligatures w14:val="none"/>
        </w:rPr>
        <w:t>（</w:t>
      </w:r>
      <w:r>
        <w:rPr>
          <w:rFonts w:cs="Times New Roman"/>
          <w:color w:val="000000"/>
          <w:szCs w:val="28"/>
          <w14:ligatures w14:val="none"/>
        </w:rPr>
        <w:t>1</w:t>
      </w:r>
      <w:r>
        <w:rPr>
          <w:rFonts w:cs="Times New Roman"/>
          <w:color w:val="000000"/>
          <w:szCs w:val="28"/>
          <w14:ligatures w14:val="none"/>
        </w:rPr>
        <w:t>）气象条件</w:t>
      </w:r>
    </w:p>
    <w:p w14:paraId="00536C0B" w14:textId="77777777" w:rsidR="00EF4562" w:rsidRDefault="00000000">
      <w:pPr>
        <w:ind w:firstLine="560"/>
        <w:rPr>
          <w:rFonts w:cs="Times New Roman"/>
          <w:szCs w:val="28"/>
          <w14:ligatures w14:val="none"/>
        </w:rPr>
      </w:pPr>
      <w:r>
        <w:rPr>
          <w:rFonts w:cs="Times New Roman" w:hint="eastAsia"/>
          <w:szCs w:val="28"/>
          <w14:ligatures w14:val="none"/>
        </w:rPr>
        <w:t>本项目位于锦州市太和区，太和区气象条件如下：</w:t>
      </w:r>
    </w:p>
    <w:p w14:paraId="1B647F98" w14:textId="77777777" w:rsidR="00EF4562" w:rsidRDefault="00000000">
      <w:pPr>
        <w:ind w:firstLine="560"/>
        <w:rPr>
          <w:rFonts w:cs="Times New Roman"/>
          <w:szCs w:val="28"/>
          <w14:ligatures w14:val="none"/>
        </w:rPr>
      </w:pPr>
      <w:r>
        <w:rPr>
          <w:rFonts w:cs="Times New Roman" w:hint="eastAsia"/>
          <w:szCs w:val="28"/>
          <w14:ligatures w14:val="none"/>
        </w:rPr>
        <w:t>①气温</w:t>
      </w:r>
    </w:p>
    <w:p w14:paraId="797FBA64" w14:textId="77777777" w:rsidR="00EF4562" w:rsidRDefault="00000000">
      <w:pPr>
        <w:ind w:firstLine="560"/>
        <w:rPr>
          <w:rFonts w:cs="Times New Roman"/>
          <w:szCs w:val="28"/>
          <w14:ligatures w14:val="none"/>
        </w:rPr>
      </w:pPr>
      <w:r>
        <w:rPr>
          <w:rFonts w:cs="Times New Roman" w:hint="eastAsia"/>
          <w:szCs w:val="28"/>
          <w14:ligatures w14:val="none"/>
        </w:rPr>
        <w:t>年平均气温</w:t>
      </w:r>
      <w:r>
        <w:rPr>
          <w:rFonts w:cs="Times New Roman" w:hint="eastAsia"/>
          <w:szCs w:val="28"/>
          <w14:ligatures w14:val="none"/>
        </w:rPr>
        <w:t xml:space="preserve">                          7.8~9.0</w:t>
      </w:r>
      <w:r>
        <w:rPr>
          <w:rFonts w:cs="Times New Roman" w:hint="eastAsia"/>
          <w:szCs w:val="28"/>
          <w14:ligatures w14:val="none"/>
        </w:rPr>
        <w:t>℃</w:t>
      </w:r>
    </w:p>
    <w:p w14:paraId="341E8431" w14:textId="77777777" w:rsidR="00EF4562" w:rsidRDefault="00000000">
      <w:pPr>
        <w:ind w:firstLine="560"/>
        <w:rPr>
          <w:rFonts w:cs="Times New Roman"/>
          <w:szCs w:val="28"/>
          <w14:ligatures w14:val="none"/>
        </w:rPr>
      </w:pPr>
      <w:r>
        <w:rPr>
          <w:rFonts w:cs="Times New Roman" w:hint="eastAsia"/>
          <w:szCs w:val="28"/>
          <w14:ligatures w14:val="none"/>
        </w:rPr>
        <w:t>多年极端最高气温</w:t>
      </w:r>
      <w:r>
        <w:rPr>
          <w:rFonts w:cs="Times New Roman" w:hint="eastAsia"/>
          <w:szCs w:val="28"/>
          <w14:ligatures w14:val="none"/>
        </w:rPr>
        <w:t xml:space="preserve">                    41.8</w:t>
      </w:r>
      <w:r>
        <w:rPr>
          <w:rFonts w:cs="Times New Roman" w:hint="eastAsia"/>
          <w:szCs w:val="28"/>
          <w14:ligatures w14:val="none"/>
        </w:rPr>
        <w:t>℃</w:t>
      </w:r>
    </w:p>
    <w:p w14:paraId="11C21B01" w14:textId="77777777" w:rsidR="00EF4562" w:rsidRDefault="00000000">
      <w:pPr>
        <w:ind w:firstLine="560"/>
        <w:rPr>
          <w:rFonts w:cs="Times New Roman"/>
          <w:szCs w:val="28"/>
          <w14:ligatures w14:val="none"/>
        </w:rPr>
      </w:pPr>
      <w:r>
        <w:rPr>
          <w:rFonts w:cs="Times New Roman" w:hint="eastAsia"/>
          <w:szCs w:val="28"/>
          <w14:ligatures w14:val="none"/>
        </w:rPr>
        <w:t>多年极端最低气温</w:t>
      </w:r>
      <w:r>
        <w:rPr>
          <w:rFonts w:cs="Times New Roman" w:hint="eastAsia"/>
          <w:szCs w:val="28"/>
          <w14:ligatures w14:val="none"/>
        </w:rPr>
        <w:t xml:space="preserve">                    -31.3</w:t>
      </w:r>
      <w:r>
        <w:rPr>
          <w:rFonts w:cs="Times New Roman" w:hint="eastAsia"/>
          <w:szCs w:val="28"/>
          <w14:ligatures w14:val="none"/>
        </w:rPr>
        <w:t>℃</w:t>
      </w:r>
    </w:p>
    <w:p w14:paraId="5E92A89D" w14:textId="77777777" w:rsidR="00EF4562" w:rsidRDefault="00000000">
      <w:pPr>
        <w:ind w:firstLine="560"/>
        <w:rPr>
          <w:rFonts w:cs="Times New Roman"/>
          <w:szCs w:val="28"/>
          <w14:ligatures w14:val="none"/>
        </w:rPr>
      </w:pPr>
      <w:r>
        <w:rPr>
          <w:rFonts w:cs="Times New Roman" w:hint="eastAsia"/>
          <w:szCs w:val="28"/>
          <w14:ligatures w14:val="none"/>
        </w:rPr>
        <w:t>最热月平均气温</w:t>
      </w:r>
      <w:r>
        <w:rPr>
          <w:rFonts w:cs="Times New Roman" w:hint="eastAsia"/>
          <w:szCs w:val="28"/>
          <w14:ligatures w14:val="none"/>
        </w:rPr>
        <w:t xml:space="preserve">                      28.2</w:t>
      </w:r>
      <w:r>
        <w:rPr>
          <w:rFonts w:cs="Times New Roman" w:hint="eastAsia"/>
          <w:szCs w:val="28"/>
          <w14:ligatures w14:val="none"/>
        </w:rPr>
        <w:t>℃</w:t>
      </w:r>
    </w:p>
    <w:p w14:paraId="3B5B722A" w14:textId="77777777" w:rsidR="00EF4562" w:rsidRDefault="00000000">
      <w:pPr>
        <w:ind w:firstLine="560"/>
        <w:rPr>
          <w:rFonts w:cs="Times New Roman"/>
          <w:szCs w:val="28"/>
          <w14:ligatures w14:val="none"/>
        </w:rPr>
      </w:pPr>
      <w:r>
        <w:rPr>
          <w:rFonts w:cs="Times New Roman" w:hint="eastAsia"/>
          <w:szCs w:val="28"/>
          <w14:ligatures w14:val="none"/>
        </w:rPr>
        <w:t>最冷月平均气温</w:t>
      </w:r>
      <w:r>
        <w:rPr>
          <w:rFonts w:cs="Times New Roman" w:hint="eastAsia"/>
          <w:szCs w:val="28"/>
          <w14:ligatures w14:val="none"/>
        </w:rPr>
        <w:t xml:space="preserve">                      -15.7</w:t>
      </w:r>
      <w:r>
        <w:rPr>
          <w:rFonts w:cs="Times New Roman" w:hint="eastAsia"/>
          <w:szCs w:val="28"/>
          <w14:ligatures w14:val="none"/>
        </w:rPr>
        <w:t>℃</w:t>
      </w:r>
    </w:p>
    <w:p w14:paraId="3E379B03" w14:textId="77777777" w:rsidR="00EF4562" w:rsidRDefault="00000000">
      <w:pPr>
        <w:ind w:firstLine="560"/>
        <w:rPr>
          <w:rFonts w:cs="Times New Roman"/>
          <w:szCs w:val="28"/>
          <w14:ligatures w14:val="none"/>
        </w:rPr>
      </w:pPr>
      <w:r>
        <w:rPr>
          <w:rFonts w:cs="Times New Roman" w:hint="eastAsia"/>
          <w:szCs w:val="28"/>
          <w14:ligatures w14:val="none"/>
        </w:rPr>
        <w:t>②湿度</w:t>
      </w:r>
    </w:p>
    <w:p w14:paraId="76428F30" w14:textId="77777777" w:rsidR="00EF4562" w:rsidRDefault="00000000">
      <w:pPr>
        <w:ind w:firstLine="560"/>
        <w:rPr>
          <w:rFonts w:cs="Times New Roman"/>
          <w:szCs w:val="28"/>
          <w14:ligatures w14:val="none"/>
        </w:rPr>
      </w:pPr>
      <w:r>
        <w:rPr>
          <w:rFonts w:cs="Times New Roman" w:hint="eastAsia"/>
          <w:szCs w:val="28"/>
          <w14:ligatures w14:val="none"/>
        </w:rPr>
        <w:t>年最热月份相对湿度</w:t>
      </w:r>
      <w:r>
        <w:rPr>
          <w:rFonts w:cs="Times New Roman" w:hint="eastAsia"/>
          <w:szCs w:val="28"/>
          <w14:ligatures w14:val="none"/>
        </w:rPr>
        <w:t xml:space="preserve">                  67%</w:t>
      </w:r>
    </w:p>
    <w:p w14:paraId="727C211E" w14:textId="77777777" w:rsidR="00EF4562" w:rsidRDefault="00000000">
      <w:pPr>
        <w:ind w:firstLine="560"/>
        <w:rPr>
          <w:rFonts w:cs="Times New Roman"/>
          <w:szCs w:val="28"/>
          <w14:ligatures w14:val="none"/>
        </w:rPr>
      </w:pPr>
      <w:r>
        <w:rPr>
          <w:rFonts w:cs="Times New Roman" w:hint="eastAsia"/>
          <w:szCs w:val="28"/>
          <w14:ligatures w14:val="none"/>
        </w:rPr>
        <w:t>年最冷月份相对湿度</w:t>
      </w:r>
      <w:r>
        <w:rPr>
          <w:rFonts w:cs="Times New Roman" w:hint="eastAsia"/>
          <w:szCs w:val="28"/>
          <w14:ligatures w14:val="none"/>
        </w:rPr>
        <w:t xml:space="preserve">                  46%</w:t>
      </w:r>
    </w:p>
    <w:p w14:paraId="1F0F5F55" w14:textId="77777777" w:rsidR="00EF4562" w:rsidRDefault="00000000">
      <w:pPr>
        <w:ind w:firstLine="560"/>
        <w:rPr>
          <w:rFonts w:cs="Times New Roman"/>
          <w:szCs w:val="28"/>
          <w14:ligatures w14:val="none"/>
        </w:rPr>
      </w:pPr>
      <w:r>
        <w:rPr>
          <w:rFonts w:cs="Times New Roman" w:hint="eastAsia"/>
          <w:szCs w:val="28"/>
          <w14:ligatures w14:val="none"/>
        </w:rPr>
        <w:t>年平均相对湿度</w:t>
      </w:r>
      <w:r>
        <w:rPr>
          <w:rFonts w:cs="Times New Roman" w:hint="eastAsia"/>
          <w:szCs w:val="28"/>
          <w14:ligatures w14:val="none"/>
        </w:rPr>
        <w:t xml:space="preserve">                      54.5%</w:t>
      </w:r>
    </w:p>
    <w:p w14:paraId="2BC8F4DB" w14:textId="77777777" w:rsidR="00EF4562" w:rsidRDefault="00000000">
      <w:pPr>
        <w:ind w:firstLine="560"/>
        <w:rPr>
          <w:rFonts w:cs="Times New Roman"/>
          <w:szCs w:val="28"/>
          <w14:ligatures w14:val="none"/>
        </w:rPr>
      </w:pPr>
      <w:r>
        <w:rPr>
          <w:rFonts w:cs="Times New Roman" w:hint="eastAsia"/>
          <w:szCs w:val="28"/>
          <w14:ligatures w14:val="none"/>
        </w:rPr>
        <w:lastRenderedPageBreak/>
        <w:t>③风向和风压</w:t>
      </w:r>
    </w:p>
    <w:p w14:paraId="57663925" w14:textId="77777777" w:rsidR="00EF4562" w:rsidRDefault="00000000">
      <w:pPr>
        <w:ind w:firstLine="560"/>
        <w:rPr>
          <w:rFonts w:cs="Times New Roman"/>
          <w:szCs w:val="28"/>
          <w14:ligatures w14:val="none"/>
        </w:rPr>
      </w:pPr>
      <w:r>
        <w:rPr>
          <w:rFonts w:cs="Times New Roman" w:hint="eastAsia"/>
          <w:szCs w:val="28"/>
          <w14:ligatures w14:val="none"/>
        </w:rPr>
        <w:t>夏季主导风向</w:t>
      </w:r>
      <w:r>
        <w:rPr>
          <w:rFonts w:cs="Times New Roman" w:hint="eastAsia"/>
          <w:szCs w:val="28"/>
          <w14:ligatures w14:val="none"/>
        </w:rPr>
        <w:t xml:space="preserve">                        </w:t>
      </w:r>
      <w:r>
        <w:rPr>
          <w:rFonts w:cs="Times New Roman" w:hint="eastAsia"/>
          <w:szCs w:val="28"/>
          <w14:ligatures w14:val="none"/>
        </w:rPr>
        <w:t>南南西（</w:t>
      </w:r>
      <w:r>
        <w:rPr>
          <w:rFonts w:cs="Times New Roman" w:hint="eastAsia"/>
          <w:szCs w:val="28"/>
          <w14:ligatures w14:val="none"/>
        </w:rPr>
        <w:t>SSW</w:t>
      </w:r>
      <w:r>
        <w:rPr>
          <w:rFonts w:cs="Times New Roman" w:hint="eastAsia"/>
          <w:szCs w:val="28"/>
          <w14:ligatures w14:val="none"/>
        </w:rPr>
        <w:t>）</w:t>
      </w:r>
    </w:p>
    <w:p w14:paraId="07AB1424" w14:textId="77777777" w:rsidR="00EF4562" w:rsidRDefault="00000000">
      <w:pPr>
        <w:ind w:firstLine="560"/>
        <w:rPr>
          <w:rFonts w:cs="Times New Roman"/>
          <w:szCs w:val="28"/>
          <w14:ligatures w14:val="none"/>
        </w:rPr>
      </w:pPr>
      <w:r>
        <w:rPr>
          <w:rFonts w:cs="Times New Roman" w:hint="eastAsia"/>
          <w:szCs w:val="28"/>
          <w14:ligatures w14:val="none"/>
        </w:rPr>
        <w:t>冬季主导风向</w:t>
      </w:r>
      <w:r>
        <w:rPr>
          <w:rFonts w:cs="Times New Roman" w:hint="eastAsia"/>
          <w:szCs w:val="28"/>
          <w14:ligatures w14:val="none"/>
        </w:rPr>
        <w:t xml:space="preserve">                        </w:t>
      </w:r>
      <w:r>
        <w:rPr>
          <w:rFonts w:cs="Times New Roman" w:hint="eastAsia"/>
          <w:szCs w:val="28"/>
          <w14:ligatures w14:val="none"/>
        </w:rPr>
        <w:t>北北西（</w:t>
      </w:r>
      <w:r>
        <w:rPr>
          <w:rFonts w:cs="Times New Roman" w:hint="eastAsia"/>
          <w:szCs w:val="28"/>
          <w14:ligatures w14:val="none"/>
        </w:rPr>
        <w:t>NNW</w:t>
      </w:r>
      <w:r>
        <w:rPr>
          <w:rFonts w:cs="Times New Roman" w:hint="eastAsia"/>
          <w:szCs w:val="28"/>
          <w14:ligatures w14:val="none"/>
        </w:rPr>
        <w:t>）</w:t>
      </w:r>
    </w:p>
    <w:p w14:paraId="4930586F" w14:textId="77777777" w:rsidR="00EF4562" w:rsidRDefault="00000000">
      <w:pPr>
        <w:ind w:firstLine="560"/>
        <w:rPr>
          <w:rFonts w:cs="Times New Roman"/>
          <w:szCs w:val="28"/>
          <w14:ligatures w14:val="none"/>
        </w:rPr>
      </w:pPr>
      <w:r>
        <w:rPr>
          <w:rFonts w:cs="Times New Roman" w:hint="eastAsia"/>
          <w:szCs w:val="28"/>
          <w14:ligatures w14:val="none"/>
        </w:rPr>
        <w:t>平均风速</w:t>
      </w:r>
      <w:r>
        <w:rPr>
          <w:rFonts w:cs="Times New Roman" w:hint="eastAsia"/>
          <w:szCs w:val="28"/>
          <w14:ligatures w14:val="none"/>
        </w:rPr>
        <w:t xml:space="preserve">                            3.3m/s</w:t>
      </w:r>
    </w:p>
    <w:p w14:paraId="5EBD6C5F" w14:textId="77777777" w:rsidR="00EF4562" w:rsidRDefault="00000000">
      <w:pPr>
        <w:ind w:firstLine="560"/>
        <w:rPr>
          <w:rFonts w:cs="Times New Roman"/>
          <w:szCs w:val="28"/>
          <w14:ligatures w14:val="none"/>
        </w:rPr>
      </w:pPr>
      <w:r>
        <w:rPr>
          <w:rFonts w:cs="Times New Roman" w:hint="eastAsia"/>
          <w:szCs w:val="28"/>
          <w14:ligatures w14:val="none"/>
        </w:rPr>
        <w:t>最大风速</w:t>
      </w:r>
      <w:r>
        <w:rPr>
          <w:rFonts w:cs="Times New Roman" w:hint="eastAsia"/>
          <w:szCs w:val="28"/>
          <w14:ligatures w14:val="none"/>
        </w:rPr>
        <w:t xml:space="preserve">                            29.7m/s</w:t>
      </w:r>
    </w:p>
    <w:p w14:paraId="23F34E62" w14:textId="77777777" w:rsidR="00EF4562" w:rsidRDefault="00000000">
      <w:pPr>
        <w:ind w:firstLine="560"/>
        <w:rPr>
          <w:rFonts w:cs="Times New Roman"/>
          <w:szCs w:val="28"/>
          <w14:ligatures w14:val="none"/>
        </w:rPr>
      </w:pPr>
      <w:r>
        <w:rPr>
          <w:rFonts w:cs="Times New Roman" w:hint="eastAsia"/>
          <w:szCs w:val="28"/>
          <w14:ligatures w14:val="none"/>
        </w:rPr>
        <w:t>年静风频率</w:t>
      </w:r>
      <w:r>
        <w:rPr>
          <w:rFonts w:cs="Times New Roman" w:hint="eastAsia"/>
          <w:szCs w:val="28"/>
          <w14:ligatures w14:val="none"/>
        </w:rPr>
        <w:t xml:space="preserve">                          8%</w:t>
      </w:r>
    </w:p>
    <w:p w14:paraId="4812BF39" w14:textId="77777777" w:rsidR="00EF4562" w:rsidRDefault="00000000">
      <w:pPr>
        <w:ind w:firstLine="560"/>
        <w:rPr>
          <w:rFonts w:cs="Times New Roman"/>
          <w:szCs w:val="28"/>
          <w14:ligatures w14:val="none"/>
        </w:rPr>
      </w:pPr>
      <w:r>
        <w:rPr>
          <w:rFonts w:cs="Times New Roman" w:hint="eastAsia"/>
          <w:szCs w:val="28"/>
          <w14:ligatures w14:val="none"/>
        </w:rPr>
        <w:t>④降水量</w:t>
      </w:r>
    </w:p>
    <w:p w14:paraId="123EBB56" w14:textId="77777777" w:rsidR="00EF4562" w:rsidRDefault="00000000">
      <w:pPr>
        <w:ind w:firstLine="560"/>
        <w:rPr>
          <w:rFonts w:cs="Times New Roman"/>
          <w:szCs w:val="28"/>
          <w14:ligatures w14:val="none"/>
        </w:rPr>
      </w:pPr>
      <w:r>
        <w:rPr>
          <w:rFonts w:cs="Times New Roman" w:hint="eastAsia"/>
          <w:szCs w:val="28"/>
          <w14:ligatures w14:val="none"/>
        </w:rPr>
        <w:t>年平均降雨量</w:t>
      </w:r>
      <w:r>
        <w:rPr>
          <w:rFonts w:cs="Times New Roman" w:hint="eastAsia"/>
          <w:szCs w:val="28"/>
          <w14:ligatures w14:val="none"/>
        </w:rPr>
        <w:t xml:space="preserve">                        540-640mm</w:t>
      </w:r>
    </w:p>
    <w:p w14:paraId="0BA58C9D" w14:textId="77777777" w:rsidR="00EF4562" w:rsidRDefault="00000000">
      <w:pPr>
        <w:ind w:firstLine="560"/>
        <w:rPr>
          <w:rFonts w:cs="Times New Roman"/>
          <w:szCs w:val="28"/>
          <w14:ligatures w14:val="none"/>
        </w:rPr>
      </w:pPr>
      <w:r>
        <w:rPr>
          <w:rFonts w:cs="Times New Roman" w:hint="eastAsia"/>
          <w:szCs w:val="28"/>
          <w14:ligatures w14:val="none"/>
        </w:rPr>
        <w:t>日最大降雨量</w:t>
      </w:r>
      <w:r>
        <w:rPr>
          <w:rFonts w:cs="Times New Roman" w:hint="eastAsia"/>
          <w:szCs w:val="28"/>
          <w14:ligatures w14:val="none"/>
        </w:rPr>
        <w:t xml:space="preserve">                        142.2mm</w:t>
      </w:r>
    </w:p>
    <w:p w14:paraId="6910299E" w14:textId="77777777" w:rsidR="00EF4562" w:rsidRDefault="00000000">
      <w:pPr>
        <w:ind w:firstLine="560"/>
        <w:rPr>
          <w:rFonts w:cs="Times New Roman"/>
          <w:szCs w:val="28"/>
          <w14:ligatures w14:val="none"/>
        </w:rPr>
      </w:pPr>
      <w:r>
        <w:rPr>
          <w:rFonts w:cs="Times New Roman" w:hint="eastAsia"/>
          <w:szCs w:val="28"/>
          <w14:ligatures w14:val="none"/>
        </w:rPr>
        <w:t>小时最大降雨量</w:t>
      </w:r>
      <w:r>
        <w:rPr>
          <w:rFonts w:cs="Times New Roman" w:hint="eastAsia"/>
          <w:szCs w:val="28"/>
          <w14:ligatures w14:val="none"/>
        </w:rPr>
        <w:t xml:space="preserve">                      30.8mm</w:t>
      </w:r>
    </w:p>
    <w:p w14:paraId="2C197049" w14:textId="77777777" w:rsidR="00EF4562" w:rsidRDefault="00000000">
      <w:pPr>
        <w:ind w:firstLine="560"/>
        <w:rPr>
          <w:rFonts w:cs="Times New Roman"/>
          <w:szCs w:val="28"/>
          <w14:ligatures w14:val="none"/>
        </w:rPr>
      </w:pPr>
      <w:r>
        <w:rPr>
          <w:rFonts w:cs="Times New Roman" w:hint="eastAsia"/>
          <w:szCs w:val="28"/>
          <w14:ligatures w14:val="none"/>
        </w:rPr>
        <w:t>最大降雪深度</w:t>
      </w:r>
      <w:r>
        <w:rPr>
          <w:rFonts w:cs="Times New Roman" w:hint="eastAsia"/>
          <w:szCs w:val="28"/>
          <w14:ligatures w14:val="none"/>
        </w:rPr>
        <w:t xml:space="preserve">                        180cm</w:t>
      </w:r>
    </w:p>
    <w:p w14:paraId="66F56AD9" w14:textId="77777777" w:rsidR="00EF4562" w:rsidRDefault="00000000">
      <w:pPr>
        <w:ind w:firstLine="560"/>
        <w:rPr>
          <w:rFonts w:cs="Times New Roman"/>
          <w:szCs w:val="28"/>
          <w14:ligatures w14:val="none"/>
        </w:rPr>
      </w:pPr>
      <w:r>
        <w:rPr>
          <w:rFonts w:cs="Times New Roman" w:hint="eastAsia"/>
          <w:szCs w:val="28"/>
          <w14:ligatures w14:val="none"/>
        </w:rPr>
        <w:t>⑤大气压</w:t>
      </w:r>
    </w:p>
    <w:p w14:paraId="7010E7DD" w14:textId="77777777" w:rsidR="00EF4562" w:rsidRDefault="00000000">
      <w:pPr>
        <w:ind w:firstLine="560"/>
        <w:rPr>
          <w:rFonts w:cs="Times New Roman"/>
          <w:szCs w:val="28"/>
          <w14:ligatures w14:val="none"/>
        </w:rPr>
      </w:pPr>
      <w:r>
        <w:rPr>
          <w:rFonts w:cs="Times New Roman" w:hint="eastAsia"/>
          <w:szCs w:val="28"/>
          <w14:ligatures w14:val="none"/>
        </w:rPr>
        <w:t>年平均大气压</w:t>
      </w:r>
      <w:r>
        <w:rPr>
          <w:rFonts w:cs="Times New Roman" w:hint="eastAsia"/>
          <w:szCs w:val="28"/>
          <w14:ligatures w14:val="none"/>
        </w:rPr>
        <w:t xml:space="preserve">                        99.74kPa</w:t>
      </w:r>
    </w:p>
    <w:p w14:paraId="539BEBBD" w14:textId="77777777" w:rsidR="00EF4562" w:rsidRDefault="00000000">
      <w:pPr>
        <w:ind w:firstLine="560"/>
        <w:rPr>
          <w:rFonts w:cs="Times New Roman"/>
          <w:szCs w:val="28"/>
          <w14:ligatures w14:val="none"/>
        </w:rPr>
      </w:pPr>
      <w:r>
        <w:rPr>
          <w:rFonts w:cs="Times New Roman" w:hint="eastAsia"/>
          <w:szCs w:val="28"/>
          <w14:ligatures w14:val="none"/>
        </w:rPr>
        <w:t>土壤冻结深度</w:t>
      </w:r>
      <w:r>
        <w:rPr>
          <w:rFonts w:cs="Times New Roman" w:hint="eastAsia"/>
          <w:szCs w:val="28"/>
          <w14:ligatures w14:val="none"/>
        </w:rPr>
        <w:t xml:space="preserve">                        79cm</w:t>
      </w:r>
    </w:p>
    <w:p w14:paraId="1FAFA594" w14:textId="77777777" w:rsidR="00EF4562" w:rsidRDefault="00000000">
      <w:pPr>
        <w:ind w:firstLine="560"/>
        <w:rPr>
          <w:rFonts w:cs="Times New Roman"/>
          <w:szCs w:val="28"/>
          <w14:ligatures w14:val="none"/>
        </w:rPr>
      </w:pPr>
      <w:r>
        <w:rPr>
          <w:rFonts w:cs="Times New Roman" w:hint="eastAsia"/>
          <w:szCs w:val="28"/>
          <w14:ligatures w14:val="none"/>
        </w:rPr>
        <w:t>年均雷暴日</w:t>
      </w:r>
      <w:r>
        <w:rPr>
          <w:rFonts w:cs="Times New Roman" w:hint="eastAsia"/>
          <w:szCs w:val="28"/>
          <w14:ligatures w14:val="none"/>
        </w:rPr>
        <w:t xml:space="preserve">                          28.8d</w:t>
      </w:r>
    </w:p>
    <w:p w14:paraId="306FD22B" w14:textId="77777777" w:rsidR="00EF4562" w:rsidRDefault="00000000">
      <w:pPr>
        <w:ind w:firstLine="560"/>
      </w:pPr>
      <w:r>
        <w:rPr>
          <w:rFonts w:hint="eastAsia"/>
        </w:rPr>
        <w:t>（</w:t>
      </w:r>
      <w:r>
        <w:rPr>
          <w:rFonts w:hint="eastAsia"/>
        </w:rPr>
        <w:t>2</w:t>
      </w:r>
      <w:r>
        <w:rPr>
          <w:rFonts w:hint="eastAsia"/>
        </w:rPr>
        <w:t>）地震烈度</w:t>
      </w:r>
    </w:p>
    <w:p w14:paraId="4CDE8653" w14:textId="77777777" w:rsidR="00EF4562" w:rsidRDefault="00000000">
      <w:pPr>
        <w:ind w:firstLine="560"/>
        <w:rPr>
          <w:rFonts w:cs="Times New Roman"/>
          <w:szCs w:val="28"/>
          <w14:ligatures w14:val="none"/>
        </w:rPr>
      </w:pPr>
      <w:r>
        <w:rPr>
          <w:rFonts w:cs="Times New Roman" w:hint="eastAsia"/>
          <w:szCs w:val="28"/>
          <w14:ligatures w14:val="none"/>
        </w:rPr>
        <w:t>根据《建筑抗震设计标准（</w:t>
      </w:r>
      <w:r>
        <w:rPr>
          <w:rFonts w:cs="Times New Roman" w:hint="eastAsia"/>
          <w:szCs w:val="28"/>
          <w14:ligatures w14:val="none"/>
        </w:rPr>
        <w:t>2024</w:t>
      </w:r>
      <w:r>
        <w:rPr>
          <w:rFonts w:cs="Times New Roman" w:hint="eastAsia"/>
          <w:szCs w:val="28"/>
          <w14:ligatures w14:val="none"/>
        </w:rPr>
        <w:t>年版）》（</w:t>
      </w:r>
      <w:r>
        <w:rPr>
          <w:rFonts w:cs="Times New Roman" w:hint="eastAsia"/>
          <w:szCs w:val="28"/>
          <w14:ligatures w14:val="none"/>
        </w:rPr>
        <w:t>GB/T 50011-2010</w:t>
      </w:r>
      <w:r>
        <w:rPr>
          <w:rFonts w:cs="Times New Roman" w:hint="eastAsia"/>
          <w:szCs w:val="28"/>
          <w14:ligatures w14:val="none"/>
        </w:rPr>
        <w:t>）中附</w:t>
      </w:r>
      <w:r>
        <w:rPr>
          <w:rFonts w:cs="Times New Roman" w:hint="eastAsia"/>
          <w:szCs w:val="28"/>
          <w14:ligatures w14:val="none"/>
        </w:rPr>
        <w:t>A.0.6</w:t>
      </w:r>
      <w:r>
        <w:rPr>
          <w:rFonts w:cs="Times New Roman" w:hint="eastAsia"/>
          <w:szCs w:val="28"/>
          <w14:ligatures w14:val="none"/>
        </w:rPr>
        <w:t>的规定，本项目所在地区的抗震设防烈度为</w:t>
      </w:r>
      <w:r>
        <w:rPr>
          <w:rFonts w:cs="Times New Roman" w:hint="eastAsia"/>
          <w:szCs w:val="28"/>
          <w14:ligatures w14:val="none"/>
        </w:rPr>
        <w:t>6</w:t>
      </w:r>
      <w:r>
        <w:rPr>
          <w:rFonts w:cs="Times New Roman" w:hint="eastAsia"/>
          <w:szCs w:val="28"/>
          <w14:ligatures w14:val="none"/>
        </w:rPr>
        <w:t>度，设计基本地震加速度值为</w:t>
      </w:r>
      <w:r>
        <w:rPr>
          <w:rFonts w:cs="Times New Roman" w:hint="eastAsia"/>
          <w:szCs w:val="28"/>
          <w14:ligatures w14:val="none"/>
        </w:rPr>
        <w:t>0.05g</w:t>
      </w:r>
      <w:r>
        <w:rPr>
          <w:rFonts w:cs="Times New Roman" w:hint="eastAsia"/>
          <w:szCs w:val="28"/>
          <w14:ligatures w14:val="none"/>
        </w:rPr>
        <w:t>，所属的设计地震分组为第二组</w:t>
      </w:r>
      <w:r>
        <w:rPr>
          <w:rFonts w:cs="Times New Roman"/>
          <w:szCs w:val="28"/>
          <w14:ligatures w14:val="none"/>
        </w:rPr>
        <w:t>。</w:t>
      </w:r>
    </w:p>
    <w:p w14:paraId="0FD3FBAB"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6.1.3</w:t>
      </w:r>
      <w:r>
        <w:rPr>
          <w:rFonts w:ascii="黑体" w:eastAsia="黑体" w:hAnsi="黑体" w:hint="eastAsia"/>
          <w:b/>
          <w:bCs/>
        </w:rPr>
        <w:t>建设项目中危险化学品生产装置和储存数量构成重大危险源的储存设施与下列场所、区域的距离</w:t>
      </w:r>
    </w:p>
    <w:p w14:paraId="526A769C" w14:textId="77777777" w:rsidR="00EF4562" w:rsidRDefault="00000000">
      <w:pPr>
        <w:ind w:firstLine="560"/>
      </w:pPr>
      <w:r>
        <w:rPr>
          <w:rFonts w:hint="eastAsia"/>
        </w:rPr>
        <w:t>该项目危险化学品储存设施的储存数量未构成重大危险源。</w:t>
      </w:r>
    </w:p>
    <w:p w14:paraId="59550DF2"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33" w:name="_Toc207695639"/>
      <w:r>
        <w:rPr>
          <w:rFonts w:eastAsia="楷体" w:cs="Times New Roman"/>
          <w:b/>
          <w:bCs/>
          <w:sz w:val="32"/>
          <w:szCs w:val="32"/>
        </w:rPr>
        <w:lastRenderedPageBreak/>
        <w:t>6.2</w:t>
      </w:r>
      <w:r>
        <w:rPr>
          <w:rFonts w:ascii="楷体" w:eastAsia="楷体" w:hAnsi="楷体" w:hint="eastAsia"/>
          <w:b/>
          <w:bCs/>
          <w:sz w:val="32"/>
          <w:szCs w:val="32"/>
        </w:rPr>
        <w:t>建设项目的安全条件</w:t>
      </w:r>
      <w:bookmarkEnd w:id="33"/>
    </w:p>
    <w:p w14:paraId="2F04DD7F"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6.2.1</w:t>
      </w:r>
      <w:r>
        <w:rPr>
          <w:rFonts w:ascii="黑体" w:eastAsia="黑体" w:hAnsi="黑体" w:hint="eastAsia"/>
          <w:b/>
          <w:bCs/>
        </w:rPr>
        <w:t>建设项目内在的危险、有害因素和建设项目可能发生的各类事故，对建设项目周边单位生产、经营活动或者居民生活的影响</w:t>
      </w:r>
    </w:p>
    <w:p w14:paraId="68B23025" w14:textId="77777777" w:rsidR="00EF4562" w:rsidRDefault="00000000">
      <w:pPr>
        <w:ind w:firstLine="560"/>
      </w:pPr>
      <w:r>
        <w:rPr>
          <w:rFonts w:hint="eastAsia"/>
        </w:rPr>
        <w:t>从表</w:t>
      </w:r>
      <w:r>
        <w:rPr>
          <w:rFonts w:hint="eastAsia"/>
        </w:rPr>
        <w:t>D-2</w:t>
      </w:r>
      <w:r>
        <w:rPr>
          <w:rFonts w:hint="eastAsia"/>
        </w:rPr>
        <w:t>可以看出，该项目涉及改造的加油设备、设施与站外建（构）筑物的间距满足《汽车加油加气加氢站技术标准》（</w:t>
      </w:r>
      <w:r>
        <w:rPr>
          <w:rFonts w:hint="eastAsia"/>
        </w:rPr>
        <w:t>GB 50156-2021</w:t>
      </w:r>
      <w:r>
        <w:rPr>
          <w:rFonts w:hint="eastAsia"/>
        </w:rPr>
        <w:t>）表</w:t>
      </w:r>
      <w:r>
        <w:rPr>
          <w:rFonts w:hint="eastAsia"/>
        </w:rPr>
        <w:t>4.0.4</w:t>
      </w:r>
      <w:r>
        <w:rPr>
          <w:rFonts w:hint="eastAsia"/>
        </w:rPr>
        <w:t>的规范要求。同时，该项目加油机设有加油油气回收系统、拉断阀等安全措施，可在加油时有效将油气回收至油罐内、防止加油软管被拉断或加油机被拉到，因此，对周边造成的影响较小。</w:t>
      </w:r>
    </w:p>
    <w:p w14:paraId="16EDE192" w14:textId="77777777" w:rsidR="00EF4562" w:rsidRDefault="00000000">
      <w:pPr>
        <w:ind w:firstLine="505"/>
        <w:rPr>
          <w:rFonts w:eastAsia="黑体" w:cs="Times New Roman"/>
          <w:b/>
          <w:bCs/>
          <w:w w:val="90"/>
        </w:rPr>
      </w:pPr>
      <w:r>
        <w:rPr>
          <w:rFonts w:eastAsia="黑体" w:cs="Times New Roman"/>
          <w:b/>
          <w:bCs/>
          <w:w w:val="90"/>
        </w:rPr>
        <w:t>6.2.2</w:t>
      </w:r>
      <w:r>
        <w:rPr>
          <w:rFonts w:eastAsia="黑体" w:cs="Times New Roman" w:hint="eastAsia"/>
          <w:b/>
          <w:bCs/>
          <w:w w:val="90"/>
        </w:rPr>
        <w:t>建设项目周边单位生产、经营活动或者居民生活对建设项目的影响</w:t>
      </w:r>
    </w:p>
    <w:p w14:paraId="3EF3679E" w14:textId="77777777" w:rsidR="00EF4562" w:rsidRDefault="00000000">
      <w:pPr>
        <w:ind w:firstLine="560"/>
      </w:pPr>
      <w:r>
        <w:rPr>
          <w:rFonts w:hint="eastAsia"/>
        </w:rPr>
        <w:t>由于该项目在总平面布置等方面充分考虑了与站外周边建（构）筑物安全间距，其建成后站内主要设施与周边距离能够达到国家现行规范标准要求。</w:t>
      </w:r>
    </w:p>
    <w:p w14:paraId="1ADB007A" w14:textId="77777777" w:rsidR="00EF4562" w:rsidRDefault="00000000">
      <w:pPr>
        <w:ind w:firstLine="560"/>
      </w:pPr>
      <w:r>
        <w:rPr>
          <w:rFonts w:hint="eastAsia"/>
        </w:rPr>
        <w:t>建设项目周边的建（构）筑物如果发生火灾事故，可能会对该项目产生影响。该站为加油与</w:t>
      </w:r>
      <w:r>
        <w:rPr>
          <w:rFonts w:hint="eastAsia"/>
        </w:rPr>
        <w:t>LNG</w:t>
      </w:r>
      <w:r>
        <w:rPr>
          <w:rFonts w:hint="eastAsia"/>
        </w:rPr>
        <w:t>加气合建站，若</w:t>
      </w:r>
      <w:r>
        <w:rPr>
          <w:rFonts w:hint="eastAsia"/>
        </w:rPr>
        <w:t>LNG</w:t>
      </w:r>
      <w:r>
        <w:rPr>
          <w:rFonts w:hint="eastAsia"/>
        </w:rPr>
        <w:t>储罐潜液泵一体撬、加气机等加气设备、设施故障、损坏或人员误操作等原因，可能造成天然气泄漏，从而引发火灾、爆炸和中毒窒息事故。进站加油的车辆不熄火、人员吸烟、打手机等行为可能会对该项目产生一定的影响。周边道路上行驶车辆行驶不规范，行人在站外吸烟等行为可能会对该项目产生影响。因此，员工应加强与周边人员的交流，使其了解该项目存在的危险性和在该项目周边日常活动的注意事项，以保障该项目的安全运营。</w:t>
      </w:r>
    </w:p>
    <w:p w14:paraId="5EAE0742" w14:textId="77777777" w:rsidR="00EF4562" w:rsidRDefault="00000000">
      <w:pPr>
        <w:spacing w:beforeLines="50" w:before="190"/>
        <w:ind w:firstLine="505"/>
        <w:outlineLvl w:val="2"/>
        <w:rPr>
          <w:rFonts w:ascii="黑体" w:eastAsia="黑体" w:hAnsi="黑体" w:hint="eastAsia"/>
          <w:b/>
          <w:bCs/>
          <w:w w:val="90"/>
        </w:rPr>
      </w:pPr>
      <w:r>
        <w:rPr>
          <w:rFonts w:eastAsia="黑体" w:cs="Times New Roman"/>
          <w:b/>
          <w:bCs/>
          <w:w w:val="90"/>
        </w:rPr>
        <w:t>6.2.3</w:t>
      </w:r>
      <w:r>
        <w:rPr>
          <w:rFonts w:ascii="黑体" w:eastAsia="黑体" w:hAnsi="黑体" w:hint="eastAsia"/>
          <w:b/>
          <w:bCs/>
          <w:w w:val="90"/>
        </w:rPr>
        <w:t>建设项目所在地的自然条件对建设项目投入生产或者使用后的影响</w:t>
      </w:r>
    </w:p>
    <w:p w14:paraId="55595EFE" w14:textId="77777777" w:rsidR="00EF4562" w:rsidRDefault="00000000">
      <w:pPr>
        <w:ind w:firstLine="560"/>
      </w:pPr>
      <w:r>
        <w:rPr>
          <w:rFonts w:hint="eastAsia"/>
        </w:rPr>
        <w:t>自然环境危险有害因素主要包括雷击、地震、高低气温和洪水、台风等。</w:t>
      </w:r>
    </w:p>
    <w:p w14:paraId="609E2551" w14:textId="77777777" w:rsidR="00EF4562" w:rsidRDefault="00000000">
      <w:pPr>
        <w:ind w:firstLine="560"/>
      </w:pPr>
      <w:r>
        <w:rPr>
          <w:rFonts w:hint="eastAsia"/>
        </w:rPr>
        <w:t>（</w:t>
      </w:r>
      <w:r>
        <w:rPr>
          <w:rFonts w:hint="eastAsia"/>
        </w:rPr>
        <w:t>1</w:t>
      </w:r>
      <w:r>
        <w:rPr>
          <w:rFonts w:hint="eastAsia"/>
        </w:rPr>
        <w:t>）雷击</w:t>
      </w:r>
    </w:p>
    <w:p w14:paraId="2E0A759C" w14:textId="77777777" w:rsidR="00EF4562" w:rsidRDefault="00000000">
      <w:pPr>
        <w:ind w:firstLine="560"/>
      </w:pPr>
      <w:r>
        <w:rPr>
          <w:rFonts w:hint="eastAsia"/>
        </w:rPr>
        <w:t>电气线路等有可能遭受雷电侵袭破坏，引起泄漏、火灾、爆炸、人身伤害等事故。本区域夏季汛期雷暴雨较多，属雷击危险区域，建议项目的重点</w:t>
      </w:r>
      <w:r>
        <w:rPr>
          <w:rFonts w:hint="eastAsia"/>
        </w:rPr>
        <w:lastRenderedPageBreak/>
        <w:t>建筑物、构筑物、电力设备和设施应作好防雷电设计，并采取有效避雷措施。</w:t>
      </w:r>
    </w:p>
    <w:p w14:paraId="624EABB3" w14:textId="77777777" w:rsidR="00EF4562" w:rsidRDefault="00000000">
      <w:pPr>
        <w:ind w:firstLine="560"/>
      </w:pPr>
      <w:r>
        <w:rPr>
          <w:rFonts w:hint="eastAsia"/>
        </w:rPr>
        <w:t>（</w:t>
      </w:r>
      <w:r>
        <w:rPr>
          <w:rFonts w:hint="eastAsia"/>
        </w:rPr>
        <w:t>2</w:t>
      </w:r>
      <w:r>
        <w:rPr>
          <w:rFonts w:hint="eastAsia"/>
        </w:rPr>
        <w:t>）地震</w:t>
      </w:r>
    </w:p>
    <w:p w14:paraId="7F1DDD8C" w14:textId="77777777" w:rsidR="00EF4562" w:rsidRDefault="00000000">
      <w:pPr>
        <w:ind w:firstLine="560"/>
      </w:pPr>
      <w:r>
        <w:rPr>
          <w:rFonts w:hint="eastAsia"/>
        </w:rPr>
        <w:t>该站所在区域抗震设防烈度为</w:t>
      </w:r>
      <w:r>
        <w:rPr>
          <w:rFonts w:hint="eastAsia"/>
        </w:rPr>
        <w:t>6</w:t>
      </w:r>
      <w:r>
        <w:rPr>
          <w:rFonts w:hint="eastAsia"/>
        </w:rPr>
        <w:t>度。强烈地震可能造成设备、管道的破坏，同时会造成危险物质大量泄漏，进而可能引发火灾、爆炸等灾害事故，造成人员伤亡。</w:t>
      </w:r>
    </w:p>
    <w:p w14:paraId="37C936CD" w14:textId="77777777" w:rsidR="00EF4562" w:rsidRDefault="00000000">
      <w:pPr>
        <w:ind w:firstLine="560"/>
      </w:pPr>
      <w:r>
        <w:rPr>
          <w:rFonts w:hint="eastAsia"/>
        </w:rPr>
        <w:t>（</w:t>
      </w:r>
      <w:r>
        <w:rPr>
          <w:rFonts w:hint="eastAsia"/>
        </w:rPr>
        <w:t>3</w:t>
      </w:r>
      <w:r>
        <w:rPr>
          <w:rFonts w:hint="eastAsia"/>
        </w:rPr>
        <w:t>）高温、低温</w:t>
      </w:r>
    </w:p>
    <w:p w14:paraId="3D482286" w14:textId="77777777" w:rsidR="00EF4562" w:rsidRDefault="00000000">
      <w:pPr>
        <w:ind w:firstLine="560"/>
      </w:pPr>
      <w:r>
        <w:rPr>
          <w:rFonts w:hint="eastAsia"/>
        </w:rPr>
        <w:t>该区域年极端最高气温</w:t>
      </w:r>
      <w:r>
        <w:rPr>
          <w:rFonts w:hint="eastAsia"/>
        </w:rPr>
        <w:t>41.8</w:t>
      </w:r>
      <w:r>
        <w:rPr>
          <w:rFonts w:cs="Times New Roman"/>
        </w:rPr>
        <w:t>℃</w:t>
      </w:r>
      <w:r>
        <w:rPr>
          <w:rFonts w:hint="eastAsia"/>
        </w:rPr>
        <w:t>，冬季最低温度在</w:t>
      </w:r>
      <w:r>
        <w:rPr>
          <w:rFonts w:hint="eastAsia"/>
        </w:rPr>
        <w:t>-31.3</w:t>
      </w:r>
      <w:r>
        <w:rPr>
          <w:rFonts w:cs="Times New Roman"/>
        </w:rPr>
        <w:t>℃</w:t>
      </w:r>
      <w:r>
        <w:rPr>
          <w:rFonts w:hint="eastAsia"/>
        </w:rPr>
        <w:t>左右。操作人员在高温及低温环境中易出现操作失误。严寒有可能导致设备、管道、阀门冻坏破裂。</w:t>
      </w:r>
    </w:p>
    <w:p w14:paraId="13615689" w14:textId="77777777" w:rsidR="00EF4562" w:rsidRDefault="00000000">
      <w:pPr>
        <w:ind w:firstLine="560"/>
      </w:pPr>
      <w:r>
        <w:rPr>
          <w:rFonts w:hint="eastAsia"/>
        </w:rPr>
        <w:t>（</w:t>
      </w:r>
      <w:r>
        <w:rPr>
          <w:rFonts w:hint="eastAsia"/>
        </w:rPr>
        <w:t>4</w:t>
      </w:r>
      <w:r>
        <w:rPr>
          <w:rFonts w:hint="eastAsia"/>
        </w:rPr>
        <w:t>）洪水、台风</w:t>
      </w:r>
    </w:p>
    <w:p w14:paraId="18416FCF" w14:textId="77777777" w:rsidR="00EF4562" w:rsidRDefault="00000000">
      <w:pPr>
        <w:ind w:firstLine="560"/>
      </w:pPr>
      <w:r>
        <w:rPr>
          <w:rFonts w:hint="eastAsia"/>
        </w:rPr>
        <w:t>该区域年平均降雨量为</w:t>
      </w:r>
      <w:r>
        <w:rPr>
          <w:rFonts w:hint="eastAsia"/>
        </w:rPr>
        <w:t>540-640mm</w:t>
      </w:r>
      <w:r>
        <w:rPr>
          <w:rFonts w:hint="eastAsia"/>
        </w:rPr>
        <w:t>。一旦发生洪水或雨量过大时，会发生水淹等事故，造成有害物质外泄，污染周围环境。电力、电气设备受潮，环境湿度增大，可能进一步引发电气事故、电气故障。</w:t>
      </w:r>
    </w:p>
    <w:p w14:paraId="216B07DB" w14:textId="77777777" w:rsidR="00EF4562" w:rsidRDefault="00000000">
      <w:pPr>
        <w:ind w:firstLine="560"/>
        <w:sectPr w:rsidR="00EF4562">
          <w:pgSz w:w="11906" w:h="16838"/>
          <w:pgMar w:top="1418" w:right="1134" w:bottom="1134" w:left="1588" w:header="851" w:footer="992" w:gutter="0"/>
          <w:cols w:space="425"/>
          <w:docGrid w:type="linesAndChars" w:linePitch="381"/>
        </w:sectPr>
      </w:pPr>
      <w:r>
        <w:rPr>
          <w:rFonts w:hint="eastAsia"/>
        </w:rPr>
        <w:t>由上分析可知，该地区自然条件对该站的运营会造成一定的影响，但采取有效防范措施后，其影响可消除或减弱到不会影响该项目的正常运营。</w:t>
      </w:r>
    </w:p>
    <w:p w14:paraId="2219241E" w14:textId="77777777" w:rsidR="00EF4562" w:rsidRDefault="00000000">
      <w:pPr>
        <w:spacing w:beforeLines="150" w:before="571" w:afterLines="150" w:after="571"/>
        <w:ind w:firstLineChars="0" w:firstLine="0"/>
        <w:jc w:val="center"/>
        <w:outlineLvl w:val="0"/>
        <w:rPr>
          <w:rFonts w:ascii="黑体" w:eastAsia="黑体" w:hAnsi="黑体" w:hint="eastAsia"/>
          <w:b/>
          <w:bCs/>
          <w:sz w:val="32"/>
          <w:szCs w:val="32"/>
        </w:rPr>
      </w:pPr>
      <w:bookmarkStart w:id="34" w:name="_Toc207695640"/>
      <w:r>
        <w:rPr>
          <w:rFonts w:eastAsia="黑体" w:cs="Times New Roman"/>
          <w:b/>
          <w:bCs/>
          <w:sz w:val="32"/>
          <w:szCs w:val="32"/>
        </w:rPr>
        <w:lastRenderedPageBreak/>
        <w:t>7</w:t>
      </w:r>
      <w:r>
        <w:rPr>
          <w:rFonts w:ascii="黑体" w:eastAsia="黑体" w:hAnsi="黑体" w:hint="eastAsia"/>
          <w:b/>
          <w:bCs/>
          <w:sz w:val="32"/>
          <w:szCs w:val="32"/>
        </w:rPr>
        <w:t>主要技术、工艺或者方式和装置、设备、设施及其安全可靠性</w:t>
      </w:r>
      <w:bookmarkEnd w:id="34"/>
    </w:p>
    <w:p w14:paraId="398B5848"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35" w:name="_Toc207695641"/>
      <w:r>
        <w:rPr>
          <w:rFonts w:eastAsia="楷体" w:cs="Times New Roman"/>
          <w:b/>
          <w:bCs/>
          <w:sz w:val="32"/>
          <w:szCs w:val="32"/>
        </w:rPr>
        <w:t>7.1</w:t>
      </w:r>
      <w:r>
        <w:rPr>
          <w:rFonts w:ascii="楷体" w:eastAsia="楷体" w:hAnsi="楷体" w:hint="eastAsia"/>
          <w:b/>
          <w:bCs/>
          <w:sz w:val="32"/>
          <w:szCs w:val="32"/>
        </w:rPr>
        <w:t>主要技术、工艺或者方式和装置、设备、设施的安全可靠性</w:t>
      </w:r>
      <w:bookmarkEnd w:id="35"/>
    </w:p>
    <w:p w14:paraId="31C6A3A4" w14:textId="77777777" w:rsidR="00EF4562" w:rsidRDefault="00000000">
      <w:pPr>
        <w:ind w:firstLine="560"/>
      </w:pPr>
      <w:r>
        <w:rPr>
          <w:rFonts w:hint="eastAsia"/>
        </w:rPr>
        <w:t>该站投入使用后主要完成油品卸入（入埋地油罐）和油品输出（出售）的过程，该项目工艺过程采用密闭卸油和加油方式，卸油、加油和储油工艺技术是普遍采用的成熟的技术，设备及工艺安全可靠。</w:t>
      </w:r>
    </w:p>
    <w:p w14:paraId="2C808A1E" w14:textId="77777777" w:rsidR="00EF4562" w:rsidRDefault="00000000">
      <w:pPr>
        <w:ind w:firstLine="560"/>
      </w:pPr>
      <w:r>
        <w:rPr>
          <w:rFonts w:hint="eastAsia"/>
        </w:rPr>
        <w:t>自吸式加油机：加油机内设有独立的输油管道与油罐相连通。车用乙醇汽油加油机带有加油油气回收功能，加油枪带有自封功能。</w:t>
      </w:r>
    </w:p>
    <w:p w14:paraId="5A3F7BEF" w14:textId="77777777" w:rsidR="00EF4562" w:rsidRDefault="00000000">
      <w:pPr>
        <w:ind w:firstLine="560"/>
      </w:pPr>
      <w:r>
        <w:rPr>
          <w:rFonts w:hint="eastAsia"/>
        </w:rPr>
        <w:t>油气回收：采用分散式真空辅助式油气回收设备，在加油过程中挥发的油气通过地下油气回收管线收集到地下储罐内的油气回收过程。</w:t>
      </w:r>
    </w:p>
    <w:p w14:paraId="50827443" w14:textId="77777777" w:rsidR="00EF4562" w:rsidRDefault="00000000">
      <w:pPr>
        <w:ind w:firstLine="560"/>
      </w:pPr>
      <w:r>
        <w:rPr>
          <w:rFonts w:hint="eastAsia"/>
        </w:rPr>
        <w:t>拉断阀：拉断阀安装在加油枪软管上，是防止软管被拉断而发生泄漏事故的专用保护装置。</w:t>
      </w:r>
    </w:p>
    <w:p w14:paraId="37B31285" w14:textId="77777777" w:rsidR="00EF4562" w:rsidRDefault="00000000">
      <w:pPr>
        <w:ind w:firstLine="560"/>
      </w:pPr>
      <w:r>
        <w:rPr>
          <w:rFonts w:hint="eastAsia"/>
        </w:rPr>
        <w:t>紧急切断按钮：站房内设有紧急切断按钮，可以远程控制自吸泵的启动和关闭，发生意外时可在营业厅第一时间切断电源。</w:t>
      </w:r>
    </w:p>
    <w:p w14:paraId="6BDA4C89" w14:textId="77777777" w:rsidR="00EF4562" w:rsidRDefault="00000000">
      <w:pPr>
        <w:ind w:firstLine="560"/>
      </w:pPr>
      <w:r>
        <w:rPr>
          <w:rFonts w:hint="eastAsia"/>
        </w:rPr>
        <w:t>该项目工艺过程是国内较先进的工艺技术，技术上安全可靠。</w:t>
      </w:r>
    </w:p>
    <w:p w14:paraId="30B703E7"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36" w:name="_Toc207695642"/>
      <w:r>
        <w:rPr>
          <w:rFonts w:eastAsia="楷体" w:cs="Times New Roman"/>
          <w:b/>
          <w:bCs/>
          <w:sz w:val="32"/>
          <w:szCs w:val="32"/>
        </w:rPr>
        <w:t>7.2</w:t>
      </w:r>
      <w:r>
        <w:rPr>
          <w:rFonts w:ascii="楷体" w:eastAsia="楷体" w:hAnsi="楷体" w:hint="eastAsia"/>
          <w:b/>
          <w:bCs/>
          <w:sz w:val="32"/>
          <w:szCs w:val="32"/>
        </w:rPr>
        <w:t>主要装置、设备或者设施与危险化学品生产或者储存过程的匹配情况</w:t>
      </w:r>
      <w:bookmarkEnd w:id="36"/>
    </w:p>
    <w:p w14:paraId="781D908D" w14:textId="77777777" w:rsidR="00EF4562" w:rsidRDefault="00000000">
      <w:pPr>
        <w:ind w:firstLine="560"/>
      </w:pPr>
      <w:r>
        <w:rPr>
          <w:rFonts w:hint="eastAsia"/>
        </w:rPr>
        <w:t>该项目设</w:t>
      </w:r>
      <w:r>
        <w:rPr>
          <w:rFonts w:hint="eastAsia"/>
        </w:rPr>
        <w:t>6</w:t>
      </w:r>
      <w:r>
        <w:rPr>
          <w:rFonts w:hint="eastAsia"/>
        </w:rPr>
        <w:t>座埋地卧式</w:t>
      </w:r>
      <w:r>
        <w:rPr>
          <w:rFonts w:hint="eastAsia"/>
        </w:rPr>
        <w:t>SF</w:t>
      </w:r>
      <w:r>
        <w:rPr>
          <w:rFonts w:hint="eastAsia"/>
        </w:rPr>
        <w:t>双层储罐，其中</w:t>
      </w:r>
      <w:r>
        <w:rPr>
          <w:rFonts w:hint="eastAsia"/>
        </w:rPr>
        <w:t>2</w:t>
      </w:r>
      <w:r>
        <w:rPr>
          <w:rFonts w:hint="eastAsia"/>
        </w:rPr>
        <w:t>座车用乙醇汽油储罐，储量均为</w:t>
      </w:r>
      <w:r>
        <w:rPr>
          <w:rFonts w:hint="eastAsia"/>
        </w:rPr>
        <w:t>35m</w:t>
      </w:r>
      <w:r>
        <w:rPr>
          <w:rFonts w:hint="eastAsia"/>
        </w:rPr>
        <w:t>³；</w:t>
      </w:r>
      <w:r>
        <w:rPr>
          <w:rFonts w:hint="eastAsia"/>
        </w:rPr>
        <w:t>4</w:t>
      </w:r>
      <w:r>
        <w:rPr>
          <w:rFonts w:hint="eastAsia"/>
        </w:rPr>
        <w:t>座柴油储罐，储量均为</w:t>
      </w:r>
      <w:r>
        <w:rPr>
          <w:rFonts w:hint="eastAsia"/>
        </w:rPr>
        <w:t>40m</w:t>
      </w:r>
      <w:r>
        <w:rPr>
          <w:rFonts w:hint="eastAsia"/>
        </w:rPr>
        <w:t>³；站内设有</w:t>
      </w:r>
      <w:r>
        <w:rPr>
          <w:rFonts w:hint="eastAsia"/>
        </w:rPr>
        <w:t>1</w:t>
      </w:r>
      <w:r>
        <w:rPr>
          <w:rFonts w:hint="eastAsia"/>
        </w:rPr>
        <w:t>个卸油点位，内设</w:t>
      </w:r>
      <w:r>
        <w:rPr>
          <w:rFonts w:hint="eastAsia"/>
        </w:rPr>
        <w:t>4</w:t>
      </w:r>
      <w:r>
        <w:rPr>
          <w:rFonts w:hint="eastAsia"/>
        </w:rPr>
        <w:t>个柴油卸油口，</w:t>
      </w:r>
      <w:r>
        <w:rPr>
          <w:rFonts w:hint="eastAsia"/>
        </w:rPr>
        <w:t>2</w:t>
      </w:r>
      <w:r>
        <w:rPr>
          <w:rFonts w:hint="eastAsia"/>
        </w:rPr>
        <w:t>个车用乙醇汽油卸油口和</w:t>
      </w:r>
      <w:r>
        <w:rPr>
          <w:rFonts w:hint="eastAsia"/>
        </w:rPr>
        <w:t>1</w:t>
      </w:r>
      <w:r>
        <w:rPr>
          <w:rFonts w:hint="eastAsia"/>
        </w:rPr>
        <w:t>个车用乙醇汽油油气回收口。每个卸油口独立与一个油罐相连通。</w:t>
      </w:r>
    </w:p>
    <w:p w14:paraId="213F770C" w14:textId="77777777" w:rsidR="00EF4562" w:rsidRDefault="00000000">
      <w:pPr>
        <w:ind w:firstLine="560"/>
        <w:rPr>
          <w:rFonts w:cs="Times New Roman"/>
          <w:bCs/>
          <w:szCs w:val="22"/>
          <w14:ligatures w14:val="none"/>
        </w:rPr>
      </w:pPr>
      <w:r>
        <w:rPr>
          <w:rFonts w:hint="eastAsia"/>
        </w:rPr>
        <w:t>该站加油场地设罩棚，罩棚下</w:t>
      </w:r>
      <w:r>
        <w:rPr>
          <w:rFonts w:cs="Times New Roman" w:hint="eastAsia"/>
          <w:bCs/>
          <w:szCs w:val="22"/>
          <w14:ligatures w14:val="none"/>
        </w:rPr>
        <w:t>并排布置</w:t>
      </w:r>
      <w:r>
        <w:rPr>
          <w:rFonts w:cs="Times New Roman" w:hint="eastAsia"/>
          <w:bCs/>
          <w:szCs w:val="22"/>
          <w14:ligatures w14:val="none"/>
        </w:rPr>
        <w:t>2</w:t>
      </w:r>
      <w:r>
        <w:rPr>
          <w:rFonts w:cs="Times New Roman" w:hint="eastAsia"/>
          <w:bCs/>
          <w:szCs w:val="22"/>
          <w14:ligatures w14:val="none"/>
        </w:rPr>
        <w:t>台双枪单油品自吸式车用乙醇</w:t>
      </w:r>
      <w:r>
        <w:rPr>
          <w:rFonts w:cs="Times New Roman" w:hint="eastAsia"/>
          <w:bCs/>
          <w:szCs w:val="22"/>
          <w14:ligatures w14:val="none"/>
        </w:rPr>
        <w:lastRenderedPageBreak/>
        <w:t>汽油加油机（利旧）、</w:t>
      </w:r>
      <w:r>
        <w:rPr>
          <w:rFonts w:cs="Times New Roman" w:hint="eastAsia"/>
          <w:bCs/>
          <w:szCs w:val="22"/>
          <w14:ligatures w14:val="none"/>
        </w:rPr>
        <w:t>1</w:t>
      </w:r>
      <w:r>
        <w:rPr>
          <w:rFonts w:cs="Times New Roman" w:hint="eastAsia"/>
          <w:bCs/>
          <w:szCs w:val="22"/>
          <w14:ligatures w14:val="none"/>
        </w:rPr>
        <w:t>台四枪双油品自吸式车用乙醇汽油加油机（新建）、</w:t>
      </w:r>
      <w:r>
        <w:rPr>
          <w:rFonts w:cs="Times New Roman" w:hint="eastAsia"/>
          <w:bCs/>
          <w:szCs w:val="22"/>
          <w14:ligatures w14:val="none"/>
        </w:rPr>
        <w:t>2</w:t>
      </w:r>
      <w:r>
        <w:rPr>
          <w:rFonts w:cs="Times New Roman" w:hint="eastAsia"/>
          <w:bCs/>
          <w:szCs w:val="22"/>
          <w14:ligatures w14:val="none"/>
        </w:rPr>
        <w:t>台双枪单油品自吸式柴油加油机（利旧）、</w:t>
      </w:r>
      <w:r>
        <w:rPr>
          <w:rFonts w:cs="Times New Roman" w:hint="eastAsia"/>
          <w:bCs/>
          <w:szCs w:val="22"/>
          <w14:ligatures w14:val="none"/>
        </w:rPr>
        <w:t>1</w:t>
      </w:r>
      <w:r>
        <w:rPr>
          <w:rFonts w:cs="Times New Roman" w:hint="eastAsia"/>
          <w:bCs/>
          <w:szCs w:val="22"/>
          <w14:ligatures w14:val="none"/>
        </w:rPr>
        <w:t>台四枪双油品自吸式柴油加油机（新建）。</w:t>
      </w:r>
      <w:r>
        <w:rPr>
          <w:rFonts w:hint="eastAsia"/>
        </w:rPr>
        <w:t>来满足路过加油车辆对油品的需求。</w:t>
      </w:r>
    </w:p>
    <w:p w14:paraId="1AC6CAB9" w14:textId="77777777" w:rsidR="00EF4562" w:rsidRDefault="00000000">
      <w:pPr>
        <w:ind w:firstLine="560"/>
      </w:pPr>
      <w:r>
        <w:rPr>
          <w:rFonts w:hint="eastAsia"/>
        </w:rPr>
        <w:t>该项目选择的加油设备与油品储存过程相匹配。</w:t>
      </w:r>
    </w:p>
    <w:p w14:paraId="575BD9FF"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37" w:name="_Toc207695643"/>
      <w:r>
        <w:rPr>
          <w:rFonts w:eastAsia="楷体" w:cs="Times New Roman"/>
          <w:b/>
          <w:bCs/>
          <w:sz w:val="32"/>
          <w:szCs w:val="32"/>
        </w:rPr>
        <w:t>7.3</w:t>
      </w:r>
      <w:r>
        <w:rPr>
          <w:rFonts w:ascii="楷体" w:eastAsia="楷体" w:hAnsi="楷体" w:hint="eastAsia"/>
          <w:b/>
          <w:bCs/>
          <w:sz w:val="32"/>
          <w:szCs w:val="32"/>
        </w:rPr>
        <w:t>生产或者储存过程配套和辅助工程分析</w:t>
      </w:r>
      <w:bookmarkEnd w:id="37"/>
    </w:p>
    <w:p w14:paraId="79C6EDB7" w14:textId="77777777" w:rsidR="00EF4562" w:rsidRDefault="00000000">
      <w:pPr>
        <w:ind w:firstLine="560"/>
      </w:pPr>
      <w:r>
        <w:rPr>
          <w:rFonts w:hint="eastAsia"/>
        </w:rPr>
        <w:t>该项目配套和辅助工程的需求和供应情况，见表</w:t>
      </w:r>
      <w:r>
        <w:rPr>
          <w:rFonts w:hint="eastAsia"/>
        </w:rPr>
        <w:t>7.3-1</w:t>
      </w:r>
      <w:r>
        <w:rPr>
          <w:rFonts w:hint="eastAsia"/>
        </w:rPr>
        <w:t>。</w:t>
      </w:r>
    </w:p>
    <w:p w14:paraId="5F9A7CC4"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7.3-1</w:t>
      </w:r>
      <w:r>
        <w:rPr>
          <w:rFonts w:ascii="黑体" w:eastAsia="黑体" w:hAnsi="黑体" w:hint="eastAsia"/>
          <w:sz w:val="24"/>
        </w:rPr>
        <w:t xml:space="preserve">  该项目配套和辅助工程的需求和供应情况统计表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3"/>
        <w:gridCol w:w="1418"/>
        <w:gridCol w:w="1936"/>
        <w:gridCol w:w="5057"/>
      </w:tblGrid>
      <w:tr w:rsidR="00EF4562" w14:paraId="7DFF2225" w14:textId="77777777">
        <w:trPr>
          <w:trHeight w:val="601"/>
          <w:tblHeader/>
          <w:jc w:val="center"/>
        </w:trPr>
        <w:tc>
          <w:tcPr>
            <w:tcW w:w="416" w:type="pct"/>
            <w:vAlign w:val="center"/>
          </w:tcPr>
          <w:p w14:paraId="44B14BA3" w14:textId="77777777" w:rsidR="00EF4562" w:rsidRDefault="00000000">
            <w:pPr>
              <w:adjustRightInd/>
              <w:snapToGrid/>
              <w:spacing w:line="240" w:lineRule="auto"/>
              <w:ind w:firstLineChars="0" w:firstLine="0"/>
              <w:jc w:val="center"/>
              <w:rPr>
                <w:rFonts w:cs="Times New Roman"/>
                <w:bCs/>
                <w:sz w:val="21"/>
                <w:szCs w:val="21"/>
                <w14:ligatures w14:val="none"/>
              </w:rPr>
            </w:pPr>
            <w:r>
              <w:rPr>
                <w:rFonts w:cs="Times New Roman"/>
                <w:bCs/>
                <w:sz w:val="21"/>
                <w:szCs w:val="21"/>
                <w14:ligatures w14:val="none"/>
              </w:rPr>
              <w:t>序号</w:t>
            </w:r>
          </w:p>
        </w:tc>
        <w:tc>
          <w:tcPr>
            <w:tcW w:w="773" w:type="pct"/>
            <w:vAlign w:val="center"/>
          </w:tcPr>
          <w:p w14:paraId="60AF7D49"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配套和辅助工程名称</w:t>
            </w:r>
          </w:p>
        </w:tc>
        <w:tc>
          <w:tcPr>
            <w:tcW w:w="1055" w:type="pct"/>
            <w:vAlign w:val="center"/>
          </w:tcPr>
          <w:p w14:paraId="476647E4" w14:textId="77777777" w:rsidR="00EF4562" w:rsidRDefault="00000000">
            <w:pPr>
              <w:adjustRightInd/>
              <w:snapToGrid/>
              <w:spacing w:line="240" w:lineRule="auto"/>
              <w:ind w:firstLineChars="0" w:firstLine="0"/>
              <w:jc w:val="left"/>
              <w:rPr>
                <w:rFonts w:cs="Times New Roman"/>
                <w:bCs/>
                <w:sz w:val="21"/>
                <w:szCs w:val="21"/>
                <w14:ligatures w14:val="none"/>
              </w:rPr>
            </w:pPr>
            <w:r>
              <w:rPr>
                <w:rFonts w:cs="Times New Roman"/>
                <w:bCs/>
                <w:sz w:val="21"/>
                <w:szCs w:val="21"/>
                <w14:ligatures w14:val="none"/>
              </w:rPr>
              <w:t>需求情况</w:t>
            </w:r>
          </w:p>
        </w:tc>
        <w:tc>
          <w:tcPr>
            <w:tcW w:w="2756" w:type="pct"/>
            <w:vAlign w:val="center"/>
          </w:tcPr>
          <w:p w14:paraId="39E0BEA9" w14:textId="77777777" w:rsidR="00EF4562" w:rsidRDefault="00000000">
            <w:pPr>
              <w:adjustRightInd/>
              <w:snapToGrid/>
              <w:spacing w:line="240" w:lineRule="auto"/>
              <w:ind w:firstLineChars="0" w:firstLine="0"/>
              <w:jc w:val="center"/>
              <w:rPr>
                <w:rFonts w:cs="Times New Roman"/>
                <w:bCs/>
                <w:sz w:val="21"/>
                <w:szCs w:val="21"/>
                <w14:ligatures w14:val="none"/>
              </w:rPr>
            </w:pPr>
            <w:r>
              <w:rPr>
                <w:rFonts w:cs="Times New Roman"/>
                <w:bCs/>
                <w:sz w:val="21"/>
                <w:szCs w:val="21"/>
                <w14:ligatures w14:val="none"/>
              </w:rPr>
              <w:t>供应情况</w:t>
            </w:r>
          </w:p>
        </w:tc>
      </w:tr>
      <w:tr w:rsidR="00EF4562" w14:paraId="068B7D4B" w14:textId="77777777">
        <w:trPr>
          <w:trHeight w:val="90"/>
          <w:jc w:val="center"/>
        </w:trPr>
        <w:tc>
          <w:tcPr>
            <w:tcW w:w="416" w:type="pct"/>
            <w:vAlign w:val="center"/>
          </w:tcPr>
          <w:p w14:paraId="3FCDF3F5"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1</w:t>
            </w:r>
          </w:p>
        </w:tc>
        <w:tc>
          <w:tcPr>
            <w:tcW w:w="773" w:type="pct"/>
            <w:vAlign w:val="center"/>
          </w:tcPr>
          <w:p w14:paraId="5B14C40F"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给水</w:t>
            </w:r>
          </w:p>
        </w:tc>
        <w:tc>
          <w:tcPr>
            <w:tcW w:w="1055" w:type="pct"/>
            <w:vAlign w:val="center"/>
          </w:tcPr>
          <w:p w14:paraId="46B26D48"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生活用水、地面冲洗用水、绿化用水及油罐清洗用水</w:t>
            </w:r>
          </w:p>
        </w:tc>
        <w:tc>
          <w:tcPr>
            <w:tcW w:w="2756" w:type="pct"/>
            <w:vAlign w:val="center"/>
          </w:tcPr>
          <w:p w14:paraId="46174A55" w14:textId="77777777" w:rsidR="00EF4562" w:rsidRDefault="00000000">
            <w:pPr>
              <w:spacing w:line="240" w:lineRule="auto"/>
              <w:ind w:firstLineChars="0" w:firstLine="0"/>
              <w:rPr>
                <w:rFonts w:cs="Times New Roman"/>
                <w:sz w:val="21"/>
                <w:szCs w:val="21"/>
                <w:lang w:bidi="en-US"/>
                <w14:ligatures w14:val="none"/>
              </w:rPr>
            </w:pPr>
            <w:r>
              <w:rPr>
                <w:rFonts w:cs="Times New Roman" w:hint="eastAsia"/>
                <w:sz w:val="21"/>
                <w:szCs w:val="21"/>
                <w14:ligatures w14:val="none"/>
              </w:rPr>
              <w:t>该站用水主要为日常生活用水、地面冲洗用水、绿化用水及油罐清洗用水，站内给水源自市政供水管网。</w:t>
            </w:r>
          </w:p>
        </w:tc>
      </w:tr>
      <w:tr w:rsidR="00EF4562" w14:paraId="47B7B1CF" w14:textId="77777777">
        <w:trPr>
          <w:trHeight w:val="335"/>
          <w:jc w:val="center"/>
        </w:trPr>
        <w:tc>
          <w:tcPr>
            <w:tcW w:w="416" w:type="pct"/>
            <w:vAlign w:val="center"/>
          </w:tcPr>
          <w:p w14:paraId="305254A1"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2</w:t>
            </w:r>
          </w:p>
        </w:tc>
        <w:tc>
          <w:tcPr>
            <w:tcW w:w="773" w:type="pct"/>
            <w:vAlign w:val="center"/>
          </w:tcPr>
          <w:p w14:paraId="618568AC" w14:textId="77777777" w:rsidR="00EF4562" w:rsidRDefault="00000000">
            <w:pPr>
              <w:spacing w:line="240" w:lineRule="auto"/>
              <w:ind w:firstLineChars="0" w:firstLine="0"/>
              <w:jc w:val="center"/>
              <w:rPr>
                <w:rFonts w:cs="Times New Roman"/>
                <w:sz w:val="21"/>
                <w:szCs w:val="21"/>
                <w:lang w:bidi="en-US"/>
                <w14:ligatures w14:val="none"/>
              </w:rPr>
            </w:pPr>
            <w:r>
              <w:rPr>
                <w:rFonts w:cs="Times New Roman"/>
                <w:sz w:val="21"/>
                <w:szCs w:val="21"/>
                <w:lang w:bidi="en-US"/>
                <w14:ligatures w14:val="none"/>
              </w:rPr>
              <w:t>排水</w:t>
            </w:r>
          </w:p>
        </w:tc>
        <w:tc>
          <w:tcPr>
            <w:tcW w:w="1055" w:type="pct"/>
            <w:vAlign w:val="center"/>
          </w:tcPr>
          <w:p w14:paraId="560D7390"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生产污水、雨水系统及生活污水系统</w:t>
            </w:r>
          </w:p>
        </w:tc>
        <w:tc>
          <w:tcPr>
            <w:tcW w:w="2756" w:type="pct"/>
            <w:vAlign w:val="center"/>
          </w:tcPr>
          <w:p w14:paraId="5D17366D"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1</w:t>
            </w:r>
            <w:r>
              <w:rPr>
                <w:rFonts w:cs="Times New Roman" w:hint="eastAsia"/>
                <w:bCs/>
                <w:kern w:val="0"/>
                <w:sz w:val="21"/>
                <w:szCs w:val="21"/>
                <w14:ligatures w14:val="none"/>
              </w:rPr>
              <w:t>、该站排水包括生产污水、雨水及生活污水。该站在围墙内设置水封井，水封井的水封高度不小于</w:t>
            </w:r>
            <w:r>
              <w:rPr>
                <w:rFonts w:cs="Times New Roman" w:hint="eastAsia"/>
                <w:bCs/>
                <w:kern w:val="0"/>
                <w:sz w:val="21"/>
                <w:szCs w:val="21"/>
                <w14:ligatures w14:val="none"/>
              </w:rPr>
              <w:t>0.25m</w:t>
            </w:r>
            <w:r>
              <w:rPr>
                <w:rFonts w:cs="Times New Roman" w:hint="eastAsia"/>
                <w:bCs/>
                <w:kern w:val="0"/>
                <w:sz w:val="21"/>
                <w:szCs w:val="21"/>
                <w14:ligatures w14:val="none"/>
              </w:rPr>
              <w:t>，水封井设沉泥段，沉泥段高度不小于</w:t>
            </w:r>
            <w:r>
              <w:rPr>
                <w:rFonts w:cs="Times New Roman" w:hint="eastAsia"/>
                <w:bCs/>
                <w:kern w:val="0"/>
                <w:sz w:val="21"/>
                <w:szCs w:val="21"/>
                <w14:ligatures w14:val="none"/>
              </w:rPr>
              <w:t>0.25m</w:t>
            </w:r>
            <w:r>
              <w:rPr>
                <w:rFonts w:cs="Times New Roman" w:hint="eastAsia"/>
                <w:bCs/>
                <w:kern w:val="0"/>
                <w:sz w:val="21"/>
                <w:szCs w:val="21"/>
                <w14:ligatures w14:val="none"/>
              </w:rPr>
              <w:t>。该站未采用暗沟排水。</w:t>
            </w:r>
          </w:p>
          <w:p w14:paraId="5E8FC8A4"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生产污水主要源自储罐清洗（一般为每</w:t>
            </w:r>
            <w:r>
              <w:rPr>
                <w:rFonts w:cs="Times New Roman" w:hint="eastAsia"/>
                <w:bCs/>
                <w:kern w:val="0"/>
                <w:sz w:val="21"/>
                <w:szCs w:val="21"/>
                <w14:ligatures w14:val="none"/>
              </w:rPr>
              <w:t>5</w:t>
            </w:r>
            <w:r>
              <w:rPr>
                <w:rFonts w:cs="Times New Roman" w:hint="eastAsia"/>
                <w:bCs/>
                <w:kern w:val="0"/>
                <w:sz w:val="21"/>
                <w:szCs w:val="21"/>
                <w14:ligatures w14:val="none"/>
              </w:rPr>
              <w:t>年清洗一次）。清洗油罐委托有相应资质的危废处置单位进行合规处理，处理过程产生的污水由有相应资质的危废处置单位负责处理。</w:t>
            </w:r>
          </w:p>
          <w:p w14:paraId="4D111BA3"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2</w:t>
            </w:r>
            <w:r>
              <w:rPr>
                <w:rFonts w:cs="Times New Roman" w:hint="eastAsia"/>
                <w:bCs/>
                <w:kern w:val="0"/>
                <w:sz w:val="21"/>
                <w:szCs w:val="21"/>
                <w14:ligatures w14:val="none"/>
              </w:rPr>
              <w:t>、生活污水排入化粪池，定期外委清掏。排水井、雨水口和化粪池未设在作业区和可燃液体出现泄漏事故时可能流经的部位。</w:t>
            </w:r>
          </w:p>
          <w:p w14:paraId="245E10D0" w14:textId="77777777" w:rsidR="00EF4562" w:rsidRDefault="00000000">
            <w:pPr>
              <w:spacing w:line="240" w:lineRule="auto"/>
              <w:ind w:firstLineChars="0" w:firstLine="0"/>
              <w:rPr>
                <w:rFonts w:cs="Times New Roman"/>
                <w:sz w:val="21"/>
                <w:szCs w:val="21"/>
                <w14:ligatures w14:val="none"/>
              </w:rPr>
            </w:pPr>
            <w:r>
              <w:rPr>
                <w:rFonts w:cs="Times New Roman" w:hint="eastAsia"/>
                <w:bCs/>
                <w:kern w:val="0"/>
                <w:sz w:val="21"/>
                <w:szCs w:val="21"/>
                <w14:ligatures w14:val="none"/>
              </w:rPr>
              <w:t>3</w:t>
            </w:r>
            <w:r>
              <w:rPr>
                <w:rFonts w:cs="Times New Roman" w:hint="eastAsia"/>
                <w:bCs/>
                <w:kern w:val="0"/>
                <w:sz w:val="21"/>
                <w:szCs w:val="21"/>
                <w14:ligatures w14:val="none"/>
              </w:rPr>
              <w:t>、站内雨水散排。</w:t>
            </w:r>
          </w:p>
        </w:tc>
      </w:tr>
      <w:tr w:rsidR="00EF4562" w14:paraId="34E6ED5C" w14:textId="77777777">
        <w:trPr>
          <w:trHeight w:val="90"/>
          <w:jc w:val="center"/>
        </w:trPr>
        <w:tc>
          <w:tcPr>
            <w:tcW w:w="416" w:type="pct"/>
            <w:vAlign w:val="center"/>
          </w:tcPr>
          <w:p w14:paraId="6D2D3F84"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3</w:t>
            </w:r>
          </w:p>
        </w:tc>
        <w:tc>
          <w:tcPr>
            <w:tcW w:w="773" w:type="pct"/>
            <w:vAlign w:val="center"/>
          </w:tcPr>
          <w:p w14:paraId="7BEAABAD"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供配电</w:t>
            </w:r>
          </w:p>
        </w:tc>
        <w:tc>
          <w:tcPr>
            <w:tcW w:w="1055" w:type="pct"/>
            <w:vAlign w:val="center"/>
          </w:tcPr>
          <w:p w14:paraId="74C90E72"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信息系统应设不间断供电电源；爆炸危险区域内电气设备选用防爆型</w:t>
            </w:r>
          </w:p>
        </w:tc>
        <w:tc>
          <w:tcPr>
            <w:tcW w:w="2756" w:type="pct"/>
            <w:vAlign w:val="center"/>
          </w:tcPr>
          <w:p w14:paraId="603C1C54"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、供电负荷：该站供电负荷等级为三级。信息系统采用</w:t>
            </w:r>
            <w:r>
              <w:rPr>
                <w:rFonts w:cs="Times New Roman" w:hint="eastAsia"/>
                <w:sz w:val="21"/>
                <w:szCs w:val="21"/>
                <w14:ligatures w14:val="none"/>
              </w:rPr>
              <w:t>UPS</w:t>
            </w:r>
            <w:r>
              <w:rPr>
                <w:rFonts w:cs="Times New Roman" w:hint="eastAsia"/>
                <w:sz w:val="21"/>
                <w:szCs w:val="21"/>
                <w14:ligatures w14:val="none"/>
              </w:rPr>
              <w:t>备用电源供电。</w:t>
            </w:r>
          </w:p>
          <w:p w14:paraId="7D17B886"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供电方案：该站电源由市政供电，配电系统接地型式采用</w:t>
            </w:r>
            <w:r>
              <w:rPr>
                <w:rFonts w:cs="Times New Roman" w:hint="eastAsia"/>
                <w:sz w:val="21"/>
                <w:szCs w:val="21"/>
                <w14:ligatures w14:val="none"/>
              </w:rPr>
              <w:t>TN-S</w:t>
            </w:r>
            <w:r>
              <w:rPr>
                <w:rFonts w:cs="Times New Roman" w:hint="eastAsia"/>
                <w:sz w:val="21"/>
                <w:szCs w:val="21"/>
                <w14:ligatures w14:val="none"/>
              </w:rPr>
              <w:t>系统。设置</w:t>
            </w:r>
            <w:r>
              <w:rPr>
                <w:rFonts w:cs="Times New Roman" w:hint="eastAsia"/>
                <w:sz w:val="21"/>
                <w:szCs w:val="21"/>
                <w14:ligatures w14:val="none"/>
              </w:rPr>
              <w:t>1</w:t>
            </w:r>
            <w:r>
              <w:rPr>
                <w:rFonts w:cs="Times New Roman" w:hint="eastAsia"/>
                <w:sz w:val="21"/>
                <w:szCs w:val="21"/>
                <w14:ligatures w14:val="none"/>
              </w:rPr>
              <w:t>台</w:t>
            </w:r>
            <w:r>
              <w:rPr>
                <w:rFonts w:cs="Times New Roman" w:hint="eastAsia"/>
                <w:sz w:val="21"/>
                <w:szCs w:val="21"/>
                <w14:ligatures w14:val="none"/>
              </w:rPr>
              <w:t>150kW</w:t>
            </w:r>
            <w:r>
              <w:rPr>
                <w:rFonts w:cs="Times New Roman" w:hint="eastAsia"/>
                <w:sz w:val="21"/>
                <w:szCs w:val="21"/>
                <w14:ligatures w14:val="none"/>
              </w:rPr>
              <w:t>柴油发电机作为备用电源。信息系统及视频监控系统设置</w:t>
            </w:r>
            <w:r>
              <w:rPr>
                <w:rFonts w:cs="Times New Roman" w:hint="eastAsia"/>
                <w:sz w:val="21"/>
                <w:szCs w:val="21"/>
                <w14:ligatures w14:val="none"/>
              </w:rPr>
              <w:t>UPS</w:t>
            </w:r>
            <w:r>
              <w:rPr>
                <w:rFonts w:cs="Times New Roman" w:hint="eastAsia"/>
                <w:sz w:val="21"/>
                <w:szCs w:val="21"/>
                <w14:ligatures w14:val="none"/>
              </w:rPr>
              <w:t>备用电源。</w:t>
            </w:r>
          </w:p>
          <w:p w14:paraId="120EF01B"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爆炸危险区域内安装的电气设备、仪表选用符合相应等级的防爆型设备，爆炸危险区域电气设备电缆接线采用防爆挠性管保护，电气线路套管穿过不同区域之间的孔洞采用非燃性材料严密封堵，在爆炸性气体环境</w:t>
            </w:r>
            <w:r>
              <w:rPr>
                <w:rFonts w:cs="Times New Roman" w:hint="eastAsia"/>
                <w:sz w:val="21"/>
                <w:szCs w:val="21"/>
                <w14:ligatures w14:val="none"/>
              </w:rPr>
              <w:t>1</w:t>
            </w:r>
            <w:r>
              <w:rPr>
                <w:rFonts w:cs="Times New Roman" w:hint="eastAsia"/>
                <w:sz w:val="21"/>
                <w:szCs w:val="21"/>
                <w14:ligatures w14:val="none"/>
              </w:rPr>
              <w:t>区、</w:t>
            </w:r>
            <w:r>
              <w:rPr>
                <w:rFonts w:cs="Times New Roman" w:hint="eastAsia"/>
                <w:sz w:val="21"/>
                <w:szCs w:val="21"/>
                <w14:ligatures w14:val="none"/>
              </w:rPr>
              <w:t>2</w:t>
            </w:r>
            <w:r>
              <w:rPr>
                <w:rFonts w:cs="Times New Roman" w:hint="eastAsia"/>
                <w:sz w:val="21"/>
                <w:szCs w:val="21"/>
                <w14:ligatures w14:val="none"/>
              </w:rPr>
              <w:t>区内钢管配线的电气线路用防爆胶泥做隔离密封。</w:t>
            </w:r>
          </w:p>
          <w:p w14:paraId="621E065C"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爆炸危险区域照明灯具选用防爆型灯具，其防爆等级不低于</w:t>
            </w:r>
            <w:r>
              <w:rPr>
                <w:rFonts w:cs="Times New Roman" w:hint="eastAsia"/>
                <w:sz w:val="21"/>
                <w:szCs w:val="21"/>
                <w14:ligatures w14:val="none"/>
              </w:rPr>
              <w:t>ExdIIBT4</w:t>
            </w:r>
            <w:r>
              <w:rPr>
                <w:rFonts w:cs="Times New Roman" w:hint="eastAsia"/>
                <w:sz w:val="21"/>
                <w:szCs w:val="21"/>
                <w14:ligatures w14:val="none"/>
              </w:rPr>
              <w:t>级。</w:t>
            </w:r>
          </w:p>
        </w:tc>
      </w:tr>
      <w:tr w:rsidR="00EF4562" w14:paraId="479861C9" w14:textId="77777777">
        <w:trPr>
          <w:trHeight w:val="90"/>
          <w:jc w:val="center"/>
        </w:trPr>
        <w:tc>
          <w:tcPr>
            <w:tcW w:w="416" w:type="pct"/>
            <w:vAlign w:val="center"/>
          </w:tcPr>
          <w:p w14:paraId="1A2CB884"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sz w:val="21"/>
                <w:szCs w:val="21"/>
                <w14:ligatures w14:val="none"/>
              </w:rPr>
              <w:t>4</w:t>
            </w:r>
          </w:p>
        </w:tc>
        <w:tc>
          <w:tcPr>
            <w:tcW w:w="773" w:type="pct"/>
            <w:vAlign w:val="center"/>
          </w:tcPr>
          <w:p w14:paraId="40AF6E7A"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防雷、防静电接地</w:t>
            </w:r>
          </w:p>
        </w:tc>
        <w:tc>
          <w:tcPr>
            <w:tcW w:w="1055" w:type="pct"/>
            <w:vAlign w:val="center"/>
          </w:tcPr>
          <w:p w14:paraId="252E25F3"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油品管道上法兰采用导线跨接</w:t>
            </w:r>
          </w:p>
        </w:tc>
        <w:tc>
          <w:tcPr>
            <w:tcW w:w="2756" w:type="pct"/>
            <w:vAlign w:val="center"/>
          </w:tcPr>
          <w:p w14:paraId="767296C4"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防雷接地、防静电接地、电气设备的工作接地、保护接地及信息系统的接地采用共用接地装置，接地电阻</w:t>
            </w:r>
            <w:r>
              <w:rPr>
                <w:rFonts w:cs="Times New Roman" w:hint="eastAsia"/>
                <w:bCs/>
                <w:kern w:val="0"/>
                <w:sz w:val="21"/>
                <w:szCs w:val="21"/>
                <w14:ligatures w14:val="none"/>
              </w:rPr>
              <w:lastRenderedPageBreak/>
              <w:t>不应大于</w:t>
            </w:r>
            <w:r>
              <w:rPr>
                <w:rFonts w:cs="Times New Roman" w:hint="eastAsia"/>
                <w:bCs/>
                <w:kern w:val="0"/>
                <w:sz w:val="21"/>
                <w:szCs w:val="21"/>
                <w14:ligatures w14:val="none"/>
              </w:rPr>
              <w:t>4</w:t>
            </w:r>
            <w:r>
              <w:rPr>
                <w:rFonts w:cs="Times New Roman" w:hint="eastAsia"/>
                <w:bCs/>
                <w:kern w:val="0"/>
                <w:sz w:val="21"/>
                <w:szCs w:val="21"/>
                <w14:ligatures w14:val="none"/>
              </w:rPr>
              <w:t>Ω。</w:t>
            </w:r>
          </w:p>
          <w:p w14:paraId="250EE5F3"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对金属管道的法兰等的连接处采取导线跨接；在供配电系统的电源端安装与设备耐压水平相适应的过电压（电涌）保护器。</w:t>
            </w:r>
          </w:p>
        </w:tc>
      </w:tr>
      <w:tr w:rsidR="00EF4562" w14:paraId="481DB872" w14:textId="77777777">
        <w:trPr>
          <w:trHeight w:val="90"/>
          <w:jc w:val="center"/>
        </w:trPr>
        <w:tc>
          <w:tcPr>
            <w:tcW w:w="416" w:type="pct"/>
            <w:vAlign w:val="center"/>
          </w:tcPr>
          <w:p w14:paraId="3BEC32F0"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hint="eastAsia"/>
                <w:sz w:val="21"/>
                <w:szCs w:val="21"/>
                <w14:ligatures w14:val="none"/>
              </w:rPr>
              <w:lastRenderedPageBreak/>
              <w:t>5</w:t>
            </w:r>
          </w:p>
        </w:tc>
        <w:tc>
          <w:tcPr>
            <w:tcW w:w="773" w:type="pct"/>
            <w:vAlign w:val="center"/>
          </w:tcPr>
          <w:p w14:paraId="6F6AEFA3"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信息及控制系统</w:t>
            </w:r>
          </w:p>
        </w:tc>
        <w:tc>
          <w:tcPr>
            <w:tcW w:w="1055" w:type="pct"/>
            <w:vAlign w:val="center"/>
          </w:tcPr>
          <w:p w14:paraId="747820DF"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油罐液位监测系统；</w:t>
            </w:r>
          </w:p>
          <w:p w14:paraId="3F91F124"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油罐防渗检测系统；</w:t>
            </w:r>
          </w:p>
          <w:p w14:paraId="5CDCBBBB"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3.</w:t>
            </w:r>
            <w:r>
              <w:rPr>
                <w:rFonts w:cs="Times New Roman" w:hint="eastAsia"/>
                <w:sz w:val="21"/>
                <w:szCs w:val="21"/>
                <w14:ligatures w14:val="none"/>
              </w:rPr>
              <w:t>视频监控系统；</w:t>
            </w:r>
          </w:p>
          <w:p w14:paraId="1B1AE3FB"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4.</w:t>
            </w:r>
            <w:r>
              <w:rPr>
                <w:rFonts w:cs="Times New Roman" w:hint="eastAsia"/>
                <w:sz w:val="21"/>
                <w:szCs w:val="21"/>
                <w14:ligatures w14:val="none"/>
              </w:rPr>
              <w:t>紧急切断装置；</w:t>
            </w:r>
          </w:p>
          <w:p w14:paraId="71A8CF00"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5.</w:t>
            </w:r>
            <w:r>
              <w:rPr>
                <w:rFonts w:cs="Times New Roman" w:hint="eastAsia"/>
                <w:sz w:val="21"/>
                <w:szCs w:val="21"/>
                <w14:ligatures w14:val="none"/>
              </w:rPr>
              <w:t>可燃气体报警器。</w:t>
            </w:r>
          </w:p>
        </w:tc>
        <w:tc>
          <w:tcPr>
            <w:tcW w:w="2756" w:type="pct"/>
            <w:vAlign w:val="center"/>
          </w:tcPr>
          <w:p w14:paraId="741A2364"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1.</w:t>
            </w:r>
            <w:r>
              <w:rPr>
                <w:rFonts w:cs="Times New Roman" w:hint="eastAsia"/>
                <w:bCs/>
                <w:kern w:val="0"/>
                <w:sz w:val="21"/>
                <w:szCs w:val="21"/>
                <w14:ligatures w14:val="none"/>
              </w:rPr>
              <w:t>油罐液位监测系统</w:t>
            </w:r>
          </w:p>
          <w:p w14:paraId="29CC9EDA"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该站利旧原有液位监控系统，每台油罐上设置一台具有高液位报警功能的远传液位计，仪表检测信号远传至办公室。</w:t>
            </w:r>
          </w:p>
          <w:p w14:paraId="29F6DDD9"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2.</w:t>
            </w:r>
            <w:r>
              <w:rPr>
                <w:rFonts w:cs="Times New Roman" w:hint="eastAsia"/>
                <w:bCs/>
                <w:kern w:val="0"/>
                <w:sz w:val="21"/>
                <w:szCs w:val="21"/>
                <w14:ligatures w14:val="none"/>
              </w:rPr>
              <w:t>防渗检测系统</w:t>
            </w:r>
          </w:p>
          <w:p w14:paraId="7EA9A0B3"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油罐和双层管道分别设有油气渗漏检测报警装置。</w:t>
            </w:r>
          </w:p>
          <w:p w14:paraId="4C86EF2F"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该站利旧原有油罐油气渗漏检测报警装置，双层油罐设置渗漏检测立管，并设置在线监测系统，保证油罐内、外壁任何部位出现渗漏均能被发现。</w:t>
            </w:r>
          </w:p>
          <w:p w14:paraId="6F92B729"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该站利旧原有双层管道油气渗漏检测报警装置，双层管道泄漏检测系统由泄漏检测仪、泄漏探测器和集液罐组成，完成对双层管道的泄漏检测。泄漏探测器、集液罐安装在输油管道最低点处，泄漏检测仪设置在站房控制室内。泄漏检测仪具有</w:t>
            </w:r>
            <w:r>
              <w:rPr>
                <w:rFonts w:cs="Times New Roman" w:hint="eastAsia"/>
                <w:bCs/>
                <w:kern w:val="0"/>
                <w:sz w:val="21"/>
                <w:szCs w:val="21"/>
                <w14:ligatures w14:val="none"/>
              </w:rPr>
              <w:t>RS-485</w:t>
            </w:r>
            <w:r>
              <w:rPr>
                <w:rFonts w:cs="Times New Roman" w:hint="eastAsia"/>
                <w:bCs/>
                <w:kern w:val="0"/>
                <w:sz w:val="21"/>
                <w:szCs w:val="21"/>
                <w14:ligatures w14:val="none"/>
              </w:rPr>
              <w:t>通讯接口、声光报警、消音、故障自诊断等功能。</w:t>
            </w:r>
          </w:p>
          <w:p w14:paraId="6A899EF8"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3.</w:t>
            </w:r>
            <w:r>
              <w:rPr>
                <w:rFonts w:cs="Times New Roman" w:hint="eastAsia"/>
                <w:bCs/>
                <w:kern w:val="0"/>
                <w:sz w:val="21"/>
                <w:szCs w:val="21"/>
                <w14:ligatures w14:val="none"/>
              </w:rPr>
              <w:t>视频监控系统</w:t>
            </w:r>
          </w:p>
          <w:p w14:paraId="3CA492B2"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该站利旧原有视频监控系统，监控范围可覆盖加油作业区及储罐区。采集的视频图像信息保存期限不少于</w:t>
            </w:r>
            <w:r>
              <w:rPr>
                <w:rFonts w:cs="Times New Roman" w:hint="eastAsia"/>
                <w:bCs/>
                <w:kern w:val="0"/>
                <w:sz w:val="21"/>
                <w:szCs w:val="21"/>
                <w14:ligatures w14:val="none"/>
              </w:rPr>
              <w:t>90d</w:t>
            </w:r>
            <w:r>
              <w:rPr>
                <w:rFonts w:cs="Times New Roman" w:hint="eastAsia"/>
                <w:bCs/>
                <w:kern w:val="0"/>
                <w:sz w:val="21"/>
                <w:szCs w:val="21"/>
                <w14:ligatures w14:val="none"/>
              </w:rPr>
              <w:t>。</w:t>
            </w:r>
          </w:p>
          <w:p w14:paraId="109C8125"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4.</w:t>
            </w:r>
            <w:r>
              <w:rPr>
                <w:rFonts w:cs="Times New Roman" w:hint="eastAsia"/>
                <w:bCs/>
                <w:kern w:val="0"/>
                <w:sz w:val="21"/>
                <w:szCs w:val="21"/>
                <w14:ligatures w14:val="none"/>
              </w:rPr>
              <w:t>紧急切断系统</w:t>
            </w:r>
          </w:p>
          <w:p w14:paraId="5F13310C"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该站设有紧急切断系统，该系统能在事故状态下实现紧急停车和关闭紧急切断阀的保护功能。紧急切断系统只能手动复位。</w:t>
            </w:r>
          </w:p>
          <w:p w14:paraId="7E4D7392"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5.</w:t>
            </w:r>
            <w:r>
              <w:rPr>
                <w:rFonts w:cs="Times New Roman" w:hint="eastAsia"/>
                <w:bCs/>
                <w:kern w:val="0"/>
                <w:sz w:val="21"/>
                <w:szCs w:val="21"/>
                <w14:ligatures w14:val="none"/>
              </w:rPr>
              <w:t>可燃气体报警器</w:t>
            </w:r>
          </w:p>
          <w:p w14:paraId="7C579C8D"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该站设置</w:t>
            </w:r>
            <w:r>
              <w:rPr>
                <w:rFonts w:cs="Times New Roman" w:hint="eastAsia"/>
                <w:bCs/>
                <w:kern w:val="0"/>
                <w:sz w:val="21"/>
                <w:szCs w:val="21"/>
                <w14:ligatures w14:val="none"/>
              </w:rPr>
              <w:t>2</w:t>
            </w:r>
            <w:r>
              <w:rPr>
                <w:rFonts w:cs="Times New Roman" w:hint="eastAsia"/>
                <w:bCs/>
                <w:kern w:val="0"/>
                <w:sz w:val="21"/>
                <w:szCs w:val="21"/>
                <w14:ligatures w14:val="none"/>
              </w:rPr>
              <w:t>台可燃气体报警器，分别位于</w:t>
            </w:r>
            <w:r>
              <w:rPr>
                <w:rFonts w:cs="Times New Roman" w:hint="eastAsia"/>
                <w:bCs/>
                <w:kern w:val="0"/>
                <w:sz w:val="21"/>
                <w:szCs w:val="21"/>
                <w14:ligatures w14:val="none"/>
              </w:rPr>
              <w:t>J102</w:t>
            </w:r>
            <w:r>
              <w:rPr>
                <w:rFonts w:cs="Times New Roman" w:hint="eastAsia"/>
                <w:bCs/>
                <w:kern w:val="0"/>
                <w:sz w:val="21"/>
                <w:szCs w:val="21"/>
                <w14:ligatures w14:val="none"/>
              </w:rPr>
              <w:t>车用乙醇汽油加油机、</w:t>
            </w:r>
            <w:r>
              <w:rPr>
                <w:rFonts w:cs="Times New Roman" w:hint="eastAsia"/>
                <w:bCs/>
                <w:kern w:val="0"/>
                <w:sz w:val="21"/>
                <w:szCs w:val="21"/>
                <w14:ligatures w14:val="none"/>
              </w:rPr>
              <w:t>J105</w:t>
            </w:r>
            <w:r>
              <w:rPr>
                <w:rFonts w:cs="Times New Roman" w:hint="eastAsia"/>
                <w:bCs/>
                <w:kern w:val="0"/>
                <w:sz w:val="21"/>
                <w:szCs w:val="21"/>
                <w14:ligatures w14:val="none"/>
              </w:rPr>
              <w:t>柴油加油机上（本次改造不涉及），探测器水平覆盖范围为</w:t>
            </w:r>
            <w:r>
              <w:rPr>
                <w:rFonts w:cs="Times New Roman" w:hint="eastAsia"/>
                <w:bCs/>
                <w:kern w:val="0"/>
                <w:sz w:val="21"/>
                <w:szCs w:val="21"/>
                <w14:ligatures w14:val="none"/>
              </w:rPr>
              <w:t>10m</w:t>
            </w:r>
            <w:r>
              <w:rPr>
                <w:rFonts w:cs="Times New Roman" w:hint="eastAsia"/>
                <w:bCs/>
                <w:kern w:val="0"/>
                <w:sz w:val="21"/>
                <w:szCs w:val="21"/>
                <w14:ligatures w14:val="none"/>
              </w:rPr>
              <w:t>，安装高度距地面</w:t>
            </w:r>
            <w:r>
              <w:rPr>
                <w:rFonts w:cs="Times New Roman" w:hint="eastAsia"/>
                <w:bCs/>
                <w:kern w:val="0"/>
                <w:sz w:val="21"/>
                <w:szCs w:val="21"/>
                <w14:ligatures w14:val="none"/>
              </w:rPr>
              <w:t>0.3m</w:t>
            </w:r>
            <w:r>
              <w:rPr>
                <w:rFonts w:cs="Times New Roman" w:hint="eastAsia"/>
                <w:bCs/>
                <w:kern w:val="0"/>
                <w:sz w:val="21"/>
                <w:szCs w:val="21"/>
                <w14:ligatures w14:val="none"/>
              </w:rPr>
              <w:t>。当可燃气体浓度达到爆炸下限</w:t>
            </w:r>
            <w:r>
              <w:rPr>
                <w:rFonts w:cs="Times New Roman" w:hint="eastAsia"/>
                <w:bCs/>
                <w:kern w:val="0"/>
                <w:sz w:val="21"/>
                <w:szCs w:val="21"/>
                <w14:ligatures w14:val="none"/>
              </w:rPr>
              <w:t>25%</w:t>
            </w:r>
            <w:r>
              <w:rPr>
                <w:rFonts w:cs="Times New Roman" w:hint="eastAsia"/>
                <w:bCs/>
                <w:kern w:val="0"/>
                <w:sz w:val="21"/>
                <w:szCs w:val="21"/>
                <w14:ligatures w14:val="none"/>
              </w:rPr>
              <w:t>时实现现场声光报警。</w:t>
            </w:r>
          </w:p>
        </w:tc>
      </w:tr>
      <w:tr w:rsidR="00EF4562" w14:paraId="2CF9BF8D" w14:textId="77777777">
        <w:trPr>
          <w:trHeight w:val="90"/>
          <w:jc w:val="center"/>
        </w:trPr>
        <w:tc>
          <w:tcPr>
            <w:tcW w:w="416" w:type="pct"/>
            <w:vAlign w:val="center"/>
          </w:tcPr>
          <w:p w14:paraId="3739C48E" w14:textId="77777777" w:rsidR="00EF4562" w:rsidRDefault="00000000">
            <w:pPr>
              <w:adjustRightInd/>
              <w:snapToGrid/>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773" w:type="pct"/>
            <w:vAlign w:val="center"/>
          </w:tcPr>
          <w:p w14:paraId="3E365EF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消防系统</w:t>
            </w:r>
          </w:p>
        </w:tc>
        <w:tc>
          <w:tcPr>
            <w:tcW w:w="1055" w:type="pct"/>
            <w:vAlign w:val="center"/>
          </w:tcPr>
          <w:p w14:paraId="46E517D8"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消防设施</w:t>
            </w:r>
          </w:p>
        </w:tc>
        <w:tc>
          <w:tcPr>
            <w:tcW w:w="2756" w:type="pct"/>
            <w:vAlign w:val="center"/>
          </w:tcPr>
          <w:p w14:paraId="5DD0A092"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1</w:t>
            </w:r>
            <w:r>
              <w:rPr>
                <w:rFonts w:cs="Times New Roman" w:hint="eastAsia"/>
                <w:bCs/>
                <w:kern w:val="0"/>
                <w:sz w:val="21"/>
                <w:szCs w:val="21"/>
                <w14:ligatures w14:val="none"/>
              </w:rPr>
              <w:t>、站内不设消防给水系统；</w:t>
            </w:r>
          </w:p>
          <w:p w14:paraId="27ACD87B" w14:textId="77777777" w:rsidR="00EF4562" w:rsidRDefault="00000000">
            <w:pPr>
              <w:spacing w:line="240" w:lineRule="auto"/>
              <w:ind w:firstLineChars="0" w:firstLine="0"/>
              <w:rPr>
                <w:rFonts w:cs="Times New Roman"/>
                <w:bCs/>
                <w:kern w:val="0"/>
                <w:sz w:val="21"/>
                <w:szCs w:val="21"/>
                <w14:ligatures w14:val="none"/>
              </w:rPr>
            </w:pPr>
            <w:r>
              <w:rPr>
                <w:rFonts w:cs="Times New Roman" w:hint="eastAsia"/>
                <w:bCs/>
                <w:kern w:val="0"/>
                <w:sz w:val="21"/>
                <w:szCs w:val="21"/>
                <w14:ligatures w14:val="none"/>
              </w:rPr>
              <w:t>2</w:t>
            </w:r>
            <w:r>
              <w:rPr>
                <w:rFonts w:cs="Times New Roman" w:hint="eastAsia"/>
                <w:bCs/>
                <w:kern w:val="0"/>
                <w:sz w:val="21"/>
                <w:szCs w:val="21"/>
                <w14:ligatures w14:val="none"/>
              </w:rPr>
              <w:t>、该站加油区设有</w:t>
            </w:r>
            <w:r>
              <w:rPr>
                <w:rFonts w:cs="Times New Roman" w:hint="eastAsia"/>
                <w:bCs/>
                <w:kern w:val="0"/>
                <w:sz w:val="21"/>
                <w:szCs w:val="21"/>
                <w14:ligatures w14:val="none"/>
              </w:rPr>
              <w:t>12</w:t>
            </w:r>
            <w:r>
              <w:rPr>
                <w:rFonts w:cs="Times New Roman" w:hint="eastAsia"/>
                <w:bCs/>
                <w:kern w:val="0"/>
                <w:sz w:val="21"/>
                <w:szCs w:val="21"/>
                <w14:ligatures w14:val="none"/>
              </w:rPr>
              <w:t>具</w:t>
            </w:r>
            <w:r>
              <w:rPr>
                <w:rFonts w:cs="Times New Roman" w:hint="eastAsia"/>
                <w:bCs/>
                <w:kern w:val="0"/>
                <w:sz w:val="21"/>
                <w:szCs w:val="21"/>
                <w14:ligatures w14:val="none"/>
              </w:rPr>
              <w:t>4kg</w:t>
            </w:r>
            <w:r>
              <w:rPr>
                <w:rFonts w:cs="Times New Roman" w:hint="eastAsia"/>
                <w:bCs/>
                <w:kern w:val="0"/>
                <w:sz w:val="21"/>
                <w:szCs w:val="21"/>
                <w14:ligatures w14:val="none"/>
              </w:rPr>
              <w:t>手提式干粉灭火器、</w:t>
            </w:r>
            <w:r>
              <w:rPr>
                <w:rFonts w:cs="Times New Roman" w:hint="eastAsia"/>
                <w:bCs/>
                <w:kern w:val="0"/>
                <w:sz w:val="21"/>
                <w:szCs w:val="21"/>
                <w14:ligatures w14:val="none"/>
              </w:rPr>
              <w:t>10</w:t>
            </w:r>
            <w:r>
              <w:rPr>
                <w:rFonts w:cs="Times New Roman" w:hint="eastAsia"/>
                <w:bCs/>
                <w:kern w:val="0"/>
                <w:sz w:val="21"/>
                <w:szCs w:val="21"/>
                <w14:ligatures w14:val="none"/>
              </w:rPr>
              <w:t>块灭火毯；储罐区配备</w:t>
            </w:r>
            <w:r>
              <w:rPr>
                <w:rFonts w:cs="Times New Roman" w:hint="eastAsia"/>
                <w:bCs/>
                <w:kern w:val="0"/>
                <w:sz w:val="21"/>
                <w:szCs w:val="21"/>
                <w14:ligatures w14:val="none"/>
              </w:rPr>
              <w:t>1</w:t>
            </w:r>
            <w:r>
              <w:rPr>
                <w:rFonts w:cs="Times New Roman" w:hint="eastAsia"/>
                <w:bCs/>
                <w:kern w:val="0"/>
                <w:sz w:val="21"/>
                <w:szCs w:val="21"/>
                <w14:ligatures w14:val="none"/>
              </w:rPr>
              <w:t>台</w:t>
            </w:r>
            <w:r>
              <w:rPr>
                <w:rFonts w:cs="Times New Roman" w:hint="eastAsia"/>
                <w:bCs/>
                <w:kern w:val="0"/>
                <w:sz w:val="21"/>
                <w:szCs w:val="21"/>
                <w14:ligatures w14:val="none"/>
              </w:rPr>
              <w:t>35kg</w:t>
            </w:r>
            <w:r>
              <w:rPr>
                <w:rFonts w:cs="Times New Roman" w:hint="eastAsia"/>
                <w:bCs/>
                <w:kern w:val="0"/>
                <w:sz w:val="21"/>
                <w:szCs w:val="21"/>
                <w14:ligatures w14:val="none"/>
              </w:rPr>
              <w:t>推车式干粉灭火器、</w:t>
            </w:r>
            <w:r>
              <w:rPr>
                <w:rFonts w:cs="Times New Roman" w:hint="eastAsia"/>
                <w:bCs/>
                <w:kern w:val="0"/>
                <w:sz w:val="21"/>
                <w:szCs w:val="21"/>
                <w14:ligatures w14:val="none"/>
              </w:rPr>
              <w:t>2m</w:t>
            </w:r>
            <w:r>
              <w:rPr>
                <w:rFonts w:cs="Times New Roman" w:hint="eastAsia"/>
                <w:bCs/>
                <w:kern w:val="0"/>
                <w:sz w:val="21"/>
                <w:szCs w:val="21"/>
                <w:vertAlign w:val="superscript"/>
                <w14:ligatures w14:val="none"/>
              </w:rPr>
              <w:t>3</w:t>
            </w:r>
            <w:r>
              <w:rPr>
                <w:rFonts w:cs="Times New Roman" w:hint="eastAsia"/>
                <w:bCs/>
                <w:kern w:val="0"/>
                <w:sz w:val="21"/>
                <w:szCs w:val="21"/>
                <w14:ligatures w14:val="none"/>
              </w:rPr>
              <w:t>消防沙；站房内配备</w:t>
            </w:r>
            <w:r>
              <w:rPr>
                <w:rFonts w:cs="Times New Roman" w:hint="eastAsia"/>
                <w:bCs/>
                <w:kern w:val="0"/>
                <w:sz w:val="21"/>
                <w:szCs w:val="21"/>
                <w14:ligatures w14:val="none"/>
              </w:rPr>
              <w:t>6</w:t>
            </w:r>
            <w:r>
              <w:rPr>
                <w:rFonts w:cs="Times New Roman" w:hint="eastAsia"/>
                <w:bCs/>
                <w:kern w:val="0"/>
                <w:sz w:val="21"/>
                <w:szCs w:val="21"/>
                <w14:ligatures w14:val="none"/>
              </w:rPr>
              <w:t>具</w:t>
            </w:r>
            <w:r>
              <w:rPr>
                <w:rFonts w:cs="Times New Roman" w:hint="eastAsia"/>
                <w:bCs/>
                <w:kern w:val="0"/>
                <w:sz w:val="21"/>
                <w:szCs w:val="21"/>
                <w14:ligatures w14:val="none"/>
              </w:rPr>
              <w:t>5kg</w:t>
            </w:r>
            <w:r>
              <w:rPr>
                <w:rFonts w:cs="Times New Roman" w:hint="eastAsia"/>
                <w:bCs/>
                <w:kern w:val="0"/>
                <w:sz w:val="21"/>
                <w:szCs w:val="21"/>
                <w14:ligatures w14:val="none"/>
              </w:rPr>
              <w:t>手提式干粉灭火器。</w:t>
            </w:r>
          </w:p>
        </w:tc>
      </w:tr>
    </w:tbl>
    <w:p w14:paraId="04364809" w14:textId="77777777" w:rsidR="00EF4562" w:rsidRDefault="00000000">
      <w:pPr>
        <w:ind w:firstLine="560"/>
        <w:sectPr w:rsidR="00EF4562">
          <w:pgSz w:w="11906" w:h="16838"/>
          <w:pgMar w:top="1418" w:right="1134" w:bottom="1134" w:left="1588" w:header="851" w:footer="992" w:gutter="0"/>
          <w:cols w:space="425"/>
          <w:docGrid w:type="linesAndChars" w:linePitch="381"/>
        </w:sectPr>
      </w:pPr>
      <w:r>
        <w:rPr>
          <w:rFonts w:hint="eastAsia"/>
        </w:rPr>
        <w:t>小结：该项目配套与辅助工程的供应量可以满足该项目的需求量，匹配情况较好。</w:t>
      </w:r>
    </w:p>
    <w:p w14:paraId="31764382" w14:textId="77777777" w:rsidR="00EF4562" w:rsidRDefault="00000000">
      <w:pPr>
        <w:spacing w:beforeLines="150" w:before="571" w:afterLines="150" w:after="571"/>
        <w:ind w:firstLineChars="0" w:firstLine="0"/>
        <w:jc w:val="center"/>
        <w:outlineLvl w:val="0"/>
        <w:rPr>
          <w:rFonts w:ascii="黑体" w:eastAsia="黑体" w:hAnsi="黑体" w:hint="eastAsia"/>
          <w:b/>
          <w:bCs/>
          <w:sz w:val="32"/>
          <w:szCs w:val="32"/>
        </w:rPr>
      </w:pPr>
      <w:bookmarkStart w:id="38" w:name="_Toc207695644"/>
      <w:r>
        <w:rPr>
          <w:rFonts w:eastAsia="黑体" w:cs="Times New Roman"/>
          <w:b/>
          <w:bCs/>
          <w:sz w:val="32"/>
          <w:szCs w:val="32"/>
        </w:rPr>
        <w:lastRenderedPageBreak/>
        <w:t>8</w:t>
      </w:r>
      <w:r>
        <w:rPr>
          <w:rFonts w:ascii="黑体" w:eastAsia="黑体" w:hAnsi="黑体" w:hint="eastAsia"/>
          <w:b/>
          <w:bCs/>
          <w:sz w:val="32"/>
          <w:szCs w:val="32"/>
        </w:rPr>
        <w:t>安全对策与建议</w:t>
      </w:r>
      <w:bookmarkEnd w:id="38"/>
    </w:p>
    <w:p w14:paraId="21089B95"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39" w:name="_Toc207695645"/>
      <w:r>
        <w:rPr>
          <w:rFonts w:eastAsia="楷体" w:cs="Times New Roman"/>
          <w:b/>
          <w:bCs/>
          <w:sz w:val="32"/>
          <w:szCs w:val="32"/>
        </w:rPr>
        <w:t>8.</w:t>
      </w:r>
      <w:r>
        <w:rPr>
          <w:rFonts w:eastAsia="楷体" w:cs="Times New Roman" w:hint="eastAsia"/>
          <w:b/>
          <w:bCs/>
          <w:sz w:val="32"/>
          <w:szCs w:val="32"/>
        </w:rPr>
        <w:t>1</w:t>
      </w:r>
      <w:r>
        <w:rPr>
          <w:rFonts w:ascii="楷体" w:eastAsia="楷体" w:hAnsi="楷体" w:hint="eastAsia"/>
          <w:b/>
          <w:bCs/>
          <w:sz w:val="32"/>
          <w:szCs w:val="32"/>
        </w:rPr>
        <w:t>建设项目的选址</w:t>
      </w:r>
      <w:bookmarkEnd w:id="39"/>
    </w:p>
    <w:p w14:paraId="6245764C" w14:textId="77777777" w:rsidR="00EF4562" w:rsidRDefault="00000000">
      <w:pPr>
        <w:ind w:firstLine="560"/>
      </w:pPr>
      <w:r>
        <w:rPr>
          <w:rFonts w:hint="eastAsia"/>
        </w:rPr>
        <w:t>该项目为改建项目，采用安全检查表法对该项目的选址进行评价，符合相关要求。本次评价不再补充相关安全对策措施。</w:t>
      </w:r>
    </w:p>
    <w:p w14:paraId="1DD83347"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40" w:name="_Toc207695646"/>
      <w:r>
        <w:rPr>
          <w:rFonts w:eastAsia="楷体" w:cs="Times New Roman"/>
          <w:b/>
          <w:bCs/>
          <w:sz w:val="32"/>
          <w:szCs w:val="32"/>
        </w:rPr>
        <w:t>8.</w:t>
      </w:r>
      <w:r>
        <w:rPr>
          <w:rFonts w:eastAsia="楷体" w:cs="Times New Roman" w:hint="eastAsia"/>
          <w:b/>
          <w:bCs/>
          <w:sz w:val="32"/>
          <w:szCs w:val="32"/>
        </w:rPr>
        <w:t>2</w:t>
      </w:r>
      <w:r>
        <w:rPr>
          <w:rFonts w:ascii="楷体" w:eastAsia="楷体" w:hAnsi="楷体" w:hint="eastAsia"/>
          <w:b/>
          <w:bCs/>
          <w:sz w:val="32"/>
          <w:szCs w:val="32"/>
        </w:rPr>
        <w:t>拟选择的主要技术、工艺或者方式和装置、设备、设施</w:t>
      </w:r>
      <w:bookmarkEnd w:id="40"/>
    </w:p>
    <w:p w14:paraId="0A33F354"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8.</w:t>
      </w:r>
      <w:r>
        <w:rPr>
          <w:rFonts w:eastAsia="黑体" w:cs="Times New Roman" w:hint="eastAsia"/>
          <w:b/>
          <w:bCs/>
        </w:rPr>
        <w:t>2</w:t>
      </w:r>
      <w:r>
        <w:rPr>
          <w:rFonts w:eastAsia="黑体" w:cs="Times New Roman"/>
          <w:b/>
          <w:bCs/>
        </w:rPr>
        <w:t>.</w:t>
      </w:r>
      <w:r>
        <w:rPr>
          <w:rFonts w:eastAsia="黑体" w:cs="Times New Roman" w:hint="eastAsia"/>
          <w:b/>
          <w:bCs/>
        </w:rPr>
        <w:t>1</w:t>
      </w:r>
      <w:r>
        <w:rPr>
          <w:rFonts w:ascii="黑体" w:eastAsia="黑体" w:hAnsi="黑体" w:hint="eastAsia"/>
          <w:b/>
          <w:bCs/>
        </w:rPr>
        <w:t>加油机</w:t>
      </w:r>
    </w:p>
    <w:p w14:paraId="060A8A67" w14:textId="77777777" w:rsidR="00EF4562" w:rsidRDefault="00000000">
      <w:pPr>
        <w:pStyle w:val="af"/>
        <w:numPr>
          <w:ilvl w:val="0"/>
          <w:numId w:val="4"/>
        </w:numPr>
        <w:ind w:left="0" w:firstLine="560"/>
      </w:pPr>
      <w:r>
        <w:rPr>
          <w:rFonts w:hint="eastAsia"/>
        </w:rPr>
        <w:t>根据《汽车加油加气加氢站技术标准》（</w:t>
      </w:r>
      <w:r>
        <w:rPr>
          <w:rFonts w:hint="eastAsia"/>
        </w:rPr>
        <w:t>GB50156-2021</w:t>
      </w:r>
      <w:r>
        <w:rPr>
          <w:rFonts w:hint="eastAsia"/>
        </w:rPr>
        <w:t>）第</w:t>
      </w:r>
      <w:r>
        <w:rPr>
          <w:rFonts w:hint="eastAsia"/>
        </w:rPr>
        <w:t>6.2.1</w:t>
      </w:r>
      <w:r>
        <w:rPr>
          <w:rFonts w:hint="eastAsia"/>
        </w:rPr>
        <w:t>条，加油机不得设置在室内。</w:t>
      </w:r>
    </w:p>
    <w:p w14:paraId="5D6C3D53" w14:textId="77777777" w:rsidR="00EF4562" w:rsidRDefault="00000000">
      <w:pPr>
        <w:pStyle w:val="af"/>
        <w:numPr>
          <w:ilvl w:val="0"/>
          <w:numId w:val="4"/>
        </w:numPr>
        <w:ind w:left="0" w:firstLine="560"/>
      </w:pPr>
      <w:r>
        <w:rPr>
          <w:rFonts w:hint="eastAsia"/>
        </w:rPr>
        <w:t>根据《汽车加油加气加氢站技术标准》（</w:t>
      </w:r>
      <w:r>
        <w:rPr>
          <w:rFonts w:hint="eastAsia"/>
        </w:rPr>
        <w:t>GB50156-2021</w:t>
      </w:r>
      <w:r>
        <w:rPr>
          <w:rFonts w:hint="eastAsia"/>
        </w:rPr>
        <w:t>）第</w:t>
      </w:r>
      <w:r>
        <w:rPr>
          <w:rFonts w:hint="eastAsia"/>
        </w:rPr>
        <w:t>6.2.2</w:t>
      </w:r>
      <w:r>
        <w:rPr>
          <w:rFonts w:hint="eastAsia"/>
        </w:rPr>
        <w:t>条，加油枪应采用自封式加油枪，车用乙醇汽油加油枪的流量不应大于</w:t>
      </w:r>
      <w:r>
        <w:rPr>
          <w:rFonts w:hint="eastAsia"/>
        </w:rPr>
        <w:t>50L/min</w:t>
      </w:r>
      <w:r>
        <w:rPr>
          <w:rFonts w:hint="eastAsia"/>
        </w:rPr>
        <w:t>。</w:t>
      </w:r>
    </w:p>
    <w:p w14:paraId="1C7983ED" w14:textId="77777777" w:rsidR="00EF4562" w:rsidRDefault="00000000">
      <w:pPr>
        <w:pStyle w:val="af"/>
        <w:numPr>
          <w:ilvl w:val="0"/>
          <w:numId w:val="4"/>
        </w:numPr>
        <w:ind w:left="0" w:firstLine="560"/>
      </w:pPr>
      <w:r>
        <w:rPr>
          <w:rFonts w:hint="eastAsia"/>
        </w:rPr>
        <w:t>根据《汽车加油加气加氢站技术标准》（</w:t>
      </w:r>
      <w:r>
        <w:rPr>
          <w:rFonts w:hint="eastAsia"/>
        </w:rPr>
        <w:t>GB50156-2021</w:t>
      </w:r>
      <w:r>
        <w:rPr>
          <w:rFonts w:hint="eastAsia"/>
        </w:rPr>
        <w:t>）第</w:t>
      </w:r>
      <w:r>
        <w:rPr>
          <w:rFonts w:hint="eastAsia"/>
        </w:rPr>
        <w:t>6.2.3</w:t>
      </w:r>
      <w:r>
        <w:rPr>
          <w:rFonts w:hint="eastAsia"/>
        </w:rPr>
        <w:t>条，加油软管上宜设安全拉断阀。</w:t>
      </w:r>
    </w:p>
    <w:p w14:paraId="7CC6EEB7" w14:textId="77777777" w:rsidR="00EF4562" w:rsidRDefault="00000000">
      <w:pPr>
        <w:pStyle w:val="af"/>
        <w:numPr>
          <w:ilvl w:val="0"/>
          <w:numId w:val="4"/>
        </w:numPr>
        <w:ind w:left="0" w:firstLine="560"/>
      </w:pPr>
      <w:r>
        <w:rPr>
          <w:rFonts w:hint="eastAsia"/>
        </w:rPr>
        <w:t>根据《汽车加油加气加氢站技术标准》（</w:t>
      </w:r>
      <w:r>
        <w:rPr>
          <w:rFonts w:hint="eastAsia"/>
        </w:rPr>
        <w:t>GB50156-2021</w:t>
      </w:r>
      <w:r>
        <w:rPr>
          <w:rFonts w:hint="eastAsia"/>
        </w:rPr>
        <w:t>）第</w:t>
      </w:r>
      <w:r>
        <w:rPr>
          <w:rFonts w:hint="eastAsia"/>
        </w:rPr>
        <w:t>6.2.5</w:t>
      </w:r>
      <w:r>
        <w:rPr>
          <w:rFonts w:hint="eastAsia"/>
        </w:rPr>
        <w:t>条，采用一机多油品的加油机时，加油机上的放枪位应有各油品的文字标识，加油枪应有颜色标识。</w:t>
      </w:r>
    </w:p>
    <w:p w14:paraId="76C0D797" w14:textId="77777777" w:rsidR="00EF4562" w:rsidRDefault="00000000">
      <w:pPr>
        <w:pStyle w:val="af"/>
        <w:numPr>
          <w:ilvl w:val="0"/>
          <w:numId w:val="4"/>
        </w:numPr>
        <w:ind w:left="0" w:firstLine="560"/>
      </w:pPr>
      <w:r>
        <w:rPr>
          <w:rFonts w:hint="eastAsia"/>
        </w:rPr>
        <w:t>根据《汽车加油加气加氢站技术标准》（</w:t>
      </w:r>
      <w:r>
        <w:rPr>
          <w:rFonts w:hint="eastAsia"/>
        </w:rPr>
        <w:t>GB50156-2021</w:t>
      </w:r>
      <w:r>
        <w:rPr>
          <w:rFonts w:hint="eastAsia"/>
        </w:rPr>
        <w:t>）第</w:t>
      </w:r>
      <w:r>
        <w:rPr>
          <w:rFonts w:hint="eastAsia"/>
        </w:rPr>
        <w:t>14.2.3</w:t>
      </w:r>
      <w:r>
        <w:rPr>
          <w:rFonts w:hint="eastAsia"/>
        </w:rPr>
        <w:t>条第</w:t>
      </w:r>
      <w:r>
        <w:rPr>
          <w:rFonts w:hint="eastAsia"/>
        </w:rPr>
        <w:t>4</w:t>
      </w:r>
      <w:r>
        <w:rPr>
          <w:rFonts w:hint="eastAsia"/>
        </w:rPr>
        <w:t>款，加油岛端部的加油机等岛上的工艺设备应有防止车辆误碰撞的措施和警示标识，采用钢管防撞柱（栏）时，其钢管的直径不应小于</w:t>
      </w:r>
      <w:r>
        <w:rPr>
          <w:rFonts w:hint="eastAsia"/>
        </w:rPr>
        <w:t>100mm</w:t>
      </w:r>
      <w:r>
        <w:rPr>
          <w:rFonts w:hint="eastAsia"/>
        </w:rPr>
        <w:t>，高度不应小于</w:t>
      </w:r>
      <w:r>
        <w:rPr>
          <w:rFonts w:hint="eastAsia"/>
        </w:rPr>
        <w:t>0.5m</w:t>
      </w:r>
      <w:r>
        <w:rPr>
          <w:rFonts w:hint="eastAsia"/>
        </w:rPr>
        <w:t>，并应设置牢固。</w:t>
      </w:r>
    </w:p>
    <w:p w14:paraId="5F1BB876"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lastRenderedPageBreak/>
        <w:t>8.</w:t>
      </w:r>
      <w:r>
        <w:rPr>
          <w:rFonts w:eastAsia="黑体" w:cs="Times New Roman" w:hint="eastAsia"/>
          <w:b/>
          <w:bCs/>
        </w:rPr>
        <w:t>2</w:t>
      </w:r>
      <w:r>
        <w:rPr>
          <w:rFonts w:eastAsia="黑体" w:cs="Times New Roman"/>
          <w:b/>
          <w:bCs/>
        </w:rPr>
        <w:t>.</w:t>
      </w:r>
      <w:r>
        <w:rPr>
          <w:rFonts w:eastAsia="黑体" w:cs="Times New Roman" w:hint="eastAsia"/>
          <w:b/>
          <w:bCs/>
        </w:rPr>
        <w:t>2</w:t>
      </w:r>
      <w:r>
        <w:rPr>
          <w:rFonts w:ascii="黑体" w:eastAsia="黑体" w:hAnsi="黑体" w:hint="eastAsia"/>
          <w:b/>
          <w:bCs/>
        </w:rPr>
        <w:t>工艺管道系统</w:t>
      </w:r>
    </w:p>
    <w:p w14:paraId="45806367" w14:textId="77777777" w:rsidR="00EF4562" w:rsidRDefault="00000000">
      <w:pPr>
        <w:pStyle w:val="af"/>
        <w:numPr>
          <w:ilvl w:val="0"/>
          <w:numId w:val="5"/>
        </w:numPr>
        <w:ind w:left="0" w:firstLine="560"/>
      </w:pPr>
      <w:r>
        <w:rPr>
          <w:rFonts w:hint="eastAsia"/>
        </w:rPr>
        <w:t>根据《汽车加油加气加氢站技术标准》（</w:t>
      </w:r>
      <w:r>
        <w:rPr>
          <w:rFonts w:hint="eastAsia"/>
        </w:rPr>
        <w:t>GB50156-2021</w:t>
      </w:r>
      <w:r>
        <w:rPr>
          <w:rFonts w:hint="eastAsia"/>
        </w:rPr>
        <w:t>）第</w:t>
      </w:r>
      <w:r>
        <w:rPr>
          <w:rFonts w:hint="eastAsia"/>
        </w:rPr>
        <w:t>6.3.6</w:t>
      </w:r>
      <w:r>
        <w:rPr>
          <w:rFonts w:hint="eastAsia"/>
        </w:rPr>
        <w:t>条，加油站应采用加油油气回收系统。</w:t>
      </w:r>
    </w:p>
    <w:p w14:paraId="69724CC5" w14:textId="77777777" w:rsidR="00EF4562" w:rsidRDefault="00000000">
      <w:pPr>
        <w:pStyle w:val="af"/>
        <w:numPr>
          <w:ilvl w:val="0"/>
          <w:numId w:val="5"/>
        </w:numPr>
        <w:ind w:left="0" w:firstLine="560"/>
      </w:pPr>
      <w:r>
        <w:rPr>
          <w:rFonts w:hint="eastAsia"/>
        </w:rPr>
        <w:t>根据《汽车加油加气加氢站技术标准》（</w:t>
      </w:r>
      <w:r>
        <w:rPr>
          <w:rFonts w:hint="eastAsia"/>
        </w:rPr>
        <w:t>GB50156-2021</w:t>
      </w:r>
      <w:r>
        <w:rPr>
          <w:rFonts w:hint="eastAsia"/>
        </w:rPr>
        <w:t>）第</w:t>
      </w:r>
      <w:r>
        <w:rPr>
          <w:rFonts w:hint="eastAsia"/>
        </w:rPr>
        <w:t>6.3.7</w:t>
      </w:r>
      <w:r>
        <w:rPr>
          <w:rFonts w:hint="eastAsia"/>
        </w:rPr>
        <w:t>条，加油油气回收系统的设计应符合下列规定：</w:t>
      </w:r>
      <w:r>
        <w:rPr>
          <w:rFonts w:ascii="宋体" w:hAnsi="宋体" w:hint="eastAsia"/>
        </w:rPr>
        <w:t>①</w:t>
      </w:r>
      <w:r>
        <w:rPr>
          <w:rFonts w:hint="eastAsia"/>
        </w:rPr>
        <w:t>应采用真空辅助式油气回收系统；</w:t>
      </w:r>
      <w:r>
        <w:rPr>
          <w:rFonts w:ascii="宋体" w:hAnsi="宋体" w:hint="eastAsia"/>
        </w:rPr>
        <w:t>②</w:t>
      </w:r>
      <w:r>
        <w:rPr>
          <w:rFonts w:hint="eastAsia"/>
        </w:rPr>
        <w:t>车用乙醇汽油加油机与油罐之间应设油气回收管道，多台车用乙醇汽油加油机可共用一根油气回收主管，油气回收主管的公称直径不应小于</w:t>
      </w:r>
      <w:r>
        <w:rPr>
          <w:rFonts w:hint="eastAsia"/>
        </w:rPr>
        <w:t>50mm</w:t>
      </w:r>
      <w:r>
        <w:rPr>
          <w:rFonts w:hint="eastAsia"/>
        </w:rPr>
        <w:t>；</w:t>
      </w:r>
      <w:r>
        <w:rPr>
          <w:rFonts w:ascii="宋体" w:hAnsi="宋体" w:hint="eastAsia"/>
        </w:rPr>
        <w:t>③</w:t>
      </w:r>
      <w:r>
        <w:rPr>
          <w:rFonts w:hint="eastAsia"/>
        </w:rPr>
        <w:t>加油油气回收系统应采取防止油气反向流至加油枪的措施；</w:t>
      </w:r>
      <w:r>
        <w:rPr>
          <w:rFonts w:ascii="宋体" w:hAnsi="宋体" w:hint="eastAsia"/>
        </w:rPr>
        <w:t>④</w:t>
      </w:r>
      <w:r>
        <w:rPr>
          <w:rFonts w:hint="eastAsia"/>
        </w:rPr>
        <w:t>加油机应具备回收油气功能，其气液比宜设定为</w:t>
      </w:r>
      <w:r>
        <w:rPr>
          <w:rFonts w:hint="eastAsia"/>
        </w:rPr>
        <w:t>1.0</w:t>
      </w:r>
      <w:r>
        <w:rPr>
          <w:rFonts w:hint="eastAsia"/>
        </w:rPr>
        <w:t>～</w:t>
      </w:r>
      <w:r>
        <w:rPr>
          <w:rFonts w:hint="eastAsia"/>
        </w:rPr>
        <w:t>1.2</w:t>
      </w:r>
      <w:r>
        <w:rPr>
          <w:rFonts w:hint="eastAsia"/>
        </w:rPr>
        <w:t>；</w:t>
      </w:r>
      <w:r>
        <w:rPr>
          <w:rFonts w:ascii="宋体" w:hAnsi="宋体" w:hint="eastAsia"/>
        </w:rPr>
        <w:t>⑤</w:t>
      </w:r>
      <w:r>
        <w:rPr>
          <w:rFonts w:hint="eastAsia"/>
        </w:rPr>
        <w:t>在加油机底部与油气回收立管的连接处，应安装一个用于检测液阻和系统密闭性的丝接三通，其旁通短管上应设公称直径为</w:t>
      </w:r>
      <w:r>
        <w:rPr>
          <w:rFonts w:hint="eastAsia"/>
        </w:rPr>
        <w:t>25mm</w:t>
      </w:r>
      <w:r>
        <w:rPr>
          <w:rFonts w:hint="eastAsia"/>
        </w:rPr>
        <w:t>的球阀及丝堵。</w:t>
      </w:r>
    </w:p>
    <w:p w14:paraId="60F8000D" w14:textId="77777777" w:rsidR="00EF4562" w:rsidRDefault="00000000">
      <w:pPr>
        <w:pStyle w:val="af"/>
        <w:numPr>
          <w:ilvl w:val="0"/>
          <w:numId w:val="5"/>
        </w:numPr>
        <w:ind w:left="0" w:firstLine="560"/>
      </w:pPr>
      <w:r>
        <w:rPr>
          <w:rFonts w:hint="eastAsia"/>
        </w:rPr>
        <w:t>根据《汽车加油加气加氢站技术标准》（</w:t>
      </w:r>
      <w:r>
        <w:rPr>
          <w:rFonts w:hint="eastAsia"/>
        </w:rPr>
        <w:t>GB50156-2021</w:t>
      </w:r>
      <w:r>
        <w:rPr>
          <w:rFonts w:hint="eastAsia"/>
        </w:rPr>
        <w:t>）第</w:t>
      </w:r>
      <w:r>
        <w:rPr>
          <w:rFonts w:hint="eastAsia"/>
        </w:rPr>
        <w:t>6.3.12</w:t>
      </w:r>
      <w:r>
        <w:rPr>
          <w:rFonts w:hint="eastAsia"/>
        </w:rPr>
        <w:t>条，加油站工艺管道的选用应符合下列规定：</w:t>
      </w:r>
      <w:r>
        <w:rPr>
          <w:rFonts w:ascii="宋体" w:hAnsi="宋体" w:hint="eastAsia"/>
        </w:rPr>
        <w:t>①</w:t>
      </w:r>
      <w:r>
        <w:rPr>
          <w:rFonts w:hint="eastAsia"/>
        </w:rPr>
        <w:t>地面敷设的工艺管道应采用符合现行国家标准《输送流体用无缝钢管》</w:t>
      </w:r>
      <w:r>
        <w:rPr>
          <w:rFonts w:hint="eastAsia"/>
        </w:rPr>
        <w:t>GB/T8163</w:t>
      </w:r>
      <w:r>
        <w:rPr>
          <w:rFonts w:hint="eastAsia"/>
        </w:rPr>
        <w:t>的无缝钢管；</w:t>
      </w:r>
      <w:r>
        <w:rPr>
          <w:rFonts w:ascii="宋体" w:hAnsi="宋体" w:hint="eastAsia"/>
        </w:rPr>
        <w:t>②</w:t>
      </w:r>
      <w:r>
        <w:rPr>
          <w:rFonts w:hint="eastAsia"/>
        </w:rPr>
        <w:t>其他管道应采用输送流体用无缝钢管或适于输送油品的热塑性塑料管道，所采用的热塑性塑料管道应有质量证明文件，非烃类车用燃料不得采用不导静电的热塑性塑料管道；</w:t>
      </w:r>
      <w:r>
        <w:rPr>
          <w:rFonts w:ascii="宋体" w:hAnsi="宋体" w:hint="eastAsia"/>
        </w:rPr>
        <w:t>③</w:t>
      </w:r>
      <w:r>
        <w:rPr>
          <w:rFonts w:hint="eastAsia"/>
        </w:rPr>
        <w:t>无缝钢管的公称壁厚不应小于</w:t>
      </w:r>
      <w:r>
        <w:rPr>
          <w:rFonts w:hint="eastAsia"/>
        </w:rPr>
        <w:t>4mm</w:t>
      </w:r>
      <w:r>
        <w:rPr>
          <w:rFonts w:hint="eastAsia"/>
        </w:rPr>
        <w:t>，埋地钢管的连接应采用焊接；</w:t>
      </w:r>
      <w:r>
        <w:rPr>
          <w:rFonts w:ascii="宋体" w:hAnsi="宋体" w:hint="eastAsia"/>
        </w:rPr>
        <w:t>④</w:t>
      </w:r>
      <w:r>
        <w:rPr>
          <w:rFonts w:hint="eastAsia"/>
        </w:rPr>
        <w:t>热塑性塑料管道的主体结构层应为无孔隙聚乙烯材料，壁厚不应小于</w:t>
      </w:r>
      <w:r>
        <w:rPr>
          <w:rFonts w:hint="eastAsia"/>
        </w:rPr>
        <w:t>4mm</w:t>
      </w:r>
      <w:r>
        <w:rPr>
          <w:rFonts w:hint="eastAsia"/>
        </w:rPr>
        <w:t>，埋地部分的热塑性塑料管道应采用配套的专用连接管件电熔连接；</w:t>
      </w:r>
      <w:r>
        <w:rPr>
          <w:rFonts w:ascii="宋体" w:hAnsi="宋体" w:hint="eastAsia"/>
        </w:rPr>
        <w:t>⑤</w:t>
      </w:r>
      <w:r>
        <w:rPr>
          <w:rFonts w:hint="eastAsia"/>
        </w:rPr>
        <w:t>导静电热塑性塑料管道导静电衬层的体电阻率应小于</w:t>
      </w:r>
      <w:r>
        <w:rPr>
          <w:rFonts w:hint="eastAsia"/>
        </w:rPr>
        <w:t>10</w:t>
      </w:r>
      <w:r>
        <w:rPr>
          <w:rFonts w:hint="eastAsia"/>
          <w:vertAlign w:val="superscript"/>
        </w:rPr>
        <w:t>8</w:t>
      </w:r>
      <w:r>
        <w:rPr>
          <w:rFonts w:hint="eastAsia"/>
        </w:rPr>
        <w:t>Ω·</w:t>
      </w:r>
      <w:r>
        <w:rPr>
          <w:rFonts w:hint="eastAsia"/>
        </w:rPr>
        <w:t>m</w:t>
      </w:r>
      <w:r>
        <w:rPr>
          <w:rFonts w:hint="eastAsia"/>
        </w:rPr>
        <w:t>，表面电阻率应小于</w:t>
      </w:r>
      <w:r>
        <w:rPr>
          <w:rFonts w:hint="eastAsia"/>
        </w:rPr>
        <w:t>10</w:t>
      </w:r>
      <w:r>
        <w:rPr>
          <w:rFonts w:hint="eastAsia"/>
          <w:vertAlign w:val="superscript"/>
        </w:rPr>
        <w:t>10</w:t>
      </w:r>
      <w:r>
        <w:rPr>
          <w:rFonts w:hint="eastAsia"/>
        </w:rPr>
        <w:t>Ω。</w:t>
      </w:r>
    </w:p>
    <w:p w14:paraId="2526CE70" w14:textId="77777777" w:rsidR="00EF4562" w:rsidRDefault="00000000">
      <w:pPr>
        <w:pStyle w:val="af"/>
        <w:numPr>
          <w:ilvl w:val="0"/>
          <w:numId w:val="5"/>
        </w:numPr>
        <w:ind w:left="0" w:firstLine="560"/>
      </w:pPr>
      <w:r>
        <w:rPr>
          <w:rFonts w:hint="eastAsia"/>
        </w:rPr>
        <w:t>根据《汽车加油加气加氢站技术标准》（</w:t>
      </w:r>
      <w:r>
        <w:rPr>
          <w:rFonts w:hint="eastAsia"/>
        </w:rPr>
        <w:t>GB50156-2021</w:t>
      </w:r>
      <w:r>
        <w:rPr>
          <w:rFonts w:hint="eastAsia"/>
        </w:rPr>
        <w:t>）第</w:t>
      </w:r>
      <w:r>
        <w:rPr>
          <w:rFonts w:hint="eastAsia"/>
        </w:rPr>
        <w:t>6.3.14</w:t>
      </w:r>
      <w:r>
        <w:rPr>
          <w:rFonts w:hint="eastAsia"/>
        </w:rPr>
        <w:t>条，加油站内的工艺管道除必须露出地面的以外，均应埋地敷设。当采用管沟敷设时，管沟必须用中性沙子或细土填满、填实。</w:t>
      </w:r>
    </w:p>
    <w:p w14:paraId="5CCA5EC0" w14:textId="77777777" w:rsidR="00EF4562" w:rsidRDefault="00000000">
      <w:pPr>
        <w:pStyle w:val="af"/>
        <w:numPr>
          <w:ilvl w:val="0"/>
          <w:numId w:val="5"/>
        </w:numPr>
        <w:ind w:left="0" w:firstLine="560"/>
      </w:pPr>
      <w:r>
        <w:rPr>
          <w:rFonts w:hint="eastAsia"/>
        </w:rPr>
        <w:t>根据《汽车加油加气加氢站技术标准》（</w:t>
      </w:r>
      <w:r>
        <w:rPr>
          <w:rFonts w:hint="eastAsia"/>
        </w:rPr>
        <w:t>GB50156-2021</w:t>
      </w:r>
      <w:r>
        <w:rPr>
          <w:rFonts w:hint="eastAsia"/>
        </w:rPr>
        <w:t>）第</w:t>
      </w:r>
      <w:r>
        <w:rPr>
          <w:rFonts w:hint="eastAsia"/>
        </w:rPr>
        <w:t>6.3.15</w:t>
      </w:r>
      <w:r>
        <w:rPr>
          <w:rFonts w:hint="eastAsia"/>
        </w:rPr>
        <w:lastRenderedPageBreak/>
        <w:t>条，加油油气回收管道，应坡向埋地油罐。卸油管道的坡度不应小于</w:t>
      </w:r>
      <w:r>
        <w:rPr>
          <w:rFonts w:hint="eastAsia"/>
        </w:rPr>
        <w:t>2%</w:t>
      </w:r>
      <w:r>
        <w:rPr>
          <w:rFonts w:hint="eastAsia"/>
        </w:rPr>
        <w:t>，加油油气回收管道和油罐通气管横管的坡度，不应小于</w:t>
      </w:r>
      <w:r>
        <w:rPr>
          <w:rFonts w:hint="eastAsia"/>
        </w:rPr>
        <w:t>1%</w:t>
      </w:r>
      <w:r>
        <w:rPr>
          <w:rFonts w:hint="eastAsia"/>
        </w:rPr>
        <w:t>。</w:t>
      </w:r>
    </w:p>
    <w:p w14:paraId="5AA1D134" w14:textId="77777777" w:rsidR="00EF4562" w:rsidRDefault="00000000">
      <w:pPr>
        <w:pStyle w:val="af"/>
        <w:numPr>
          <w:ilvl w:val="0"/>
          <w:numId w:val="5"/>
        </w:numPr>
        <w:ind w:left="0" w:firstLine="560"/>
      </w:pPr>
      <w:r>
        <w:rPr>
          <w:rFonts w:hint="eastAsia"/>
        </w:rPr>
        <w:t>根据《汽车加油加气加氢站技术标准》（</w:t>
      </w:r>
      <w:r>
        <w:rPr>
          <w:rFonts w:hint="eastAsia"/>
        </w:rPr>
        <w:t>GB50156-2021</w:t>
      </w:r>
      <w:r>
        <w:rPr>
          <w:rFonts w:hint="eastAsia"/>
        </w:rPr>
        <w:t>）第</w:t>
      </w:r>
      <w:r>
        <w:rPr>
          <w:rFonts w:hint="eastAsia"/>
        </w:rPr>
        <w:t>6.3.16</w:t>
      </w:r>
      <w:r>
        <w:rPr>
          <w:rFonts w:hint="eastAsia"/>
        </w:rPr>
        <w:t>条，受地形限制，加油油气回收管道坡向油罐的坡度无法满足本标准第</w:t>
      </w:r>
      <w:r>
        <w:rPr>
          <w:rFonts w:hint="eastAsia"/>
        </w:rPr>
        <w:t>6.3.14</w:t>
      </w:r>
      <w:r>
        <w:rPr>
          <w:rFonts w:hint="eastAsia"/>
        </w:rPr>
        <w:t>条的要求时，可在管道靠近油罐的位置设置集液器，且管道坡向集液器的坡度不应小于</w:t>
      </w:r>
      <w:r>
        <w:rPr>
          <w:rFonts w:hint="eastAsia"/>
        </w:rPr>
        <w:t>1%</w:t>
      </w:r>
      <w:r>
        <w:rPr>
          <w:rFonts w:hint="eastAsia"/>
        </w:rPr>
        <w:t>。</w:t>
      </w:r>
    </w:p>
    <w:p w14:paraId="0CE38F7C" w14:textId="77777777" w:rsidR="00EF4562" w:rsidRDefault="00000000">
      <w:pPr>
        <w:pStyle w:val="af"/>
        <w:numPr>
          <w:ilvl w:val="0"/>
          <w:numId w:val="5"/>
        </w:numPr>
        <w:ind w:left="0" w:firstLine="560"/>
      </w:pPr>
      <w:r>
        <w:rPr>
          <w:rFonts w:hint="eastAsia"/>
        </w:rPr>
        <w:t>根据《汽车加油加气加氢站技术标准》（</w:t>
      </w:r>
      <w:r>
        <w:rPr>
          <w:rFonts w:hint="eastAsia"/>
        </w:rPr>
        <w:t>GB50156-2021</w:t>
      </w:r>
      <w:r>
        <w:rPr>
          <w:rFonts w:hint="eastAsia"/>
        </w:rPr>
        <w:t>）第</w:t>
      </w:r>
      <w:r>
        <w:rPr>
          <w:rFonts w:hint="eastAsia"/>
        </w:rPr>
        <w:t>6.3.17</w:t>
      </w:r>
      <w:r>
        <w:rPr>
          <w:rFonts w:hint="eastAsia"/>
        </w:rPr>
        <w:t>条，埋地工艺管道的埋设深度不得小于</w:t>
      </w:r>
      <w:r>
        <w:rPr>
          <w:rFonts w:hint="eastAsia"/>
        </w:rPr>
        <w:t>0.4m</w:t>
      </w:r>
      <w:r>
        <w:rPr>
          <w:rFonts w:hint="eastAsia"/>
        </w:rPr>
        <w:t>。敷设在混凝土场地或道路下面的管道，管顶低于混凝土层下表面不得小于</w:t>
      </w:r>
      <w:r>
        <w:rPr>
          <w:rFonts w:hint="eastAsia"/>
        </w:rPr>
        <w:t>0.2m</w:t>
      </w:r>
      <w:r>
        <w:rPr>
          <w:rFonts w:hint="eastAsia"/>
        </w:rPr>
        <w:t>。管道周围应回填不小于</w:t>
      </w:r>
      <w:r>
        <w:rPr>
          <w:rFonts w:hint="eastAsia"/>
        </w:rPr>
        <w:t>100mm</w:t>
      </w:r>
      <w:r>
        <w:rPr>
          <w:rFonts w:hint="eastAsia"/>
        </w:rPr>
        <w:t>厚的中性沙子或细土。</w:t>
      </w:r>
    </w:p>
    <w:p w14:paraId="1104487D" w14:textId="77777777" w:rsidR="00EF4562" w:rsidRDefault="00000000">
      <w:pPr>
        <w:pStyle w:val="af"/>
        <w:numPr>
          <w:ilvl w:val="0"/>
          <w:numId w:val="5"/>
        </w:numPr>
        <w:ind w:left="0" w:firstLine="560"/>
      </w:pPr>
      <w:r>
        <w:rPr>
          <w:rFonts w:hint="eastAsia"/>
        </w:rPr>
        <w:t>根据《汽车加油加气加氢站技术标准》（</w:t>
      </w:r>
      <w:r>
        <w:rPr>
          <w:rFonts w:hint="eastAsia"/>
        </w:rPr>
        <w:t>GB50156-2021</w:t>
      </w:r>
      <w:r>
        <w:rPr>
          <w:rFonts w:hint="eastAsia"/>
        </w:rPr>
        <w:t>）第</w:t>
      </w:r>
      <w:r>
        <w:rPr>
          <w:rFonts w:hint="eastAsia"/>
        </w:rPr>
        <w:t>6.3.18</w:t>
      </w:r>
      <w:r>
        <w:rPr>
          <w:rFonts w:hint="eastAsia"/>
        </w:rPr>
        <w:t>条，工艺管道不应穿过或跨越站房等与其无直接关系的建（构）筑物；与管沟、电缆沟和排水沟相交叉时，应采取相应的防护措施。</w:t>
      </w:r>
    </w:p>
    <w:p w14:paraId="6C5D9EFA" w14:textId="77777777" w:rsidR="00EF4562" w:rsidRDefault="00000000">
      <w:pPr>
        <w:pStyle w:val="af"/>
        <w:numPr>
          <w:ilvl w:val="0"/>
          <w:numId w:val="5"/>
        </w:numPr>
        <w:ind w:left="0" w:firstLine="560"/>
      </w:pPr>
      <w:r>
        <w:rPr>
          <w:rFonts w:hint="eastAsia"/>
        </w:rPr>
        <w:t>根据《汽车加油加气加氢站技术标准》（</w:t>
      </w:r>
      <w:r>
        <w:rPr>
          <w:rFonts w:hint="eastAsia"/>
        </w:rPr>
        <w:t>GB50156-2021</w:t>
      </w:r>
      <w:r>
        <w:rPr>
          <w:rFonts w:hint="eastAsia"/>
        </w:rPr>
        <w:t>）第</w:t>
      </w:r>
      <w:r>
        <w:rPr>
          <w:rFonts w:hint="eastAsia"/>
        </w:rPr>
        <w:t>6.3.19</w:t>
      </w:r>
      <w:r>
        <w:rPr>
          <w:rFonts w:hint="eastAsia"/>
        </w:rPr>
        <w:t>条，不导静电热塑性塑料管道的设计和安装，除应符合本标准第</w:t>
      </w:r>
      <w:r>
        <w:rPr>
          <w:rFonts w:hint="eastAsia"/>
        </w:rPr>
        <w:t>6.3.12</w:t>
      </w:r>
      <w:r>
        <w:rPr>
          <w:rFonts w:hint="eastAsia"/>
        </w:rPr>
        <w:t>条的有关规定外，尚应符合下列规定：①管道内油品的流速应小于</w:t>
      </w:r>
      <w:r>
        <w:rPr>
          <w:rFonts w:hint="eastAsia"/>
        </w:rPr>
        <w:t>2.8m/s</w:t>
      </w:r>
      <w:r>
        <w:rPr>
          <w:rFonts w:hint="eastAsia"/>
        </w:rPr>
        <w:t>；②管道在人孔井内、加油机底槽和卸油口等处未完全埋地的部分，应在满足管道连接要求的前提下，采用最短的安装长度和最少的接头。</w:t>
      </w:r>
    </w:p>
    <w:p w14:paraId="5EA8C62B" w14:textId="77777777" w:rsidR="00EF4562" w:rsidRDefault="00000000">
      <w:pPr>
        <w:pStyle w:val="af"/>
        <w:numPr>
          <w:ilvl w:val="0"/>
          <w:numId w:val="5"/>
        </w:numPr>
        <w:ind w:left="0" w:firstLine="560"/>
      </w:pPr>
      <w:r>
        <w:rPr>
          <w:rFonts w:hint="eastAsia"/>
        </w:rPr>
        <w:t>根据《汽车加油加气加氢站技术标准》（</w:t>
      </w:r>
      <w:r>
        <w:rPr>
          <w:rFonts w:hint="eastAsia"/>
        </w:rPr>
        <w:t>GB50156-2021</w:t>
      </w:r>
      <w:r>
        <w:rPr>
          <w:rFonts w:hint="eastAsia"/>
        </w:rPr>
        <w:t>）第</w:t>
      </w:r>
      <w:r>
        <w:rPr>
          <w:rFonts w:hint="eastAsia"/>
        </w:rPr>
        <w:t>6.5.5</w:t>
      </w:r>
      <w:r>
        <w:rPr>
          <w:rFonts w:hint="eastAsia"/>
        </w:rPr>
        <w:t>条，加油站埋地加油管道应采用双层管道。双层管道的设计应符合下列规定：</w:t>
      </w:r>
      <w:r>
        <w:rPr>
          <w:rFonts w:ascii="宋体" w:hAnsi="宋体" w:hint="eastAsia"/>
        </w:rPr>
        <w:t>①</w:t>
      </w:r>
      <w:r>
        <w:rPr>
          <w:rFonts w:hint="eastAsia"/>
        </w:rPr>
        <w:t>双层管道的内层管应符合本标准第</w:t>
      </w:r>
      <w:r>
        <w:rPr>
          <w:rFonts w:hint="eastAsia"/>
        </w:rPr>
        <w:t>6.3</w:t>
      </w:r>
      <w:r>
        <w:rPr>
          <w:rFonts w:hint="eastAsia"/>
        </w:rPr>
        <w:t>节的有关规定；</w:t>
      </w:r>
      <w:r>
        <w:rPr>
          <w:rFonts w:ascii="宋体" w:hAnsi="宋体" w:hint="eastAsia"/>
        </w:rPr>
        <w:t>②</w:t>
      </w:r>
      <w:r>
        <w:rPr>
          <w:rFonts w:hint="eastAsia"/>
        </w:rPr>
        <w:t>采用双层非金属管道时，外层管应满足耐油、耐腐蚀、耐老化和系统试验压力的要求；</w:t>
      </w:r>
      <w:r>
        <w:rPr>
          <w:rFonts w:ascii="宋体" w:hAnsi="宋体" w:hint="eastAsia"/>
        </w:rPr>
        <w:t>③</w:t>
      </w:r>
      <w:r>
        <w:rPr>
          <w:rFonts w:hint="eastAsia"/>
        </w:rPr>
        <w:t>双层管道系统的内层管与外层管之间的缝隙应贯通；</w:t>
      </w:r>
      <w:r>
        <w:rPr>
          <w:rFonts w:ascii="宋体" w:hAnsi="宋体" w:hint="eastAsia"/>
        </w:rPr>
        <w:t>④</w:t>
      </w:r>
      <w:r>
        <w:rPr>
          <w:rFonts w:hint="eastAsia"/>
        </w:rPr>
        <w:t>双层管道系统的最低点应设检漏点；</w:t>
      </w:r>
      <w:r>
        <w:rPr>
          <w:rFonts w:ascii="宋体" w:hAnsi="宋体" w:hint="eastAsia"/>
        </w:rPr>
        <w:t>⑤</w:t>
      </w:r>
      <w:r>
        <w:rPr>
          <w:rFonts w:hint="eastAsia"/>
        </w:rPr>
        <w:t>双层管道坡向检漏点的坡度不应小于</w:t>
      </w:r>
      <w:r>
        <w:rPr>
          <w:rFonts w:hint="eastAsia"/>
        </w:rPr>
        <w:t>5</w:t>
      </w:r>
      <w:r>
        <w:rPr>
          <w:rFonts w:hint="eastAsia"/>
        </w:rPr>
        <w:t>‰，并应保证内层管和外层管任何部位出现渗漏均能在检漏点处被发现；</w:t>
      </w:r>
      <w:r>
        <w:rPr>
          <w:rFonts w:ascii="宋体" w:hAnsi="宋体" w:hint="eastAsia"/>
        </w:rPr>
        <w:t>⑥</w:t>
      </w:r>
      <w:r>
        <w:rPr>
          <w:rFonts w:hint="eastAsia"/>
        </w:rPr>
        <w:t>管道系统的渗漏检测宜采用在线监测系统。</w:t>
      </w:r>
    </w:p>
    <w:p w14:paraId="0BC74873" w14:textId="77777777" w:rsidR="00EF4562" w:rsidRDefault="00000000">
      <w:pPr>
        <w:pStyle w:val="af"/>
        <w:numPr>
          <w:ilvl w:val="0"/>
          <w:numId w:val="5"/>
        </w:numPr>
        <w:ind w:left="0" w:firstLine="560"/>
      </w:pPr>
      <w:r>
        <w:rPr>
          <w:rFonts w:hint="eastAsia"/>
        </w:rPr>
        <w:lastRenderedPageBreak/>
        <w:t>根据《油气回收系统防爆技术要求》（</w:t>
      </w:r>
      <w:r>
        <w:rPr>
          <w:rFonts w:hint="eastAsia"/>
        </w:rPr>
        <w:t>GB/T34661-2017</w:t>
      </w:r>
      <w:r>
        <w:rPr>
          <w:rFonts w:hint="eastAsia"/>
        </w:rPr>
        <w:t>）第</w:t>
      </w:r>
      <w:r>
        <w:rPr>
          <w:rFonts w:hint="eastAsia"/>
        </w:rPr>
        <w:t>5.2.1</w:t>
      </w:r>
      <w:r>
        <w:rPr>
          <w:rFonts w:hint="eastAsia"/>
        </w:rPr>
        <w:t>条，加油站油品管道的设计压力应为</w:t>
      </w:r>
      <w:r>
        <w:rPr>
          <w:rFonts w:hint="eastAsia"/>
        </w:rPr>
        <w:t>0.5MPa</w:t>
      </w:r>
      <w:r>
        <w:rPr>
          <w:rFonts w:hint="eastAsia"/>
        </w:rPr>
        <w:t>，油气回收系统回气管道的设计压力不应小于</w:t>
      </w:r>
      <w:r>
        <w:rPr>
          <w:rFonts w:hint="eastAsia"/>
        </w:rPr>
        <w:t>0.13MPa</w:t>
      </w:r>
      <w:r>
        <w:rPr>
          <w:rFonts w:hint="eastAsia"/>
        </w:rPr>
        <w:t>。</w:t>
      </w:r>
    </w:p>
    <w:p w14:paraId="77331BAC" w14:textId="77777777" w:rsidR="00EF4562" w:rsidRDefault="00000000">
      <w:pPr>
        <w:pStyle w:val="af"/>
        <w:numPr>
          <w:ilvl w:val="0"/>
          <w:numId w:val="5"/>
        </w:numPr>
        <w:ind w:left="0" w:firstLine="560"/>
      </w:pPr>
      <w:r>
        <w:rPr>
          <w:rFonts w:hint="eastAsia"/>
        </w:rPr>
        <w:t>根据《油气回收系统防爆技术要求》（</w:t>
      </w:r>
      <w:r>
        <w:rPr>
          <w:rFonts w:hint="eastAsia"/>
        </w:rPr>
        <w:t>GB/T34661-2017</w:t>
      </w:r>
      <w:r>
        <w:rPr>
          <w:rFonts w:hint="eastAsia"/>
        </w:rPr>
        <w:t>）第</w:t>
      </w:r>
      <w:r>
        <w:rPr>
          <w:rFonts w:hint="eastAsia"/>
        </w:rPr>
        <w:t>5.2.2.1</w:t>
      </w:r>
      <w:r>
        <w:rPr>
          <w:rFonts w:hint="eastAsia"/>
        </w:rPr>
        <w:t>条，油气回收管道直径宜为</w:t>
      </w:r>
      <w:r>
        <w:rPr>
          <w:rFonts w:hint="eastAsia"/>
        </w:rPr>
        <w:t>DN80</w:t>
      </w:r>
      <w:r>
        <w:rPr>
          <w:rFonts w:hint="eastAsia"/>
        </w:rPr>
        <w:t>，比卸油管道直径小一个规格等级（即：</w:t>
      </w:r>
      <w:r>
        <w:rPr>
          <w:rFonts w:hint="eastAsia"/>
        </w:rPr>
        <w:t>DN100</w:t>
      </w:r>
      <w:r>
        <w:rPr>
          <w:rFonts w:hint="eastAsia"/>
        </w:rPr>
        <w:t>的卸油管道应配</w:t>
      </w:r>
      <w:r>
        <w:rPr>
          <w:rFonts w:hint="eastAsia"/>
        </w:rPr>
        <w:t>DN80</w:t>
      </w:r>
      <w:r>
        <w:rPr>
          <w:rFonts w:hint="eastAsia"/>
        </w:rPr>
        <w:t>的油气回收管道，</w:t>
      </w:r>
      <w:r>
        <w:rPr>
          <w:rFonts w:hint="eastAsia"/>
        </w:rPr>
        <w:t>DN80</w:t>
      </w:r>
      <w:r>
        <w:rPr>
          <w:rFonts w:hint="eastAsia"/>
        </w:rPr>
        <w:t>的卸油管道应配</w:t>
      </w:r>
      <w:r>
        <w:rPr>
          <w:rFonts w:hint="eastAsia"/>
        </w:rPr>
        <w:t>DN50</w:t>
      </w:r>
      <w:r>
        <w:rPr>
          <w:rFonts w:hint="eastAsia"/>
        </w:rPr>
        <w:t>的油气回收管道），且不应小于</w:t>
      </w:r>
      <w:r>
        <w:rPr>
          <w:rFonts w:hint="eastAsia"/>
        </w:rPr>
        <w:t>DN50</w:t>
      </w:r>
      <w:r>
        <w:rPr>
          <w:rFonts w:hint="eastAsia"/>
        </w:rPr>
        <w:t>。油气回收连通软管，应采用电阻率不大于</w:t>
      </w:r>
      <w:r>
        <w:rPr>
          <w:rFonts w:hint="eastAsia"/>
        </w:rPr>
        <w:t>10</w:t>
      </w:r>
      <w:r>
        <w:rPr>
          <w:rFonts w:hint="eastAsia"/>
          <w:vertAlign w:val="superscript"/>
        </w:rPr>
        <w:t>5</w:t>
      </w:r>
      <w:r>
        <w:rPr>
          <w:rFonts w:hint="eastAsia"/>
        </w:rPr>
        <w:t>Ω·</w:t>
      </w:r>
      <w:r>
        <w:rPr>
          <w:rFonts w:hint="eastAsia"/>
        </w:rPr>
        <w:t>m</w:t>
      </w:r>
      <w:r>
        <w:rPr>
          <w:rFonts w:hint="eastAsia"/>
        </w:rPr>
        <w:t>的耐油软管。</w:t>
      </w:r>
    </w:p>
    <w:p w14:paraId="7EB982A7" w14:textId="77777777" w:rsidR="00EF4562" w:rsidRDefault="00000000">
      <w:pPr>
        <w:pStyle w:val="af"/>
        <w:numPr>
          <w:ilvl w:val="0"/>
          <w:numId w:val="5"/>
        </w:numPr>
        <w:ind w:left="0" w:firstLine="560"/>
      </w:pPr>
      <w:r>
        <w:rPr>
          <w:rFonts w:hint="eastAsia"/>
        </w:rPr>
        <w:t>根据《油气回收系统防爆技术要求》（</w:t>
      </w:r>
      <w:r>
        <w:rPr>
          <w:rFonts w:hint="eastAsia"/>
        </w:rPr>
        <w:t>GB/T34661-2017</w:t>
      </w:r>
      <w:r>
        <w:rPr>
          <w:rFonts w:hint="eastAsia"/>
        </w:rPr>
        <w:t>）第</w:t>
      </w:r>
      <w:r>
        <w:rPr>
          <w:rFonts w:hint="eastAsia"/>
        </w:rPr>
        <w:t>5.2.3.3</w:t>
      </w:r>
      <w:r>
        <w:rPr>
          <w:rFonts w:hint="eastAsia"/>
        </w:rPr>
        <w:t>条，加装油气回收系统的加油机应以油气回收加油枪作为终端。油气回收油枪应具有或通过阀门控制油路、气路同时开启、关闭和自封功能。</w:t>
      </w:r>
    </w:p>
    <w:p w14:paraId="2DD63389" w14:textId="77777777" w:rsidR="00EF4562" w:rsidRDefault="00000000">
      <w:pPr>
        <w:pStyle w:val="af"/>
        <w:numPr>
          <w:ilvl w:val="0"/>
          <w:numId w:val="5"/>
        </w:numPr>
        <w:ind w:left="0" w:firstLine="560"/>
      </w:pPr>
      <w:r>
        <w:rPr>
          <w:rFonts w:hint="eastAsia"/>
        </w:rPr>
        <w:t>根据《石油化工设备和管道涂料防腐蚀设计标准》（</w:t>
      </w:r>
      <w:r>
        <w:t>SH/T 3022-2019</w:t>
      </w:r>
      <w:r>
        <w:rPr>
          <w:rFonts w:hint="eastAsia"/>
        </w:rPr>
        <w:t>）第</w:t>
      </w:r>
      <w:r>
        <w:rPr>
          <w:rFonts w:hint="eastAsia"/>
        </w:rPr>
        <w:t>5.1.2</w:t>
      </w:r>
      <w:r>
        <w:rPr>
          <w:rFonts w:hint="eastAsia"/>
        </w:rPr>
        <w:t>条，土壤对钢材表面腐蚀程度分类应符合下列规定：①土壤腐蚀性程度及防腐蚀等级的划分应符合表</w:t>
      </w:r>
      <w:r>
        <w:rPr>
          <w:rFonts w:hint="eastAsia"/>
        </w:rPr>
        <w:t>8.2-1</w:t>
      </w:r>
      <w:r>
        <w:rPr>
          <w:rFonts w:hint="eastAsia"/>
        </w:rPr>
        <w:t>的规定：②当表</w:t>
      </w:r>
      <w:r>
        <w:rPr>
          <w:rFonts w:hint="eastAsia"/>
        </w:rPr>
        <w:t>8.2-1</w:t>
      </w:r>
      <w:r>
        <w:rPr>
          <w:rFonts w:hint="eastAsia"/>
        </w:rPr>
        <w:t>中土壤腐蚀指标的任何一项超过规定值时，防腐蚀等级应提高</w:t>
      </w:r>
      <w:r>
        <w:rPr>
          <w:rFonts w:hint="eastAsia"/>
        </w:rPr>
        <w:t>1</w:t>
      </w:r>
      <w:r>
        <w:rPr>
          <w:rFonts w:hint="eastAsia"/>
        </w:rPr>
        <w:t>级；③埋地管道穿越铁路、道路或沟渠的穿越段，防腐蚀等级应为特加强级；④埋地管道改变埋设深度的弯管处，防腐蚀等级应为特加强级。</w:t>
      </w:r>
    </w:p>
    <w:p w14:paraId="0D83D3C8"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t>表8.2-1  土壤腐蚀性程度及防腐蚀等级划分</w:t>
      </w:r>
    </w:p>
    <w:p w14:paraId="15605E4D" w14:textId="77777777" w:rsidR="00EF4562" w:rsidRDefault="00000000">
      <w:pPr>
        <w:ind w:firstLineChars="0" w:firstLine="0"/>
        <w:rPr>
          <w:color w:val="EE0000"/>
        </w:rPr>
      </w:pPr>
      <w:r>
        <w:rPr>
          <w:noProof/>
          <w:color w:val="EE0000"/>
        </w:rPr>
        <w:drawing>
          <wp:inline distT="0" distB="0" distL="0" distR="0" wp14:anchorId="317BEC7D" wp14:editId="7A2C3393">
            <wp:extent cx="5915660" cy="1676400"/>
            <wp:effectExtent l="0" t="0" r="8890" b="0"/>
            <wp:docPr id="924895001" name="图片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895001" name="图片 19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915660" cy="1676400"/>
                    </a:xfrm>
                    <a:prstGeom prst="rect">
                      <a:avLst/>
                    </a:prstGeom>
                    <a:noFill/>
                  </pic:spPr>
                </pic:pic>
              </a:graphicData>
            </a:graphic>
          </wp:inline>
        </w:drawing>
      </w:r>
    </w:p>
    <w:p w14:paraId="2D0E5DC1" w14:textId="77777777" w:rsidR="00EF4562" w:rsidRDefault="00000000">
      <w:pPr>
        <w:pStyle w:val="af"/>
        <w:numPr>
          <w:ilvl w:val="0"/>
          <w:numId w:val="5"/>
        </w:numPr>
        <w:ind w:left="0" w:firstLine="560"/>
      </w:pPr>
      <w:r>
        <w:rPr>
          <w:rFonts w:hint="eastAsia"/>
        </w:rPr>
        <w:t>根据《石油化工设备和管道涂料防腐蚀设计标准》（</w:t>
      </w:r>
      <w:r>
        <w:rPr>
          <w:rFonts w:hint="eastAsia"/>
        </w:rPr>
        <w:t>SH/T 3022-2019</w:t>
      </w:r>
      <w:r>
        <w:rPr>
          <w:rFonts w:hint="eastAsia"/>
        </w:rPr>
        <w:t>）第</w:t>
      </w:r>
      <w:r>
        <w:rPr>
          <w:rFonts w:hint="eastAsia"/>
        </w:rPr>
        <w:t>5.2.2</w:t>
      </w:r>
      <w:r>
        <w:rPr>
          <w:rFonts w:hint="eastAsia"/>
        </w:rPr>
        <w:t>条，埋地管道防腐蚀涂料的选择与涂料配套方案的设计可按</w:t>
      </w:r>
      <w:r>
        <w:rPr>
          <w:rFonts w:hint="eastAsia"/>
        </w:rPr>
        <w:lastRenderedPageBreak/>
        <w:t>下列要求确定：①管道防腐蚀等级应符合本标准第</w:t>
      </w:r>
      <w:r>
        <w:rPr>
          <w:rFonts w:hint="eastAsia"/>
        </w:rPr>
        <w:t>5.1.2</w:t>
      </w:r>
      <w:r>
        <w:rPr>
          <w:rFonts w:hint="eastAsia"/>
        </w:rPr>
        <w:t>条的规定。②管道常用防腐蚀涂料的性能与用途可按附录</w:t>
      </w:r>
      <w:r>
        <w:rPr>
          <w:rFonts w:hint="eastAsia"/>
        </w:rPr>
        <w:t>B</w:t>
      </w:r>
      <w:r>
        <w:rPr>
          <w:rFonts w:hint="eastAsia"/>
        </w:rPr>
        <w:t>确定。③当采用阴极保护防腐方案时，管道防腐应符合现行国家标准</w:t>
      </w:r>
      <w:r>
        <w:rPr>
          <w:rFonts w:hint="eastAsia"/>
        </w:rPr>
        <w:t>GB/T 21447</w:t>
      </w:r>
      <w:r>
        <w:rPr>
          <w:rFonts w:hint="eastAsia"/>
        </w:rPr>
        <w:t>的规定。</w:t>
      </w:r>
    </w:p>
    <w:p w14:paraId="1B2F8E48" w14:textId="77777777" w:rsidR="00EF4562" w:rsidRDefault="00000000">
      <w:pPr>
        <w:pStyle w:val="af"/>
        <w:numPr>
          <w:ilvl w:val="0"/>
          <w:numId w:val="5"/>
        </w:numPr>
        <w:ind w:left="0" w:firstLine="560"/>
      </w:pPr>
      <w:r>
        <w:rPr>
          <w:rFonts w:hint="eastAsia"/>
        </w:rPr>
        <w:t>根据《石油化工设备和管道涂料防腐蚀设计标准》（</w:t>
      </w:r>
      <w:r>
        <w:rPr>
          <w:rFonts w:hint="eastAsia"/>
        </w:rPr>
        <w:t>SH/T 3022-2019</w:t>
      </w:r>
      <w:r>
        <w:rPr>
          <w:rFonts w:hint="eastAsia"/>
        </w:rPr>
        <w:t>）第</w:t>
      </w:r>
      <w:r>
        <w:rPr>
          <w:rFonts w:hint="eastAsia"/>
        </w:rPr>
        <w:t>5.2.4</w:t>
      </w:r>
      <w:r>
        <w:rPr>
          <w:rFonts w:hint="eastAsia"/>
        </w:rPr>
        <w:t>条，管道常用防腐蚀涂料技术指标应符合附录</w:t>
      </w:r>
      <w:r>
        <w:rPr>
          <w:rFonts w:hint="eastAsia"/>
        </w:rPr>
        <w:t>A</w:t>
      </w:r>
      <w:r>
        <w:rPr>
          <w:rFonts w:hint="eastAsia"/>
        </w:rPr>
        <w:t>的规定。</w:t>
      </w:r>
    </w:p>
    <w:p w14:paraId="0A72197B"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41" w:name="_Toc207695647"/>
      <w:r>
        <w:rPr>
          <w:rFonts w:eastAsia="楷体" w:cs="Times New Roman"/>
          <w:b/>
          <w:bCs/>
          <w:sz w:val="32"/>
          <w:szCs w:val="32"/>
        </w:rPr>
        <w:t>8.</w:t>
      </w:r>
      <w:r>
        <w:rPr>
          <w:rFonts w:eastAsia="楷体" w:cs="Times New Roman" w:hint="eastAsia"/>
          <w:b/>
          <w:bCs/>
          <w:sz w:val="32"/>
          <w:szCs w:val="32"/>
        </w:rPr>
        <w:t>3</w:t>
      </w:r>
      <w:r>
        <w:rPr>
          <w:rFonts w:ascii="楷体" w:eastAsia="楷体" w:hAnsi="楷体" w:hint="eastAsia"/>
          <w:b/>
          <w:bCs/>
          <w:sz w:val="32"/>
          <w:szCs w:val="32"/>
        </w:rPr>
        <w:t>拟为危险化学品生产或者储存过程配套和辅助工程</w:t>
      </w:r>
      <w:bookmarkEnd w:id="41"/>
    </w:p>
    <w:p w14:paraId="5648356F"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8.</w:t>
      </w:r>
      <w:r>
        <w:rPr>
          <w:rFonts w:eastAsia="黑体" w:cs="Times New Roman" w:hint="eastAsia"/>
          <w:b/>
          <w:bCs/>
        </w:rPr>
        <w:t>3</w:t>
      </w:r>
      <w:r>
        <w:rPr>
          <w:rFonts w:eastAsia="黑体" w:cs="Times New Roman"/>
          <w:b/>
          <w:bCs/>
        </w:rPr>
        <w:t>.1</w:t>
      </w:r>
      <w:r>
        <w:rPr>
          <w:rFonts w:ascii="黑体" w:eastAsia="黑体" w:hAnsi="黑体" w:hint="eastAsia"/>
          <w:b/>
          <w:bCs/>
        </w:rPr>
        <w:t>供配电</w:t>
      </w:r>
    </w:p>
    <w:p w14:paraId="2B36D48B" w14:textId="77777777" w:rsidR="00EF4562" w:rsidRDefault="00000000">
      <w:pPr>
        <w:pStyle w:val="af"/>
        <w:numPr>
          <w:ilvl w:val="0"/>
          <w:numId w:val="6"/>
        </w:numPr>
        <w:ind w:left="0" w:firstLine="560"/>
      </w:pPr>
      <w:r>
        <w:rPr>
          <w:rFonts w:hint="eastAsia"/>
        </w:rPr>
        <w:t>根据《汽车加油加气加氢站技术标准》（</w:t>
      </w:r>
      <w:r>
        <w:rPr>
          <w:rFonts w:hint="eastAsia"/>
        </w:rPr>
        <w:t>GB50156-2021</w:t>
      </w:r>
      <w:r>
        <w:rPr>
          <w:rFonts w:hint="eastAsia"/>
        </w:rPr>
        <w:t>）第</w:t>
      </w:r>
      <w:r>
        <w:rPr>
          <w:rFonts w:hint="eastAsia"/>
        </w:rPr>
        <w:t>13.1.1</w:t>
      </w:r>
      <w:r>
        <w:rPr>
          <w:rFonts w:hint="eastAsia"/>
        </w:rPr>
        <w:t>条，加油站的供电负荷等级可为三级，信息系统应设不间断供电电源。</w:t>
      </w:r>
    </w:p>
    <w:p w14:paraId="71849D94" w14:textId="77777777" w:rsidR="00EF4562" w:rsidRDefault="00000000">
      <w:pPr>
        <w:pStyle w:val="af"/>
        <w:numPr>
          <w:ilvl w:val="0"/>
          <w:numId w:val="6"/>
        </w:numPr>
        <w:ind w:left="0" w:firstLine="560"/>
      </w:pPr>
      <w:r>
        <w:rPr>
          <w:rFonts w:hint="eastAsia"/>
        </w:rPr>
        <w:t>根据《汽车加油加气加氢站技术标准》（</w:t>
      </w:r>
      <w:r>
        <w:rPr>
          <w:rFonts w:hint="eastAsia"/>
        </w:rPr>
        <w:t>GB50156-2021</w:t>
      </w:r>
      <w:r>
        <w:rPr>
          <w:rFonts w:hint="eastAsia"/>
        </w:rPr>
        <w:t>）第</w:t>
      </w:r>
      <w:r>
        <w:rPr>
          <w:rFonts w:hint="eastAsia"/>
        </w:rPr>
        <w:t>13.1.2</w:t>
      </w:r>
      <w:r>
        <w:rPr>
          <w:rFonts w:hint="eastAsia"/>
        </w:rPr>
        <w:t>条，加油站的供电电源宜采用电压为</w:t>
      </w:r>
      <w:r>
        <w:rPr>
          <w:rFonts w:hint="eastAsia"/>
        </w:rPr>
        <w:t>380/220V</w:t>
      </w:r>
      <w:r>
        <w:rPr>
          <w:rFonts w:hint="eastAsia"/>
        </w:rPr>
        <w:t>的外接电源。</w:t>
      </w:r>
    </w:p>
    <w:p w14:paraId="079E22BE" w14:textId="77777777" w:rsidR="00EF4562" w:rsidRDefault="00000000">
      <w:pPr>
        <w:pStyle w:val="af"/>
        <w:numPr>
          <w:ilvl w:val="0"/>
          <w:numId w:val="6"/>
        </w:numPr>
        <w:ind w:left="0" w:firstLine="560"/>
      </w:pPr>
      <w:r>
        <w:rPr>
          <w:rFonts w:hint="eastAsia"/>
        </w:rPr>
        <w:t>根据《汽车加油加气加氢站技术标准》（</w:t>
      </w:r>
      <w:r>
        <w:rPr>
          <w:rFonts w:hint="eastAsia"/>
        </w:rPr>
        <w:t>GB50156-2021</w:t>
      </w:r>
      <w:r>
        <w:rPr>
          <w:rFonts w:hint="eastAsia"/>
        </w:rPr>
        <w:t>）第</w:t>
      </w:r>
      <w:r>
        <w:rPr>
          <w:rFonts w:hint="eastAsia"/>
        </w:rPr>
        <w:t>13.1.5</w:t>
      </w:r>
      <w:r>
        <w:rPr>
          <w:rFonts w:hint="eastAsia"/>
        </w:rPr>
        <w:t>条，加油站的电缆宜采用直埋或电缆穿管敷设。电缆穿越行车道部分应穿钢管保护。</w:t>
      </w:r>
    </w:p>
    <w:p w14:paraId="58A77CC2" w14:textId="77777777" w:rsidR="00EF4562" w:rsidRDefault="00000000">
      <w:pPr>
        <w:pStyle w:val="af"/>
        <w:numPr>
          <w:ilvl w:val="0"/>
          <w:numId w:val="6"/>
        </w:numPr>
        <w:ind w:left="0" w:firstLine="560"/>
      </w:pPr>
      <w:r>
        <w:rPr>
          <w:rFonts w:hint="eastAsia"/>
        </w:rPr>
        <w:t>根据《汽车加油加气加氢站技术标准》（</w:t>
      </w:r>
      <w:r>
        <w:rPr>
          <w:rFonts w:hint="eastAsia"/>
        </w:rPr>
        <w:t>GB50156-2021</w:t>
      </w:r>
      <w:r>
        <w:rPr>
          <w:rFonts w:hint="eastAsia"/>
        </w:rPr>
        <w:t>）第</w:t>
      </w:r>
      <w:r>
        <w:rPr>
          <w:rFonts w:hint="eastAsia"/>
        </w:rPr>
        <w:t>13.1.6</w:t>
      </w:r>
      <w:r>
        <w:rPr>
          <w:rFonts w:hint="eastAsia"/>
        </w:rPr>
        <w:t>条，当采用电缆沟敷设电缆时，作业区内的电缆沟内必须充沙填实。电缆不得与油品管道以及热力管道敷设在同一沟内。</w:t>
      </w:r>
    </w:p>
    <w:p w14:paraId="2C69FEFC" w14:textId="77777777" w:rsidR="00EF4562" w:rsidRDefault="00000000">
      <w:pPr>
        <w:pStyle w:val="af"/>
        <w:numPr>
          <w:ilvl w:val="0"/>
          <w:numId w:val="6"/>
        </w:numPr>
        <w:ind w:left="0" w:firstLine="560"/>
      </w:pPr>
      <w:r>
        <w:rPr>
          <w:rFonts w:hint="eastAsia"/>
        </w:rPr>
        <w:t>根据《汽车加油加气加氢站技术标准》（</w:t>
      </w:r>
      <w:r>
        <w:rPr>
          <w:rFonts w:hint="eastAsia"/>
        </w:rPr>
        <w:t>GB50156-2021</w:t>
      </w:r>
      <w:r>
        <w:rPr>
          <w:rFonts w:hint="eastAsia"/>
        </w:rPr>
        <w:t>）第</w:t>
      </w:r>
      <w:r>
        <w:rPr>
          <w:rFonts w:hint="eastAsia"/>
        </w:rPr>
        <w:t>13.1.7</w:t>
      </w:r>
      <w:r>
        <w:rPr>
          <w:rFonts w:hint="eastAsia"/>
        </w:rPr>
        <w:t>条，爆炸危险区域内的电气设备选型、安装、电力线路敷设等，应符合现行国家标准《爆炸危险环境电力装置设计规范》</w:t>
      </w:r>
      <w:r>
        <w:rPr>
          <w:rFonts w:hint="eastAsia"/>
        </w:rPr>
        <w:t>GB50058</w:t>
      </w:r>
      <w:r>
        <w:rPr>
          <w:rFonts w:hint="eastAsia"/>
        </w:rPr>
        <w:t>的有关规定。根据《爆炸危险环境电力装置设计规范》（</w:t>
      </w:r>
      <w:r>
        <w:rPr>
          <w:rFonts w:hint="eastAsia"/>
        </w:rPr>
        <w:t>GB50058-2014</w:t>
      </w:r>
      <w:r>
        <w:rPr>
          <w:rFonts w:hint="eastAsia"/>
        </w:rPr>
        <w:t>）附录</w:t>
      </w:r>
      <w:r>
        <w:rPr>
          <w:rFonts w:hint="eastAsia"/>
        </w:rPr>
        <w:t>C</w:t>
      </w:r>
      <w:r>
        <w:rPr>
          <w:rFonts w:hint="eastAsia"/>
        </w:rPr>
        <w:t>，爆炸危险区域内电气设备的防爆等级不低于</w:t>
      </w:r>
      <w:r>
        <w:rPr>
          <w:rFonts w:hint="eastAsia"/>
        </w:rPr>
        <w:t>ExdIIBT4</w:t>
      </w:r>
      <w:r>
        <w:rPr>
          <w:rFonts w:hint="eastAsia"/>
        </w:rPr>
        <w:t>级。</w:t>
      </w:r>
    </w:p>
    <w:p w14:paraId="7967E196" w14:textId="77777777" w:rsidR="00EF4562" w:rsidRDefault="00000000">
      <w:pPr>
        <w:pStyle w:val="af"/>
        <w:numPr>
          <w:ilvl w:val="0"/>
          <w:numId w:val="6"/>
        </w:numPr>
        <w:ind w:left="0" w:firstLine="560"/>
      </w:pPr>
      <w:r>
        <w:rPr>
          <w:rFonts w:hint="eastAsia"/>
        </w:rPr>
        <w:t>根据《汽车加油加气加氢站技术标准》（</w:t>
      </w:r>
      <w:r>
        <w:rPr>
          <w:rFonts w:hint="eastAsia"/>
        </w:rPr>
        <w:t>GB50156-2021</w:t>
      </w:r>
      <w:r>
        <w:rPr>
          <w:rFonts w:hint="eastAsia"/>
        </w:rPr>
        <w:t>）第</w:t>
      </w:r>
      <w:r>
        <w:rPr>
          <w:rFonts w:hint="eastAsia"/>
        </w:rPr>
        <w:t>13.1.8</w:t>
      </w:r>
      <w:r>
        <w:rPr>
          <w:rFonts w:hint="eastAsia"/>
        </w:rPr>
        <w:t>条，加油站内爆炸危险区域以外的照明灯具，可选用非防爆型。罩棚下处于</w:t>
      </w:r>
      <w:r>
        <w:rPr>
          <w:rFonts w:hint="eastAsia"/>
        </w:rPr>
        <w:lastRenderedPageBreak/>
        <w:t>非爆炸危险区域的灯具应选用防护等级不低于</w:t>
      </w:r>
      <w:r>
        <w:rPr>
          <w:rFonts w:hint="eastAsia"/>
        </w:rPr>
        <w:t>IP44</w:t>
      </w:r>
      <w:r>
        <w:rPr>
          <w:rFonts w:hint="eastAsia"/>
        </w:rPr>
        <w:t>级的照明灯具。</w:t>
      </w:r>
    </w:p>
    <w:p w14:paraId="214621BE" w14:textId="77777777" w:rsidR="00EF4562" w:rsidRDefault="00000000">
      <w:pPr>
        <w:pStyle w:val="af"/>
        <w:numPr>
          <w:ilvl w:val="0"/>
          <w:numId w:val="6"/>
        </w:numPr>
        <w:ind w:left="0" w:firstLine="560"/>
      </w:pPr>
      <w:r>
        <w:rPr>
          <w:rFonts w:hint="eastAsia"/>
        </w:rPr>
        <w:t>根据《电气装置安装工程</w:t>
      </w:r>
      <w:r>
        <w:rPr>
          <w:rFonts w:hint="eastAsia"/>
        </w:rPr>
        <w:t xml:space="preserve"> </w:t>
      </w:r>
      <w:r>
        <w:rPr>
          <w:rFonts w:hint="eastAsia"/>
        </w:rPr>
        <w:t>接地装置施工及验收规范》（</w:t>
      </w:r>
      <w:r>
        <w:rPr>
          <w:rFonts w:hint="eastAsia"/>
        </w:rPr>
        <w:t>GB50169-2016</w:t>
      </w:r>
      <w:r>
        <w:rPr>
          <w:rFonts w:hint="eastAsia"/>
        </w:rPr>
        <w:t>）第</w:t>
      </w:r>
      <w:r>
        <w:rPr>
          <w:rFonts w:hint="eastAsia"/>
        </w:rPr>
        <w:t>3.0.4</w:t>
      </w:r>
      <w:r>
        <w:rPr>
          <w:rFonts w:hint="eastAsia"/>
        </w:rPr>
        <w:t>条，电气装置的下列金属部分，均必须接地：</w:t>
      </w:r>
      <w:r>
        <w:rPr>
          <w:rFonts w:ascii="宋体" w:hAnsi="宋体" w:hint="eastAsia"/>
        </w:rPr>
        <w:t>①</w:t>
      </w:r>
      <w:r>
        <w:rPr>
          <w:rFonts w:hint="eastAsia"/>
        </w:rPr>
        <w:t>电气设备的金属底座、框架及外壳和传动装置；</w:t>
      </w:r>
      <w:r>
        <w:rPr>
          <w:rFonts w:ascii="宋体" w:hAnsi="宋体" w:hint="eastAsia"/>
        </w:rPr>
        <w:t>②</w:t>
      </w:r>
      <w:r>
        <w:rPr>
          <w:rFonts w:hint="eastAsia"/>
        </w:rPr>
        <w:t>携带式或移动式用电器具的金属底座和外壳；</w:t>
      </w:r>
      <w:r>
        <w:rPr>
          <w:rFonts w:ascii="宋体" w:hAnsi="宋体" w:hint="eastAsia"/>
        </w:rPr>
        <w:t>③</w:t>
      </w:r>
      <w:r>
        <w:rPr>
          <w:rFonts w:hint="eastAsia"/>
        </w:rPr>
        <w:t>配电、控制、保护作用的屏（柜、箱）及操作台的金属框架和底座；</w:t>
      </w:r>
      <w:r>
        <w:rPr>
          <w:rFonts w:ascii="宋体" w:hAnsi="宋体" w:hint="eastAsia"/>
        </w:rPr>
        <w:t>④</w:t>
      </w:r>
      <w:r>
        <w:rPr>
          <w:rFonts w:hint="eastAsia"/>
        </w:rPr>
        <w:t>电力电缆的金属护层、接头盒终端头和金属保护管及二次电缆的屏蔽层；</w:t>
      </w:r>
      <w:r>
        <w:rPr>
          <w:rFonts w:ascii="宋体" w:hAnsi="宋体" w:hint="eastAsia"/>
        </w:rPr>
        <w:t>⑤</w:t>
      </w:r>
      <w:r>
        <w:rPr>
          <w:rFonts w:hint="eastAsia"/>
        </w:rPr>
        <w:t>配电装置的金属遮拦；</w:t>
      </w:r>
      <w:r>
        <w:rPr>
          <w:rFonts w:ascii="宋体" w:hAnsi="宋体" w:hint="eastAsia"/>
        </w:rPr>
        <w:t>⑥</w:t>
      </w:r>
      <w:r>
        <w:rPr>
          <w:rFonts w:hint="eastAsia"/>
        </w:rPr>
        <w:t>电热设备的金属外壳。</w:t>
      </w:r>
    </w:p>
    <w:p w14:paraId="1A893F61" w14:textId="77777777" w:rsidR="00EF4562" w:rsidRDefault="00000000">
      <w:pPr>
        <w:pStyle w:val="af"/>
        <w:numPr>
          <w:ilvl w:val="0"/>
          <w:numId w:val="6"/>
        </w:numPr>
        <w:ind w:left="0" w:firstLine="560"/>
      </w:pPr>
      <w:r>
        <w:rPr>
          <w:rFonts w:hint="eastAsia"/>
        </w:rPr>
        <w:t>根据《爆炸危险环境电力装置设计规范》（</w:t>
      </w:r>
      <w:r>
        <w:rPr>
          <w:rFonts w:hint="eastAsia"/>
        </w:rPr>
        <w:t>GB50058-2014</w:t>
      </w:r>
      <w:r>
        <w:rPr>
          <w:rFonts w:hint="eastAsia"/>
        </w:rPr>
        <w:t>）第</w:t>
      </w:r>
      <w:r>
        <w:rPr>
          <w:rFonts w:hint="eastAsia"/>
        </w:rPr>
        <w:t>5.4.1.2</w:t>
      </w:r>
      <w:r>
        <w:rPr>
          <w:rFonts w:hint="eastAsia"/>
        </w:rPr>
        <w:t>条，加油作业区电线采用金属导管配线。无护套的电线不应作为供配电线路。</w:t>
      </w:r>
    </w:p>
    <w:p w14:paraId="1E513F69" w14:textId="77777777" w:rsidR="00EF4562" w:rsidRDefault="00000000">
      <w:pPr>
        <w:pStyle w:val="af"/>
        <w:numPr>
          <w:ilvl w:val="0"/>
          <w:numId w:val="6"/>
        </w:numPr>
        <w:ind w:left="0" w:firstLine="560"/>
      </w:pPr>
      <w:r>
        <w:rPr>
          <w:rFonts w:hint="eastAsia"/>
        </w:rPr>
        <w:t>根据《爆炸危险环境电力装置设计规范》（</w:t>
      </w:r>
      <w:r>
        <w:rPr>
          <w:rFonts w:hint="eastAsia"/>
        </w:rPr>
        <w:t>GB50058-2014</w:t>
      </w:r>
      <w:r>
        <w:rPr>
          <w:rFonts w:hint="eastAsia"/>
        </w:rPr>
        <w:t>）第</w:t>
      </w:r>
      <w:r>
        <w:rPr>
          <w:rFonts w:hint="eastAsia"/>
        </w:rPr>
        <w:t>5.4.1.4</w:t>
      </w:r>
      <w:r>
        <w:rPr>
          <w:rFonts w:hint="eastAsia"/>
        </w:rPr>
        <w:t>条，加油作业区的电缆明设或在沟内敷设时电缆的最小截面应符合下列规定：</w:t>
      </w:r>
      <w:r>
        <w:rPr>
          <w:rFonts w:ascii="宋体" w:hAnsi="宋体" w:hint="eastAsia"/>
        </w:rPr>
        <w:t>①</w:t>
      </w:r>
      <w:r>
        <w:rPr>
          <w:rFonts w:hint="eastAsia"/>
        </w:rPr>
        <w:t>在</w:t>
      </w:r>
      <w:r>
        <w:rPr>
          <w:rFonts w:hint="eastAsia"/>
        </w:rPr>
        <w:t>1</w:t>
      </w:r>
      <w:r>
        <w:rPr>
          <w:rFonts w:hint="eastAsia"/>
        </w:rPr>
        <w:t>区内应采用铜芯电缆；除本质安全电路外，在</w:t>
      </w:r>
      <w:r>
        <w:rPr>
          <w:rFonts w:hint="eastAsia"/>
        </w:rPr>
        <w:t>2</w:t>
      </w:r>
      <w:r>
        <w:rPr>
          <w:rFonts w:hint="eastAsia"/>
        </w:rPr>
        <w:t>区内宜采用铜芯电缆。铜芯电力电缆横截面尺不应小于</w:t>
      </w:r>
      <w:r>
        <w:rPr>
          <w:rFonts w:hint="eastAsia"/>
        </w:rPr>
        <w:t>2.5mm</w:t>
      </w:r>
      <w:r>
        <w:rPr>
          <w:rFonts w:hint="eastAsia"/>
          <w:vertAlign w:val="superscript"/>
        </w:rPr>
        <w:t>2</w:t>
      </w:r>
      <w:r>
        <w:rPr>
          <w:rFonts w:hint="eastAsia"/>
        </w:rPr>
        <w:t>，控制电缆铜芯横截面不应小于</w:t>
      </w:r>
      <w:r>
        <w:rPr>
          <w:rFonts w:hint="eastAsia"/>
        </w:rPr>
        <w:t>1.0mm</w:t>
      </w:r>
      <w:r>
        <w:rPr>
          <w:rFonts w:hint="eastAsia"/>
          <w:vertAlign w:val="superscript"/>
        </w:rPr>
        <w:t>2</w:t>
      </w:r>
      <w:r>
        <w:rPr>
          <w:rFonts w:hint="eastAsia"/>
        </w:rPr>
        <w:t>；</w:t>
      </w:r>
      <w:r>
        <w:rPr>
          <w:rFonts w:ascii="宋体" w:hAnsi="宋体" w:hint="eastAsia"/>
        </w:rPr>
        <w:t>②</w:t>
      </w:r>
      <w:r>
        <w:rPr>
          <w:rFonts w:hint="eastAsia"/>
        </w:rPr>
        <w:t>在</w:t>
      </w:r>
      <w:r>
        <w:rPr>
          <w:rFonts w:hint="eastAsia"/>
        </w:rPr>
        <w:t>2</w:t>
      </w:r>
      <w:r>
        <w:rPr>
          <w:rFonts w:hint="eastAsia"/>
        </w:rPr>
        <w:t>区内，电力铜芯电缆不应小于</w:t>
      </w:r>
      <w:r>
        <w:rPr>
          <w:rFonts w:hint="eastAsia"/>
        </w:rPr>
        <w:t>1.5mm</w:t>
      </w:r>
      <w:r>
        <w:rPr>
          <w:rFonts w:hint="eastAsia"/>
          <w:vertAlign w:val="superscript"/>
        </w:rPr>
        <w:t>2</w:t>
      </w:r>
      <w:r>
        <w:rPr>
          <w:rFonts w:hint="eastAsia"/>
        </w:rPr>
        <w:t>，照明铜芯电缆不应小于</w:t>
      </w:r>
      <w:r>
        <w:rPr>
          <w:rFonts w:hint="eastAsia"/>
        </w:rPr>
        <w:t>1.5mm</w:t>
      </w:r>
      <w:r>
        <w:rPr>
          <w:rFonts w:hint="eastAsia"/>
          <w:vertAlign w:val="superscript"/>
        </w:rPr>
        <w:t>2</w:t>
      </w:r>
      <w:r>
        <w:rPr>
          <w:rFonts w:hint="eastAsia"/>
        </w:rPr>
        <w:t>，控制铜芯电缆不应小于</w:t>
      </w:r>
      <w:r>
        <w:rPr>
          <w:rFonts w:hint="eastAsia"/>
        </w:rPr>
        <w:t>1.0mm</w:t>
      </w:r>
      <w:r>
        <w:rPr>
          <w:rFonts w:hint="eastAsia"/>
          <w:vertAlign w:val="superscript"/>
        </w:rPr>
        <w:t>2</w:t>
      </w:r>
      <w:r>
        <w:rPr>
          <w:rFonts w:hint="eastAsia"/>
        </w:rPr>
        <w:t>。</w:t>
      </w:r>
    </w:p>
    <w:p w14:paraId="2DFA6A73" w14:textId="77777777" w:rsidR="00EF4562" w:rsidRDefault="00000000">
      <w:pPr>
        <w:pStyle w:val="af"/>
        <w:numPr>
          <w:ilvl w:val="0"/>
          <w:numId w:val="6"/>
        </w:numPr>
        <w:ind w:left="0" w:firstLine="560"/>
      </w:pPr>
      <w:r>
        <w:rPr>
          <w:rFonts w:hint="eastAsia"/>
        </w:rPr>
        <w:t>根据《爆炸危险环境电力装置设计规范》（</w:t>
      </w:r>
      <w:r>
        <w:rPr>
          <w:rFonts w:hint="eastAsia"/>
        </w:rPr>
        <w:t>GB50058-2014</w:t>
      </w:r>
      <w:r>
        <w:rPr>
          <w:rFonts w:hint="eastAsia"/>
        </w:rPr>
        <w:t>）第</w:t>
      </w:r>
      <w:r>
        <w:rPr>
          <w:rFonts w:hint="eastAsia"/>
        </w:rPr>
        <w:t>5.4.3</w:t>
      </w:r>
      <w:r>
        <w:rPr>
          <w:rFonts w:hint="eastAsia"/>
        </w:rPr>
        <w:t>条，电气线路宜直接埋地敷设，采用电缆沟敷设时沟内应充砂。敷设电气线路的沟道或导管，所穿过的不同区域之间墙或楼板处的孔洞应用用非燃烧材料严密封堵。</w:t>
      </w:r>
    </w:p>
    <w:p w14:paraId="7AD2864E" w14:textId="77777777" w:rsidR="00EF4562" w:rsidRDefault="00000000">
      <w:pPr>
        <w:pStyle w:val="af"/>
        <w:numPr>
          <w:ilvl w:val="0"/>
          <w:numId w:val="6"/>
        </w:numPr>
        <w:ind w:left="0" w:firstLine="560"/>
      </w:pPr>
      <w:r>
        <w:rPr>
          <w:rFonts w:hint="eastAsia"/>
        </w:rPr>
        <w:t>根据《爆炸危险环境电力装置设计规范》（</w:t>
      </w:r>
      <w:r>
        <w:rPr>
          <w:rFonts w:hint="eastAsia"/>
        </w:rPr>
        <w:t>GB50058-2014</w:t>
      </w:r>
      <w:r>
        <w:rPr>
          <w:rFonts w:hint="eastAsia"/>
        </w:rPr>
        <w:t>）第</w:t>
      </w:r>
      <w:r>
        <w:rPr>
          <w:rFonts w:hint="eastAsia"/>
        </w:rPr>
        <w:t>5.4.3.5</w:t>
      </w:r>
      <w:r>
        <w:rPr>
          <w:rFonts w:hint="eastAsia"/>
        </w:rPr>
        <w:t>条，加油机作业区在爆炸性气体环境内钢管配线的电气线路应做好隔离密封。在</w:t>
      </w:r>
      <w:r>
        <w:rPr>
          <w:rFonts w:hint="eastAsia"/>
        </w:rPr>
        <w:t>1</w:t>
      </w:r>
      <w:r>
        <w:rPr>
          <w:rFonts w:hint="eastAsia"/>
        </w:rPr>
        <w:t>区加油机内和操作井内电缆线路严禁有中间接头。</w:t>
      </w:r>
    </w:p>
    <w:p w14:paraId="797757F1"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8.</w:t>
      </w:r>
      <w:r>
        <w:rPr>
          <w:rFonts w:eastAsia="黑体" w:cs="Times New Roman" w:hint="eastAsia"/>
          <w:b/>
          <w:bCs/>
        </w:rPr>
        <w:t>3</w:t>
      </w:r>
      <w:r>
        <w:rPr>
          <w:rFonts w:eastAsia="黑体" w:cs="Times New Roman"/>
          <w:b/>
          <w:bCs/>
        </w:rPr>
        <w:t>.2</w:t>
      </w:r>
      <w:r>
        <w:rPr>
          <w:rFonts w:ascii="黑体" w:eastAsia="黑体" w:hAnsi="黑体" w:hint="eastAsia"/>
          <w:b/>
          <w:bCs/>
        </w:rPr>
        <w:t>防雷、防静电</w:t>
      </w:r>
    </w:p>
    <w:p w14:paraId="7275B142" w14:textId="77777777" w:rsidR="00EF4562" w:rsidRDefault="00000000">
      <w:pPr>
        <w:pStyle w:val="af"/>
        <w:numPr>
          <w:ilvl w:val="0"/>
          <w:numId w:val="7"/>
        </w:numPr>
        <w:ind w:left="0" w:firstLine="560"/>
      </w:pPr>
      <w:r>
        <w:rPr>
          <w:rFonts w:hint="eastAsia"/>
        </w:rPr>
        <w:t>根据《汽车加油加气加氢站技术标准》（</w:t>
      </w:r>
      <w:r>
        <w:rPr>
          <w:rFonts w:hint="eastAsia"/>
        </w:rPr>
        <w:t>GB50156-2021</w:t>
      </w:r>
      <w:r>
        <w:rPr>
          <w:rFonts w:hint="eastAsia"/>
        </w:rPr>
        <w:t>）第</w:t>
      </w:r>
      <w:r>
        <w:rPr>
          <w:rFonts w:hint="eastAsia"/>
        </w:rPr>
        <w:t>13.2.2</w:t>
      </w:r>
      <w:r>
        <w:rPr>
          <w:rFonts w:hint="eastAsia"/>
        </w:rPr>
        <w:t>条，本项目防雷接地、防静电接地、电气设备的工作接地、保护接地及信息</w:t>
      </w:r>
      <w:r>
        <w:rPr>
          <w:rFonts w:hint="eastAsia"/>
        </w:rPr>
        <w:lastRenderedPageBreak/>
        <w:t>系统的接地等，宜共用接地装置，接地电阻不应大于</w:t>
      </w:r>
      <w:r>
        <w:rPr>
          <w:rFonts w:hint="eastAsia"/>
        </w:rPr>
        <w:t>4</w:t>
      </w:r>
      <w:r>
        <w:rPr>
          <w:rFonts w:hint="eastAsia"/>
        </w:rPr>
        <w:t>Ω。</w:t>
      </w:r>
    </w:p>
    <w:p w14:paraId="281E22CB" w14:textId="77777777" w:rsidR="00EF4562" w:rsidRDefault="00000000">
      <w:pPr>
        <w:pStyle w:val="af"/>
        <w:numPr>
          <w:ilvl w:val="0"/>
          <w:numId w:val="7"/>
        </w:numPr>
        <w:ind w:left="0" w:firstLine="560"/>
      </w:pPr>
      <w:r>
        <w:rPr>
          <w:rFonts w:hint="eastAsia"/>
        </w:rPr>
        <w:t>根据《汽车加油加气加氢站技术标准》（</w:t>
      </w:r>
      <w:r>
        <w:rPr>
          <w:rFonts w:hint="eastAsia"/>
        </w:rPr>
        <w:t>GB50156-2021</w:t>
      </w:r>
      <w:r>
        <w:rPr>
          <w:rFonts w:hint="eastAsia"/>
        </w:rPr>
        <w:t>）第</w:t>
      </w:r>
      <w:r>
        <w:rPr>
          <w:rFonts w:hint="eastAsia"/>
        </w:rPr>
        <w:t>13.2.10</w:t>
      </w:r>
      <w:r>
        <w:rPr>
          <w:rFonts w:hint="eastAsia"/>
        </w:rPr>
        <w:t>条，地上或管沟敷设的油品管道应设防静电和防感应雷的共用接地装置，接地电阻不应大于</w:t>
      </w:r>
      <w:r>
        <w:rPr>
          <w:rFonts w:hint="eastAsia"/>
        </w:rPr>
        <w:t>30</w:t>
      </w:r>
      <w:r>
        <w:rPr>
          <w:rFonts w:hint="eastAsia"/>
        </w:rPr>
        <w:t>Ω。</w:t>
      </w:r>
    </w:p>
    <w:p w14:paraId="27299C4A" w14:textId="77777777" w:rsidR="00EF4562" w:rsidRDefault="00000000">
      <w:pPr>
        <w:pStyle w:val="af"/>
        <w:numPr>
          <w:ilvl w:val="0"/>
          <w:numId w:val="7"/>
        </w:numPr>
        <w:ind w:left="0" w:firstLine="560"/>
      </w:pPr>
      <w:r>
        <w:rPr>
          <w:rFonts w:hint="eastAsia"/>
        </w:rPr>
        <w:t>根据《汽车加油加气加氢站技术标准》（</w:t>
      </w:r>
      <w:r>
        <w:rPr>
          <w:rFonts w:hint="eastAsia"/>
        </w:rPr>
        <w:t>GB50156-2021</w:t>
      </w:r>
      <w:r>
        <w:rPr>
          <w:rFonts w:hint="eastAsia"/>
        </w:rPr>
        <w:t>）第</w:t>
      </w:r>
      <w:r>
        <w:rPr>
          <w:rFonts w:hint="eastAsia"/>
        </w:rPr>
        <w:t>13.2.12</w:t>
      </w:r>
      <w:r>
        <w:rPr>
          <w:rFonts w:hint="eastAsia"/>
        </w:rPr>
        <w:t>条，在爆炸危险区域内工艺管道上的法兰、胶管两端等连接处应用金属线跨接。当法兰的连接螺栓不少于</w:t>
      </w:r>
      <w:r>
        <w:rPr>
          <w:rFonts w:hint="eastAsia"/>
        </w:rPr>
        <w:t>5</w:t>
      </w:r>
      <w:r>
        <w:rPr>
          <w:rFonts w:hint="eastAsia"/>
        </w:rPr>
        <w:t>根时，在非腐蚀环境下可不跨接。</w:t>
      </w:r>
    </w:p>
    <w:p w14:paraId="025D94DC" w14:textId="77777777" w:rsidR="00EF4562" w:rsidRDefault="00000000">
      <w:pPr>
        <w:pStyle w:val="af"/>
        <w:numPr>
          <w:ilvl w:val="0"/>
          <w:numId w:val="7"/>
        </w:numPr>
        <w:ind w:left="0" w:firstLine="560"/>
      </w:pPr>
      <w:r>
        <w:rPr>
          <w:rFonts w:hint="eastAsia"/>
        </w:rPr>
        <w:t>根据《汽车加油加气加氢站技术标准》（</w:t>
      </w:r>
      <w:r>
        <w:rPr>
          <w:rFonts w:hint="eastAsia"/>
        </w:rPr>
        <w:t>GB50156-2021</w:t>
      </w:r>
      <w:r>
        <w:rPr>
          <w:rFonts w:hint="eastAsia"/>
        </w:rPr>
        <w:t>）第</w:t>
      </w:r>
      <w:r>
        <w:rPr>
          <w:rFonts w:hint="eastAsia"/>
        </w:rPr>
        <w:t>13.2.14</w:t>
      </w:r>
      <w:r>
        <w:rPr>
          <w:rFonts w:hint="eastAsia"/>
        </w:rPr>
        <w:t>条，采用导静电的热塑性塑料管道时，导电内衬应接地。</w:t>
      </w:r>
    </w:p>
    <w:p w14:paraId="5B246475" w14:textId="77777777" w:rsidR="00EF4562" w:rsidRDefault="00000000">
      <w:pPr>
        <w:pStyle w:val="af"/>
        <w:numPr>
          <w:ilvl w:val="0"/>
          <w:numId w:val="7"/>
        </w:numPr>
        <w:ind w:left="0" w:firstLine="560"/>
      </w:pPr>
      <w:r>
        <w:rPr>
          <w:rFonts w:hint="eastAsia"/>
        </w:rPr>
        <w:t>根据《汽车加油加气加氢站技术标准》（</w:t>
      </w:r>
      <w:r>
        <w:rPr>
          <w:rFonts w:hint="eastAsia"/>
        </w:rPr>
        <w:t>GB50156-2021</w:t>
      </w:r>
      <w:r>
        <w:rPr>
          <w:rFonts w:hint="eastAsia"/>
        </w:rPr>
        <w:t>）第</w:t>
      </w:r>
      <w:r>
        <w:rPr>
          <w:rFonts w:hint="eastAsia"/>
        </w:rPr>
        <w:t>13.2.15</w:t>
      </w:r>
      <w:r>
        <w:rPr>
          <w:rFonts w:hint="eastAsia"/>
        </w:rPr>
        <w:t>条，防静电接地装置的接地电阻不应大于</w:t>
      </w:r>
      <w:r>
        <w:rPr>
          <w:rFonts w:hint="eastAsia"/>
        </w:rPr>
        <w:t>100</w:t>
      </w:r>
      <w:r>
        <w:rPr>
          <w:rFonts w:hint="eastAsia"/>
        </w:rPr>
        <w:t>Ω。</w:t>
      </w:r>
    </w:p>
    <w:p w14:paraId="1E2EC09D" w14:textId="77777777" w:rsidR="00EF4562" w:rsidRDefault="00000000">
      <w:pPr>
        <w:pStyle w:val="af"/>
        <w:numPr>
          <w:ilvl w:val="0"/>
          <w:numId w:val="7"/>
        </w:numPr>
        <w:ind w:left="0" w:firstLine="560"/>
      </w:pPr>
      <w:r>
        <w:rPr>
          <w:rFonts w:hint="eastAsia"/>
        </w:rPr>
        <w:t>根据《防雷减灾管理办法》（中国气象局令</w:t>
      </w:r>
      <w:r>
        <w:rPr>
          <w:rFonts w:hint="eastAsia"/>
        </w:rPr>
        <w:t>[2025]</w:t>
      </w:r>
      <w:r>
        <w:rPr>
          <w:rFonts w:hint="eastAsia"/>
        </w:rPr>
        <w:t>第</w:t>
      </w:r>
      <w:r>
        <w:rPr>
          <w:rFonts w:hint="eastAsia"/>
        </w:rPr>
        <w:t>44</w:t>
      </w:r>
      <w:r>
        <w:rPr>
          <w:rFonts w:hint="eastAsia"/>
        </w:rPr>
        <w:t>号）第十一条，各类建（构）筑物、场所和设施安装的雷电防护装置，应当符合国家有关防雷标准和国务院气象主管机构规定的使用要求，并由具有相应资质的单位承担检测。本办法所称雷电防护装置，是指接闪器、引下线、接地装置、电涌保护器及其连接导体等构成的，用以防御雷电灾害的设施或者系统。</w:t>
      </w:r>
    </w:p>
    <w:p w14:paraId="02A004EE" w14:textId="77777777" w:rsidR="00EF4562" w:rsidRDefault="00000000">
      <w:pPr>
        <w:pStyle w:val="af"/>
        <w:numPr>
          <w:ilvl w:val="0"/>
          <w:numId w:val="7"/>
        </w:numPr>
        <w:ind w:left="0" w:firstLine="560"/>
      </w:pPr>
      <w:r>
        <w:rPr>
          <w:rFonts w:hint="eastAsia"/>
        </w:rPr>
        <w:t>根据《防雷减灾管理办法》（中国气象局令</w:t>
      </w:r>
      <w:r>
        <w:rPr>
          <w:rFonts w:hint="eastAsia"/>
        </w:rPr>
        <w:t>[2025]</w:t>
      </w:r>
      <w:r>
        <w:rPr>
          <w:rFonts w:hint="eastAsia"/>
        </w:rPr>
        <w:t>第</w:t>
      </w:r>
      <w:r>
        <w:rPr>
          <w:rFonts w:hint="eastAsia"/>
        </w:rPr>
        <w:t>44</w:t>
      </w:r>
      <w:r>
        <w:rPr>
          <w:rFonts w:hint="eastAsia"/>
        </w:rPr>
        <w:t>号）第十二条，新建、改建、扩建建筑物、场所和设施的雷电防护装置应当与主体工程同时设计、同时施工、同时投入使用。</w:t>
      </w:r>
    </w:p>
    <w:p w14:paraId="4FE9D349" w14:textId="77777777" w:rsidR="00EF4562" w:rsidRDefault="00000000">
      <w:pPr>
        <w:pStyle w:val="af"/>
        <w:numPr>
          <w:ilvl w:val="0"/>
          <w:numId w:val="7"/>
        </w:numPr>
        <w:ind w:left="0" w:firstLine="560"/>
      </w:pPr>
      <w:r>
        <w:rPr>
          <w:rFonts w:hint="eastAsia"/>
        </w:rPr>
        <w:t>根据《防雷减灾管理办法》（中国气象局令</w:t>
      </w:r>
      <w:r>
        <w:rPr>
          <w:rFonts w:hint="eastAsia"/>
        </w:rPr>
        <w:t>[2025]</w:t>
      </w:r>
      <w:r>
        <w:rPr>
          <w:rFonts w:hint="eastAsia"/>
        </w:rPr>
        <w:t>第</w:t>
      </w:r>
      <w:r>
        <w:rPr>
          <w:rFonts w:hint="eastAsia"/>
        </w:rPr>
        <w:t>44</w:t>
      </w:r>
      <w:r>
        <w:rPr>
          <w:rFonts w:hint="eastAsia"/>
        </w:rPr>
        <w:t>号）第十三条，投入使用后的雷电防护装置应当根据国家有关建筑物防雷标准实行定期检测制度。雷电防护装置应当每年检测一次，对爆炸和火灾危险环境场所的雷电防护装置应当每半年检测一次。</w:t>
      </w:r>
    </w:p>
    <w:p w14:paraId="585B7388"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8.</w:t>
      </w:r>
      <w:r>
        <w:rPr>
          <w:rFonts w:eastAsia="黑体" w:cs="Times New Roman" w:hint="eastAsia"/>
          <w:b/>
          <w:bCs/>
        </w:rPr>
        <w:t>3.3</w:t>
      </w:r>
      <w:r>
        <w:rPr>
          <w:rFonts w:ascii="黑体" w:eastAsia="黑体" w:hAnsi="黑体" w:hint="eastAsia"/>
          <w:b/>
          <w:bCs/>
        </w:rPr>
        <w:t>建（构）筑物</w:t>
      </w:r>
    </w:p>
    <w:p w14:paraId="476C1B59" w14:textId="77777777" w:rsidR="00EF4562" w:rsidRDefault="00000000">
      <w:pPr>
        <w:pStyle w:val="af"/>
        <w:numPr>
          <w:ilvl w:val="0"/>
          <w:numId w:val="8"/>
        </w:numPr>
        <w:ind w:left="0" w:firstLine="560"/>
      </w:pPr>
      <w:r>
        <w:rPr>
          <w:rFonts w:hint="eastAsia"/>
        </w:rPr>
        <w:t>根据《汽车加油加气加氢站技术标准》（</w:t>
      </w:r>
      <w:r>
        <w:rPr>
          <w:rFonts w:hint="eastAsia"/>
        </w:rPr>
        <w:t>GB50156-2021</w:t>
      </w:r>
      <w:r>
        <w:rPr>
          <w:rFonts w:hint="eastAsia"/>
        </w:rPr>
        <w:t>）第</w:t>
      </w:r>
      <w:r>
        <w:rPr>
          <w:rFonts w:hint="eastAsia"/>
        </w:rPr>
        <w:t>14.2.3</w:t>
      </w:r>
      <w:r>
        <w:rPr>
          <w:rFonts w:hint="eastAsia"/>
        </w:rPr>
        <w:lastRenderedPageBreak/>
        <w:t>条，加油岛的设计应符合下列规定：</w:t>
      </w:r>
      <w:r>
        <w:rPr>
          <w:rFonts w:ascii="宋体" w:hAnsi="宋体" w:hint="eastAsia"/>
        </w:rPr>
        <w:t>①</w:t>
      </w:r>
      <w:r>
        <w:rPr>
          <w:rFonts w:hint="eastAsia"/>
        </w:rPr>
        <w:t>加油岛应高出停车位的地坪</w:t>
      </w:r>
      <w:r>
        <w:rPr>
          <w:rFonts w:hint="eastAsia"/>
        </w:rPr>
        <w:t>0.15-0.20m</w:t>
      </w:r>
      <w:r>
        <w:rPr>
          <w:rFonts w:hint="eastAsia"/>
        </w:rPr>
        <w:t>；</w:t>
      </w:r>
      <w:r>
        <w:rPr>
          <w:rFonts w:ascii="宋体" w:hAnsi="宋体" w:hint="eastAsia"/>
        </w:rPr>
        <w:t>②</w:t>
      </w:r>
      <w:r>
        <w:rPr>
          <w:rFonts w:hint="eastAsia"/>
        </w:rPr>
        <w:t>加油岛两端的宽度不应小于</w:t>
      </w:r>
      <w:r>
        <w:rPr>
          <w:rFonts w:hint="eastAsia"/>
        </w:rPr>
        <w:t>1.2m</w:t>
      </w:r>
      <w:r>
        <w:rPr>
          <w:rFonts w:hint="eastAsia"/>
        </w:rPr>
        <w:t>；</w:t>
      </w:r>
      <w:r>
        <w:rPr>
          <w:rFonts w:ascii="宋体" w:hAnsi="宋体" w:hint="eastAsia"/>
        </w:rPr>
        <w:t>③</w:t>
      </w:r>
      <w:r>
        <w:rPr>
          <w:rFonts w:hint="eastAsia"/>
        </w:rPr>
        <w:t>加油岛上的罩棚立柱边缘距离端部不应小于</w:t>
      </w:r>
      <w:r>
        <w:rPr>
          <w:rFonts w:hint="eastAsia"/>
        </w:rPr>
        <w:t>0.6m</w:t>
      </w:r>
      <w:r>
        <w:rPr>
          <w:rFonts w:hint="eastAsia"/>
        </w:rPr>
        <w:t>；</w:t>
      </w:r>
      <w:r>
        <w:rPr>
          <w:rFonts w:ascii="宋体" w:hAnsi="宋体" w:hint="eastAsia"/>
        </w:rPr>
        <w:t>④</w:t>
      </w:r>
      <w:r>
        <w:rPr>
          <w:rFonts w:hint="eastAsia"/>
        </w:rPr>
        <w:t>靠近岛端部的加油机等岛上的工艺设备应有防止车辆误碰撞的措施和警示标识。采用钢管防撞柱（栏）时，其钢管的直径不应小于</w:t>
      </w:r>
      <w:r>
        <w:rPr>
          <w:rFonts w:hint="eastAsia"/>
        </w:rPr>
        <w:t>100mm</w:t>
      </w:r>
      <w:r>
        <w:rPr>
          <w:rFonts w:hint="eastAsia"/>
        </w:rPr>
        <w:t>，高度不应小于</w:t>
      </w:r>
      <w:r>
        <w:rPr>
          <w:rFonts w:hint="eastAsia"/>
        </w:rPr>
        <w:t>0.5m</w:t>
      </w:r>
      <w:r>
        <w:rPr>
          <w:rFonts w:hint="eastAsia"/>
        </w:rPr>
        <w:t>，并应设置牢固。</w:t>
      </w:r>
    </w:p>
    <w:p w14:paraId="1961F13D" w14:textId="77777777" w:rsidR="00EF4562" w:rsidRDefault="00000000">
      <w:pPr>
        <w:pStyle w:val="af"/>
        <w:numPr>
          <w:ilvl w:val="0"/>
          <w:numId w:val="8"/>
        </w:numPr>
        <w:ind w:left="0" w:firstLine="560"/>
      </w:pPr>
      <w:r>
        <w:rPr>
          <w:rFonts w:hint="eastAsia"/>
        </w:rPr>
        <w:t>根据《汽车加油加气加氢站技术标准》（</w:t>
      </w:r>
      <w:r>
        <w:rPr>
          <w:rFonts w:hint="eastAsia"/>
        </w:rPr>
        <w:t>GB50156-2021</w:t>
      </w:r>
      <w:r>
        <w:rPr>
          <w:rFonts w:hint="eastAsia"/>
        </w:rPr>
        <w:t>）第</w:t>
      </w:r>
      <w:r>
        <w:rPr>
          <w:rFonts w:hint="eastAsia"/>
        </w:rPr>
        <w:t>14.2.16</w:t>
      </w:r>
      <w:r>
        <w:rPr>
          <w:rFonts w:hint="eastAsia"/>
        </w:rPr>
        <w:t>条，位于作业区的排水井应采取防渗漏措施，位于爆炸危险区域内的操作井和排水井应有防止产生火花的措施。</w:t>
      </w:r>
    </w:p>
    <w:p w14:paraId="5D7064B6"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8.</w:t>
      </w:r>
      <w:r>
        <w:rPr>
          <w:rFonts w:eastAsia="黑体" w:cs="Times New Roman" w:hint="eastAsia"/>
          <w:b/>
          <w:bCs/>
        </w:rPr>
        <w:t>3</w:t>
      </w:r>
      <w:r>
        <w:rPr>
          <w:rFonts w:eastAsia="黑体" w:cs="Times New Roman"/>
          <w:b/>
          <w:bCs/>
        </w:rPr>
        <w:t>.</w:t>
      </w:r>
      <w:r>
        <w:rPr>
          <w:rFonts w:eastAsia="黑体" w:cs="Times New Roman" w:hint="eastAsia"/>
          <w:b/>
          <w:bCs/>
        </w:rPr>
        <w:t>4</w:t>
      </w:r>
      <w:r>
        <w:rPr>
          <w:rFonts w:eastAsia="黑体" w:cs="Times New Roman" w:hint="eastAsia"/>
          <w:b/>
          <w:bCs/>
        </w:rPr>
        <w:t>其</w:t>
      </w:r>
      <w:r>
        <w:rPr>
          <w:rFonts w:ascii="黑体" w:eastAsia="黑体" w:hAnsi="黑体" w:hint="eastAsia"/>
          <w:b/>
          <w:bCs/>
        </w:rPr>
        <w:t>他</w:t>
      </w:r>
    </w:p>
    <w:p w14:paraId="3BD472C2" w14:textId="77777777" w:rsidR="00EF4562" w:rsidRDefault="00000000">
      <w:pPr>
        <w:pStyle w:val="af"/>
        <w:numPr>
          <w:ilvl w:val="0"/>
          <w:numId w:val="9"/>
        </w:numPr>
        <w:ind w:left="0" w:firstLine="560"/>
      </w:pPr>
      <w:r>
        <w:rPr>
          <w:rFonts w:hint="eastAsia"/>
        </w:rPr>
        <w:t>根据《加油站作业安全规范》（</w:t>
      </w:r>
      <w:r>
        <w:rPr>
          <w:rFonts w:hint="eastAsia"/>
        </w:rPr>
        <w:t>AQ3010-2022</w:t>
      </w:r>
      <w:r>
        <w:rPr>
          <w:rFonts w:hint="eastAsia"/>
        </w:rPr>
        <w:t>）第</w:t>
      </w:r>
      <w:r>
        <w:rPr>
          <w:rFonts w:hint="eastAsia"/>
        </w:rPr>
        <w:t>4.1</w:t>
      </w:r>
      <w:r>
        <w:rPr>
          <w:rFonts w:hint="eastAsia"/>
        </w:rPr>
        <w:t>条，作业人员应经安全生产教育和培训考试合格后方可上岗。特种作业人员应取得相应资格证书，持证上岗。</w:t>
      </w:r>
    </w:p>
    <w:p w14:paraId="604351BE" w14:textId="77777777" w:rsidR="00EF4562" w:rsidRDefault="00000000">
      <w:pPr>
        <w:pStyle w:val="af"/>
        <w:numPr>
          <w:ilvl w:val="0"/>
          <w:numId w:val="9"/>
        </w:numPr>
        <w:ind w:left="0" w:firstLine="560"/>
      </w:pPr>
      <w:r>
        <w:rPr>
          <w:rFonts w:hint="eastAsia"/>
        </w:rPr>
        <w:t>根据《加油站作业安全规范》（</w:t>
      </w:r>
      <w:r>
        <w:rPr>
          <w:rFonts w:hint="eastAsia"/>
        </w:rPr>
        <w:t>AQ3010-2022</w:t>
      </w:r>
      <w:r>
        <w:rPr>
          <w:rFonts w:hint="eastAsia"/>
        </w:rPr>
        <w:t>）第</w:t>
      </w:r>
      <w:r>
        <w:rPr>
          <w:rFonts w:hint="eastAsia"/>
        </w:rPr>
        <w:t>4.2</w:t>
      </w:r>
      <w:r>
        <w:rPr>
          <w:rFonts w:hint="eastAsia"/>
        </w:rPr>
        <w:t>条，作业区人员上岗时应穿防静电工作服、防静电工作鞋。不应在作业区穿脱及拍打衣服、帽子或类似物。</w:t>
      </w:r>
    </w:p>
    <w:p w14:paraId="11A3DAFD" w14:textId="77777777" w:rsidR="00EF4562" w:rsidRDefault="00000000">
      <w:pPr>
        <w:pStyle w:val="af"/>
        <w:numPr>
          <w:ilvl w:val="0"/>
          <w:numId w:val="9"/>
        </w:numPr>
        <w:ind w:left="0" w:firstLine="560"/>
      </w:pPr>
      <w:r>
        <w:rPr>
          <w:rFonts w:hint="eastAsia"/>
        </w:rPr>
        <w:t>根据《加油站作业安全规范》（</w:t>
      </w:r>
      <w:r>
        <w:rPr>
          <w:rFonts w:hint="eastAsia"/>
        </w:rPr>
        <w:t>AQ3010-2022</w:t>
      </w:r>
      <w:r>
        <w:rPr>
          <w:rFonts w:hint="eastAsia"/>
        </w:rPr>
        <w:t>）第</w:t>
      </w:r>
      <w:r>
        <w:rPr>
          <w:rFonts w:hint="eastAsia"/>
        </w:rPr>
        <w:t>4.3</w:t>
      </w:r>
      <w:r>
        <w:rPr>
          <w:rFonts w:hint="eastAsia"/>
        </w:rPr>
        <w:t>条，不应在加油站内吸烟。</w:t>
      </w:r>
    </w:p>
    <w:p w14:paraId="5614E424" w14:textId="77777777" w:rsidR="00EF4562" w:rsidRDefault="00000000">
      <w:pPr>
        <w:pStyle w:val="af"/>
        <w:numPr>
          <w:ilvl w:val="0"/>
          <w:numId w:val="9"/>
        </w:numPr>
        <w:ind w:left="0" w:firstLine="560"/>
      </w:pPr>
      <w:r>
        <w:rPr>
          <w:rFonts w:hint="eastAsia"/>
        </w:rPr>
        <w:t>根据《加油站作业安全规范》（</w:t>
      </w:r>
      <w:r>
        <w:rPr>
          <w:rFonts w:hint="eastAsia"/>
        </w:rPr>
        <w:t>AQ3010-2022</w:t>
      </w:r>
      <w:r>
        <w:rPr>
          <w:rFonts w:hint="eastAsia"/>
        </w:rPr>
        <w:t>）第</w:t>
      </w:r>
      <w:r>
        <w:rPr>
          <w:rFonts w:hint="eastAsia"/>
        </w:rPr>
        <w:t>4.4</w:t>
      </w:r>
      <w:r>
        <w:rPr>
          <w:rFonts w:hint="eastAsia"/>
        </w:rPr>
        <w:t>条，作业区应按</w:t>
      </w:r>
      <w:r>
        <w:rPr>
          <w:rFonts w:hint="eastAsia"/>
        </w:rPr>
        <w:t>GB/T 2893.5</w:t>
      </w:r>
      <w:r>
        <w:rPr>
          <w:rFonts w:hint="eastAsia"/>
        </w:rPr>
        <w:t>、</w:t>
      </w:r>
      <w:r>
        <w:rPr>
          <w:rFonts w:hint="eastAsia"/>
        </w:rPr>
        <w:t>GB 2894</w:t>
      </w:r>
      <w:r>
        <w:rPr>
          <w:rFonts w:hint="eastAsia"/>
        </w:rPr>
        <w:t>、</w:t>
      </w:r>
      <w:r>
        <w:rPr>
          <w:rFonts w:hint="eastAsia"/>
        </w:rPr>
        <w:t>GB 13495.1</w:t>
      </w:r>
      <w:r>
        <w:rPr>
          <w:rFonts w:hint="eastAsia"/>
        </w:rPr>
        <w:t>、</w:t>
      </w:r>
      <w:r>
        <w:rPr>
          <w:rFonts w:hint="eastAsia"/>
        </w:rPr>
        <w:t>GB15630</w:t>
      </w:r>
      <w:r>
        <w:rPr>
          <w:rFonts w:hint="eastAsia"/>
        </w:rPr>
        <w:t>的规定设置安全标志和安全色。</w:t>
      </w:r>
    </w:p>
    <w:p w14:paraId="7A8116CF" w14:textId="77777777" w:rsidR="00EF4562" w:rsidRDefault="00000000">
      <w:pPr>
        <w:pStyle w:val="af"/>
        <w:numPr>
          <w:ilvl w:val="0"/>
          <w:numId w:val="9"/>
        </w:numPr>
        <w:ind w:left="0" w:firstLine="560"/>
      </w:pPr>
      <w:r>
        <w:rPr>
          <w:rFonts w:hint="eastAsia"/>
        </w:rPr>
        <w:t>根据《加油站作业安全规范》（</w:t>
      </w:r>
      <w:r>
        <w:rPr>
          <w:rFonts w:hint="eastAsia"/>
        </w:rPr>
        <w:t>AQ3010-2022</w:t>
      </w:r>
      <w:r>
        <w:rPr>
          <w:rFonts w:hint="eastAsia"/>
        </w:rPr>
        <w:t>）第</w:t>
      </w:r>
      <w:r>
        <w:rPr>
          <w:rFonts w:hint="eastAsia"/>
        </w:rPr>
        <w:t>4.6</w:t>
      </w:r>
      <w:r>
        <w:rPr>
          <w:rFonts w:hint="eastAsia"/>
        </w:rPr>
        <w:t>条，加油站遇雷暴、龙卷风和台风等恶劣天气时应停止加油等作业。</w:t>
      </w:r>
    </w:p>
    <w:p w14:paraId="45550C51" w14:textId="77777777" w:rsidR="00EF4562" w:rsidRDefault="00000000">
      <w:pPr>
        <w:pStyle w:val="af"/>
        <w:numPr>
          <w:ilvl w:val="0"/>
          <w:numId w:val="9"/>
        </w:numPr>
        <w:ind w:left="0" w:firstLine="560"/>
      </w:pPr>
      <w:r>
        <w:rPr>
          <w:rFonts w:hint="eastAsia"/>
        </w:rPr>
        <w:t>根据《加油站作业安全规范》（</w:t>
      </w:r>
      <w:r>
        <w:rPr>
          <w:rFonts w:hint="eastAsia"/>
        </w:rPr>
        <w:t>AQ3010-2022</w:t>
      </w:r>
      <w:r>
        <w:rPr>
          <w:rFonts w:hint="eastAsia"/>
        </w:rPr>
        <w:t>）第</w:t>
      </w:r>
      <w:r>
        <w:rPr>
          <w:rFonts w:hint="eastAsia"/>
        </w:rPr>
        <w:t>4.7</w:t>
      </w:r>
      <w:r>
        <w:rPr>
          <w:rFonts w:hint="eastAsia"/>
        </w:rPr>
        <w:t>条，不应在作业区内抛掷、拖拉、滚动，敲打金属物品及进行易产生火花的作业。</w:t>
      </w:r>
    </w:p>
    <w:p w14:paraId="6AC668D9" w14:textId="77777777" w:rsidR="00EF4562" w:rsidRDefault="00000000">
      <w:pPr>
        <w:pStyle w:val="af"/>
        <w:numPr>
          <w:ilvl w:val="0"/>
          <w:numId w:val="9"/>
        </w:numPr>
        <w:ind w:left="0" w:firstLine="560"/>
      </w:pPr>
      <w:r>
        <w:rPr>
          <w:rFonts w:hint="eastAsia"/>
        </w:rPr>
        <w:t>根据《加油站作业安全规范》（</w:t>
      </w:r>
      <w:r>
        <w:rPr>
          <w:rFonts w:hint="eastAsia"/>
        </w:rPr>
        <w:t>AQ3010-2022</w:t>
      </w:r>
      <w:r>
        <w:rPr>
          <w:rFonts w:hint="eastAsia"/>
        </w:rPr>
        <w:t>）第</w:t>
      </w:r>
      <w:r>
        <w:rPr>
          <w:rFonts w:hint="eastAsia"/>
        </w:rPr>
        <w:t>4.8</w:t>
      </w:r>
      <w:r>
        <w:rPr>
          <w:rFonts w:hint="eastAsia"/>
        </w:rPr>
        <w:t>条，不应在作</w:t>
      </w:r>
      <w:r>
        <w:rPr>
          <w:rFonts w:hint="eastAsia"/>
        </w:rPr>
        <w:lastRenderedPageBreak/>
        <w:t>业区内进行车辆维修和洗车作业。</w:t>
      </w:r>
    </w:p>
    <w:p w14:paraId="58B13C79" w14:textId="77777777" w:rsidR="00EF4562" w:rsidRDefault="00000000">
      <w:pPr>
        <w:pStyle w:val="af"/>
        <w:numPr>
          <w:ilvl w:val="0"/>
          <w:numId w:val="9"/>
        </w:numPr>
        <w:ind w:left="0" w:firstLine="560"/>
      </w:pPr>
      <w:r>
        <w:rPr>
          <w:rFonts w:hint="eastAsia"/>
        </w:rPr>
        <w:t>根据《加油站作业安全规范》（</w:t>
      </w:r>
      <w:r>
        <w:rPr>
          <w:rFonts w:hint="eastAsia"/>
        </w:rPr>
        <w:t>AQ3010-2022</w:t>
      </w:r>
      <w:r>
        <w:rPr>
          <w:rFonts w:hint="eastAsia"/>
        </w:rPr>
        <w:t>）第</w:t>
      </w:r>
      <w:r>
        <w:rPr>
          <w:rFonts w:hint="eastAsia"/>
        </w:rPr>
        <w:t>4.9</w:t>
      </w:r>
      <w:r>
        <w:rPr>
          <w:rFonts w:hint="eastAsia"/>
        </w:rPr>
        <w:t>条，不应使用汽油和易燃清洗剂做清洁工作。不应使用可能会产生静电或火花的清洁工具。</w:t>
      </w:r>
    </w:p>
    <w:p w14:paraId="2269E0AD" w14:textId="77777777" w:rsidR="00EF4562" w:rsidRDefault="00000000">
      <w:pPr>
        <w:pStyle w:val="af"/>
        <w:numPr>
          <w:ilvl w:val="0"/>
          <w:numId w:val="9"/>
        </w:numPr>
        <w:ind w:left="0" w:firstLine="560"/>
      </w:pPr>
      <w:r>
        <w:rPr>
          <w:rFonts w:hint="eastAsia"/>
        </w:rPr>
        <w:t>根据《加油站作业安全规范》（</w:t>
      </w:r>
      <w:r>
        <w:rPr>
          <w:rFonts w:hint="eastAsia"/>
        </w:rPr>
        <w:t>AQ3010-2022</w:t>
      </w:r>
      <w:r>
        <w:rPr>
          <w:rFonts w:hint="eastAsia"/>
        </w:rPr>
        <w:t>）第</w:t>
      </w:r>
      <w:r>
        <w:rPr>
          <w:rFonts w:hint="eastAsia"/>
        </w:rPr>
        <w:t>4.10</w:t>
      </w:r>
      <w:r>
        <w:rPr>
          <w:rFonts w:hint="eastAsia"/>
        </w:rPr>
        <w:t>条，作业人员应按设备说明书、操作规程和管理规定对设备设施进行正确操作和维护保养，保障设备处于安全状态；加油站油气回收系统应完好有效，并保持正常使用，满足</w:t>
      </w:r>
      <w:r>
        <w:rPr>
          <w:rFonts w:hint="eastAsia"/>
        </w:rPr>
        <w:t>GB20952</w:t>
      </w:r>
      <w:r>
        <w:rPr>
          <w:rFonts w:hint="eastAsia"/>
        </w:rPr>
        <w:t>的规定。</w:t>
      </w:r>
    </w:p>
    <w:p w14:paraId="52DD03D8"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42" w:name="_Toc207695648"/>
      <w:r>
        <w:rPr>
          <w:rFonts w:eastAsia="楷体" w:cs="Times New Roman"/>
          <w:b/>
          <w:bCs/>
          <w:sz w:val="32"/>
          <w:szCs w:val="32"/>
        </w:rPr>
        <w:t>8.</w:t>
      </w:r>
      <w:r>
        <w:rPr>
          <w:rFonts w:eastAsia="楷体" w:cs="Times New Roman" w:hint="eastAsia"/>
          <w:b/>
          <w:bCs/>
          <w:sz w:val="32"/>
          <w:szCs w:val="32"/>
        </w:rPr>
        <w:t>4</w:t>
      </w:r>
      <w:r>
        <w:rPr>
          <w:rFonts w:ascii="楷体" w:eastAsia="楷体" w:hAnsi="楷体" w:hint="eastAsia"/>
          <w:b/>
          <w:bCs/>
          <w:sz w:val="32"/>
          <w:szCs w:val="32"/>
        </w:rPr>
        <w:t>建设项目中主要装置、设备、设施的布局</w:t>
      </w:r>
      <w:bookmarkEnd w:id="42"/>
    </w:p>
    <w:p w14:paraId="03E95BC0" w14:textId="77777777" w:rsidR="00EF4562" w:rsidRDefault="00000000">
      <w:pPr>
        <w:pStyle w:val="af"/>
        <w:numPr>
          <w:ilvl w:val="0"/>
          <w:numId w:val="10"/>
        </w:numPr>
        <w:ind w:left="0" w:firstLine="560"/>
      </w:pPr>
      <w:r>
        <w:rPr>
          <w:rFonts w:hint="eastAsia"/>
        </w:rPr>
        <w:t>根据《汽车加油加气加氢站技术标准》（</w:t>
      </w:r>
      <w:r>
        <w:rPr>
          <w:rFonts w:hint="eastAsia"/>
        </w:rPr>
        <w:t>GB50156-2021</w:t>
      </w:r>
      <w:r>
        <w:rPr>
          <w:rFonts w:hint="eastAsia"/>
        </w:rPr>
        <w:t>）第</w:t>
      </w:r>
      <w:r>
        <w:rPr>
          <w:rFonts w:hint="eastAsia"/>
        </w:rPr>
        <w:t>5.0.3</w:t>
      </w:r>
      <w:r>
        <w:rPr>
          <w:rFonts w:hint="eastAsia"/>
        </w:rPr>
        <w:t>条，作业区与辅助服务区之间应有界线标识。</w:t>
      </w:r>
    </w:p>
    <w:p w14:paraId="2A7185E8" w14:textId="77777777" w:rsidR="00EF4562" w:rsidRDefault="00000000">
      <w:pPr>
        <w:pStyle w:val="af"/>
        <w:numPr>
          <w:ilvl w:val="0"/>
          <w:numId w:val="10"/>
        </w:numPr>
        <w:ind w:left="0" w:firstLine="560"/>
      </w:pPr>
      <w:r>
        <w:rPr>
          <w:rFonts w:hint="eastAsia"/>
        </w:rPr>
        <w:t>根据《汽车加油加气加氢站技术标准》（</w:t>
      </w:r>
      <w:r>
        <w:rPr>
          <w:rFonts w:hint="eastAsia"/>
        </w:rPr>
        <w:t>GB50156-2021</w:t>
      </w:r>
      <w:r>
        <w:rPr>
          <w:rFonts w:hint="eastAsia"/>
        </w:rPr>
        <w:t>）第</w:t>
      </w:r>
      <w:r>
        <w:rPr>
          <w:rFonts w:hint="eastAsia"/>
        </w:rPr>
        <w:t>5.0.5</w:t>
      </w:r>
      <w:r>
        <w:rPr>
          <w:rFonts w:hint="eastAsia"/>
        </w:rPr>
        <w:t>条，作业区内，不得有“明火地点”或“散发火花地点”。</w:t>
      </w:r>
    </w:p>
    <w:p w14:paraId="602ACEC0" w14:textId="77777777" w:rsidR="00EF4562" w:rsidRDefault="00000000">
      <w:pPr>
        <w:pStyle w:val="af"/>
        <w:numPr>
          <w:ilvl w:val="0"/>
          <w:numId w:val="10"/>
        </w:numPr>
        <w:ind w:left="0" w:firstLine="560"/>
      </w:pPr>
      <w:r>
        <w:rPr>
          <w:rFonts w:hint="eastAsia"/>
        </w:rPr>
        <w:t>根据《汽车加油加气加氢站技术标准》（</w:t>
      </w:r>
      <w:r>
        <w:rPr>
          <w:rFonts w:hint="eastAsia"/>
        </w:rPr>
        <w:t>GB50156-2021</w:t>
      </w:r>
      <w:r>
        <w:rPr>
          <w:rFonts w:hint="eastAsia"/>
        </w:rPr>
        <w:t>）第</w:t>
      </w:r>
      <w:r>
        <w:rPr>
          <w:rFonts w:hint="eastAsia"/>
        </w:rPr>
        <w:t>5.0.11</w:t>
      </w:r>
      <w:r>
        <w:rPr>
          <w:rFonts w:hint="eastAsia"/>
        </w:rPr>
        <w:t>条，加油站内的爆炸危险区域，不应超出站区围墙和可用地界线。</w:t>
      </w:r>
    </w:p>
    <w:p w14:paraId="654A81CD"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43" w:name="_Toc207695649"/>
      <w:r>
        <w:rPr>
          <w:rFonts w:eastAsia="楷体" w:cs="Times New Roman"/>
          <w:b/>
          <w:bCs/>
          <w:sz w:val="32"/>
          <w:szCs w:val="32"/>
        </w:rPr>
        <w:t>8.</w:t>
      </w:r>
      <w:r>
        <w:rPr>
          <w:rFonts w:eastAsia="楷体" w:cs="Times New Roman" w:hint="eastAsia"/>
          <w:b/>
          <w:bCs/>
          <w:sz w:val="32"/>
          <w:szCs w:val="32"/>
        </w:rPr>
        <w:t>5</w:t>
      </w:r>
      <w:r>
        <w:rPr>
          <w:rFonts w:ascii="楷体" w:eastAsia="楷体" w:hAnsi="楷体" w:hint="eastAsia"/>
          <w:b/>
          <w:bCs/>
          <w:sz w:val="32"/>
          <w:szCs w:val="32"/>
        </w:rPr>
        <w:t>安全管理</w:t>
      </w:r>
      <w:bookmarkEnd w:id="43"/>
    </w:p>
    <w:p w14:paraId="76627E72" w14:textId="77777777" w:rsidR="00EF4562" w:rsidRDefault="00000000">
      <w:pPr>
        <w:numPr>
          <w:ilvl w:val="0"/>
          <w:numId w:val="11"/>
        </w:numPr>
        <w:ind w:left="0" w:firstLine="560"/>
        <w:rPr>
          <w:szCs w:val="28"/>
        </w:rPr>
      </w:pPr>
      <w:bookmarkStart w:id="44" w:name="_Hlk206847841"/>
      <w:r>
        <w:rPr>
          <w:rFonts w:hint="eastAsia"/>
          <w:szCs w:val="28"/>
        </w:rPr>
        <w:t>根据《中华人民共和国安全生产法》（中华人民共和国主席令</w:t>
      </w:r>
      <w:r>
        <w:rPr>
          <w:rFonts w:hint="eastAsia"/>
          <w:szCs w:val="28"/>
        </w:rPr>
        <w:t>[2021]</w:t>
      </w:r>
      <w:r>
        <w:rPr>
          <w:rFonts w:hint="eastAsia"/>
          <w:szCs w:val="28"/>
        </w:rPr>
        <w:t>第八十八号）第三十一条，生产经营单位新建、改建、扩建工程项目（以下统称建设项目）的安全设施，必须与主体工程同时设计、同时施工、同时投入生产和使用。安全设施投资应当纳入建设项目概算。</w:t>
      </w:r>
    </w:p>
    <w:p w14:paraId="3B99C79C" w14:textId="77777777" w:rsidR="00EF4562" w:rsidRDefault="00000000">
      <w:pPr>
        <w:numPr>
          <w:ilvl w:val="0"/>
          <w:numId w:val="11"/>
        </w:numPr>
        <w:ind w:left="0" w:firstLine="560"/>
        <w:rPr>
          <w:szCs w:val="28"/>
        </w:rPr>
      </w:pPr>
      <w:r>
        <w:rPr>
          <w:rFonts w:hint="eastAsia"/>
          <w:szCs w:val="28"/>
        </w:rPr>
        <w:t>根据《危险化学品建设项目安全监督管理办法》（国家安全生产监督管理总局令</w:t>
      </w:r>
      <w:r>
        <w:rPr>
          <w:rFonts w:hint="eastAsia"/>
          <w:szCs w:val="28"/>
        </w:rPr>
        <w:t>[2012]</w:t>
      </w:r>
      <w:r>
        <w:rPr>
          <w:rFonts w:hint="eastAsia"/>
          <w:szCs w:val="28"/>
        </w:rPr>
        <w:t>第</w:t>
      </w:r>
      <w:r>
        <w:rPr>
          <w:rFonts w:hint="eastAsia"/>
          <w:szCs w:val="28"/>
        </w:rPr>
        <w:t>45</w:t>
      </w:r>
      <w:r>
        <w:rPr>
          <w:rFonts w:hint="eastAsia"/>
          <w:szCs w:val="28"/>
        </w:rPr>
        <w:t>号，依据总局令</w:t>
      </w:r>
      <w:r>
        <w:rPr>
          <w:rFonts w:hint="eastAsia"/>
          <w:szCs w:val="28"/>
        </w:rPr>
        <w:t>[2015]</w:t>
      </w:r>
      <w:r>
        <w:rPr>
          <w:rFonts w:hint="eastAsia"/>
          <w:szCs w:val="28"/>
        </w:rPr>
        <w:t>第</w:t>
      </w:r>
      <w:r>
        <w:rPr>
          <w:rFonts w:hint="eastAsia"/>
          <w:szCs w:val="28"/>
        </w:rPr>
        <w:t>79</w:t>
      </w:r>
      <w:r>
        <w:rPr>
          <w:rFonts w:hint="eastAsia"/>
          <w:szCs w:val="28"/>
        </w:rPr>
        <w:t>号修正）第七条规定，建设单位应当分别选择具备相应资质单位进行设计、施工和监理。涉及重点监管危险化工工艺、重点监管危险化学品或者危险化学品重大危险源的建设</w:t>
      </w:r>
      <w:r>
        <w:rPr>
          <w:rFonts w:hint="eastAsia"/>
          <w:szCs w:val="28"/>
        </w:rPr>
        <w:lastRenderedPageBreak/>
        <w:t>项目，应当由具有石油化工医药行业相应资质的设计单位设计。</w:t>
      </w:r>
    </w:p>
    <w:p w14:paraId="158B909A" w14:textId="77777777" w:rsidR="00EF4562" w:rsidRDefault="00000000">
      <w:pPr>
        <w:numPr>
          <w:ilvl w:val="0"/>
          <w:numId w:val="11"/>
        </w:numPr>
        <w:ind w:left="0" w:firstLine="560"/>
        <w:rPr>
          <w:szCs w:val="28"/>
        </w:rPr>
      </w:pPr>
      <w:r>
        <w:rPr>
          <w:rFonts w:hint="eastAsia"/>
          <w:szCs w:val="28"/>
        </w:rPr>
        <w:t>根据《中华人民共和国安全生产法》（中华人民共和国主席令</w:t>
      </w:r>
      <w:r>
        <w:rPr>
          <w:rFonts w:hint="eastAsia"/>
          <w:szCs w:val="28"/>
        </w:rPr>
        <w:t>[2021]</w:t>
      </w:r>
      <w:r>
        <w:rPr>
          <w:rFonts w:hint="eastAsia"/>
          <w:szCs w:val="28"/>
        </w:rPr>
        <w:t>第八十八号，</w:t>
      </w:r>
      <w:r>
        <w:rPr>
          <w:rFonts w:hint="eastAsia"/>
          <w:szCs w:val="28"/>
        </w:rPr>
        <w:t>2021</w:t>
      </w:r>
      <w:r>
        <w:rPr>
          <w:rFonts w:hint="eastAsia"/>
          <w:szCs w:val="28"/>
        </w:rPr>
        <w:t>年</w:t>
      </w:r>
      <w:r>
        <w:rPr>
          <w:rFonts w:hint="eastAsia"/>
          <w:szCs w:val="28"/>
        </w:rPr>
        <w:t>09</w:t>
      </w:r>
      <w:r>
        <w:rPr>
          <w:rFonts w:hint="eastAsia"/>
          <w:szCs w:val="28"/>
        </w:rPr>
        <w:t>月</w:t>
      </w:r>
      <w:r>
        <w:rPr>
          <w:rFonts w:hint="eastAsia"/>
          <w:szCs w:val="28"/>
        </w:rPr>
        <w:t>01</w:t>
      </w:r>
      <w:r>
        <w:rPr>
          <w:rFonts w:hint="eastAsia"/>
          <w:szCs w:val="28"/>
        </w:rPr>
        <w:t>日施行）第二十八条，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14:paraId="26373120" w14:textId="77777777" w:rsidR="00EF4562" w:rsidRDefault="00000000">
      <w:pPr>
        <w:numPr>
          <w:ilvl w:val="0"/>
          <w:numId w:val="11"/>
        </w:numPr>
        <w:ind w:left="0" w:firstLine="560"/>
        <w:rPr>
          <w:szCs w:val="28"/>
        </w:rPr>
      </w:pPr>
      <w:r>
        <w:rPr>
          <w:rFonts w:hint="eastAsia"/>
          <w:szCs w:val="28"/>
        </w:rPr>
        <w:t>根据《危险化学品经营许可证管理办法》（国家安全监督管理总局令第</w:t>
      </w:r>
      <w:r>
        <w:rPr>
          <w:rFonts w:hint="eastAsia"/>
          <w:szCs w:val="28"/>
        </w:rPr>
        <w:t>55</w:t>
      </w:r>
      <w:r>
        <w:rPr>
          <w:rFonts w:hint="eastAsia"/>
          <w:szCs w:val="28"/>
        </w:rPr>
        <w:t>号）第六条，有健全的安全生产规章制度和岗位操作规程。前款规定的安全生产规章制度，是指全员安全生产责任制度、危险化学品购销管理制度、危险化学品安全管理制度（包括防火、防爆、防中毒、防泄漏管理等内容）、安全投入保障制度、安全生产奖惩制度、安全生产教育培训制度、隐患排查治理制度、安全风险管理制度、应急管理制度、事故管理制度、职业卫生管理制度等。</w:t>
      </w:r>
    </w:p>
    <w:p w14:paraId="2E644F8D" w14:textId="77777777" w:rsidR="00EF4562" w:rsidRDefault="00000000">
      <w:pPr>
        <w:pStyle w:val="af"/>
        <w:numPr>
          <w:ilvl w:val="0"/>
          <w:numId w:val="11"/>
        </w:numPr>
        <w:ind w:left="0" w:firstLine="560"/>
        <w:rPr>
          <w:szCs w:val="28"/>
        </w:rPr>
      </w:pPr>
      <w:r>
        <w:rPr>
          <w:rFonts w:hint="eastAsia"/>
          <w:szCs w:val="28"/>
        </w:rPr>
        <w:t>根据《生产安全事故应急条例》第十五条，生产经营单位应当对从业人员进行应急教育和培训，保证从业人员具备必要的应急知识，掌握风险防范技能和事故应急措施。</w:t>
      </w:r>
    </w:p>
    <w:p w14:paraId="594C8D2B" w14:textId="77777777" w:rsidR="00EF4562" w:rsidRDefault="00000000">
      <w:pPr>
        <w:numPr>
          <w:ilvl w:val="0"/>
          <w:numId w:val="11"/>
        </w:numPr>
        <w:ind w:left="0" w:firstLine="560"/>
        <w:rPr>
          <w:szCs w:val="28"/>
        </w:rPr>
      </w:pPr>
      <w:r>
        <w:rPr>
          <w:rFonts w:hint="eastAsia"/>
          <w:szCs w:val="28"/>
        </w:rPr>
        <w:t>根据《生产安全事故应急预案管理办法》（应急管理部令第</w:t>
      </w:r>
      <w:r>
        <w:rPr>
          <w:rFonts w:hint="eastAsia"/>
          <w:szCs w:val="28"/>
        </w:rPr>
        <w:t>2</w:t>
      </w:r>
      <w:r>
        <w:rPr>
          <w:rFonts w:hint="eastAsia"/>
          <w:szCs w:val="28"/>
        </w:rPr>
        <w:t>号，</w:t>
      </w:r>
      <w:r>
        <w:rPr>
          <w:rFonts w:hint="eastAsia"/>
          <w:szCs w:val="28"/>
        </w:rPr>
        <w:t>2019</w:t>
      </w:r>
      <w:r>
        <w:rPr>
          <w:rFonts w:hint="eastAsia"/>
          <w:szCs w:val="28"/>
        </w:rPr>
        <w:t>年</w:t>
      </w:r>
      <w:r>
        <w:rPr>
          <w:rFonts w:hint="eastAsia"/>
          <w:szCs w:val="28"/>
        </w:rPr>
        <w:t>9</w:t>
      </w:r>
      <w:r>
        <w:rPr>
          <w:rFonts w:hint="eastAsia"/>
          <w:szCs w:val="28"/>
        </w:rPr>
        <w:t>月</w:t>
      </w:r>
      <w:r>
        <w:rPr>
          <w:rFonts w:hint="eastAsia"/>
          <w:szCs w:val="28"/>
        </w:rPr>
        <w:t>1</w:t>
      </w:r>
      <w:r>
        <w:rPr>
          <w:rFonts w:hint="eastAsia"/>
          <w:szCs w:val="28"/>
        </w:rPr>
        <w:t>日起实施）第五条，生产经营单位主要负责人负责组织编制和实施本单位的应急预案，并对应急预案的真实性和实用性负责；各分管负责人应当按照职责分工落实应急预案规定的职责。</w:t>
      </w:r>
    </w:p>
    <w:p w14:paraId="68D08642" w14:textId="77777777" w:rsidR="00EF4562" w:rsidRDefault="00000000">
      <w:pPr>
        <w:numPr>
          <w:ilvl w:val="0"/>
          <w:numId w:val="11"/>
        </w:numPr>
        <w:ind w:left="0" w:firstLine="560"/>
        <w:rPr>
          <w:szCs w:val="28"/>
        </w:rPr>
      </w:pPr>
      <w:r>
        <w:rPr>
          <w:rFonts w:hint="eastAsia"/>
          <w:szCs w:val="28"/>
        </w:rPr>
        <w:t>根据《生产安全事故应急预案管理办法》（应急管理部令第</w:t>
      </w:r>
      <w:r>
        <w:rPr>
          <w:rFonts w:hint="eastAsia"/>
          <w:szCs w:val="28"/>
        </w:rPr>
        <w:t>2</w:t>
      </w:r>
      <w:r>
        <w:rPr>
          <w:rFonts w:hint="eastAsia"/>
          <w:szCs w:val="28"/>
        </w:rPr>
        <w:t>号，</w:t>
      </w:r>
      <w:r>
        <w:rPr>
          <w:rFonts w:hint="eastAsia"/>
          <w:szCs w:val="28"/>
        </w:rPr>
        <w:t>2019</w:t>
      </w:r>
      <w:r>
        <w:rPr>
          <w:rFonts w:hint="eastAsia"/>
          <w:szCs w:val="28"/>
        </w:rPr>
        <w:t>年</w:t>
      </w:r>
      <w:r>
        <w:rPr>
          <w:rFonts w:hint="eastAsia"/>
          <w:szCs w:val="28"/>
        </w:rPr>
        <w:t>9</w:t>
      </w:r>
      <w:r>
        <w:rPr>
          <w:rFonts w:hint="eastAsia"/>
          <w:szCs w:val="28"/>
        </w:rPr>
        <w:t>月</w:t>
      </w:r>
      <w:r>
        <w:rPr>
          <w:rFonts w:hint="eastAsia"/>
          <w:szCs w:val="28"/>
        </w:rPr>
        <w:t>1</w:t>
      </w:r>
      <w:r>
        <w:rPr>
          <w:rFonts w:hint="eastAsia"/>
          <w:szCs w:val="28"/>
        </w:rPr>
        <w:t>日起实施），第二十六条，危险化学品经营、储存单位应当在应急预案公布之日起</w:t>
      </w:r>
      <w:r>
        <w:rPr>
          <w:rFonts w:hint="eastAsia"/>
          <w:szCs w:val="28"/>
        </w:rPr>
        <w:t>20</w:t>
      </w:r>
      <w:r>
        <w:rPr>
          <w:rFonts w:hint="eastAsia"/>
          <w:szCs w:val="28"/>
        </w:rPr>
        <w:t>个工作日内，按照分级属地原则，向县级以上人民政府应急管理部门和其他负有安全生产监督管理职责的部门进行备案。</w:t>
      </w:r>
    </w:p>
    <w:p w14:paraId="22BB7170" w14:textId="77777777" w:rsidR="00EF4562" w:rsidRDefault="00000000">
      <w:pPr>
        <w:numPr>
          <w:ilvl w:val="0"/>
          <w:numId w:val="11"/>
        </w:numPr>
        <w:ind w:left="0" w:firstLine="560"/>
        <w:rPr>
          <w:szCs w:val="28"/>
        </w:rPr>
      </w:pPr>
      <w:r>
        <w:rPr>
          <w:rFonts w:hint="eastAsia"/>
          <w:szCs w:val="28"/>
        </w:rPr>
        <w:t>根据《生产安全事故应急预案管理办法》（应急管理部令第</w:t>
      </w:r>
      <w:r>
        <w:rPr>
          <w:rFonts w:hint="eastAsia"/>
          <w:szCs w:val="28"/>
        </w:rPr>
        <w:t>2</w:t>
      </w:r>
      <w:r>
        <w:rPr>
          <w:rFonts w:hint="eastAsia"/>
          <w:szCs w:val="28"/>
        </w:rPr>
        <w:t>号，</w:t>
      </w:r>
      <w:r>
        <w:rPr>
          <w:rFonts w:hint="eastAsia"/>
          <w:szCs w:val="28"/>
        </w:rPr>
        <w:lastRenderedPageBreak/>
        <w:t>2019</w:t>
      </w:r>
      <w:r>
        <w:rPr>
          <w:rFonts w:hint="eastAsia"/>
          <w:szCs w:val="28"/>
        </w:rPr>
        <w:t>年</w:t>
      </w:r>
      <w:r>
        <w:rPr>
          <w:rFonts w:hint="eastAsia"/>
          <w:szCs w:val="28"/>
        </w:rPr>
        <w:t>9</w:t>
      </w:r>
      <w:r>
        <w:rPr>
          <w:rFonts w:hint="eastAsia"/>
          <w:szCs w:val="28"/>
        </w:rPr>
        <w:t>月</w:t>
      </w:r>
      <w:r>
        <w:rPr>
          <w:rFonts w:hint="eastAsia"/>
          <w:szCs w:val="28"/>
        </w:rPr>
        <w:t>1</w:t>
      </w:r>
      <w:r>
        <w:rPr>
          <w:rFonts w:hint="eastAsia"/>
          <w:szCs w:val="28"/>
        </w:rPr>
        <w:t>日起实施），生产经营单位应当制定本单位的应急预案演练计划，根据本单位的事故风险特点，每年至少组织一次综合应急预案演练或者专项应急预案演练，每半年至少组织一次现场处置方案演练。</w:t>
      </w:r>
    </w:p>
    <w:p w14:paraId="0BFB98E7" w14:textId="77777777" w:rsidR="00EF4562" w:rsidRDefault="00000000">
      <w:pPr>
        <w:numPr>
          <w:ilvl w:val="0"/>
          <w:numId w:val="11"/>
        </w:numPr>
        <w:ind w:left="0" w:firstLine="560"/>
        <w:rPr>
          <w:szCs w:val="28"/>
        </w:rPr>
      </w:pPr>
      <w:r>
        <w:rPr>
          <w:rFonts w:hint="eastAsia"/>
          <w:szCs w:val="28"/>
        </w:rPr>
        <w:t>根据《生产经营单位安全培训规定》（国家安全生产监督管理总局令第</w:t>
      </w:r>
      <w:r>
        <w:rPr>
          <w:rFonts w:hint="eastAsia"/>
          <w:szCs w:val="28"/>
        </w:rPr>
        <w:t>3</w:t>
      </w:r>
      <w:r>
        <w:rPr>
          <w:rFonts w:hint="eastAsia"/>
          <w:szCs w:val="28"/>
        </w:rPr>
        <w:t>号，</w:t>
      </w:r>
      <w:r>
        <w:rPr>
          <w:rFonts w:hint="eastAsia"/>
          <w:szCs w:val="28"/>
        </w:rPr>
        <w:t>2015</w:t>
      </w:r>
      <w:r>
        <w:rPr>
          <w:rFonts w:hint="eastAsia"/>
          <w:szCs w:val="28"/>
        </w:rPr>
        <w:t>年</w:t>
      </w:r>
      <w:r>
        <w:rPr>
          <w:rFonts w:hint="eastAsia"/>
          <w:szCs w:val="28"/>
        </w:rPr>
        <w:t>5</w:t>
      </w:r>
      <w:r>
        <w:rPr>
          <w:rFonts w:hint="eastAsia"/>
          <w:szCs w:val="28"/>
        </w:rPr>
        <w:t>月</w:t>
      </w:r>
      <w:r>
        <w:rPr>
          <w:rFonts w:hint="eastAsia"/>
          <w:szCs w:val="28"/>
        </w:rPr>
        <w:t>29</w:t>
      </w:r>
      <w:r>
        <w:rPr>
          <w:rFonts w:hint="eastAsia"/>
          <w:szCs w:val="28"/>
        </w:rPr>
        <w:t>日国家安全监督管理局令第</w:t>
      </w:r>
      <w:r>
        <w:rPr>
          <w:rFonts w:hint="eastAsia"/>
          <w:szCs w:val="28"/>
        </w:rPr>
        <w:t>80</w:t>
      </w:r>
      <w:r>
        <w:rPr>
          <w:rFonts w:hint="eastAsia"/>
          <w:szCs w:val="28"/>
        </w:rPr>
        <w:t>号修订）第三条，生产经营单位应当依照安全生产法和有关法律、行政法规和本规定，建立健全安全培训工作制度。</w:t>
      </w:r>
    </w:p>
    <w:p w14:paraId="4E2586C5" w14:textId="77777777" w:rsidR="00EF4562" w:rsidRDefault="00000000">
      <w:pPr>
        <w:numPr>
          <w:ilvl w:val="0"/>
          <w:numId w:val="11"/>
        </w:numPr>
        <w:ind w:left="0" w:firstLine="560"/>
        <w:rPr>
          <w:szCs w:val="28"/>
        </w:rPr>
      </w:pPr>
      <w:r>
        <w:rPr>
          <w:rFonts w:hint="eastAsia"/>
          <w:szCs w:val="28"/>
        </w:rPr>
        <w:t>根据《辽宁省雷电灾害防御管理规定》第九条规定，加油站防雷接地设施安装完毕后，必须按规范要求委托具有资质的防雷设施检测机构对其进行测试，并取得防雷防静电检测合格报告。</w:t>
      </w:r>
    </w:p>
    <w:p w14:paraId="10B01DE5" w14:textId="77777777" w:rsidR="00EF4562" w:rsidRDefault="00000000">
      <w:pPr>
        <w:pStyle w:val="af"/>
        <w:numPr>
          <w:ilvl w:val="0"/>
          <w:numId w:val="11"/>
        </w:numPr>
        <w:ind w:left="0" w:firstLine="560"/>
        <w:rPr>
          <w:szCs w:val="28"/>
        </w:rPr>
      </w:pPr>
      <w:r>
        <w:rPr>
          <w:rFonts w:hint="eastAsia"/>
          <w:szCs w:val="28"/>
        </w:rPr>
        <w:t>根据《辽宁省雷电灾害防御管理规定》第十二条规定，防雷装置所有人或者受托人应当指定专人负责，做好防雷装置的日常维护工作。发现防雷装置存在隐患时，应当及时采取措施进行处理。已安装防雷装置的单位或者个人应当主动委托有相应资质的防雷装置检测机构进行定期检测。</w:t>
      </w:r>
    </w:p>
    <w:p w14:paraId="4F778400" w14:textId="77777777" w:rsidR="00EF4562" w:rsidRDefault="00000000">
      <w:pPr>
        <w:numPr>
          <w:ilvl w:val="0"/>
          <w:numId w:val="11"/>
        </w:numPr>
        <w:ind w:left="0" w:firstLine="560"/>
        <w:rPr>
          <w:szCs w:val="28"/>
        </w:rPr>
      </w:pPr>
      <w:r>
        <w:rPr>
          <w:rFonts w:hint="eastAsia"/>
          <w:szCs w:val="28"/>
        </w:rPr>
        <w:t>根据《辽宁省企业安全生产主体责任规定》（辽宁省人民政府令第</w:t>
      </w:r>
      <w:r>
        <w:rPr>
          <w:rFonts w:hint="eastAsia"/>
          <w:szCs w:val="28"/>
        </w:rPr>
        <w:t>264</w:t>
      </w:r>
      <w:r>
        <w:rPr>
          <w:rFonts w:hint="eastAsia"/>
          <w:szCs w:val="28"/>
        </w:rPr>
        <w:t>号，辽宁省人民政府令</w:t>
      </w:r>
      <w:r>
        <w:rPr>
          <w:rFonts w:hint="eastAsia"/>
          <w:szCs w:val="28"/>
        </w:rPr>
        <w:t>[2021]</w:t>
      </w:r>
      <w:r>
        <w:rPr>
          <w:rFonts w:hint="eastAsia"/>
          <w:szCs w:val="28"/>
        </w:rPr>
        <w:t>第</w:t>
      </w:r>
      <w:r>
        <w:rPr>
          <w:rFonts w:hint="eastAsia"/>
          <w:szCs w:val="28"/>
        </w:rPr>
        <w:t>341</w:t>
      </w:r>
      <w:r>
        <w:rPr>
          <w:rFonts w:hint="eastAsia"/>
          <w:szCs w:val="28"/>
        </w:rPr>
        <w:t>号修正）第二十条，加油站应当依法参加工伤保险，为从业人员缴纳保险费。在危险化学品等高危行业和重点领域强制实施安全生产责任保险。建立安全生产与商业责任保险相结合的事故预防机制。</w:t>
      </w:r>
    </w:p>
    <w:p w14:paraId="370FDB7A" w14:textId="77777777" w:rsidR="00EF4562" w:rsidRDefault="00000000">
      <w:pPr>
        <w:numPr>
          <w:ilvl w:val="0"/>
          <w:numId w:val="11"/>
        </w:numPr>
        <w:ind w:left="0" w:firstLine="560"/>
        <w:rPr>
          <w:szCs w:val="28"/>
        </w:rPr>
      </w:pPr>
      <w:r>
        <w:rPr>
          <w:rFonts w:hint="eastAsia"/>
          <w:szCs w:val="28"/>
        </w:rPr>
        <w:t>根据《辽宁省企业安全生产主体责任规定》（辽宁省人民政府令第</w:t>
      </w:r>
      <w:r>
        <w:rPr>
          <w:rFonts w:hint="eastAsia"/>
          <w:szCs w:val="28"/>
        </w:rPr>
        <w:t>264</w:t>
      </w:r>
      <w:r>
        <w:rPr>
          <w:rFonts w:hint="eastAsia"/>
          <w:szCs w:val="28"/>
        </w:rPr>
        <w:t>号，辽宁省人民政府令</w:t>
      </w:r>
      <w:r>
        <w:rPr>
          <w:rFonts w:hint="eastAsia"/>
          <w:szCs w:val="28"/>
        </w:rPr>
        <w:t>[2021]</w:t>
      </w:r>
      <w:r>
        <w:rPr>
          <w:rFonts w:hint="eastAsia"/>
          <w:szCs w:val="28"/>
        </w:rPr>
        <w:t>第</w:t>
      </w:r>
      <w:r>
        <w:rPr>
          <w:rFonts w:hint="eastAsia"/>
          <w:szCs w:val="28"/>
        </w:rPr>
        <w:t>341</w:t>
      </w:r>
      <w:r>
        <w:rPr>
          <w:rFonts w:hint="eastAsia"/>
          <w:szCs w:val="28"/>
        </w:rPr>
        <w:t>号修正）第六条，建立健全主要负责人、安全管理人员的责任制，建立健全安全生产管理制度和操作规程。</w:t>
      </w:r>
    </w:p>
    <w:bookmarkEnd w:id="44"/>
    <w:p w14:paraId="7663AB3D" w14:textId="77777777" w:rsidR="00EF4562" w:rsidRDefault="00EF4562">
      <w:pPr>
        <w:pStyle w:val="af"/>
        <w:numPr>
          <w:ilvl w:val="0"/>
          <w:numId w:val="11"/>
        </w:numPr>
        <w:ind w:left="0" w:firstLine="560"/>
        <w:sectPr w:rsidR="00EF4562">
          <w:pgSz w:w="11906" w:h="16838"/>
          <w:pgMar w:top="1418" w:right="1134" w:bottom="1134" w:left="1588" w:header="851" w:footer="992" w:gutter="0"/>
          <w:cols w:space="425"/>
          <w:docGrid w:type="linesAndChars" w:linePitch="381"/>
        </w:sectPr>
      </w:pPr>
    </w:p>
    <w:p w14:paraId="68AD2DC8" w14:textId="77777777" w:rsidR="00EF4562" w:rsidRDefault="00000000">
      <w:pPr>
        <w:spacing w:beforeLines="150" w:before="571" w:afterLines="150" w:after="571"/>
        <w:ind w:firstLineChars="0" w:firstLine="0"/>
        <w:jc w:val="center"/>
        <w:outlineLvl w:val="0"/>
        <w:rPr>
          <w:rFonts w:ascii="黑体" w:eastAsia="黑体" w:hAnsi="黑体" w:hint="eastAsia"/>
          <w:b/>
          <w:bCs/>
          <w:sz w:val="32"/>
          <w:szCs w:val="32"/>
        </w:rPr>
      </w:pPr>
      <w:bookmarkStart w:id="45" w:name="_Toc207695650"/>
      <w:r>
        <w:rPr>
          <w:rFonts w:eastAsia="黑体" w:cs="Times New Roman"/>
          <w:b/>
          <w:bCs/>
          <w:sz w:val="32"/>
          <w:szCs w:val="32"/>
        </w:rPr>
        <w:lastRenderedPageBreak/>
        <w:t>9</w:t>
      </w:r>
      <w:r>
        <w:rPr>
          <w:rFonts w:ascii="黑体" w:eastAsia="黑体" w:hAnsi="黑体" w:hint="eastAsia"/>
          <w:b/>
          <w:bCs/>
          <w:sz w:val="32"/>
          <w:szCs w:val="32"/>
        </w:rPr>
        <w:t>评价结论</w:t>
      </w:r>
      <w:bookmarkEnd w:id="45"/>
    </w:p>
    <w:p w14:paraId="56C23DC7" w14:textId="77777777" w:rsidR="00EF4562" w:rsidRDefault="00000000">
      <w:pPr>
        <w:ind w:firstLine="560"/>
      </w:pPr>
      <w:r>
        <w:rPr>
          <w:rFonts w:hint="eastAsia"/>
        </w:rPr>
        <w:t>根据该项目危险、有害因素分析和定性、定量评价结果，辽宁诺诚安全科技有限公司对锦州市杨兴加油站有限公司工艺管线改造项目设立安全评价结论如下：</w:t>
      </w:r>
    </w:p>
    <w:p w14:paraId="74C8D940"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46" w:name="_Toc207695651"/>
      <w:r>
        <w:rPr>
          <w:rFonts w:eastAsia="楷体" w:cs="Times New Roman"/>
          <w:b/>
          <w:bCs/>
          <w:sz w:val="32"/>
          <w:szCs w:val="32"/>
        </w:rPr>
        <w:t>9.1</w:t>
      </w:r>
      <w:r>
        <w:rPr>
          <w:rFonts w:ascii="楷体" w:eastAsia="楷体" w:hAnsi="楷体" w:hint="eastAsia"/>
          <w:b/>
          <w:bCs/>
          <w:sz w:val="32"/>
          <w:szCs w:val="32"/>
        </w:rPr>
        <w:t>主要危险、有害因素分析结果</w:t>
      </w:r>
      <w:bookmarkEnd w:id="46"/>
    </w:p>
    <w:p w14:paraId="584363E9" w14:textId="77777777" w:rsidR="00EF4562" w:rsidRDefault="00000000">
      <w:pPr>
        <w:ind w:firstLine="560"/>
      </w:pPr>
      <w:r>
        <w:rPr>
          <w:rFonts w:hint="eastAsia"/>
        </w:rPr>
        <w:t>（</w:t>
      </w:r>
      <w:r>
        <w:rPr>
          <w:rFonts w:hint="eastAsia"/>
        </w:rPr>
        <w:t>1</w:t>
      </w:r>
      <w:r>
        <w:rPr>
          <w:rFonts w:hint="eastAsia"/>
        </w:rPr>
        <w:t>）危险、有害物质辨识</w:t>
      </w:r>
    </w:p>
    <w:p w14:paraId="2C5CBEA2" w14:textId="77777777" w:rsidR="00EF4562" w:rsidRDefault="00000000">
      <w:pPr>
        <w:ind w:firstLine="560"/>
      </w:pPr>
      <w:r>
        <w:rPr>
          <w:rFonts w:hint="eastAsia"/>
        </w:rPr>
        <w:t>该项目经营的危险、有害物质是车用乙醇汽油和柴油。车用乙醇汽油是国家首批重点监管的危险化学品。</w:t>
      </w:r>
    </w:p>
    <w:p w14:paraId="7D0A1049" w14:textId="77777777" w:rsidR="00EF4562" w:rsidRDefault="00000000">
      <w:pPr>
        <w:ind w:firstLine="560"/>
      </w:pPr>
      <w:r>
        <w:rPr>
          <w:rFonts w:hint="eastAsia"/>
        </w:rPr>
        <w:t>（</w:t>
      </w:r>
      <w:r>
        <w:rPr>
          <w:rFonts w:hint="eastAsia"/>
        </w:rPr>
        <w:t>2</w:t>
      </w:r>
      <w:r>
        <w:rPr>
          <w:rFonts w:hint="eastAsia"/>
        </w:rPr>
        <w:t>）危险化工工艺辨识</w:t>
      </w:r>
    </w:p>
    <w:p w14:paraId="061FACA5" w14:textId="77777777" w:rsidR="00EF4562" w:rsidRDefault="00000000">
      <w:pPr>
        <w:ind w:firstLine="560"/>
      </w:pPr>
      <w:r>
        <w:rPr>
          <w:rFonts w:hint="eastAsia"/>
        </w:rPr>
        <w:t>该项目采用的工艺不属于国家重点监管的危险化工工艺。</w:t>
      </w:r>
    </w:p>
    <w:p w14:paraId="082EED9E" w14:textId="77777777" w:rsidR="00EF4562" w:rsidRDefault="00000000">
      <w:pPr>
        <w:ind w:firstLine="560"/>
      </w:pPr>
      <w:r>
        <w:rPr>
          <w:rFonts w:hint="eastAsia"/>
        </w:rPr>
        <w:t>（</w:t>
      </w:r>
      <w:r>
        <w:rPr>
          <w:rFonts w:hint="eastAsia"/>
        </w:rPr>
        <w:t>3</w:t>
      </w:r>
      <w:r>
        <w:rPr>
          <w:rFonts w:hint="eastAsia"/>
        </w:rPr>
        <w:t>）危险、有害因素</w:t>
      </w:r>
    </w:p>
    <w:p w14:paraId="0B5E784E" w14:textId="77777777" w:rsidR="00EF4562" w:rsidRDefault="00000000">
      <w:pPr>
        <w:ind w:firstLine="560"/>
      </w:pPr>
      <w:r>
        <w:rPr>
          <w:rFonts w:hint="eastAsia"/>
        </w:rPr>
        <w:t>该项目在储存、经营过程中存在的主要危险、有害因素为火灾、爆炸、中毒和窒息、触电、物体打击、车辆伤害、机械伤害、噪声、高处坠落等。在管道施工过程中存在的主要危险、有害因素有触电、机械伤害、物体打击、车辆伤害等。</w:t>
      </w:r>
    </w:p>
    <w:p w14:paraId="4239FAC3" w14:textId="77777777" w:rsidR="00EF4562" w:rsidRDefault="00000000">
      <w:pPr>
        <w:ind w:firstLine="560"/>
      </w:pPr>
      <w:r>
        <w:rPr>
          <w:rFonts w:hint="eastAsia"/>
        </w:rPr>
        <w:t>（</w:t>
      </w:r>
      <w:r>
        <w:rPr>
          <w:rFonts w:hint="eastAsia"/>
        </w:rPr>
        <w:t>4</w:t>
      </w:r>
      <w:r>
        <w:rPr>
          <w:rFonts w:hint="eastAsia"/>
        </w:rPr>
        <w:t>）危险化学品重大危险源辨识</w:t>
      </w:r>
    </w:p>
    <w:p w14:paraId="4555EE0B" w14:textId="77777777" w:rsidR="00EF4562" w:rsidRDefault="00000000">
      <w:pPr>
        <w:ind w:firstLine="560"/>
      </w:pPr>
      <w:r>
        <w:rPr>
          <w:rFonts w:hint="eastAsia"/>
        </w:rPr>
        <w:t>根据《危险化学品重大危险源辨识》（</w:t>
      </w:r>
      <w:r>
        <w:rPr>
          <w:rFonts w:hint="eastAsia"/>
        </w:rPr>
        <w:t>GB18218-2018</w:t>
      </w:r>
      <w:r>
        <w:rPr>
          <w:rFonts w:hint="eastAsia"/>
        </w:rPr>
        <w:t>）进行辨识，该项目未构成危险化学品重大危险源。</w:t>
      </w:r>
    </w:p>
    <w:p w14:paraId="0C9A08B8"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47" w:name="_Toc207695652"/>
      <w:r>
        <w:rPr>
          <w:rFonts w:eastAsia="楷体" w:cs="Times New Roman"/>
          <w:b/>
          <w:bCs/>
          <w:sz w:val="32"/>
          <w:szCs w:val="32"/>
        </w:rPr>
        <w:t>9.2</w:t>
      </w:r>
      <w:r>
        <w:rPr>
          <w:rFonts w:ascii="楷体" w:eastAsia="楷体" w:hAnsi="楷体" w:hint="eastAsia"/>
          <w:b/>
          <w:bCs/>
          <w:sz w:val="32"/>
          <w:szCs w:val="32"/>
        </w:rPr>
        <w:t>评价结果</w:t>
      </w:r>
      <w:bookmarkEnd w:id="47"/>
    </w:p>
    <w:p w14:paraId="0C4D43D4" w14:textId="77777777" w:rsidR="00EF4562" w:rsidRDefault="00000000">
      <w:pPr>
        <w:ind w:firstLine="560"/>
      </w:pPr>
      <w:r>
        <w:rPr>
          <w:rFonts w:hint="eastAsia"/>
        </w:rPr>
        <w:t>（</w:t>
      </w:r>
      <w:r>
        <w:rPr>
          <w:rFonts w:hint="eastAsia"/>
        </w:rPr>
        <w:t>1</w:t>
      </w:r>
      <w:r>
        <w:rPr>
          <w:rFonts w:hint="eastAsia"/>
        </w:rPr>
        <w:t>）通过安全检查表法对该项目的选址和总平面布置进行评价，该项</w:t>
      </w:r>
      <w:r>
        <w:rPr>
          <w:rFonts w:hint="eastAsia"/>
        </w:rPr>
        <w:lastRenderedPageBreak/>
        <w:t>目选址符合规划，站址所在地的地质条件良好，该项目涉及改造的加油工艺设施与站外、内建（构）筑物之间的安全间距符合要求。</w:t>
      </w:r>
    </w:p>
    <w:p w14:paraId="0B2FCC59" w14:textId="77777777" w:rsidR="00EF4562" w:rsidRDefault="00000000">
      <w:pPr>
        <w:ind w:firstLine="560"/>
      </w:pPr>
      <w:r>
        <w:rPr>
          <w:rFonts w:hint="eastAsia"/>
        </w:rPr>
        <w:t>（</w:t>
      </w:r>
      <w:r>
        <w:rPr>
          <w:rFonts w:hint="eastAsia"/>
        </w:rPr>
        <w:t>2</w:t>
      </w:r>
      <w:r>
        <w:rPr>
          <w:rFonts w:hint="eastAsia"/>
        </w:rPr>
        <w:t>）通过预先危险性评价法对加油工艺设备、设施及管道单元进行分析，发生火灾、爆炸的危险等级为Ⅲ级，属于“危险的，会造成人员伤亡和系统损坏，要立即采取措施”，发生中毒和窒息、触电、物体打击、车辆伤害、机械伤害、噪声、高处坠落的危险等级为Ⅱ级，属于“临界的，处于事故边缘状态，暂时尚不能造成人员伤亡和财产损失，应予排除或采取控制措施”。</w:t>
      </w:r>
    </w:p>
    <w:p w14:paraId="43BF2BE1" w14:textId="77777777" w:rsidR="00EF4562" w:rsidRDefault="00000000">
      <w:pPr>
        <w:ind w:firstLine="560"/>
      </w:pPr>
      <w:r>
        <w:rPr>
          <w:rFonts w:hint="eastAsia"/>
        </w:rPr>
        <w:t>配套和辅助设施单元发生火灾事故的危险等级为Ⅲ级，属于“危险的，会造成人员伤亡和系统损坏，要立即采取措施”，发生触电的危险等级为Ⅱ级，属于“临界的，处于事故边缘状态，暂时尚不能造成人员伤亡和财产损失，应予排除或采取控制措施”。</w:t>
      </w:r>
    </w:p>
    <w:p w14:paraId="18031D66" w14:textId="77777777" w:rsidR="00EF4562" w:rsidRDefault="00000000">
      <w:pPr>
        <w:ind w:firstLine="560"/>
      </w:pPr>
      <w:r>
        <w:rPr>
          <w:rFonts w:hint="eastAsia"/>
        </w:rPr>
        <w:t>（</w:t>
      </w:r>
      <w:r>
        <w:rPr>
          <w:rFonts w:hint="eastAsia"/>
        </w:rPr>
        <w:t>3</w:t>
      </w:r>
      <w:r>
        <w:rPr>
          <w:rFonts w:hint="eastAsia"/>
        </w:rPr>
        <w:t>）采用车用乙醇汽油泄漏蒸气云爆炸计算结果：车用乙醇汽油罐发生泄漏引发蒸气云爆炸，死亡半径为</w:t>
      </w:r>
      <w:r>
        <w:rPr>
          <w:rFonts w:hint="eastAsia"/>
        </w:rPr>
        <w:t>17.74m</w:t>
      </w:r>
      <w:r>
        <w:rPr>
          <w:rFonts w:hint="eastAsia"/>
        </w:rPr>
        <w:t>。该项目涉及的加油设备、设施不在车用乙醇汽油罐发生泄漏引发的蒸气云爆炸死亡半径之内。</w:t>
      </w:r>
    </w:p>
    <w:p w14:paraId="4A8B908B" w14:textId="77777777" w:rsidR="00EF4562" w:rsidRDefault="00000000">
      <w:pPr>
        <w:ind w:firstLine="560"/>
      </w:pPr>
      <w:r>
        <w:rPr>
          <w:rFonts w:hint="eastAsia"/>
        </w:rPr>
        <w:t>该项目选用双层管道，双层管道安装有测漏仪等安全技术手段，发生油品泄漏的概率较小，因此，对周边造成的影响较小。</w:t>
      </w:r>
    </w:p>
    <w:p w14:paraId="67351111" w14:textId="77777777" w:rsidR="00EF4562" w:rsidRDefault="00000000">
      <w:pPr>
        <w:ind w:firstLine="560"/>
      </w:pPr>
      <w:r>
        <w:rPr>
          <w:rFonts w:hint="eastAsia"/>
        </w:rPr>
        <w:t>（</w:t>
      </w:r>
      <w:r>
        <w:rPr>
          <w:rFonts w:hint="eastAsia"/>
        </w:rPr>
        <w:t>4</w:t>
      </w:r>
      <w:r>
        <w:rPr>
          <w:rFonts w:hint="eastAsia"/>
        </w:rPr>
        <w:t>）该项目采用自吸式加油和密闭卸油方式，其工艺在国内均有使用，其工艺流程成熟。</w:t>
      </w:r>
    </w:p>
    <w:p w14:paraId="79DC9A94" w14:textId="77777777" w:rsidR="00EF4562" w:rsidRDefault="00000000">
      <w:pPr>
        <w:ind w:firstLine="560"/>
      </w:pPr>
      <w:r>
        <w:rPr>
          <w:rFonts w:hint="eastAsia"/>
        </w:rPr>
        <w:t>通过总结设立安全评价工作的成果以及较充分的行业调研，针对该项目存在的危险有害因素，在平面布局、工艺设备、安全设施、综合管理等方面提出了安全对策措施与建议，建设单位如能采纳和落实本评价报告提出的安全对策措施与建议，项目建成后，能够保证各项安全生产规章制度的实施与监督，就能有效地将风险控制在可接受的程度内，实现建设项目安全运行。</w:t>
      </w:r>
    </w:p>
    <w:p w14:paraId="1F232511"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48" w:name="_Toc207695653"/>
      <w:r>
        <w:rPr>
          <w:rFonts w:eastAsia="楷体" w:cs="Times New Roman"/>
          <w:b/>
          <w:bCs/>
          <w:sz w:val="32"/>
          <w:szCs w:val="32"/>
        </w:rPr>
        <w:lastRenderedPageBreak/>
        <w:t>9.3</w:t>
      </w:r>
      <w:r>
        <w:rPr>
          <w:rFonts w:ascii="楷体" w:eastAsia="楷体" w:hAnsi="楷体" w:hint="eastAsia"/>
          <w:b/>
          <w:bCs/>
          <w:sz w:val="32"/>
          <w:szCs w:val="32"/>
        </w:rPr>
        <w:t>设立安全评价结论</w:t>
      </w:r>
      <w:bookmarkEnd w:id="48"/>
    </w:p>
    <w:p w14:paraId="2251B60C" w14:textId="77777777" w:rsidR="00EF4562" w:rsidRDefault="00000000">
      <w:pPr>
        <w:ind w:firstLine="560"/>
      </w:pPr>
      <w:r>
        <w:rPr>
          <w:rFonts w:hint="eastAsia"/>
        </w:rPr>
        <w:t>根据《中华人民共和国安全生产法》（中华人民共和国主席令</w:t>
      </w:r>
      <w:r>
        <w:rPr>
          <w:rFonts w:hint="eastAsia"/>
        </w:rPr>
        <w:t>[2021]</w:t>
      </w:r>
      <w:r>
        <w:rPr>
          <w:rFonts w:hint="eastAsia"/>
        </w:rPr>
        <w:t>第八十八号，</w:t>
      </w:r>
      <w:r>
        <w:rPr>
          <w:rFonts w:hint="eastAsia"/>
        </w:rPr>
        <w:t>2021</w:t>
      </w:r>
      <w:r>
        <w:rPr>
          <w:rFonts w:hint="eastAsia"/>
        </w:rPr>
        <w:t>年</w:t>
      </w:r>
      <w:r>
        <w:rPr>
          <w:rFonts w:hint="eastAsia"/>
        </w:rPr>
        <w:t>09</w:t>
      </w:r>
      <w:r>
        <w:rPr>
          <w:rFonts w:hint="eastAsia"/>
        </w:rPr>
        <w:t>月</w:t>
      </w:r>
      <w:r>
        <w:rPr>
          <w:rFonts w:hint="eastAsia"/>
        </w:rPr>
        <w:t>01</w:t>
      </w:r>
      <w:r>
        <w:rPr>
          <w:rFonts w:hint="eastAsia"/>
        </w:rPr>
        <w:t>日施行）、《危险化学品安全管理条例》（中华人民共和国国务院令</w:t>
      </w:r>
      <w:r>
        <w:rPr>
          <w:rFonts w:hint="eastAsia"/>
        </w:rPr>
        <w:t>[2011]</w:t>
      </w:r>
      <w:r>
        <w:rPr>
          <w:rFonts w:hint="eastAsia"/>
        </w:rPr>
        <w:t>第</w:t>
      </w:r>
      <w:r>
        <w:rPr>
          <w:rFonts w:hint="eastAsia"/>
        </w:rPr>
        <w:t>591</w:t>
      </w:r>
      <w:r>
        <w:rPr>
          <w:rFonts w:hint="eastAsia"/>
        </w:rPr>
        <w:t>号，中华人民共和国国务院令</w:t>
      </w:r>
      <w:r>
        <w:rPr>
          <w:rFonts w:hint="eastAsia"/>
        </w:rPr>
        <w:t>[2013]</w:t>
      </w:r>
      <w:r>
        <w:rPr>
          <w:rFonts w:hint="eastAsia"/>
        </w:rPr>
        <w:t>第</w:t>
      </w:r>
      <w:r>
        <w:rPr>
          <w:rFonts w:hint="eastAsia"/>
        </w:rPr>
        <w:t>645</w:t>
      </w:r>
      <w:r>
        <w:rPr>
          <w:rFonts w:hint="eastAsia"/>
        </w:rPr>
        <w:t>号修订，</w:t>
      </w:r>
      <w:r>
        <w:rPr>
          <w:rFonts w:hint="eastAsia"/>
        </w:rPr>
        <w:t>2013</w:t>
      </w:r>
      <w:r>
        <w:rPr>
          <w:rFonts w:hint="eastAsia"/>
        </w:rPr>
        <w:t>年</w:t>
      </w:r>
      <w:r>
        <w:rPr>
          <w:rFonts w:hint="eastAsia"/>
        </w:rPr>
        <w:t>12</w:t>
      </w:r>
      <w:r>
        <w:rPr>
          <w:rFonts w:hint="eastAsia"/>
        </w:rPr>
        <w:t>月</w:t>
      </w:r>
      <w:r>
        <w:rPr>
          <w:rFonts w:hint="eastAsia"/>
        </w:rPr>
        <w:t>7</w:t>
      </w:r>
      <w:r>
        <w:rPr>
          <w:rFonts w:hint="eastAsia"/>
        </w:rPr>
        <w:t>日实施）、《危险化学品建设项目安全监督管理办法》（原国家安全生产督监管理总局令</w:t>
      </w:r>
      <w:r>
        <w:rPr>
          <w:rFonts w:hint="eastAsia"/>
        </w:rPr>
        <w:t>[2012]</w:t>
      </w:r>
      <w:r>
        <w:rPr>
          <w:rFonts w:hint="eastAsia"/>
        </w:rPr>
        <w:t>第</w:t>
      </w:r>
      <w:r>
        <w:rPr>
          <w:rFonts w:hint="eastAsia"/>
        </w:rPr>
        <w:t>45</w:t>
      </w:r>
      <w:r>
        <w:rPr>
          <w:rFonts w:hint="eastAsia"/>
        </w:rPr>
        <w:t>号，原国家安全监督管理局令</w:t>
      </w:r>
      <w:r>
        <w:rPr>
          <w:rFonts w:hint="eastAsia"/>
        </w:rPr>
        <w:t>[2015]</w:t>
      </w:r>
      <w:r>
        <w:rPr>
          <w:rFonts w:hint="eastAsia"/>
        </w:rPr>
        <w:t>第</w:t>
      </w:r>
      <w:r>
        <w:rPr>
          <w:rFonts w:hint="eastAsia"/>
        </w:rPr>
        <w:t>79</w:t>
      </w:r>
      <w:r>
        <w:rPr>
          <w:rFonts w:hint="eastAsia"/>
        </w:rPr>
        <w:t>号修订，</w:t>
      </w:r>
      <w:r>
        <w:rPr>
          <w:rFonts w:hint="eastAsia"/>
        </w:rPr>
        <w:t>2015</w:t>
      </w:r>
      <w:r>
        <w:rPr>
          <w:rFonts w:hint="eastAsia"/>
        </w:rPr>
        <w:t>年</w:t>
      </w:r>
      <w:r>
        <w:rPr>
          <w:rFonts w:hint="eastAsia"/>
        </w:rPr>
        <w:t>07</w:t>
      </w:r>
      <w:r>
        <w:rPr>
          <w:rFonts w:hint="eastAsia"/>
        </w:rPr>
        <w:t>月</w:t>
      </w:r>
      <w:r>
        <w:rPr>
          <w:rFonts w:hint="eastAsia"/>
        </w:rPr>
        <w:t>01</w:t>
      </w:r>
      <w:r>
        <w:rPr>
          <w:rFonts w:hint="eastAsia"/>
        </w:rPr>
        <w:t>日实施）、《汽车加油加气加氢站技术标准》（</w:t>
      </w:r>
      <w:r>
        <w:rPr>
          <w:rFonts w:hint="eastAsia"/>
        </w:rPr>
        <w:t>GB50156-2021</w:t>
      </w:r>
      <w:r>
        <w:rPr>
          <w:rFonts w:hint="eastAsia"/>
        </w:rPr>
        <w:t>）等国家及行业相关技术标准的要求，对锦州市杨兴加油站有限公司工艺管线改造项目进行了全面的分析和评价。</w:t>
      </w:r>
    </w:p>
    <w:p w14:paraId="33C1BF08" w14:textId="77777777" w:rsidR="00EF4562" w:rsidRDefault="00000000">
      <w:pPr>
        <w:ind w:firstLine="560"/>
      </w:pPr>
      <w:r>
        <w:rPr>
          <w:rFonts w:hint="eastAsia"/>
        </w:rPr>
        <w:t>本评价认为：锦州市杨兴加油站有限公司工艺管线改造项目的选址及设备设施的布局合理；拟采用的加油工艺、技术成熟、可靠，公用及辅助工程满足项目需求；拟采用自动控制措施符合要求，满足储存需要；站区现有事故应急救援措施和器材、设备能够满足该项目的要求。若在设计中落实本评价提出的安全对策措施，则项目潜在的风险是可以接受的。</w:t>
      </w:r>
    </w:p>
    <w:p w14:paraId="2ACA5320" w14:textId="77777777" w:rsidR="00EF4562" w:rsidRDefault="00000000">
      <w:pPr>
        <w:ind w:firstLine="560"/>
      </w:pPr>
      <w:r>
        <w:rPr>
          <w:rFonts w:hint="eastAsia"/>
        </w:rPr>
        <w:t>综上所述，锦州市杨兴加油站有限公司工艺管线改造项目符合设立安全条件。</w:t>
      </w:r>
    </w:p>
    <w:p w14:paraId="2EE3B576" w14:textId="77777777" w:rsidR="00EF4562" w:rsidRDefault="00EF4562">
      <w:pPr>
        <w:ind w:firstLine="560"/>
        <w:sectPr w:rsidR="00EF4562">
          <w:pgSz w:w="11906" w:h="16838"/>
          <w:pgMar w:top="1418" w:right="1134" w:bottom="1134" w:left="1588" w:header="851" w:footer="992" w:gutter="0"/>
          <w:cols w:space="425"/>
          <w:docGrid w:type="linesAndChars" w:linePitch="381"/>
        </w:sectPr>
      </w:pPr>
    </w:p>
    <w:p w14:paraId="70B54A9A" w14:textId="77777777" w:rsidR="00EF4562" w:rsidRDefault="00000000">
      <w:pPr>
        <w:spacing w:beforeLines="150" w:before="571" w:afterLines="150" w:after="571"/>
        <w:ind w:firstLineChars="0" w:firstLine="0"/>
        <w:jc w:val="center"/>
        <w:outlineLvl w:val="0"/>
        <w:rPr>
          <w:rFonts w:ascii="黑体" w:eastAsia="黑体" w:hAnsi="黑体" w:hint="eastAsia"/>
          <w:b/>
          <w:bCs/>
          <w:sz w:val="32"/>
          <w:szCs w:val="32"/>
        </w:rPr>
      </w:pPr>
      <w:bookmarkStart w:id="49" w:name="_Toc207695654"/>
      <w:r>
        <w:rPr>
          <w:rFonts w:eastAsia="黑体" w:cs="Times New Roman"/>
          <w:b/>
          <w:bCs/>
          <w:sz w:val="32"/>
          <w:szCs w:val="32"/>
        </w:rPr>
        <w:lastRenderedPageBreak/>
        <w:t>10</w:t>
      </w:r>
      <w:r>
        <w:rPr>
          <w:rFonts w:ascii="黑体" w:eastAsia="黑体" w:hAnsi="黑体" w:hint="eastAsia"/>
          <w:b/>
          <w:bCs/>
          <w:sz w:val="32"/>
          <w:szCs w:val="32"/>
        </w:rPr>
        <w:t>与建设单位交换意见</w:t>
      </w:r>
      <w:bookmarkEnd w:id="49"/>
    </w:p>
    <w:p w14:paraId="75FBF4DF" w14:textId="77777777" w:rsidR="00EF4562" w:rsidRDefault="00000000">
      <w:pPr>
        <w:ind w:firstLine="560"/>
        <w:sectPr w:rsidR="00EF4562">
          <w:pgSz w:w="11906" w:h="16838"/>
          <w:pgMar w:top="1418" w:right="1134" w:bottom="1134" w:left="1588" w:header="851" w:footer="992" w:gutter="0"/>
          <w:cols w:space="425"/>
          <w:docGrid w:type="linesAndChars" w:linePitch="381"/>
        </w:sectPr>
      </w:pPr>
      <w:r>
        <w:rPr>
          <w:rFonts w:hint="eastAsia"/>
        </w:rPr>
        <w:t>在本次评价过程中多次与建设单位联系，从各个方面互通情况，充分商讨、研究、交换意见，对提出的一些建设性的意见，建设单位均引起了足够重视，协调解决。本报告编制完成后发给企业进行确认核实，本报告内容及评价结论均得到了企业认同。</w:t>
      </w:r>
    </w:p>
    <w:p w14:paraId="5DEE03D3" w14:textId="77777777" w:rsidR="00EF4562" w:rsidRDefault="00000000">
      <w:pPr>
        <w:spacing w:beforeLines="150" w:before="571" w:afterLines="150" w:after="571"/>
        <w:ind w:firstLineChars="0" w:firstLine="0"/>
        <w:jc w:val="center"/>
        <w:outlineLvl w:val="0"/>
        <w:rPr>
          <w:rFonts w:ascii="黑体" w:eastAsia="黑体" w:hAnsi="黑体" w:hint="eastAsia"/>
          <w:b/>
          <w:bCs/>
          <w:sz w:val="32"/>
          <w:szCs w:val="32"/>
        </w:rPr>
      </w:pPr>
      <w:bookmarkStart w:id="50" w:name="_Toc207695655"/>
      <w:r>
        <w:rPr>
          <w:rFonts w:ascii="黑体" w:eastAsia="黑体" w:hAnsi="黑体" w:hint="eastAsia"/>
          <w:b/>
          <w:bCs/>
          <w:sz w:val="32"/>
          <w:szCs w:val="32"/>
        </w:rPr>
        <w:lastRenderedPageBreak/>
        <w:t>附录</w:t>
      </w:r>
      <w:r>
        <w:rPr>
          <w:rFonts w:eastAsia="黑体" w:cs="Times New Roman"/>
          <w:b/>
          <w:bCs/>
          <w:sz w:val="32"/>
          <w:szCs w:val="32"/>
        </w:rPr>
        <w:t>A</w:t>
      </w:r>
      <w:r>
        <w:rPr>
          <w:rFonts w:ascii="黑体" w:eastAsia="黑体" w:hAnsi="黑体" w:hint="eastAsia"/>
          <w:b/>
          <w:bCs/>
          <w:sz w:val="32"/>
          <w:szCs w:val="32"/>
        </w:rPr>
        <w:t>评价依据</w:t>
      </w:r>
      <w:bookmarkEnd w:id="50"/>
    </w:p>
    <w:p w14:paraId="0F159663"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51" w:name="_Toc207695656"/>
      <w:r>
        <w:rPr>
          <w:rFonts w:eastAsia="楷体" w:cs="Times New Roman"/>
          <w:b/>
          <w:bCs/>
          <w:sz w:val="32"/>
          <w:szCs w:val="32"/>
        </w:rPr>
        <w:t>A.1</w:t>
      </w:r>
      <w:r>
        <w:rPr>
          <w:rFonts w:ascii="楷体" w:eastAsia="楷体" w:hAnsi="楷体" w:hint="eastAsia"/>
          <w:b/>
          <w:bCs/>
          <w:sz w:val="32"/>
          <w:szCs w:val="32"/>
        </w:rPr>
        <w:t>法律、法规</w:t>
      </w:r>
      <w:bookmarkEnd w:id="51"/>
    </w:p>
    <w:p w14:paraId="4A371A8C" w14:textId="77777777" w:rsidR="00EF4562" w:rsidRDefault="00000000">
      <w:pPr>
        <w:pStyle w:val="af"/>
        <w:numPr>
          <w:ilvl w:val="0"/>
          <w:numId w:val="12"/>
        </w:numPr>
        <w:ind w:left="0" w:firstLine="560"/>
      </w:pPr>
      <w:bookmarkStart w:id="52" w:name="_Hlk183009004"/>
      <w:r>
        <w:rPr>
          <w:rFonts w:hint="eastAsia"/>
        </w:rPr>
        <w:t>《中华人民共和国安全生产法》（中华人民共和国主席令</w:t>
      </w:r>
      <w:r>
        <w:rPr>
          <w:rFonts w:hint="eastAsia"/>
        </w:rPr>
        <w:t>[2021]</w:t>
      </w:r>
      <w:r>
        <w:rPr>
          <w:rFonts w:hint="eastAsia"/>
        </w:rPr>
        <w:t>第八十八号，</w:t>
      </w:r>
      <w:r>
        <w:rPr>
          <w:rFonts w:hint="eastAsia"/>
        </w:rPr>
        <w:t>2021</w:t>
      </w:r>
      <w:r>
        <w:rPr>
          <w:rFonts w:hint="eastAsia"/>
        </w:rPr>
        <w:t>年</w:t>
      </w:r>
      <w:r>
        <w:rPr>
          <w:rFonts w:hint="eastAsia"/>
        </w:rPr>
        <w:t>09</w:t>
      </w:r>
      <w:r>
        <w:rPr>
          <w:rFonts w:hint="eastAsia"/>
        </w:rPr>
        <w:t>月</w:t>
      </w:r>
      <w:r>
        <w:rPr>
          <w:rFonts w:hint="eastAsia"/>
        </w:rPr>
        <w:t>01</w:t>
      </w:r>
      <w:r>
        <w:rPr>
          <w:rFonts w:hint="eastAsia"/>
        </w:rPr>
        <w:t>日实施）</w:t>
      </w:r>
    </w:p>
    <w:p w14:paraId="3F024ABF" w14:textId="77777777" w:rsidR="00EF4562" w:rsidRDefault="00000000">
      <w:pPr>
        <w:pStyle w:val="af"/>
        <w:numPr>
          <w:ilvl w:val="0"/>
          <w:numId w:val="12"/>
        </w:numPr>
        <w:ind w:left="0" w:firstLine="560"/>
      </w:pPr>
      <w:r>
        <w:rPr>
          <w:rFonts w:hint="eastAsia"/>
        </w:rPr>
        <w:t>《中华人民共和国消防法》（中华人民共和国主席令</w:t>
      </w:r>
      <w:r>
        <w:rPr>
          <w:rFonts w:hint="eastAsia"/>
        </w:rPr>
        <w:t>[2021]</w:t>
      </w:r>
      <w:r>
        <w:rPr>
          <w:rFonts w:hint="eastAsia"/>
        </w:rPr>
        <w:t>第八十一号，</w:t>
      </w:r>
      <w:r>
        <w:rPr>
          <w:rFonts w:hint="eastAsia"/>
        </w:rPr>
        <w:t>2021</w:t>
      </w:r>
      <w:r>
        <w:rPr>
          <w:rFonts w:hint="eastAsia"/>
        </w:rPr>
        <w:t>年</w:t>
      </w:r>
      <w:r>
        <w:rPr>
          <w:rFonts w:hint="eastAsia"/>
        </w:rPr>
        <w:t>04</w:t>
      </w:r>
      <w:r>
        <w:rPr>
          <w:rFonts w:hint="eastAsia"/>
        </w:rPr>
        <w:t>月</w:t>
      </w:r>
      <w:r>
        <w:rPr>
          <w:rFonts w:hint="eastAsia"/>
        </w:rPr>
        <w:t>29</w:t>
      </w:r>
      <w:r>
        <w:rPr>
          <w:rFonts w:hint="eastAsia"/>
        </w:rPr>
        <w:t>日实施）</w:t>
      </w:r>
    </w:p>
    <w:p w14:paraId="55FA4BB7" w14:textId="77777777" w:rsidR="00EF4562" w:rsidRDefault="00000000">
      <w:pPr>
        <w:pStyle w:val="af"/>
        <w:numPr>
          <w:ilvl w:val="0"/>
          <w:numId w:val="12"/>
        </w:numPr>
        <w:ind w:left="0" w:firstLine="560"/>
      </w:pPr>
      <w:r>
        <w:rPr>
          <w:rFonts w:hint="eastAsia"/>
        </w:rPr>
        <w:t>《中华人民共和国职业病防治法》（中华人民共和国主席令</w:t>
      </w:r>
      <w:r>
        <w:rPr>
          <w:rFonts w:hint="eastAsia"/>
        </w:rPr>
        <w:t>[2018]</w:t>
      </w:r>
      <w:r>
        <w:rPr>
          <w:rFonts w:hint="eastAsia"/>
        </w:rPr>
        <w:t>第二十四号，</w:t>
      </w:r>
      <w:r>
        <w:rPr>
          <w:rFonts w:hint="eastAsia"/>
        </w:rPr>
        <w:t>2018</w:t>
      </w:r>
      <w:r>
        <w:rPr>
          <w:rFonts w:hint="eastAsia"/>
        </w:rPr>
        <w:t>年</w:t>
      </w:r>
      <w:r>
        <w:rPr>
          <w:rFonts w:hint="eastAsia"/>
        </w:rPr>
        <w:t>12</w:t>
      </w:r>
      <w:r>
        <w:rPr>
          <w:rFonts w:hint="eastAsia"/>
        </w:rPr>
        <w:t>月</w:t>
      </w:r>
      <w:r>
        <w:rPr>
          <w:rFonts w:hint="eastAsia"/>
        </w:rPr>
        <w:t>29</w:t>
      </w:r>
      <w:r>
        <w:rPr>
          <w:rFonts w:hint="eastAsia"/>
        </w:rPr>
        <w:t>日实施）</w:t>
      </w:r>
    </w:p>
    <w:p w14:paraId="7E378C82" w14:textId="77777777" w:rsidR="00EF4562" w:rsidRDefault="00000000">
      <w:pPr>
        <w:pStyle w:val="af"/>
        <w:numPr>
          <w:ilvl w:val="0"/>
          <w:numId w:val="12"/>
        </w:numPr>
        <w:ind w:left="0" w:firstLine="560"/>
      </w:pPr>
      <w:r>
        <w:rPr>
          <w:rFonts w:hint="eastAsia"/>
        </w:rPr>
        <w:t>《中华人民共和国气象法》（中华人民共和国主席令</w:t>
      </w:r>
      <w:r>
        <w:rPr>
          <w:rFonts w:hint="eastAsia"/>
        </w:rPr>
        <w:t>[2016]</w:t>
      </w:r>
      <w:r>
        <w:rPr>
          <w:rFonts w:hint="eastAsia"/>
        </w:rPr>
        <w:t>第五十七号，</w:t>
      </w:r>
      <w:r>
        <w:rPr>
          <w:rFonts w:hint="eastAsia"/>
        </w:rPr>
        <w:t>2016</w:t>
      </w:r>
      <w:r>
        <w:rPr>
          <w:rFonts w:hint="eastAsia"/>
        </w:rPr>
        <w:t>年</w:t>
      </w:r>
      <w:r>
        <w:rPr>
          <w:rFonts w:hint="eastAsia"/>
        </w:rPr>
        <w:t>11</w:t>
      </w:r>
      <w:r>
        <w:rPr>
          <w:rFonts w:hint="eastAsia"/>
        </w:rPr>
        <w:t>月</w:t>
      </w:r>
      <w:r>
        <w:rPr>
          <w:rFonts w:hint="eastAsia"/>
        </w:rPr>
        <w:t>07</w:t>
      </w:r>
      <w:r>
        <w:rPr>
          <w:rFonts w:hint="eastAsia"/>
        </w:rPr>
        <w:t>日实施）</w:t>
      </w:r>
    </w:p>
    <w:p w14:paraId="3416600C" w14:textId="77777777" w:rsidR="00EF4562" w:rsidRDefault="00000000">
      <w:pPr>
        <w:pStyle w:val="af"/>
        <w:numPr>
          <w:ilvl w:val="0"/>
          <w:numId w:val="12"/>
        </w:numPr>
        <w:ind w:left="0" w:firstLine="560"/>
      </w:pPr>
      <w:r>
        <w:rPr>
          <w:rFonts w:hint="eastAsia"/>
        </w:rPr>
        <w:t>《中华人民共和国突发事件应对法》（中华人民共和国主席令</w:t>
      </w:r>
      <w:r>
        <w:rPr>
          <w:rFonts w:hint="eastAsia"/>
        </w:rPr>
        <w:t>[2024]</w:t>
      </w:r>
      <w:r>
        <w:rPr>
          <w:rFonts w:hint="eastAsia"/>
        </w:rPr>
        <w:t>第二十五号，</w:t>
      </w:r>
      <w:r>
        <w:rPr>
          <w:rFonts w:hint="eastAsia"/>
        </w:rPr>
        <w:t>2024</w:t>
      </w:r>
      <w:r>
        <w:rPr>
          <w:rFonts w:hint="eastAsia"/>
        </w:rPr>
        <w:t>年</w:t>
      </w:r>
      <w:r>
        <w:rPr>
          <w:rFonts w:hint="eastAsia"/>
        </w:rPr>
        <w:t>11</w:t>
      </w:r>
      <w:r>
        <w:rPr>
          <w:rFonts w:hint="eastAsia"/>
        </w:rPr>
        <w:t>月</w:t>
      </w:r>
      <w:r>
        <w:rPr>
          <w:rFonts w:hint="eastAsia"/>
        </w:rPr>
        <w:t>01</w:t>
      </w:r>
      <w:r>
        <w:rPr>
          <w:rFonts w:hint="eastAsia"/>
        </w:rPr>
        <w:t>日实施）</w:t>
      </w:r>
    </w:p>
    <w:p w14:paraId="596F79E9" w14:textId="77777777" w:rsidR="00EF4562" w:rsidRDefault="00000000">
      <w:pPr>
        <w:pStyle w:val="af"/>
        <w:numPr>
          <w:ilvl w:val="0"/>
          <w:numId w:val="12"/>
        </w:numPr>
        <w:ind w:left="0" w:firstLine="560"/>
      </w:pPr>
      <w:r>
        <w:rPr>
          <w:rFonts w:hint="eastAsia"/>
        </w:rPr>
        <w:t>《中华人民共和国环境保护法》（中华人民共和国主席令</w:t>
      </w:r>
      <w:r>
        <w:rPr>
          <w:rFonts w:hint="eastAsia"/>
        </w:rPr>
        <w:t>[2014]</w:t>
      </w:r>
      <w:r>
        <w:rPr>
          <w:rFonts w:hint="eastAsia"/>
        </w:rPr>
        <w:t>第九号，</w:t>
      </w:r>
      <w:r>
        <w:rPr>
          <w:rFonts w:hint="eastAsia"/>
        </w:rPr>
        <w:t>2015</w:t>
      </w:r>
      <w:r>
        <w:rPr>
          <w:rFonts w:hint="eastAsia"/>
        </w:rPr>
        <w:t>年</w:t>
      </w:r>
      <w:r>
        <w:rPr>
          <w:rFonts w:hint="eastAsia"/>
        </w:rPr>
        <w:t>01</w:t>
      </w:r>
      <w:r>
        <w:rPr>
          <w:rFonts w:hint="eastAsia"/>
        </w:rPr>
        <w:t>月</w:t>
      </w:r>
      <w:r>
        <w:rPr>
          <w:rFonts w:hint="eastAsia"/>
        </w:rPr>
        <w:t>01</w:t>
      </w:r>
      <w:r>
        <w:rPr>
          <w:rFonts w:hint="eastAsia"/>
        </w:rPr>
        <w:t>日实施）</w:t>
      </w:r>
    </w:p>
    <w:p w14:paraId="24A4B969" w14:textId="77777777" w:rsidR="00EF4562" w:rsidRDefault="00000000">
      <w:pPr>
        <w:pStyle w:val="af"/>
        <w:numPr>
          <w:ilvl w:val="0"/>
          <w:numId w:val="12"/>
        </w:numPr>
        <w:ind w:left="0" w:firstLine="560"/>
      </w:pPr>
      <w:r>
        <w:rPr>
          <w:rFonts w:hint="eastAsia"/>
        </w:rPr>
        <w:t>《中华人民共和国水污染防治法》（中华人民共和国主席令</w:t>
      </w:r>
      <w:r>
        <w:rPr>
          <w:rFonts w:hint="eastAsia"/>
        </w:rPr>
        <w:t>[2017]</w:t>
      </w:r>
      <w:r>
        <w:rPr>
          <w:rFonts w:hint="eastAsia"/>
        </w:rPr>
        <w:t>第七十号，</w:t>
      </w:r>
      <w:r>
        <w:rPr>
          <w:rFonts w:hint="eastAsia"/>
        </w:rPr>
        <w:t>2018</w:t>
      </w:r>
      <w:r>
        <w:rPr>
          <w:rFonts w:hint="eastAsia"/>
        </w:rPr>
        <w:t>年</w:t>
      </w:r>
      <w:r>
        <w:rPr>
          <w:rFonts w:hint="eastAsia"/>
        </w:rPr>
        <w:t>01</w:t>
      </w:r>
      <w:r>
        <w:rPr>
          <w:rFonts w:hint="eastAsia"/>
        </w:rPr>
        <w:t>月</w:t>
      </w:r>
      <w:r>
        <w:rPr>
          <w:rFonts w:hint="eastAsia"/>
        </w:rPr>
        <w:t>01</w:t>
      </w:r>
      <w:r>
        <w:rPr>
          <w:rFonts w:hint="eastAsia"/>
        </w:rPr>
        <w:t>日实施）</w:t>
      </w:r>
    </w:p>
    <w:p w14:paraId="5E69BBD9" w14:textId="77777777" w:rsidR="00EF4562" w:rsidRDefault="00000000">
      <w:pPr>
        <w:pStyle w:val="af"/>
        <w:numPr>
          <w:ilvl w:val="0"/>
          <w:numId w:val="12"/>
        </w:numPr>
        <w:ind w:left="0" w:firstLine="560"/>
      </w:pPr>
      <w:r>
        <w:rPr>
          <w:rFonts w:hint="eastAsia"/>
        </w:rPr>
        <w:t>《中华人民共和国大气污染防治法》（中华人民共和国主席令</w:t>
      </w:r>
      <w:r>
        <w:rPr>
          <w:rFonts w:hint="eastAsia"/>
        </w:rPr>
        <w:t>[2018]</w:t>
      </w:r>
      <w:r>
        <w:rPr>
          <w:rFonts w:hint="eastAsia"/>
        </w:rPr>
        <w:t>第十六号，</w:t>
      </w:r>
      <w:r>
        <w:rPr>
          <w:rFonts w:hint="eastAsia"/>
        </w:rPr>
        <w:t>2018</w:t>
      </w:r>
      <w:r>
        <w:rPr>
          <w:rFonts w:hint="eastAsia"/>
        </w:rPr>
        <w:t>年</w:t>
      </w:r>
      <w:r>
        <w:rPr>
          <w:rFonts w:hint="eastAsia"/>
        </w:rPr>
        <w:t>10</w:t>
      </w:r>
      <w:r>
        <w:rPr>
          <w:rFonts w:hint="eastAsia"/>
        </w:rPr>
        <w:t>月</w:t>
      </w:r>
      <w:r>
        <w:rPr>
          <w:rFonts w:hint="eastAsia"/>
        </w:rPr>
        <w:t>26</w:t>
      </w:r>
      <w:r>
        <w:rPr>
          <w:rFonts w:hint="eastAsia"/>
        </w:rPr>
        <w:t>日实施）</w:t>
      </w:r>
    </w:p>
    <w:p w14:paraId="19585158" w14:textId="77777777" w:rsidR="00EF4562" w:rsidRDefault="00000000">
      <w:pPr>
        <w:pStyle w:val="af"/>
        <w:numPr>
          <w:ilvl w:val="0"/>
          <w:numId w:val="12"/>
        </w:numPr>
        <w:ind w:left="0" w:firstLine="560"/>
      </w:pPr>
      <w:r>
        <w:rPr>
          <w:rFonts w:hint="eastAsia"/>
        </w:rPr>
        <w:t>《中华人民共和国土壤污染防治法》（中华人民共和国主席令</w:t>
      </w:r>
      <w:r>
        <w:rPr>
          <w:rFonts w:hint="eastAsia"/>
        </w:rPr>
        <w:t>[2018]</w:t>
      </w:r>
      <w:r>
        <w:rPr>
          <w:rFonts w:hint="eastAsia"/>
        </w:rPr>
        <w:t>第八号，</w:t>
      </w:r>
      <w:r>
        <w:rPr>
          <w:rFonts w:hint="eastAsia"/>
        </w:rPr>
        <w:t>2019</w:t>
      </w:r>
      <w:r>
        <w:rPr>
          <w:rFonts w:hint="eastAsia"/>
        </w:rPr>
        <w:t>年</w:t>
      </w:r>
      <w:r>
        <w:rPr>
          <w:rFonts w:hint="eastAsia"/>
        </w:rPr>
        <w:t>01</w:t>
      </w:r>
      <w:r>
        <w:rPr>
          <w:rFonts w:hint="eastAsia"/>
        </w:rPr>
        <w:t>月</w:t>
      </w:r>
      <w:r>
        <w:rPr>
          <w:rFonts w:hint="eastAsia"/>
        </w:rPr>
        <w:t>01</w:t>
      </w:r>
      <w:r>
        <w:rPr>
          <w:rFonts w:hint="eastAsia"/>
        </w:rPr>
        <w:t>日实施）</w:t>
      </w:r>
    </w:p>
    <w:p w14:paraId="6C356AD1" w14:textId="77777777" w:rsidR="00EF4562" w:rsidRDefault="00000000">
      <w:pPr>
        <w:pStyle w:val="af"/>
        <w:numPr>
          <w:ilvl w:val="0"/>
          <w:numId w:val="12"/>
        </w:numPr>
        <w:ind w:left="0" w:firstLine="560"/>
      </w:pPr>
      <w:r>
        <w:rPr>
          <w:rFonts w:hint="eastAsia"/>
        </w:rPr>
        <w:t>《生产安全事故应急条例》（中华人民共和国国务院令</w:t>
      </w:r>
      <w:r>
        <w:rPr>
          <w:rFonts w:hint="eastAsia"/>
        </w:rPr>
        <w:t>[2019]</w:t>
      </w:r>
      <w:r>
        <w:rPr>
          <w:rFonts w:hint="eastAsia"/>
        </w:rPr>
        <w:t>第</w:t>
      </w:r>
      <w:r>
        <w:rPr>
          <w:rFonts w:hint="eastAsia"/>
        </w:rPr>
        <w:t>708</w:t>
      </w:r>
      <w:r>
        <w:rPr>
          <w:rFonts w:hint="eastAsia"/>
        </w:rPr>
        <w:t>号，</w:t>
      </w:r>
      <w:r>
        <w:rPr>
          <w:rFonts w:hint="eastAsia"/>
        </w:rPr>
        <w:t>2019</w:t>
      </w:r>
      <w:r>
        <w:rPr>
          <w:rFonts w:hint="eastAsia"/>
        </w:rPr>
        <w:t>年</w:t>
      </w:r>
      <w:r>
        <w:rPr>
          <w:rFonts w:hint="eastAsia"/>
        </w:rPr>
        <w:t>4</w:t>
      </w:r>
      <w:r>
        <w:rPr>
          <w:rFonts w:hint="eastAsia"/>
        </w:rPr>
        <w:t>月</w:t>
      </w:r>
      <w:r>
        <w:rPr>
          <w:rFonts w:hint="eastAsia"/>
        </w:rPr>
        <w:t>1</w:t>
      </w:r>
      <w:r>
        <w:rPr>
          <w:rFonts w:hint="eastAsia"/>
        </w:rPr>
        <w:t>日实施）</w:t>
      </w:r>
    </w:p>
    <w:bookmarkEnd w:id="52"/>
    <w:p w14:paraId="584FC990" w14:textId="77777777" w:rsidR="00EF4562" w:rsidRDefault="00000000">
      <w:pPr>
        <w:pStyle w:val="af"/>
        <w:numPr>
          <w:ilvl w:val="0"/>
          <w:numId w:val="12"/>
        </w:numPr>
        <w:ind w:left="0" w:firstLine="560"/>
      </w:pPr>
      <w:r>
        <w:rPr>
          <w:rFonts w:hint="eastAsia"/>
        </w:rPr>
        <w:t>《危险化学品安全管理条例》（</w:t>
      </w:r>
      <w:bookmarkStart w:id="53" w:name="_Hlk182925908"/>
      <w:r>
        <w:rPr>
          <w:rFonts w:hint="eastAsia"/>
        </w:rPr>
        <w:t>中华人民共和国国务院令第</w:t>
      </w:r>
      <w:r>
        <w:rPr>
          <w:rFonts w:hint="eastAsia"/>
        </w:rPr>
        <w:t>344</w:t>
      </w:r>
      <w:r>
        <w:rPr>
          <w:rFonts w:hint="eastAsia"/>
        </w:rPr>
        <w:t>号，</w:t>
      </w:r>
      <w:bookmarkEnd w:id="53"/>
      <w:r>
        <w:rPr>
          <w:rFonts w:hint="eastAsia"/>
        </w:rPr>
        <w:lastRenderedPageBreak/>
        <w:t>中华人民共和国国务院令</w:t>
      </w:r>
      <w:r>
        <w:rPr>
          <w:rFonts w:hint="eastAsia"/>
        </w:rPr>
        <w:t>[2013]</w:t>
      </w:r>
      <w:r>
        <w:rPr>
          <w:rFonts w:hint="eastAsia"/>
        </w:rPr>
        <w:t>第</w:t>
      </w:r>
      <w:r>
        <w:rPr>
          <w:rFonts w:hint="eastAsia"/>
        </w:rPr>
        <w:t>645</w:t>
      </w:r>
      <w:r>
        <w:rPr>
          <w:rFonts w:hint="eastAsia"/>
        </w:rPr>
        <w:t>号修订，</w:t>
      </w:r>
      <w:r>
        <w:rPr>
          <w:rFonts w:hint="eastAsia"/>
        </w:rPr>
        <w:t>2013</w:t>
      </w:r>
      <w:r>
        <w:rPr>
          <w:rFonts w:hint="eastAsia"/>
        </w:rPr>
        <w:t>年</w:t>
      </w:r>
      <w:r>
        <w:rPr>
          <w:rFonts w:hint="eastAsia"/>
        </w:rPr>
        <w:t>12</w:t>
      </w:r>
      <w:r>
        <w:rPr>
          <w:rFonts w:hint="eastAsia"/>
        </w:rPr>
        <w:t>月</w:t>
      </w:r>
      <w:r>
        <w:rPr>
          <w:rFonts w:hint="eastAsia"/>
        </w:rPr>
        <w:t>7</w:t>
      </w:r>
      <w:r>
        <w:rPr>
          <w:rFonts w:hint="eastAsia"/>
        </w:rPr>
        <w:t>日实施）</w:t>
      </w:r>
    </w:p>
    <w:p w14:paraId="07F47A0C" w14:textId="77777777" w:rsidR="00EF4562" w:rsidRDefault="00000000">
      <w:pPr>
        <w:pStyle w:val="af"/>
        <w:numPr>
          <w:ilvl w:val="0"/>
          <w:numId w:val="12"/>
        </w:numPr>
        <w:ind w:left="0" w:firstLine="560"/>
      </w:pPr>
      <w:r>
        <w:rPr>
          <w:rFonts w:hint="eastAsia"/>
        </w:rPr>
        <w:t>《工伤保险条例》（</w:t>
      </w:r>
      <w:bookmarkStart w:id="54" w:name="_Hlk182925919"/>
      <w:r>
        <w:rPr>
          <w:rFonts w:hint="eastAsia"/>
        </w:rPr>
        <w:t>中华人民共和国国务院令第</w:t>
      </w:r>
      <w:r>
        <w:rPr>
          <w:rFonts w:hint="eastAsia"/>
        </w:rPr>
        <w:t>375</w:t>
      </w:r>
      <w:r>
        <w:rPr>
          <w:rFonts w:hint="eastAsia"/>
        </w:rPr>
        <w:t>号公布，</w:t>
      </w:r>
      <w:bookmarkEnd w:id="54"/>
      <w:r>
        <w:rPr>
          <w:rFonts w:hint="eastAsia"/>
        </w:rPr>
        <w:t>中华人民共和国国务院令</w:t>
      </w:r>
      <w:r>
        <w:rPr>
          <w:rFonts w:hint="eastAsia"/>
        </w:rPr>
        <w:t>[2010]</w:t>
      </w:r>
      <w:r>
        <w:rPr>
          <w:rFonts w:hint="eastAsia"/>
        </w:rPr>
        <w:t>第</w:t>
      </w:r>
      <w:r>
        <w:rPr>
          <w:rFonts w:hint="eastAsia"/>
        </w:rPr>
        <w:t>586</w:t>
      </w:r>
      <w:r>
        <w:rPr>
          <w:rFonts w:hint="eastAsia"/>
        </w:rPr>
        <w:t>号修订，</w:t>
      </w:r>
      <w:r>
        <w:rPr>
          <w:rFonts w:hint="eastAsia"/>
        </w:rPr>
        <w:t>2011</w:t>
      </w:r>
      <w:r>
        <w:rPr>
          <w:rFonts w:hint="eastAsia"/>
        </w:rPr>
        <w:t>年</w:t>
      </w:r>
      <w:r>
        <w:rPr>
          <w:rFonts w:hint="eastAsia"/>
        </w:rPr>
        <w:t>1</w:t>
      </w:r>
      <w:r>
        <w:rPr>
          <w:rFonts w:hint="eastAsia"/>
        </w:rPr>
        <w:t>月</w:t>
      </w:r>
      <w:r>
        <w:rPr>
          <w:rFonts w:hint="eastAsia"/>
        </w:rPr>
        <w:t>1</w:t>
      </w:r>
      <w:r>
        <w:rPr>
          <w:rFonts w:hint="eastAsia"/>
        </w:rPr>
        <w:t>日实施）</w:t>
      </w:r>
    </w:p>
    <w:p w14:paraId="48FAE4F1" w14:textId="77777777" w:rsidR="00EF4562" w:rsidRDefault="00000000">
      <w:pPr>
        <w:pStyle w:val="af"/>
        <w:numPr>
          <w:ilvl w:val="0"/>
          <w:numId w:val="12"/>
        </w:numPr>
        <w:ind w:left="0" w:firstLine="560"/>
      </w:pPr>
      <w:r>
        <w:rPr>
          <w:rFonts w:hint="eastAsia"/>
        </w:rPr>
        <w:t>《建设工程安全生产管理条例》（中华人民共和国国务院令</w:t>
      </w:r>
      <w:r>
        <w:rPr>
          <w:rFonts w:hint="eastAsia"/>
        </w:rPr>
        <w:t>[2003]</w:t>
      </w:r>
      <w:r>
        <w:rPr>
          <w:rFonts w:hint="eastAsia"/>
        </w:rPr>
        <w:t>第</w:t>
      </w:r>
      <w:r>
        <w:rPr>
          <w:rFonts w:hint="eastAsia"/>
        </w:rPr>
        <w:t>393</w:t>
      </w:r>
      <w:r>
        <w:rPr>
          <w:rFonts w:hint="eastAsia"/>
        </w:rPr>
        <w:t>号，</w:t>
      </w:r>
      <w:r>
        <w:rPr>
          <w:rFonts w:hint="eastAsia"/>
        </w:rPr>
        <w:t>2004</w:t>
      </w:r>
      <w:r>
        <w:rPr>
          <w:rFonts w:hint="eastAsia"/>
        </w:rPr>
        <w:t>年</w:t>
      </w:r>
      <w:r>
        <w:rPr>
          <w:rFonts w:hint="eastAsia"/>
        </w:rPr>
        <w:t>2</w:t>
      </w:r>
      <w:r>
        <w:rPr>
          <w:rFonts w:hint="eastAsia"/>
        </w:rPr>
        <w:t>月</w:t>
      </w:r>
      <w:r>
        <w:rPr>
          <w:rFonts w:hint="eastAsia"/>
        </w:rPr>
        <w:t>1</w:t>
      </w:r>
      <w:r>
        <w:rPr>
          <w:rFonts w:hint="eastAsia"/>
        </w:rPr>
        <w:t>日实施）</w:t>
      </w:r>
    </w:p>
    <w:p w14:paraId="5C2DCF6F" w14:textId="77777777" w:rsidR="00EF4562" w:rsidRDefault="00000000">
      <w:pPr>
        <w:pStyle w:val="af"/>
        <w:numPr>
          <w:ilvl w:val="0"/>
          <w:numId w:val="12"/>
        </w:numPr>
        <w:ind w:left="0" w:firstLine="560"/>
      </w:pPr>
      <w:r>
        <w:rPr>
          <w:rFonts w:hint="eastAsia"/>
        </w:rPr>
        <w:t>《气象灾害防御条例》（中华人民共和国国务院令</w:t>
      </w:r>
      <w:r>
        <w:rPr>
          <w:rFonts w:hint="eastAsia"/>
        </w:rPr>
        <w:t>[2010]</w:t>
      </w:r>
      <w:r>
        <w:rPr>
          <w:rFonts w:hint="eastAsia"/>
        </w:rPr>
        <w:t>第</w:t>
      </w:r>
      <w:r>
        <w:rPr>
          <w:rFonts w:hint="eastAsia"/>
        </w:rPr>
        <w:t>570</w:t>
      </w:r>
      <w:r>
        <w:rPr>
          <w:rFonts w:hint="eastAsia"/>
        </w:rPr>
        <w:t>号，中华人民共和国国务院令</w:t>
      </w:r>
      <w:r>
        <w:rPr>
          <w:rFonts w:hint="eastAsia"/>
        </w:rPr>
        <w:t>[2017]</w:t>
      </w:r>
      <w:r>
        <w:rPr>
          <w:rFonts w:hint="eastAsia"/>
        </w:rPr>
        <w:t>第</w:t>
      </w:r>
      <w:r>
        <w:rPr>
          <w:rFonts w:hint="eastAsia"/>
        </w:rPr>
        <w:t>687</w:t>
      </w:r>
      <w:r>
        <w:rPr>
          <w:rFonts w:hint="eastAsia"/>
        </w:rPr>
        <w:t>号修订，</w:t>
      </w:r>
      <w:r>
        <w:rPr>
          <w:rFonts w:hint="eastAsia"/>
        </w:rPr>
        <w:t>2017</w:t>
      </w:r>
      <w:r>
        <w:rPr>
          <w:rFonts w:hint="eastAsia"/>
        </w:rPr>
        <w:t>年</w:t>
      </w:r>
      <w:r>
        <w:rPr>
          <w:rFonts w:hint="eastAsia"/>
        </w:rPr>
        <w:t>10</w:t>
      </w:r>
      <w:r>
        <w:rPr>
          <w:rFonts w:hint="eastAsia"/>
        </w:rPr>
        <w:t>月</w:t>
      </w:r>
      <w:r>
        <w:rPr>
          <w:rFonts w:hint="eastAsia"/>
        </w:rPr>
        <w:t>7</w:t>
      </w:r>
      <w:r>
        <w:rPr>
          <w:rFonts w:hint="eastAsia"/>
        </w:rPr>
        <w:t>日实施）</w:t>
      </w:r>
    </w:p>
    <w:p w14:paraId="647BC604"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55" w:name="_Toc207695657"/>
      <w:r>
        <w:rPr>
          <w:rFonts w:eastAsia="楷体" w:cs="Times New Roman"/>
          <w:b/>
          <w:bCs/>
          <w:sz w:val="32"/>
          <w:szCs w:val="32"/>
        </w:rPr>
        <w:t>A.2</w:t>
      </w:r>
      <w:r>
        <w:rPr>
          <w:rFonts w:ascii="楷体" w:eastAsia="楷体" w:hAnsi="楷体" w:hint="eastAsia"/>
          <w:b/>
          <w:bCs/>
          <w:sz w:val="32"/>
          <w:szCs w:val="32"/>
        </w:rPr>
        <w:t>规章和规范性文件</w:t>
      </w:r>
      <w:bookmarkEnd w:id="55"/>
    </w:p>
    <w:p w14:paraId="7B68687B" w14:textId="77777777" w:rsidR="00EF4562" w:rsidRDefault="00000000">
      <w:pPr>
        <w:pStyle w:val="af"/>
        <w:numPr>
          <w:ilvl w:val="0"/>
          <w:numId w:val="13"/>
        </w:numPr>
        <w:ind w:left="0" w:firstLine="560"/>
      </w:pPr>
      <w:r>
        <w:rPr>
          <w:rFonts w:hint="eastAsia"/>
        </w:rPr>
        <w:t>《危险化学品建设项目安全监督管理办法》（原国家安全生产督监管理总局令</w:t>
      </w:r>
      <w:r>
        <w:rPr>
          <w:rFonts w:hint="eastAsia"/>
        </w:rPr>
        <w:t>[2012]</w:t>
      </w:r>
      <w:r>
        <w:rPr>
          <w:rFonts w:hint="eastAsia"/>
        </w:rPr>
        <w:t>第</w:t>
      </w:r>
      <w:r>
        <w:rPr>
          <w:rFonts w:hint="eastAsia"/>
        </w:rPr>
        <w:t>45</w:t>
      </w:r>
      <w:r>
        <w:rPr>
          <w:rFonts w:hint="eastAsia"/>
        </w:rPr>
        <w:t>号，原国家安全监督管理局令</w:t>
      </w:r>
      <w:r>
        <w:rPr>
          <w:rFonts w:hint="eastAsia"/>
        </w:rPr>
        <w:t>[2015]</w:t>
      </w:r>
      <w:r>
        <w:rPr>
          <w:rFonts w:hint="eastAsia"/>
        </w:rPr>
        <w:t>第</w:t>
      </w:r>
      <w:r>
        <w:rPr>
          <w:rFonts w:hint="eastAsia"/>
        </w:rPr>
        <w:t>79</w:t>
      </w:r>
      <w:r>
        <w:rPr>
          <w:rFonts w:hint="eastAsia"/>
        </w:rPr>
        <w:t>号修订，</w:t>
      </w:r>
      <w:r>
        <w:rPr>
          <w:rFonts w:hint="eastAsia"/>
        </w:rPr>
        <w:t>2015</w:t>
      </w:r>
      <w:r>
        <w:rPr>
          <w:rFonts w:hint="eastAsia"/>
        </w:rPr>
        <w:t>年</w:t>
      </w:r>
      <w:r>
        <w:rPr>
          <w:rFonts w:hint="eastAsia"/>
        </w:rPr>
        <w:t>07</w:t>
      </w:r>
      <w:r>
        <w:rPr>
          <w:rFonts w:hint="eastAsia"/>
        </w:rPr>
        <w:t>月</w:t>
      </w:r>
      <w:r>
        <w:rPr>
          <w:rFonts w:hint="eastAsia"/>
        </w:rPr>
        <w:t>01</w:t>
      </w:r>
      <w:r>
        <w:rPr>
          <w:rFonts w:hint="eastAsia"/>
        </w:rPr>
        <w:t>日实施）</w:t>
      </w:r>
    </w:p>
    <w:p w14:paraId="6F7D3F80" w14:textId="77777777" w:rsidR="00EF4562" w:rsidRDefault="00000000">
      <w:pPr>
        <w:pStyle w:val="af"/>
        <w:numPr>
          <w:ilvl w:val="0"/>
          <w:numId w:val="13"/>
        </w:numPr>
        <w:ind w:left="0" w:firstLine="560"/>
      </w:pPr>
      <w:r>
        <w:rPr>
          <w:rFonts w:hint="eastAsia"/>
        </w:rPr>
        <w:t>《国家安全监管总局关于印发</w:t>
      </w:r>
      <w:r>
        <w:rPr>
          <w:rFonts w:hint="eastAsia"/>
        </w:rPr>
        <w:t>&lt;</w:t>
      </w:r>
      <w:r>
        <w:rPr>
          <w:rFonts w:hint="eastAsia"/>
        </w:rPr>
        <w:t>危险化学品建设项目安全评价细则（试行）</w:t>
      </w:r>
      <w:r>
        <w:rPr>
          <w:rFonts w:hint="eastAsia"/>
        </w:rPr>
        <w:t>&gt;</w:t>
      </w:r>
      <w:r>
        <w:rPr>
          <w:rFonts w:hint="eastAsia"/>
        </w:rPr>
        <w:t>的通知》（安监总危化</w:t>
      </w:r>
      <w:r>
        <w:rPr>
          <w:rFonts w:hint="eastAsia"/>
        </w:rPr>
        <w:t>[2007]255</w:t>
      </w:r>
      <w:r>
        <w:rPr>
          <w:rFonts w:hint="eastAsia"/>
        </w:rPr>
        <w:t>号，</w:t>
      </w:r>
      <w:r>
        <w:rPr>
          <w:rFonts w:hint="eastAsia"/>
        </w:rPr>
        <w:t>2008</w:t>
      </w:r>
      <w:r>
        <w:rPr>
          <w:rFonts w:hint="eastAsia"/>
        </w:rPr>
        <w:t>年</w:t>
      </w:r>
      <w:r>
        <w:rPr>
          <w:rFonts w:hint="eastAsia"/>
        </w:rPr>
        <w:t>1</w:t>
      </w:r>
      <w:r>
        <w:rPr>
          <w:rFonts w:hint="eastAsia"/>
        </w:rPr>
        <w:t>月</w:t>
      </w:r>
      <w:r>
        <w:rPr>
          <w:rFonts w:hint="eastAsia"/>
        </w:rPr>
        <w:t>1</w:t>
      </w:r>
      <w:r>
        <w:rPr>
          <w:rFonts w:hint="eastAsia"/>
        </w:rPr>
        <w:t>日实施）</w:t>
      </w:r>
    </w:p>
    <w:p w14:paraId="32FA056A" w14:textId="77777777" w:rsidR="00EF4562" w:rsidRDefault="00000000">
      <w:pPr>
        <w:pStyle w:val="af"/>
        <w:numPr>
          <w:ilvl w:val="0"/>
          <w:numId w:val="13"/>
        </w:numPr>
        <w:ind w:left="0" w:firstLine="560"/>
      </w:pPr>
      <w:r>
        <w:rPr>
          <w:rFonts w:hint="eastAsia"/>
        </w:rPr>
        <w:t>《危险化学品经营许可证管理办法》（原国家安全监管总局令</w:t>
      </w:r>
      <w:r>
        <w:rPr>
          <w:rFonts w:hint="eastAsia"/>
        </w:rPr>
        <w:t>[2012]</w:t>
      </w:r>
      <w:r>
        <w:rPr>
          <w:rFonts w:hint="eastAsia"/>
        </w:rPr>
        <w:t>第</w:t>
      </w:r>
      <w:r>
        <w:rPr>
          <w:rFonts w:hint="eastAsia"/>
        </w:rPr>
        <w:t>55</w:t>
      </w:r>
      <w:r>
        <w:rPr>
          <w:rFonts w:hint="eastAsia"/>
        </w:rPr>
        <w:t>号，原国家安全监管总局令</w:t>
      </w:r>
      <w:r>
        <w:rPr>
          <w:rFonts w:hint="eastAsia"/>
        </w:rPr>
        <w:t>[2015]</w:t>
      </w:r>
      <w:r>
        <w:rPr>
          <w:rFonts w:hint="eastAsia"/>
        </w:rPr>
        <w:t>第</w:t>
      </w:r>
      <w:r>
        <w:rPr>
          <w:rFonts w:hint="eastAsia"/>
        </w:rPr>
        <w:t>79</w:t>
      </w:r>
      <w:r>
        <w:rPr>
          <w:rFonts w:hint="eastAsia"/>
        </w:rPr>
        <w:t>号修正，应急部公告</w:t>
      </w:r>
      <w:r>
        <w:rPr>
          <w:rFonts w:hint="eastAsia"/>
        </w:rPr>
        <w:t>[2018]12</w:t>
      </w:r>
      <w:r>
        <w:rPr>
          <w:rFonts w:hint="eastAsia"/>
        </w:rPr>
        <w:t>号修正，应急部公告</w:t>
      </w:r>
      <w:r>
        <w:rPr>
          <w:rFonts w:hint="eastAsia"/>
        </w:rPr>
        <w:t>[2019]11</w:t>
      </w:r>
      <w:r>
        <w:rPr>
          <w:rFonts w:hint="eastAsia"/>
        </w:rPr>
        <w:t>号修正，</w:t>
      </w:r>
      <w:r>
        <w:rPr>
          <w:rFonts w:hint="eastAsia"/>
        </w:rPr>
        <w:t>2019</w:t>
      </w:r>
      <w:r>
        <w:rPr>
          <w:rFonts w:hint="eastAsia"/>
        </w:rPr>
        <w:t>年</w:t>
      </w:r>
      <w:r>
        <w:rPr>
          <w:rFonts w:hint="eastAsia"/>
        </w:rPr>
        <w:t>4</w:t>
      </w:r>
      <w:r>
        <w:rPr>
          <w:rFonts w:hint="eastAsia"/>
        </w:rPr>
        <w:t>月</w:t>
      </w:r>
      <w:r>
        <w:rPr>
          <w:rFonts w:hint="eastAsia"/>
        </w:rPr>
        <w:t>13</w:t>
      </w:r>
      <w:r>
        <w:rPr>
          <w:rFonts w:hint="eastAsia"/>
        </w:rPr>
        <w:t>日实施）</w:t>
      </w:r>
    </w:p>
    <w:p w14:paraId="3CAE8D59" w14:textId="77777777" w:rsidR="00EF4562" w:rsidRDefault="00000000">
      <w:pPr>
        <w:pStyle w:val="af"/>
        <w:numPr>
          <w:ilvl w:val="0"/>
          <w:numId w:val="13"/>
        </w:numPr>
        <w:ind w:left="0" w:firstLine="560"/>
      </w:pPr>
      <w:r>
        <w:rPr>
          <w:rFonts w:hint="eastAsia"/>
        </w:rPr>
        <w:t>《生产安全事故应急预案管理办法》（</w:t>
      </w:r>
      <w:bookmarkStart w:id="56" w:name="_Hlk182925934"/>
      <w:r>
        <w:rPr>
          <w:rFonts w:hint="eastAsia"/>
        </w:rPr>
        <w:t>国家安全生产监督管理总局令第</w:t>
      </w:r>
      <w:r>
        <w:rPr>
          <w:rFonts w:hint="eastAsia"/>
        </w:rPr>
        <w:t>88</w:t>
      </w:r>
      <w:r>
        <w:rPr>
          <w:rFonts w:hint="eastAsia"/>
        </w:rPr>
        <w:t>号公布，</w:t>
      </w:r>
      <w:bookmarkEnd w:id="56"/>
      <w:r>
        <w:rPr>
          <w:rFonts w:hint="eastAsia"/>
        </w:rPr>
        <w:t>应急管理部令</w:t>
      </w:r>
      <w:r>
        <w:rPr>
          <w:rFonts w:hint="eastAsia"/>
        </w:rPr>
        <w:t>[2019]</w:t>
      </w:r>
      <w:r>
        <w:rPr>
          <w:rFonts w:hint="eastAsia"/>
        </w:rPr>
        <w:t>第</w:t>
      </w:r>
      <w:r>
        <w:rPr>
          <w:rFonts w:hint="eastAsia"/>
        </w:rPr>
        <w:t>2</w:t>
      </w:r>
      <w:r>
        <w:rPr>
          <w:rFonts w:hint="eastAsia"/>
        </w:rPr>
        <w:t>号修订，</w:t>
      </w:r>
      <w:r>
        <w:rPr>
          <w:rFonts w:hint="eastAsia"/>
        </w:rPr>
        <w:t>2019</w:t>
      </w:r>
      <w:r>
        <w:rPr>
          <w:rFonts w:hint="eastAsia"/>
        </w:rPr>
        <w:t>年</w:t>
      </w:r>
      <w:r>
        <w:rPr>
          <w:rFonts w:hint="eastAsia"/>
        </w:rPr>
        <w:t>9</w:t>
      </w:r>
      <w:r>
        <w:rPr>
          <w:rFonts w:hint="eastAsia"/>
        </w:rPr>
        <w:t>月</w:t>
      </w:r>
      <w:r>
        <w:rPr>
          <w:rFonts w:hint="eastAsia"/>
        </w:rPr>
        <w:t>1</w:t>
      </w:r>
      <w:r>
        <w:rPr>
          <w:rFonts w:hint="eastAsia"/>
        </w:rPr>
        <w:t>日实施）</w:t>
      </w:r>
    </w:p>
    <w:p w14:paraId="0F716102" w14:textId="77777777" w:rsidR="00EF4562" w:rsidRDefault="00000000">
      <w:pPr>
        <w:pStyle w:val="af"/>
        <w:numPr>
          <w:ilvl w:val="0"/>
          <w:numId w:val="13"/>
        </w:numPr>
        <w:ind w:left="0" w:firstLine="560"/>
      </w:pPr>
      <w:r>
        <w:rPr>
          <w:rFonts w:hint="eastAsia"/>
        </w:rPr>
        <w:t>《生产经营单位安全培训规定》（原国家安全生产监督管理总局令</w:t>
      </w:r>
      <w:r>
        <w:rPr>
          <w:rFonts w:hint="eastAsia"/>
        </w:rPr>
        <w:t>[2006]</w:t>
      </w:r>
      <w:r>
        <w:rPr>
          <w:rFonts w:hint="eastAsia"/>
        </w:rPr>
        <w:t>第</w:t>
      </w:r>
      <w:r>
        <w:rPr>
          <w:rFonts w:hint="eastAsia"/>
        </w:rPr>
        <w:t>3</w:t>
      </w:r>
      <w:r>
        <w:rPr>
          <w:rFonts w:hint="eastAsia"/>
        </w:rPr>
        <w:t>号，原国家安全生产监督管理总局令</w:t>
      </w:r>
      <w:r>
        <w:rPr>
          <w:rFonts w:hint="eastAsia"/>
        </w:rPr>
        <w:t>[2015]</w:t>
      </w:r>
      <w:r>
        <w:rPr>
          <w:rFonts w:hint="eastAsia"/>
        </w:rPr>
        <w:t>第</w:t>
      </w:r>
      <w:r>
        <w:rPr>
          <w:rFonts w:hint="eastAsia"/>
        </w:rPr>
        <w:t>80</w:t>
      </w:r>
      <w:r>
        <w:rPr>
          <w:rFonts w:hint="eastAsia"/>
        </w:rPr>
        <w:t>号修订，</w:t>
      </w:r>
      <w:r>
        <w:rPr>
          <w:rFonts w:hint="eastAsia"/>
        </w:rPr>
        <w:t>2015</w:t>
      </w:r>
      <w:r>
        <w:rPr>
          <w:rFonts w:hint="eastAsia"/>
        </w:rPr>
        <w:t>年</w:t>
      </w:r>
      <w:r>
        <w:rPr>
          <w:rFonts w:hint="eastAsia"/>
        </w:rPr>
        <w:t>7</w:t>
      </w:r>
      <w:r>
        <w:rPr>
          <w:rFonts w:hint="eastAsia"/>
        </w:rPr>
        <w:t>月</w:t>
      </w:r>
      <w:r>
        <w:rPr>
          <w:rFonts w:hint="eastAsia"/>
        </w:rPr>
        <w:t>1</w:t>
      </w:r>
      <w:r>
        <w:rPr>
          <w:rFonts w:hint="eastAsia"/>
        </w:rPr>
        <w:t>日实施）</w:t>
      </w:r>
    </w:p>
    <w:p w14:paraId="0BA33CC2" w14:textId="77777777" w:rsidR="00EF4562" w:rsidRDefault="00000000">
      <w:pPr>
        <w:pStyle w:val="af"/>
        <w:numPr>
          <w:ilvl w:val="0"/>
          <w:numId w:val="13"/>
        </w:numPr>
        <w:ind w:left="0" w:firstLine="560"/>
      </w:pPr>
      <w:r>
        <w:rPr>
          <w:rFonts w:hint="eastAsia"/>
        </w:rPr>
        <w:t>《安全生产培训管理办法》（原国家安全生产监督管理局令</w:t>
      </w:r>
      <w:r>
        <w:rPr>
          <w:rFonts w:hint="eastAsia"/>
        </w:rPr>
        <w:t>[2011]</w:t>
      </w:r>
      <w:r>
        <w:rPr>
          <w:rFonts w:hint="eastAsia"/>
        </w:rPr>
        <w:t>第</w:t>
      </w:r>
      <w:r>
        <w:rPr>
          <w:rFonts w:hint="eastAsia"/>
        </w:rPr>
        <w:t>44</w:t>
      </w:r>
      <w:r>
        <w:rPr>
          <w:rFonts w:hint="eastAsia"/>
        </w:rPr>
        <w:t>号，原国家安全监督管理局令</w:t>
      </w:r>
      <w:r>
        <w:rPr>
          <w:rFonts w:hint="eastAsia"/>
        </w:rPr>
        <w:t>[2015]</w:t>
      </w:r>
      <w:r>
        <w:rPr>
          <w:rFonts w:hint="eastAsia"/>
        </w:rPr>
        <w:t>第</w:t>
      </w:r>
      <w:r>
        <w:rPr>
          <w:rFonts w:hint="eastAsia"/>
        </w:rPr>
        <w:t>80</w:t>
      </w:r>
      <w:r>
        <w:rPr>
          <w:rFonts w:hint="eastAsia"/>
        </w:rPr>
        <w:t>号修订，</w:t>
      </w:r>
      <w:r>
        <w:rPr>
          <w:rFonts w:hint="eastAsia"/>
        </w:rPr>
        <w:t>2015</w:t>
      </w:r>
      <w:r>
        <w:rPr>
          <w:rFonts w:hint="eastAsia"/>
        </w:rPr>
        <w:t>年</w:t>
      </w:r>
      <w:r>
        <w:rPr>
          <w:rFonts w:hint="eastAsia"/>
        </w:rPr>
        <w:t>7</w:t>
      </w:r>
      <w:r>
        <w:rPr>
          <w:rFonts w:hint="eastAsia"/>
        </w:rPr>
        <w:t>月</w:t>
      </w:r>
      <w:r>
        <w:rPr>
          <w:rFonts w:hint="eastAsia"/>
        </w:rPr>
        <w:t>1</w:t>
      </w:r>
      <w:r>
        <w:rPr>
          <w:rFonts w:hint="eastAsia"/>
        </w:rPr>
        <w:t>日实施）</w:t>
      </w:r>
    </w:p>
    <w:p w14:paraId="105E8657" w14:textId="77777777" w:rsidR="00EF4562" w:rsidRDefault="00000000">
      <w:pPr>
        <w:pStyle w:val="af"/>
        <w:numPr>
          <w:ilvl w:val="0"/>
          <w:numId w:val="13"/>
        </w:numPr>
        <w:ind w:left="0" w:firstLine="560"/>
      </w:pPr>
      <w:r>
        <w:rPr>
          <w:rFonts w:hint="eastAsia"/>
        </w:rPr>
        <w:lastRenderedPageBreak/>
        <w:t>《危险化学品重大危险源监督管理暂行规定》（原国家安全监管总局令</w:t>
      </w:r>
      <w:r>
        <w:rPr>
          <w:rFonts w:hint="eastAsia"/>
        </w:rPr>
        <w:t>[2011]</w:t>
      </w:r>
      <w:r>
        <w:rPr>
          <w:rFonts w:hint="eastAsia"/>
        </w:rPr>
        <w:t>第</w:t>
      </w:r>
      <w:r>
        <w:rPr>
          <w:rFonts w:hint="eastAsia"/>
        </w:rPr>
        <w:t>40</w:t>
      </w:r>
      <w:r>
        <w:rPr>
          <w:rFonts w:hint="eastAsia"/>
        </w:rPr>
        <w:t>号，原国家安全监管总局令</w:t>
      </w:r>
      <w:r>
        <w:rPr>
          <w:rFonts w:hint="eastAsia"/>
        </w:rPr>
        <w:t>[2015]</w:t>
      </w:r>
      <w:r>
        <w:rPr>
          <w:rFonts w:hint="eastAsia"/>
        </w:rPr>
        <w:t>第</w:t>
      </w:r>
      <w:r>
        <w:rPr>
          <w:rFonts w:hint="eastAsia"/>
        </w:rPr>
        <w:t>79</w:t>
      </w:r>
      <w:r>
        <w:rPr>
          <w:rFonts w:hint="eastAsia"/>
        </w:rPr>
        <w:t>号修正，</w:t>
      </w:r>
      <w:r>
        <w:rPr>
          <w:rFonts w:hint="eastAsia"/>
        </w:rPr>
        <w:t>2015</w:t>
      </w:r>
      <w:r>
        <w:rPr>
          <w:rFonts w:hint="eastAsia"/>
        </w:rPr>
        <w:t>年</w:t>
      </w:r>
      <w:r>
        <w:rPr>
          <w:rFonts w:hint="eastAsia"/>
        </w:rPr>
        <w:t>7</w:t>
      </w:r>
      <w:r>
        <w:rPr>
          <w:rFonts w:hint="eastAsia"/>
        </w:rPr>
        <w:t>月</w:t>
      </w:r>
      <w:r>
        <w:rPr>
          <w:rFonts w:hint="eastAsia"/>
        </w:rPr>
        <w:t>1</w:t>
      </w:r>
      <w:r>
        <w:rPr>
          <w:rFonts w:hint="eastAsia"/>
        </w:rPr>
        <w:t>日实施）</w:t>
      </w:r>
    </w:p>
    <w:p w14:paraId="1554835C" w14:textId="77777777" w:rsidR="00EF4562" w:rsidRDefault="00000000">
      <w:pPr>
        <w:pStyle w:val="af"/>
        <w:numPr>
          <w:ilvl w:val="0"/>
          <w:numId w:val="13"/>
        </w:numPr>
        <w:ind w:left="0" w:firstLine="560"/>
      </w:pPr>
      <w:r>
        <w:rPr>
          <w:rFonts w:hint="eastAsia"/>
        </w:rPr>
        <w:t>《危险化学品目录（</w:t>
      </w:r>
      <w:r>
        <w:rPr>
          <w:rFonts w:hint="eastAsia"/>
        </w:rPr>
        <w:t>2015</w:t>
      </w:r>
      <w:r>
        <w:rPr>
          <w:rFonts w:hint="eastAsia"/>
        </w:rPr>
        <w:t>版）》（国家安全生产监督管理总局等十部门公告</w:t>
      </w:r>
      <w:r>
        <w:rPr>
          <w:rFonts w:hint="eastAsia"/>
        </w:rPr>
        <w:t>[2015]</w:t>
      </w:r>
      <w:r>
        <w:rPr>
          <w:rFonts w:hint="eastAsia"/>
        </w:rPr>
        <w:t>第</w:t>
      </w:r>
      <w:r>
        <w:rPr>
          <w:rFonts w:hint="eastAsia"/>
        </w:rPr>
        <w:t>5</w:t>
      </w:r>
      <w:r>
        <w:rPr>
          <w:rFonts w:hint="eastAsia"/>
        </w:rPr>
        <w:t>号，</w:t>
      </w:r>
      <w:r>
        <w:rPr>
          <w:rFonts w:hint="eastAsia"/>
        </w:rPr>
        <w:t>2015</w:t>
      </w:r>
      <w:r>
        <w:rPr>
          <w:rFonts w:hint="eastAsia"/>
        </w:rPr>
        <w:t>年</w:t>
      </w:r>
      <w:r>
        <w:rPr>
          <w:rFonts w:hint="eastAsia"/>
        </w:rPr>
        <w:t>5</w:t>
      </w:r>
      <w:r>
        <w:rPr>
          <w:rFonts w:hint="eastAsia"/>
        </w:rPr>
        <w:t>月</w:t>
      </w:r>
      <w:r>
        <w:rPr>
          <w:rFonts w:hint="eastAsia"/>
        </w:rPr>
        <w:t>1</w:t>
      </w:r>
      <w:r>
        <w:rPr>
          <w:rFonts w:hint="eastAsia"/>
        </w:rPr>
        <w:t>日实施）</w:t>
      </w:r>
    </w:p>
    <w:p w14:paraId="66402C66" w14:textId="77777777" w:rsidR="00EF4562" w:rsidRDefault="00000000">
      <w:pPr>
        <w:pStyle w:val="af"/>
        <w:numPr>
          <w:ilvl w:val="0"/>
          <w:numId w:val="13"/>
        </w:numPr>
        <w:ind w:left="0" w:firstLine="560"/>
      </w:pPr>
      <w:r>
        <w:rPr>
          <w:rFonts w:hint="eastAsia"/>
        </w:rPr>
        <w:t>《国家安全监管总局办公厅关于印发危险化学品目录（</w:t>
      </w:r>
      <w:r>
        <w:rPr>
          <w:rFonts w:hint="eastAsia"/>
        </w:rPr>
        <w:t>2015</w:t>
      </w:r>
      <w:r>
        <w:rPr>
          <w:rFonts w:hint="eastAsia"/>
        </w:rPr>
        <w:t>版）实施指南（试行）的通知》（安监总厅管三</w:t>
      </w:r>
      <w:r>
        <w:rPr>
          <w:rFonts w:hint="eastAsia"/>
        </w:rPr>
        <w:t>[2015]80</w:t>
      </w:r>
      <w:r>
        <w:rPr>
          <w:rFonts w:hint="eastAsia"/>
        </w:rPr>
        <w:t>号，</w:t>
      </w:r>
      <w:r>
        <w:rPr>
          <w:rFonts w:hint="eastAsia"/>
        </w:rPr>
        <w:t>2015</w:t>
      </w:r>
      <w:r>
        <w:rPr>
          <w:rFonts w:hint="eastAsia"/>
        </w:rPr>
        <w:t>年</w:t>
      </w:r>
      <w:r>
        <w:rPr>
          <w:rFonts w:hint="eastAsia"/>
        </w:rPr>
        <w:t>8</w:t>
      </w:r>
      <w:r>
        <w:rPr>
          <w:rFonts w:hint="eastAsia"/>
        </w:rPr>
        <w:t>月</w:t>
      </w:r>
      <w:r>
        <w:rPr>
          <w:rFonts w:hint="eastAsia"/>
        </w:rPr>
        <w:t>19</w:t>
      </w:r>
      <w:r>
        <w:rPr>
          <w:rFonts w:hint="eastAsia"/>
        </w:rPr>
        <w:t>日实施）</w:t>
      </w:r>
    </w:p>
    <w:p w14:paraId="46F425F0" w14:textId="77777777" w:rsidR="00EF4562" w:rsidRDefault="00000000">
      <w:pPr>
        <w:pStyle w:val="af"/>
        <w:numPr>
          <w:ilvl w:val="0"/>
          <w:numId w:val="13"/>
        </w:numPr>
        <w:ind w:left="0" w:firstLine="560"/>
      </w:pPr>
      <w:r>
        <w:rPr>
          <w:rFonts w:hint="eastAsia"/>
        </w:rPr>
        <w:t>《关于调整危险化学品目录（</w:t>
      </w:r>
      <w:r>
        <w:rPr>
          <w:rFonts w:hint="eastAsia"/>
        </w:rPr>
        <w:t>2015</w:t>
      </w:r>
      <w:r>
        <w:rPr>
          <w:rFonts w:hint="eastAsia"/>
        </w:rPr>
        <w:t>版）的公告》（中华人民共和国应急管理部等十部门公告</w:t>
      </w:r>
      <w:r>
        <w:rPr>
          <w:rFonts w:hint="eastAsia"/>
        </w:rPr>
        <w:t>2022</w:t>
      </w:r>
      <w:r>
        <w:rPr>
          <w:rFonts w:hint="eastAsia"/>
        </w:rPr>
        <w:t>年第</w:t>
      </w:r>
      <w:r>
        <w:rPr>
          <w:rFonts w:hint="eastAsia"/>
        </w:rPr>
        <w:t>8</w:t>
      </w:r>
      <w:r>
        <w:rPr>
          <w:rFonts w:hint="eastAsia"/>
        </w:rPr>
        <w:t>号，</w:t>
      </w:r>
      <w:r>
        <w:rPr>
          <w:rFonts w:hint="eastAsia"/>
        </w:rPr>
        <w:t>2023</w:t>
      </w:r>
      <w:r>
        <w:rPr>
          <w:rFonts w:hint="eastAsia"/>
        </w:rPr>
        <w:t>年</w:t>
      </w:r>
      <w:r>
        <w:rPr>
          <w:rFonts w:hint="eastAsia"/>
        </w:rPr>
        <w:t>1</w:t>
      </w:r>
      <w:r>
        <w:rPr>
          <w:rFonts w:hint="eastAsia"/>
        </w:rPr>
        <w:t>月</w:t>
      </w:r>
      <w:r>
        <w:rPr>
          <w:rFonts w:hint="eastAsia"/>
        </w:rPr>
        <w:t>1</w:t>
      </w:r>
      <w:r>
        <w:rPr>
          <w:rFonts w:hint="eastAsia"/>
        </w:rPr>
        <w:t>日实施）</w:t>
      </w:r>
    </w:p>
    <w:p w14:paraId="1F603CB5" w14:textId="77777777" w:rsidR="00EF4562" w:rsidRDefault="00000000">
      <w:pPr>
        <w:pStyle w:val="af"/>
        <w:numPr>
          <w:ilvl w:val="0"/>
          <w:numId w:val="13"/>
        </w:numPr>
        <w:ind w:left="0" w:firstLine="560"/>
      </w:pPr>
      <w:r>
        <w:rPr>
          <w:rFonts w:hint="eastAsia"/>
        </w:rPr>
        <w:t>《应急管理部办公厅关于修改</w:t>
      </w:r>
      <w:r>
        <w:rPr>
          <w:rFonts w:hint="eastAsia"/>
        </w:rPr>
        <w:t>&lt;</w:t>
      </w:r>
      <w:r>
        <w:rPr>
          <w:rFonts w:hint="eastAsia"/>
        </w:rPr>
        <w:t>危险化学品目录（</w:t>
      </w:r>
      <w:r>
        <w:rPr>
          <w:rFonts w:hint="eastAsia"/>
        </w:rPr>
        <w:t>2015</w:t>
      </w:r>
      <w:r>
        <w:rPr>
          <w:rFonts w:hint="eastAsia"/>
        </w:rPr>
        <w:t>版）实施指南（试行）涉及柴油部分内容的通知》（应急厅函</w:t>
      </w:r>
      <w:r>
        <w:rPr>
          <w:rFonts w:hint="eastAsia"/>
        </w:rPr>
        <w:t>[2022]300</w:t>
      </w:r>
      <w:r>
        <w:rPr>
          <w:rFonts w:hint="eastAsia"/>
        </w:rPr>
        <w:t>号，</w:t>
      </w:r>
      <w:r>
        <w:rPr>
          <w:rFonts w:hint="eastAsia"/>
        </w:rPr>
        <w:t>2023</w:t>
      </w:r>
      <w:r>
        <w:rPr>
          <w:rFonts w:hint="eastAsia"/>
        </w:rPr>
        <w:t>年</w:t>
      </w:r>
      <w:r>
        <w:rPr>
          <w:rFonts w:hint="eastAsia"/>
        </w:rPr>
        <w:t>1</w:t>
      </w:r>
      <w:r>
        <w:rPr>
          <w:rFonts w:hint="eastAsia"/>
        </w:rPr>
        <w:t>月</w:t>
      </w:r>
      <w:r>
        <w:rPr>
          <w:rFonts w:hint="eastAsia"/>
        </w:rPr>
        <w:t>1</w:t>
      </w:r>
      <w:r>
        <w:rPr>
          <w:rFonts w:hint="eastAsia"/>
        </w:rPr>
        <w:t>日实施）</w:t>
      </w:r>
    </w:p>
    <w:p w14:paraId="4A05C166" w14:textId="77777777" w:rsidR="00EF4562" w:rsidRDefault="00000000">
      <w:pPr>
        <w:pStyle w:val="af"/>
        <w:numPr>
          <w:ilvl w:val="0"/>
          <w:numId w:val="13"/>
        </w:numPr>
        <w:ind w:left="0" w:firstLine="560"/>
      </w:pPr>
      <w:r>
        <w:rPr>
          <w:rFonts w:hint="eastAsia"/>
        </w:rPr>
        <w:t>《应急管理部办公厅关于认真做好柴油安全许可有关工作的通知》（应急厅函〔</w:t>
      </w:r>
      <w:r>
        <w:rPr>
          <w:rFonts w:hint="eastAsia"/>
        </w:rPr>
        <w:t>2022</w:t>
      </w:r>
      <w:r>
        <w:rPr>
          <w:rFonts w:hint="eastAsia"/>
        </w:rPr>
        <w:t>〕</w:t>
      </w:r>
      <w:r>
        <w:rPr>
          <w:rFonts w:hint="eastAsia"/>
        </w:rPr>
        <w:t>317</w:t>
      </w:r>
      <w:r>
        <w:rPr>
          <w:rFonts w:hint="eastAsia"/>
        </w:rPr>
        <w:t>号，</w:t>
      </w:r>
      <w:r>
        <w:rPr>
          <w:rFonts w:hint="eastAsia"/>
        </w:rPr>
        <w:t>2022</w:t>
      </w:r>
      <w:r>
        <w:rPr>
          <w:rFonts w:hint="eastAsia"/>
        </w:rPr>
        <w:t>年</w:t>
      </w:r>
      <w:r>
        <w:rPr>
          <w:rFonts w:hint="eastAsia"/>
        </w:rPr>
        <w:t>12</w:t>
      </w:r>
      <w:r>
        <w:rPr>
          <w:rFonts w:hint="eastAsia"/>
        </w:rPr>
        <w:t>月</w:t>
      </w:r>
      <w:r>
        <w:rPr>
          <w:rFonts w:hint="eastAsia"/>
        </w:rPr>
        <w:t>26</w:t>
      </w:r>
      <w:r>
        <w:rPr>
          <w:rFonts w:hint="eastAsia"/>
        </w:rPr>
        <w:t>日实施）</w:t>
      </w:r>
    </w:p>
    <w:p w14:paraId="59D93122" w14:textId="77777777" w:rsidR="00EF4562" w:rsidRDefault="00000000">
      <w:pPr>
        <w:pStyle w:val="af"/>
        <w:numPr>
          <w:ilvl w:val="0"/>
          <w:numId w:val="13"/>
        </w:numPr>
        <w:ind w:left="0" w:firstLine="560"/>
      </w:pPr>
      <w:r>
        <w:rPr>
          <w:rFonts w:hint="eastAsia"/>
        </w:rPr>
        <w:t>《特别管控危险化学品目录（第一版）》（应急管理部工业和信息化部公安部交通运输部公告</w:t>
      </w:r>
      <w:r>
        <w:rPr>
          <w:rFonts w:hint="eastAsia"/>
        </w:rPr>
        <w:t>[2020]</w:t>
      </w:r>
      <w:r>
        <w:rPr>
          <w:rFonts w:hint="eastAsia"/>
        </w:rPr>
        <w:t>第</w:t>
      </w:r>
      <w:r>
        <w:rPr>
          <w:rFonts w:hint="eastAsia"/>
        </w:rPr>
        <w:t>1</w:t>
      </w:r>
      <w:r>
        <w:rPr>
          <w:rFonts w:hint="eastAsia"/>
        </w:rPr>
        <w:t>号，</w:t>
      </w:r>
      <w:r>
        <w:rPr>
          <w:rFonts w:hint="eastAsia"/>
        </w:rPr>
        <w:t>2020</w:t>
      </w:r>
      <w:r>
        <w:rPr>
          <w:rFonts w:hint="eastAsia"/>
        </w:rPr>
        <w:t>年</w:t>
      </w:r>
      <w:r>
        <w:rPr>
          <w:rFonts w:hint="eastAsia"/>
        </w:rPr>
        <w:t>5</w:t>
      </w:r>
      <w:r>
        <w:rPr>
          <w:rFonts w:hint="eastAsia"/>
        </w:rPr>
        <w:t>月</w:t>
      </w:r>
      <w:r>
        <w:rPr>
          <w:rFonts w:hint="eastAsia"/>
        </w:rPr>
        <w:t>30</w:t>
      </w:r>
      <w:r>
        <w:rPr>
          <w:rFonts w:hint="eastAsia"/>
        </w:rPr>
        <w:t>日实施）</w:t>
      </w:r>
    </w:p>
    <w:p w14:paraId="7C3EBF56" w14:textId="77777777" w:rsidR="00EF4562" w:rsidRDefault="00000000">
      <w:pPr>
        <w:pStyle w:val="af"/>
        <w:numPr>
          <w:ilvl w:val="0"/>
          <w:numId w:val="13"/>
        </w:numPr>
        <w:ind w:left="0" w:firstLine="560"/>
      </w:pPr>
      <w:r>
        <w:rPr>
          <w:rFonts w:hint="eastAsia"/>
        </w:rPr>
        <w:t>《国家安全监管总局关于公布首批重点监管的危险化学品名录的通知》（安监总管三</w:t>
      </w:r>
      <w:r>
        <w:rPr>
          <w:rFonts w:hint="eastAsia"/>
        </w:rPr>
        <w:t>[2011]95</w:t>
      </w:r>
      <w:r>
        <w:rPr>
          <w:rFonts w:hint="eastAsia"/>
        </w:rPr>
        <w:t>号，</w:t>
      </w:r>
      <w:r>
        <w:rPr>
          <w:rFonts w:hint="eastAsia"/>
        </w:rPr>
        <w:t>2011</w:t>
      </w:r>
      <w:r>
        <w:rPr>
          <w:rFonts w:hint="eastAsia"/>
        </w:rPr>
        <w:t>年</w:t>
      </w:r>
      <w:r>
        <w:rPr>
          <w:rFonts w:hint="eastAsia"/>
        </w:rPr>
        <w:t>6</w:t>
      </w:r>
      <w:r>
        <w:rPr>
          <w:rFonts w:hint="eastAsia"/>
        </w:rPr>
        <w:t>月</w:t>
      </w:r>
      <w:r>
        <w:rPr>
          <w:rFonts w:hint="eastAsia"/>
        </w:rPr>
        <w:t>21</w:t>
      </w:r>
      <w:r>
        <w:rPr>
          <w:rFonts w:hint="eastAsia"/>
        </w:rPr>
        <w:t>日实施）</w:t>
      </w:r>
    </w:p>
    <w:p w14:paraId="0E3F4C38" w14:textId="77777777" w:rsidR="00EF4562" w:rsidRDefault="00000000">
      <w:pPr>
        <w:pStyle w:val="af"/>
        <w:numPr>
          <w:ilvl w:val="0"/>
          <w:numId w:val="13"/>
        </w:numPr>
        <w:ind w:left="0" w:firstLine="560"/>
      </w:pPr>
      <w:r>
        <w:rPr>
          <w:rFonts w:hint="eastAsia"/>
        </w:rPr>
        <w:t>《首批重点监管的危险化学品安全措施和应急处置原则》（安监总厅管三</w:t>
      </w:r>
      <w:r>
        <w:rPr>
          <w:rFonts w:hint="eastAsia"/>
        </w:rPr>
        <w:t>[2011]142</w:t>
      </w:r>
      <w:r>
        <w:rPr>
          <w:rFonts w:hint="eastAsia"/>
        </w:rPr>
        <w:t>号，</w:t>
      </w:r>
      <w:r>
        <w:rPr>
          <w:rFonts w:hint="eastAsia"/>
        </w:rPr>
        <w:t>2011</w:t>
      </w:r>
      <w:r>
        <w:rPr>
          <w:rFonts w:hint="eastAsia"/>
        </w:rPr>
        <w:t>年</w:t>
      </w:r>
      <w:r>
        <w:rPr>
          <w:rFonts w:hint="eastAsia"/>
        </w:rPr>
        <w:t>7</w:t>
      </w:r>
      <w:r>
        <w:rPr>
          <w:rFonts w:hint="eastAsia"/>
        </w:rPr>
        <w:t>月</w:t>
      </w:r>
      <w:r>
        <w:rPr>
          <w:rFonts w:hint="eastAsia"/>
        </w:rPr>
        <w:t>1</w:t>
      </w:r>
      <w:r>
        <w:rPr>
          <w:rFonts w:hint="eastAsia"/>
        </w:rPr>
        <w:t>日实施）</w:t>
      </w:r>
    </w:p>
    <w:p w14:paraId="2D5BAB21" w14:textId="77777777" w:rsidR="00EF4562" w:rsidRDefault="00000000">
      <w:pPr>
        <w:pStyle w:val="af"/>
        <w:numPr>
          <w:ilvl w:val="0"/>
          <w:numId w:val="13"/>
        </w:numPr>
        <w:ind w:left="0" w:firstLine="560"/>
      </w:pPr>
      <w:r>
        <w:rPr>
          <w:rFonts w:hint="eastAsia"/>
        </w:rPr>
        <w:t>《国家安全监管总局关于公布第二批重点监管危险化学品名录的通知》（安监总管三</w:t>
      </w:r>
      <w:r>
        <w:rPr>
          <w:rFonts w:hint="eastAsia"/>
        </w:rPr>
        <w:t>[2013]12</w:t>
      </w:r>
      <w:r>
        <w:rPr>
          <w:rFonts w:hint="eastAsia"/>
        </w:rPr>
        <w:t>号，</w:t>
      </w:r>
      <w:r>
        <w:rPr>
          <w:rFonts w:hint="eastAsia"/>
        </w:rPr>
        <w:t>2013</w:t>
      </w:r>
      <w:r>
        <w:rPr>
          <w:rFonts w:hint="eastAsia"/>
        </w:rPr>
        <w:t>年</w:t>
      </w:r>
      <w:r>
        <w:rPr>
          <w:rFonts w:hint="eastAsia"/>
        </w:rPr>
        <w:t>2</w:t>
      </w:r>
      <w:r>
        <w:rPr>
          <w:rFonts w:hint="eastAsia"/>
        </w:rPr>
        <w:t>月</w:t>
      </w:r>
      <w:r>
        <w:rPr>
          <w:rFonts w:hint="eastAsia"/>
        </w:rPr>
        <w:t>5</w:t>
      </w:r>
      <w:r>
        <w:rPr>
          <w:rFonts w:hint="eastAsia"/>
        </w:rPr>
        <w:t>日实施）</w:t>
      </w:r>
    </w:p>
    <w:p w14:paraId="30C0DFF7" w14:textId="77777777" w:rsidR="00EF4562" w:rsidRDefault="00000000">
      <w:pPr>
        <w:pStyle w:val="af"/>
        <w:numPr>
          <w:ilvl w:val="0"/>
          <w:numId w:val="13"/>
        </w:numPr>
        <w:ind w:left="0" w:firstLine="560"/>
      </w:pPr>
      <w:r>
        <w:rPr>
          <w:rFonts w:hint="eastAsia"/>
        </w:rPr>
        <w:t>《国家安全监管总局关于公布首批重点监管的危险化工工艺目录的通知》（安监总管三</w:t>
      </w:r>
      <w:r>
        <w:rPr>
          <w:rFonts w:hint="eastAsia"/>
        </w:rPr>
        <w:t>[2009]</w:t>
      </w:r>
      <w:r>
        <w:rPr>
          <w:rFonts w:hint="eastAsia"/>
        </w:rPr>
        <w:t>第</w:t>
      </w:r>
      <w:r>
        <w:rPr>
          <w:rFonts w:hint="eastAsia"/>
        </w:rPr>
        <w:t>116</w:t>
      </w:r>
      <w:r>
        <w:rPr>
          <w:rFonts w:hint="eastAsia"/>
        </w:rPr>
        <w:t>号，</w:t>
      </w:r>
      <w:r>
        <w:rPr>
          <w:rFonts w:hint="eastAsia"/>
        </w:rPr>
        <w:t>2009</w:t>
      </w:r>
      <w:r>
        <w:rPr>
          <w:rFonts w:hint="eastAsia"/>
        </w:rPr>
        <w:t>年</w:t>
      </w:r>
      <w:r>
        <w:rPr>
          <w:rFonts w:hint="eastAsia"/>
        </w:rPr>
        <w:t>6</w:t>
      </w:r>
      <w:r>
        <w:rPr>
          <w:rFonts w:hint="eastAsia"/>
        </w:rPr>
        <w:t>月</w:t>
      </w:r>
      <w:r>
        <w:rPr>
          <w:rFonts w:hint="eastAsia"/>
        </w:rPr>
        <w:t>12</w:t>
      </w:r>
      <w:r>
        <w:rPr>
          <w:rFonts w:hint="eastAsia"/>
        </w:rPr>
        <w:t>日实施）</w:t>
      </w:r>
    </w:p>
    <w:p w14:paraId="725CCB70" w14:textId="77777777" w:rsidR="00EF4562" w:rsidRDefault="00000000">
      <w:pPr>
        <w:pStyle w:val="af"/>
        <w:numPr>
          <w:ilvl w:val="0"/>
          <w:numId w:val="13"/>
        </w:numPr>
        <w:ind w:left="0" w:firstLine="560"/>
      </w:pPr>
      <w:r>
        <w:rPr>
          <w:rFonts w:hint="eastAsia"/>
        </w:rPr>
        <w:t>《国家安全监管总局关于公布第二批重点监管危险化工工艺目录</w:t>
      </w:r>
      <w:r>
        <w:rPr>
          <w:rFonts w:hint="eastAsia"/>
        </w:rPr>
        <w:lastRenderedPageBreak/>
        <w:t>和调整首批重点监管危险化工工艺中部分典型工艺的通知》（安监总管三</w:t>
      </w:r>
      <w:r>
        <w:rPr>
          <w:rFonts w:hint="eastAsia"/>
        </w:rPr>
        <w:t>[2013]3</w:t>
      </w:r>
      <w:r>
        <w:rPr>
          <w:rFonts w:hint="eastAsia"/>
        </w:rPr>
        <w:t>号，</w:t>
      </w:r>
      <w:r>
        <w:rPr>
          <w:rFonts w:hint="eastAsia"/>
        </w:rPr>
        <w:t>2013</w:t>
      </w:r>
      <w:r>
        <w:rPr>
          <w:rFonts w:hint="eastAsia"/>
        </w:rPr>
        <w:t>年</w:t>
      </w:r>
      <w:r>
        <w:rPr>
          <w:rFonts w:hint="eastAsia"/>
        </w:rPr>
        <w:t>1</w:t>
      </w:r>
      <w:r>
        <w:rPr>
          <w:rFonts w:hint="eastAsia"/>
        </w:rPr>
        <w:t>月</w:t>
      </w:r>
      <w:r>
        <w:rPr>
          <w:rFonts w:hint="eastAsia"/>
        </w:rPr>
        <w:t>15</w:t>
      </w:r>
      <w:r>
        <w:rPr>
          <w:rFonts w:hint="eastAsia"/>
        </w:rPr>
        <w:t>日实施）</w:t>
      </w:r>
    </w:p>
    <w:p w14:paraId="6CF5772E" w14:textId="77777777" w:rsidR="00EF4562" w:rsidRDefault="00000000">
      <w:pPr>
        <w:pStyle w:val="af"/>
        <w:numPr>
          <w:ilvl w:val="0"/>
          <w:numId w:val="13"/>
        </w:numPr>
        <w:ind w:left="0" w:firstLine="560"/>
      </w:pPr>
      <w:r>
        <w:rPr>
          <w:rFonts w:hint="eastAsia"/>
        </w:rPr>
        <w:t>《国家安全监管总局办公厅关于进一步加强加油站安全生产工作的通知》（安监总厅管三</w:t>
      </w:r>
      <w:r>
        <w:rPr>
          <w:rFonts w:hint="eastAsia"/>
        </w:rPr>
        <w:t>[2016]8</w:t>
      </w:r>
      <w:r>
        <w:rPr>
          <w:rFonts w:hint="eastAsia"/>
        </w:rPr>
        <w:t>号，</w:t>
      </w:r>
      <w:r>
        <w:rPr>
          <w:rFonts w:hint="eastAsia"/>
        </w:rPr>
        <w:t>2016</w:t>
      </w:r>
      <w:r>
        <w:rPr>
          <w:rFonts w:hint="eastAsia"/>
        </w:rPr>
        <w:t>年</w:t>
      </w:r>
      <w:r>
        <w:rPr>
          <w:rFonts w:hint="eastAsia"/>
        </w:rPr>
        <w:t>2</w:t>
      </w:r>
      <w:r>
        <w:rPr>
          <w:rFonts w:hint="eastAsia"/>
        </w:rPr>
        <w:t>月</w:t>
      </w:r>
      <w:r>
        <w:rPr>
          <w:rFonts w:hint="eastAsia"/>
        </w:rPr>
        <w:t>5</w:t>
      </w:r>
      <w:r>
        <w:rPr>
          <w:rFonts w:hint="eastAsia"/>
        </w:rPr>
        <w:t>日实施）</w:t>
      </w:r>
    </w:p>
    <w:p w14:paraId="1FEA0458" w14:textId="77777777" w:rsidR="00EF4562" w:rsidRDefault="00000000">
      <w:pPr>
        <w:pStyle w:val="af"/>
        <w:numPr>
          <w:ilvl w:val="0"/>
          <w:numId w:val="13"/>
        </w:numPr>
        <w:ind w:left="0" w:firstLine="560"/>
      </w:pPr>
      <w:r>
        <w:rPr>
          <w:rFonts w:hint="eastAsia"/>
        </w:rPr>
        <w:t>《国务院安全生产委员会关于印发</w:t>
      </w:r>
      <w:r>
        <w:rPr>
          <w:rFonts w:hint="eastAsia"/>
        </w:rPr>
        <w:t>&lt;</w:t>
      </w:r>
      <w:r>
        <w:rPr>
          <w:rFonts w:hint="eastAsia"/>
        </w:rPr>
        <w:t>全国危险化学品安全风险集中治理方案</w:t>
      </w:r>
      <w:r>
        <w:rPr>
          <w:rFonts w:hint="eastAsia"/>
        </w:rPr>
        <w:t>&gt;</w:t>
      </w:r>
      <w:r>
        <w:rPr>
          <w:rFonts w:hint="eastAsia"/>
        </w:rPr>
        <w:t>的通知》（安委</w:t>
      </w:r>
      <w:r>
        <w:rPr>
          <w:rFonts w:hint="eastAsia"/>
        </w:rPr>
        <w:t>[2021]12</w:t>
      </w:r>
      <w:r>
        <w:rPr>
          <w:rFonts w:hint="eastAsia"/>
        </w:rPr>
        <w:t>号，</w:t>
      </w:r>
      <w:r>
        <w:rPr>
          <w:rFonts w:hint="eastAsia"/>
        </w:rPr>
        <w:t>2021</w:t>
      </w:r>
      <w:r>
        <w:rPr>
          <w:rFonts w:hint="eastAsia"/>
        </w:rPr>
        <w:t>年</w:t>
      </w:r>
      <w:r>
        <w:rPr>
          <w:rFonts w:hint="eastAsia"/>
        </w:rPr>
        <w:t>12</w:t>
      </w:r>
      <w:r>
        <w:rPr>
          <w:rFonts w:hint="eastAsia"/>
        </w:rPr>
        <w:t>月</w:t>
      </w:r>
      <w:r>
        <w:rPr>
          <w:rFonts w:hint="eastAsia"/>
        </w:rPr>
        <w:t>31</w:t>
      </w:r>
      <w:r>
        <w:rPr>
          <w:rFonts w:hint="eastAsia"/>
        </w:rPr>
        <w:t>日实施）</w:t>
      </w:r>
    </w:p>
    <w:p w14:paraId="6FB55558" w14:textId="77777777" w:rsidR="00EF4562" w:rsidRDefault="00000000">
      <w:pPr>
        <w:pStyle w:val="af"/>
        <w:numPr>
          <w:ilvl w:val="0"/>
          <w:numId w:val="13"/>
        </w:numPr>
        <w:ind w:left="0" w:firstLine="560"/>
      </w:pPr>
      <w:r>
        <w:rPr>
          <w:rFonts w:hint="eastAsia"/>
        </w:rPr>
        <w:t>《国务院安全生产委员会印发</w:t>
      </w:r>
      <w:r>
        <w:rPr>
          <w:rFonts w:hint="eastAsia"/>
        </w:rPr>
        <w:t>&lt;</w:t>
      </w:r>
      <w:r>
        <w:rPr>
          <w:rFonts w:hint="eastAsia"/>
        </w:rPr>
        <w:t>关于进一步强化安全生产责任落实坚决防范遏制重特大事故的若干措施</w:t>
      </w:r>
      <w:r>
        <w:rPr>
          <w:rFonts w:hint="eastAsia"/>
        </w:rPr>
        <w:t>&gt;</w:t>
      </w:r>
      <w:r>
        <w:rPr>
          <w:rFonts w:hint="eastAsia"/>
        </w:rPr>
        <w:t>》的通知（安委</w:t>
      </w:r>
      <w:r>
        <w:rPr>
          <w:rFonts w:hint="eastAsia"/>
        </w:rPr>
        <w:t>[2022]6</w:t>
      </w:r>
      <w:r>
        <w:rPr>
          <w:rFonts w:hint="eastAsia"/>
        </w:rPr>
        <w:t>号，</w:t>
      </w:r>
      <w:r>
        <w:rPr>
          <w:rFonts w:hint="eastAsia"/>
        </w:rPr>
        <w:t>2022</w:t>
      </w:r>
      <w:r>
        <w:rPr>
          <w:rFonts w:hint="eastAsia"/>
        </w:rPr>
        <w:t>年</w:t>
      </w:r>
      <w:r>
        <w:rPr>
          <w:rFonts w:hint="eastAsia"/>
        </w:rPr>
        <w:t>4</w:t>
      </w:r>
      <w:r>
        <w:rPr>
          <w:rFonts w:hint="eastAsia"/>
        </w:rPr>
        <w:t>月</w:t>
      </w:r>
      <w:r>
        <w:rPr>
          <w:rFonts w:hint="eastAsia"/>
        </w:rPr>
        <w:t>2</w:t>
      </w:r>
      <w:r>
        <w:rPr>
          <w:rFonts w:hint="eastAsia"/>
        </w:rPr>
        <w:t>日实施）</w:t>
      </w:r>
    </w:p>
    <w:p w14:paraId="1A9805B6" w14:textId="77777777" w:rsidR="00EF4562" w:rsidRDefault="00000000">
      <w:pPr>
        <w:pStyle w:val="af"/>
        <w:numPr>
          <w:ilvl w:val="0"/>
          <w:numId w:val="13"/>
        </w:numPr>
        <w:ind w:left="0" w:firstLine="560"/>
      </w:pPr>
      <w:r>
        <w:rPr>
          <w:rFonts w:hint="eastAsia"/>
        </w:rPr>
        <w:t>《关于印发</w:t>
      </w:r>
      <w:r>
        <w:rPr>
          <w:rFonts w:hint="eastAsia"/>
        </w:rPr>
        <w:t>&lt;</w:t>
      </w:r>
      <w:r>
        <w:rPr>
          <w:rFonts w:hint="eastAsia"/>
        </w:rPr>
        <w:t>企业安全生产费用提取和使用管理办法</w:t>
      </w:r>
      <w:r>
        <w:rPr>
          <w:rFonts w:hint="eastAsia"/>
        </w:rPr>
        <w:t>&gt;</w:t>
      </w:r>
      <w:r>
        <w:rPr>
          <w:rFonts w:hint="eastAsia"/>
        </w:rPr>
        <w:t>的通知》（财政部</w:t>
      </w:r>
      <w:r>
        <w:rPr>
          <w:rFonts w:hint="eastAsia"/>
        </w:rPr>
        <w:t xml:space="preserve"> </w:t>
      </w:r>
      <w:r>
        <w:rPr>
          <w:rFonts w:hint="eastAsia"/>
        </w:rPr>
        <w:t>应急部</w:t>
      </w:r>
      <w:r>
        <w:rPr>
          <w:rFonts w:hint="eastAsia"/>
        </w:rPr>
        <w:t xml:space="preserve"> </w:t>
      </w:r>
      <w:r>
        <w:rPr>
          <w:rFonts w:hint="eastAsia"/>
        </w:rPr>
        <w:t>财资〔</w:t>
      </w:r>
      <w:r>
        <w:rPr>
          <w:rFonts w:hint="eastAsia"/>
        </w:rPr>
        <w:t>2022</w:t>
      </w:r>
      <w:r>
        <w:rPr>
          <w:rFonts w:hint="eastAsia"/>
        </w:rPr>
        <w:t>〕</w:t>
      </w:r>
      <w:r>
        <w:rPr>
          <w:rFonts w:hint="eastAsia"/>
        </w:rPr>
        <w:t>136</w:t>
      </w:r>
      <w:r>
        <w:rPr>
          <w:rFonts w:hint="eastAsia"/>
        </w:rPr>
        <w:t>号，</w:t>
      </w:r>
      <w:r>
        <w:rPr>
          <w:rFonts w:hint="eastAsia"/>
        </w:rPr>
        <w:t>2022</w:t>
      </w:r>
      <w:r>
        <w:rPr>
          <w:rFonts w:hint="eastAsia"/>
        </w:rPr>
        <w:t>年</w:t>
      </w:r>
      <w:r>
        <w:rPr>
          <w:rFonts w:hint="eastAsia"/>
        </w:rPr>
        <w:t>11</w:t>
      </w:r>
      <w:r>
        <w:rPr>
          <w:rFonts w:hint="eastAsia"/>
        </w:rPr>
        <w:t>月</w:t>
      </w:r>
      <w:r>
        <w:rPr>
          <w:rFonts w:hint="eastAsia"/>
        </w:rPr>
        <w:t>21</w:t>
      </w:r>
      <w:r>
        <w:rPr>
          <w:rFonts w:hint="eastAsia"/>
        </w:rPr>
        <w:t>日实施）</w:t>
      </w:r>
    </w:p>
    <w:p w14:paraId="551FCA98" w14:textId="77777777" w:rsidR="00EF4562" w:rsidRDefault="00000000">
      <w:pPr>
        <w:pStyle w:val="af"/>
        <w:numPr>
          <w:ilvl w:val="0"/>
          <w:numId w:val="13"/>
        </w:numPr>
        <w:ind w:left="0" w:firstLine="560"/>
      </w:pPr>
      <w:r>
        <w:rPr>
          <w:rFonts w:hint="eastAsia"/>
        </w:rPr>
        <w:t>《产业结构调整指导目录（</w:t>
      </w:r>
      <w:r>
        <w:rPr>
          <w:rFonts w:hint="eastAsia"/>
        </w:rPr>
        <w:t>2024</w:t>
      </w:r>
      <w:r>
        <w:rPr>
          <w:rFonts w:hint="eastAsia"/>
        </w:rPr>
        <w:t>年本）》（中华人民共和国国家发展和改革委员会令</w:t>
      </w:r>
      <w:r>
        <w:rPr>
          <w:rFonts w:hint="eastAsia"/>
        </w:rPr>
        <w:t>[2023]</w:t>
      </w:r>
      <w:r>
        <w:rPr>
          <w:rFonts w:hint="eastAsia"/>
        </w:rPr>
        <w:t>第</w:t>
      </w:r>
      <w:r>
        <w:rPr>
          <w:rFonts w:hint="eastAsia"/>
        </w:rPr>
        <w:t>7</w:t>
      </w:r>
      <w:r>
        <w:rPr>
          <w:rFonts w:hint="eastAsia"/>
        </w:rPr>
        <w:t>号，</w:t>
      </w:r>
      <w:r>
        <w:rPr>
          <w:rFonts w:hint="eastAsia"/>
        </w:rPr>
        <w:t>2024</w:t>
      </w:r>
      <w:r>
        <w:rPr>
          <w:rFonts w:hint="eastAsia"/>
        </w:rPr>
        <w:t>年</w:t>
      </w:r>
      <w:r>
        <w:rPr>
          <w:rFonts w:hint="eastAsia"/>
        </w:rPr>
        <w:t>2</w:t>
      </w:r>
      <w:r>
        <w:rPr>
          <w:rFonts w:hint="eastAsia"/>
        </w:rPr>
        <w:t>月</w:t>
      </w:r>
      <w:r>
        <w:rPr>
          <w:rFonts w:hint="eastAsia"/>
        </w:rPr>
        <w:t>1</w:t>
      </w:r>
      <w:r>
        <w:rPr>
          <w:rFonts w:hint="eastAsia"/>
        </w:rPr>
        <w:t>日实施）</w:t>
      </w:r>
    </w:p>
    <w:p w14:paraId="3FABFAE4" w14:textId="77777777" w:rsidR="00EF4562" w:rsidRDefault="00000000">
      <w:pPr>
        <w:pStyle w:val="af"/>
        <w:numPr>
          <w:ilvl w:val="0"/>
          <w:numId w:val="13"/>
        </w:numPr>
        <w:ind w:left="0" w:firstLine="560"/>
      </w:pPr>
      <w:r>
        <w:rPr>
          <w:rFonts w:hint="eastAsia"/>
        </w:rPr>
        <w:t>《应急管理部办公厅关于印发</w:t>
      </w:r>
      <w:r>
        <w:rPr>
          <w:rFonts w:hint="eastAsia"/>
        </w:rPr>
        <w:t>&lt;</w:t>
      </w:r>
      <w:r>
        <w:rPr>
          <w:rFonts w:hint="eastAsia"/>
        </w:rPr>
        <w:t>淘汏落后危险化学品安全生产工艺设备目录（第一批）</w:t>
      </w:r>
      <w:r>
        <w:rPr>
          <w:rFonts w:hint="eastAsia"/>
        </w:rPr>
        <w:t>&gt;</w:t>
      </w:r>
      <w:r>
        <w:rPr>
          <w:rFonts w:hint="eastAsia"/>
        </w:rPr>
        <w:t>的通知》（应急</w:t>
      </w:r>
      <w:r>
        <w:rPr>
          <w:rFonts w:hint="eastAsia"/>
        </w:rPr>
        <w:t>[2020]38</w:t>
      </w:r>
      <w:r>
        <w:rPr>
          <w:rFonts w:hint="eastAsia"/>
        </w:rPr>
        <w:t>号，</w:t>
      </w:r>
      <w:r>
        <w:t>2020</w:t>
      </w:r>
      <w:r>
        <w:rPr>
          <w:rFonts w:hint="eastAsia"/>
        </w:rPr>
        <w:t>年</w:t>
      </w:r>
      <w:r>
        <w:t>10</w:t>
      </w:r>
      <w:r>
        <w:rPr>
          <w:rFonts w:hint="eastAsia"/>
        </w:rPr>
        <w:t>月</w:t>
      </w:r>
      <w:r>
        <w:t>23</w:t>
      </w:r>
      <w:r>
        <w:rPr>
          <w:rFonts w:hint="eastAsia"/>
        </w:rPr>
        <w:t>日实施）</w:t>
      </w:r>
    </w:p>
    <w:p w14:paraId="43C4D638" w14:textId="77777777" w:rsidR="00EF4562" w:rsidRDefault="00000000">
      <w:pPr>
        <w:pStyle w:val="af"/>
        <w:numPr>
          <w:ilvl w:val="0"/>
          <w:numId w:val="13"/>
        </w:numPr>
        <w:ind w:left="0" w:firstLine="560"/>
      </w:pPr>
      <w:r>
        <w:rPr>
          <w:rFonts w:hint="eastAsia"/>
        </w:rPr>
        <w:t>《应急管理部办公厅关于印发淘汰落后危险化学品安全生产工艺技术设备目录（第二批）的通知》（应急厅</w:t>
      </w:r>
      <w:r>
        <w:rPr>
          <w:rFonts w:hint="eastAsia"/>
        </w:rPr>
        <w:t>[2024]86</w:t>
      </w:r>
      <w:r>
        <w:rPr>
          <w:rFonts w:hint="eastAsia"/>
        </w:rPr>
        <w:t>号，</w:t>
      </w:r>
      <w:r>
        <w:t>2024</w:t>
      </w:r>
      <w:r>
        <w:rPr>
          <w:rFonts w:hint="eastAsia"/>
        </w:rPr>
        <w:t>年</w:t>
      </w:r>
      <w:r>
        <w:t>03</w:t>
      </w:r>
      <w:r>
        <w:rPr>
          <w:rFonts w:hint="eastAsia"/>
        </w:rPr>
        <w:t>月</w:t>
      </w:r>
      <w:r>
        <w:t>08</w:t>
      </w:r>
      <w:r>
        <w:rPr>
          <w:rFonts w:hint="eastAsia"/>
        </w:rPr>
        <w:t>日实施）</w:t>
      </w:r>
    </w:p>
    <w:p w14:paraId="715AF091" w14:textId="77777777" w:rsidR="00EF4562" w:rsidRDefault="00000000">
      <w:pPr>
        <w:pStyle w:val="af"/>
        <w:numPr>
          <w:ilvl w:val="0"/>
          <w:numId w:val="13"/>
        </w:numPr>
        <w:ind w:left="0" w:firstLine="560"/>
      </w:pPr>
      <w:r>
        <w:rPr>
          <w:rFonts w:hint="eastAsia"/>
        </w:rPr>
        <w:t>《关于进一步加强企业安全生产工作的通知》（国务院国发</w:t>
      </w:r>
      <w:r>
        <w:rPr>
          <w:rFonts w:hint="eastAsia"/>
        </w:rPr>
        <w:t>[2010]23</w:t>
      </w:r>
      <w:r>
        <w:rPr>
          <w:rFonts w:hint="eastAsia"/>
        </w:rPr>
        <w:t>号，</w:t>
      </w:r>
      <w:r>
        <w:rPr>
          <w:rFonts w:hint="eastAsia"/>
        </w:rPr>
        <w:t>2010</w:t>
      </w:r>
      <w:r>
        <w:rPr>
          <w:rFonts w:hint="eastAsia"/>
        </w:rPr>
        <w:t>年</w:t>
      </w:r>
      <w:r>
        <w:rPr>
          <w:rFonts w:hint="eastAsia"/>
        </w:rPr>
        <w:t>7</w:t>
      </w:r>
      <w:r>
        <w:rPr>
          <w:rFonts w:hint="eastAsia"/>
        </w:rPr>
        <w:t>月</w:t>
      </w:r>
      <w:r>
        <w:rPr>
          <w:rFonts w:hint="eastAsia"/>
        </w:rPr>
        <w:t>19</w:t>
      </w:r>
      <w:r>
        <w:rPr>
          <w:rFonts w:hint="eastAsia"/>
        </w:rPr>
        <w:t>日实施）</w:t>
      </w:r>
    </w:p>
    <w:p w14:paraId="48CBDCCB" w14:textId="77777777" w:rsidR="00EF4562" w:rsidRDefault="00000000">
      <w:pPr>
        <w:pStyle w:val="af"/>
        <w:numPr>
          <w:ilvl w:val="0"/>
          <w:numId w:val="13"/>
        </w:numPr>
        <w:ind w:left="0" w:firstLine="560"/>
      </w:pPr>
      <w:r>
        <w:rPr>
          <w:rFonts w:hint="eastAsia"/>
        </w:rPr>
        <w:t>《国务院办公厅关于进一步做好防雷减灾工作的通知》（国办发明电</w:t>
      </w:r>
      <w:r>
        <w:rPr>
          <w:rFonts w:hint="eastAsia"/>
        </w:rPr>
        <w:t>[2006]28</w:t>
      </w:r>
      <w:r>
        <w:rPr>
          <w:rFonts w:hint="eastAsia"/>
        </w:rPr>
        <w:t>号，</w:t>
      </w:r>
      <w:r>
        <w:t>2006</w:t>
      </w:r>
      <w:r>
        <w:rPr>
          <w:rFonts w:hint="eastAsia"/>
        </w:rPr>
        <w:t>年</w:t>
      </w:r>
      <w:r>
        <w:t>07</w:t>
      </w:r>
      <w:r>
        <w:rPr>
          <w:rFonts w:hint="eastAsia"/>
        </w:rPr>
        <w:t>月</w:t>
      </w:r>
      <w:r>
        <w:t>05</w:t>
      </w:r>
      <w:r>
        <w:rPr>
          <w:rFonts w:hint="eastAsia"/>
        </w:rPr>
        <w:t>日实施）</w:t>
      </w:r>
    </w:p>
    <w:p w14:paraId="4FE223CC" w14:textId="77777777" w:rsidR="00EF4562" w:rsidRDefault="00000000">
      <w:pPr>
        <w:pStyle w:val="af"/>
        <w:numPr>
          <w:ilvl w:val="0"/>
          <w:numId w:val="13"/>
        </w:numPr>
        <w:ind w:left="0" w:firstLine="560"/>
      </w:pPr>
      <w:r>
        <w:rPr>
          <w:rFonts w:hint="eastAsia"/>
        </w:rPr>
        <w:t>《防雷减灾管理办法》（中国气象局令</w:t>
      </w:r>
      <w:r>
        <w:rPr>
          <w:rFonts w:hint="eastAsia"/>
        </w:rPr>
        <w:t>[2025]</w:t>
      </w:r>
      <w:r>
        <w:rPr>
          <w:rFonts w:hint="eastAsia"/>
        </w:rPr>
        <w:t>第</w:t>
      </w:r>
      <w:r>
        <w:rPr>
          <w:rFonts w:hint="eastAsia"/>
        </w:rPr>
        <w:t>44</w:t>
      </w:r>
      <w:r>
        <w:rPr>
          <w:rFonts w:hint="eastAsia"/>
        </w:rPr>
        <w:t>号，</w:t>
      </w:r>
      <w:r>
        <w:t>2025</w:t>
      </w:r>
      <w:r>
        <w:rPr>
          <w:rFonts w:hint="eastAsia"/>
        </w:rPr>
        <w:t>年</w:t>
      </w:r>
      <w:r>
        <w:t>06</w:t>
      </w:r>
      <w:r>
        <w:rPr>
          <w:rFonts w:hint="eastAsia"/>
        </w:rPr>
        <w:t>月</w:t>
      </w:r>
      <w:r>
        <w:t>01</w:t>
      </w:r>
      <w:r>
        <w:rPr>
          <w:rFonts w:hint="eastAsia"/>
        </w:rPr>
        <w:t>日实施）</w:t>
      </w:r>
    </w:p>
    <w:p w14:paraId="318430F6" w14:textId="77777777" w:rsidR="00EF4562" w:rsidRDefault="00000000">
      <w:pPr>
        <w:pStyle w:val="af"/>
        <w:numPr>
          <w:ilvl w:val="0"/>
          <w:numId w:val="13"/>
        </w:numPr>
        <w:ind w:left="0" w:firstLine="560"/>
      </w:pPr>
      <w:r>
        <w:rPr>
          <w:rFonts w:hint="eastAsia"/>
        </w:rPr>
        <w:t>《国务院安委会办公室关于学好用好重大事故隐患判定标准的通</w:t>
      </w:r>
      <w:r>
        <w:rPr>
          <w:rFonts w:hint="eastAsia"/>
        </w:rPr>
        <w:lastRenderedPageBreak/>
        <w:t>知》（安委</w:t>
      </w:r>
      <w:r>
        <w:rPr>
          <w:rFonts w:hint="eastAsia"/>
        </w:rPr>
        <w:t>[2024]2</w:t>
      </w:r>
      <w:r>
        <w:rPr>
          <w:rFonts w:hint="eastAsia"/>
        </w:rPr>
        <w:t>号，</w:t>
      </w:r>
      <w:r>
        <w:rPr>
          <w:rFonts w:hint="eastAsia"/>
        </w:rPr>
        <w:t>2024</w:t>
      </w:r>
      <w:r>
        <w:rPr>
          <w:rFonts w:hint="eastAsia"/>
        </w:rPr>
        <w:t>年</w:t>
      </w:r>
      <w:r>
        <w:rPr>
          <w:rFonts w:hint="eastAsia"/>
        </w:rPr>
        <w:t>4</w:t>
      </w:r>
      <w:r>
        <w:rPr>
          <w:rFonts w:hint="eastAsia"/>
        </w:rPr>
        <w:t>月</w:t>
      </w:r>
      <w:r>
        <w:rPr>
          <w:rFonts w:hint="eastAsia"/>
        </w:rPr>
        <w:t>9</w:t>
      </w:r>
      <w:r>
        <w:rPr>
          <w:rFonts w:hint="eastAsia"/>
        </w:rPr>
        <w:t>日实施）</w:t>
      </w:r>
    </w:p>
    <w:p w14:paraId="37571DC4" w14:textId="77777777" w:rsidR="00EF4562" w:rsidRDefault="00000000">
      <w:pPr>
        <w:pStyle w:val="af"/>
        <w:numPr>
          <w:ilvl w:val="0"/>
          <w:numId w:val="13"/>
        </w:numPr>
        <w:ind w:left="0" w:firstLine="560"/>
      </w:pPr>
      <w:r>
        <w:rPr>
          <w:rFonts w:hint="eastAsia"/>
        </w:rPr>
        <w:t>《国务院安委会办公室、应急管理部关于开展</w:t>
      </w:r>
      <w:r>
        <w:rPr>
          <w:rFonts w:hint="eastAsia"/>
        </w:rPr>
        <w:t>2025</w:t>
      </w:r>
      <w:r>
        <w:rPr>
          <w:rFonts w:hint="eastAsia"/>
        </w:rPr>
        <w:t>年全国“安全生产月”活动的通知》（安委办〔</w:t>
      </w:r>
      <w:r>
        <w:rPr>
          <w:rFonts w:hint="eastAsia"/>
        </w:rPr>
        <w:t>2025</w:t>
      </w:r>
      <w:r>
        <w:rPr>
          <w:rFonts w:hint="eastAsia"/>
        </w:rPr>
        <w:t>〕</w:t>
      </w:r>
      <w:r>
        <w:rPr>
          <w:rFonts w:hint="eastAsia"/>
        </w:rPr>
        <w:t>1</w:t>
      </w:r>
      <w:r>
        <w:rPr>
          <w:rFonts w:hint="eastAsia"/>
        </w:rPr>
        <w:t>号，</w:t>
      </w:r>
      <w:r>
        <w:rPr>
          <w:rFonts w:hint="eastAsia"/>
        </w:rPr>
        <w:t>2025</w:t>
      </w:r>
      <w:r>
        <w:rPr>
          <w:rFonts w:hint="eastAsia"/>
        </w:rPr>
        <w:t>年</w:t>
      </w:r>
      <w:r>
        <w:rPr>
          <w:rFonts w:hint="eastAsia"/>
        </w:rPr>
        <w:t>04</w:t>
      </w:r>
      <w:r>
        <w:rPr>
          <w:rFonts w:hint="eastAsia"/>
        </w:rPr>
        <w:t>月</w:t>
      </w:r>
      <w:r>
        <w:rPr>
          <w:rFonts w:hint="eastAsia"/>
        </w:rPr>
        <w:t>22</w:t>
      </w:r>
      <w:r>
        <w:rPr>
          <w:rFonts w:hint="eastAsia"/>
        </w:rPr>
        <w:t>日实施）</w:t>
      </w:r>
    </w:p>
    <w:p w14:paraId="241DBE39" w14:textId="77777777" w:rsidR="00EF4562" w:rsidRDefault="00000000">
      <w:pPr>
        <w:pStyle w:val="af"/>
        <w:numPr>
          <w:ilvl w:val="0"/>
          <w:numId w:val="13"/>
        </w:numPr>
        <w:ind w:left="0" w:firstLine="560"/>
      </w:pPr>
      <w:r>
        <w:rPr>
          <w:rFonts w:hint="eastAsia"/>
        </w:rPr>
        <w:t>《</w:t>
      </w:r>
      <w:bookmarkStart w:id="57" w:name="OLE_LINK21"/>
      <w:r>
        <w:rPr>
          <w:rFonts w:hint="eastAsia"/>
        </w:rPr>
        <w:t>应急管理部办公厅关于印发</w:t>
      </w:r>
      <w:r>
        <w:rPr>
          <w:rFonts w:hint="eastAsia"/>
        </w:rPr>
        <w:t>2024</w:t>
      </w:r>
      <w:r>
        <w:rPr>
          <w:rFonts w:hint="eastAsia"/>
        </w:rPr>
        <w:t>年危险化学品安全监管工作要点及有关工作方案的通知</w:t>
      </w:r>
      <w:bookmarkEnd w:id="57"/>
      <w:r>
        <w:rPr>
          <w:rFonts w:hint="eastAsia"/>
        </w:rPr>
        <w:t>》（应急厅函</w:t>
      </w:r>
      <w:r>
        <w:rPr>
          <w:rFonts w:hint="eastAsia"/>
        </w:rPr>
        <w:t>[2024]81</w:t>
      </w:r>
      <w:r>
        <w:rPr>
          <w:rFonts w:hint="eastAsia"/>
        </w:rPr>
        <w:t>号，</w:t>
      </w:r>
      <w:r>
        <w:rPr>
          <w:rFonts w:hint="eastAsia"/>
        </w:rPr>
        <w:t>2024</w:t>
      </w:r>
      <w:r>
        <w:rPr>
          <w:rFonts w:hint="eastAsia"/>
        </w:rPr>
        <w:t>年</w:t>
      </w:r>
      <w:r>
        <w:rPr>
          <w:rFonts w:hint="eastAsia"/>
        </w:rPr>
        <w:t>2</w:t>
      </w:r>
      <w:r>
        <w:rPr>
          <w:rFonts w:hint="eastAsia"/>
        </w:rPr>
        <w:t>月</w:t>
      </w:r>
      <w:r>
        <w:rPr>
          <w:rFonts w:hint="eastAsia"/>
        </w:rPr>
        <w:t>22</w:t>
      </w:r>
      <w:r>
        <w:rPr>
          <w:rFonts w:hint="eastAsia"/>
        </w:rPr>
        <w:t>日实施）</w:t>
      </w:r>
    </w:p>
    <w:p w14:paraId="24175844" w14:textId="77777777" w:rsidR="00EF4562" w:rsidRDefault="00000000">
      <w:pPr>
        <w:pStyle w:val="af"/>
        <w:numPr>
          <w:ilvl w:val="0"/>
          <w:numId w:val="13"/>
        </w:numPr>
        <w:ind w:left="0" w:firstLine="560"/>
      </w:pPr>
      <w:r>
        <w:rPr>
          <w:rFonts w:hint="eastAsia"/>
        </w:rPr>
        <w:t>《国务院办公厅关于推动成品油流通高质量发展的意见》（国办发</w:t>
      </w:r>
      <w:r>
        <w:rPr>
          <w:rFonts w:hint="eastAsia"/>
        </w:rPr>
        <w:t>[2025]5</w:t>
      </w:r>
      <w:r>
        <w:rPr>
          <w:rFonts w:hint="eastAsia"/>
        </w:rPr>
        <w:t>号，</w:t>
      </w:r>
      <w:r>
        <w:rPr>
          <w:rFonts w:hint="eastAsia"/>
        </w:rPr>
        <w:t>2025</w:t>
      </w:r>
      <w:r>
        <w:rPr>
          <w:rFonts w:hint="eastAsia"/>
        </w:rPr>
        <w:t>年</w:t>
      </w:r>
      <w:r>
        <w:rPr>
          <w:rFonts w:hint="eastAsia"/>
        </w:rPr>
        <w:t>1</w:t>
      </w:r>
      <w:r>
        <w:rPr>
          <w:rFonts w:hint="eastAsia"/>
        </w:rPr>
        <w:t>月</w:t>
      </w:r>
      <w:r>
        <w:rPr>
          <w:rFonts w:hint="eastAsia"/>
        </w:rPr>
        <w:t>27</w:t>
      </w:r>
      <w:r>
        <w:rPr>
          <w:rFonts w:hint="eastAsia"/>
        </w:rPr>
        <w:t>日实施）</w:t>
      </w:r>
    </w:p>
    <w:p w14:paraId="2EA1EE17"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58" w:name="_Toc207695658"/>
      <w:r>
        <w:rPr>
          <w:rFonts w:eastAsia="楷体" w:cs="Times New Roman"/>
          <w:b/>
          <w:bCs/>
          <w:sz w:val="32"/>
          <w:szCs w:val="32"/>
        </w:rPr>
        <w:t>A.3</w:t>
      </w:r>
      <w:r>
        <w:rPr>
          <w:rFonts w:ascii="楷体" w:eastAsia="楷体" w:hAnsi="楷体" w:hint="eastAsia"/>
          <w:b/>
          <w:bCs/>
          <w:sz w:val="32"/>
          <w:szCs w:val="32"/>
        </w:rPr>
        <w:t>地方法规、规章和文件</w:t>
      </w:r>
      <w:bookmarkEnd w:id="58"/>
    </w:p>
    <w:p w14:paraId="1537A37A" w14:textId="77777777" w:rsidR="00EF4562" w:rsidRDefault="00000000">
      <w:pPr>
        <w:pStyle w:val="af"/>
        <w:numPr>
          <w:ilvl w:val="0"/>
          <w:numId w:val="14"/>
        </w:numPr>
        <w:ind w:left="0" w:firstLine="560"/>
      </w:pPr>
      <w:r>
        <w:rPr>
          <w:rFonts w:hint="eastAsia"/>
        </w:rPr>
        <w:t>《辽宁省安全生产条例》（辽宁省人民代表大会常务委员会公告〔</w:t>
      </w:r>
      <w:r>
        <w:rPr>
          <w:rFonts w:hint="eastAsia"/>
        </w:rPr>
        <w:t>2025</w:t>
      </w:r>
      <w:r>
        <w:rPr>
          <w:rFonts w:hint="eastAsia"/>
        </w:rPr>
        <w:t>〕第</w:t>
      </w:r>
      <w:r>
        <w:rPr>
          <w:rFonts w:hint="eastAsia"/>
        </w:rPr>
        <w:t>34</w:t>
      </w:r>
      <w:r>
        <w:rPr>
          <w:rFonts w:hint="eastAsia"/>
        </w:rPr>
        <w:t>号，</w:t>
      </w:r>
      <w:r>
        <w:rPr>
          <w:rFonts w:hint="eastAsia"/>
        </w:rPr>
        <w:t>2025</w:t>
      </w:r>
      <w:r>
        <w:rPr>
          <w:rFonts w:hint="eastAsia"/>
        </w:rPr>
        <w:t>年</w:t>
      </w:r>
      <w:r>
        <w:rPr>
          <w:rFonts w:hint="eastAsia"/>
        </w:rPr>
        <w:t>05</w:t>
      </w:r>
      <w:r>
        <w:rPr>
          <w:rFonts w:hint="eastAsia"/>
        </w:rPr>
        <w:t>月</w:t>
      </w:r>
      <w:r>
        <w:rPr>
          <w:rFonts w:hint="eastAsia"/>
        </w:rPr>
        <w:t>29</w:t>
      </w:r>
      <w:r>
        <w:rPr>
          <w:rFonts w:hint="eastAsia"/>
        </w:rPr>
        <w:t>日起施行）</w:t>
      </w:r>
    </w:p>
    <w:p w14:paraId="12873EDD" w14:textId="77777777" w:rsidR="00EF4562" w:rsidRDefault="00000000">
      <w:pPr>
        <w:pStyle w:val="af"/>
        <w:numPr>
          <w:ilvl w:val="0"/>
          <w:numId w:val="14"/>
        </w:numPr>
        <w:ind w:left="0" w:firstLine="560"/>
      </w:pPr>
      <w:r>
        <w:rPr>
          <w:rFonts w:hint="eastAsia"/>
        </w:rPr>
        <w:t>《辽宁省消防条例》（辽宁省人民代表大会常务委员会公告</w:t>
      </w:r>
      <w:r>
        <w:rPr>
          <w:rFonts w:hint="eastAsia"/>
        </w:rPr>
        <w:t>[2022]103</w:t>
      </w:r>
      <w:r>
        <w:rPr>
          <w:rFonts w:hint="eastAsia"/>
        </w:rPr>
        <w:t>号，</w:t>
      </w:r>
      <w:r>
        <w:rPr>
          <w:rFonts w:hint="eastAsia"/>
        </w:rPr>
        <w:t>2022</w:t>
      </w:r>
      <w:r>
        <w:rPr>
          <w:rFonts w:hint="eastAsia"/>
        </w:rPr>
        <w:t>年</w:t>
      </w:r>
      <w:r>
        <w:rPr>
          <w:rFonts w:hint="eastAsia"/>
        </w:rPr>
        <w:t>11</w:t>
      </w:r>
      <w:r>
        <w:rPr>
          <w:rFonts w:hint="eastAsia"/>
        </w:rPr>
        <w:t>月</w:t>
      </w:r>
      <w:r>
        <w:rPr>
          <w:rFonts w:hint="eastAsia"/>
        </w:rPr>
        <w:t>9</w:t>
      </w:r>
      <w:r>
        <w:rPr>
          <w:rFonts w:hint="eastAsia"/>
        </w:rPr>
        <w:t>日实施）</w:t>
      </w:r>
    </w:p>
    <w:p w14:paraId="698358F5" w14:textId="77777777" w:rsidR="00EF4562" w:rsidRDefault="00000000">
      <w:pPr>
        <w:pStyle w:val="af"/>
        <w:numPr>
          <w:ilvl w:val="0"/>
          <w:numId w:val="14"/>
        </w:numPr>
        <w:ind w:left="0" w:firstLine="560"/>
      </w:pPr>
      <w:r>
        <w:rPr>
          <w:rFonts w:hint="eastAsia"/>
        </w:rPr>
        <w:t>《辽宁省突发事件应对条例》（辽宁省人民代表大会常务委员会公告</w:t>
      </w:r>
      <w:r>
        <w:rPr>
          <w:rFonts w:hint="eastAsia"/>
        </w:rPr>
        <w:t>[2020]47</w:t>
      </w:r>
      <w:r>
        <w:rPr>
          <w:rFonts w:hint="eastAsia"/>
        </w:rPr>
        <w:t>号，</w:t>
      </w:r>
      <w:r>
        <w:rPr>
          <w:rFonts w:hint="eastAsia"/>
        </w:rPr>
        <w:t>2020</w:t>
      </w:r>
      <w:r>
        <w:rPr>
          <w:rFonts w:hint="eastAsia"/>
        </w:rPr>
        <w:t>年</w:t>
      </w:r>
      <w:r>
        <w:rPr>
          <w:rFonts w:hint="eastAsia"/>
        </w:rPr>
        <w:t>3</w:t>
      </w:r>
      <w:r>
        <w:rPr>
          <w:rFonts w:hint="eastAsia"/>
        </w:rPr>
        <w:t>月</w:t>
      </w:r>
      <w:r>
        <w:rPr>
          <w:rFonts w:hint="eastAsia"/>
        </w:rPr>
        <w:t>30</w:t>
      </w:r>
      <w:r>
        <w:rPr>
          <w:rFonts w:hint="eastAsia"/>
        </w:rPr>
        <w:t>日实施）</w:t>
      </w:r>
    </w:p>
    <w:p w14:paraId="6EF8A371" w14:textId="77777777" w:rsidR="00EF4562" w:rsidRDefault="00000000">
      <w:pPr>
        <w:pStyle w:val="af"/>
        <w:numPr>
          <w:ilvl w:val="0"/>
          <w:numId w:val="14"/>
        </w:numPr>
        <w:ind w:left="0" w:firstLine="560"/>
      </w:pPr>
      <w:r>
        <w:rPr>
          <w:rFonts w:hint="eastAsia"/>
        </w:rPr>
        <w:t>《辽宁省企业安全生产主体责任规定》（辽宁省人民政府令</w:t>
      </w:r>
      <w:r>
        <w:rPr>
          <w:rFonts w:hint="eastAsia"/>
        </w:rPr>
        <w:t>[2021]</w:t>
      </w:r>
      <w:r>
        <w:rPr>
          <w:rFonts w:hint="eastAsia"/>
        </w:rPr>
        <w:t>第</w:t>
      </w:r>
      <w:r>
        <w:rPr>
          <w:rFonts w:hint="eastAsia"/>
        </w:rPr>
        <w:t>341</w:t>
      </w:r>
      <w:r>
        <w:rPr>
          <w:rFonts w:hint="eastAsia"/>
        </w:rPr>
        <w:t>号，</w:t>
      </w:r>
      <w:r>
        <w:rPr>
          <w:rFonts w:hint="eastAsia"/>
        </w:rPr>
        <w:t>2021</w:t>
      </w:r>
      <w:r>
        <w:rPr>
          <w:rFonts w:hint="eastAsia"/>
        </w:rPr>
        <w:t>年</w:t>
      </w:r>
      <w:r>
        <w:rPr>
          <w:rFonts w:hint="eastAsia"/>
        </w:rPr>
        <w:t>5</w:t>
      </w:r>
      <w:r>
        <w:rPr>
          <w:rFonts w:hint="eastAsia"/>
        </w:rPr>
        <w:t>月</w:t>
      </w:r>
      <w:r>
        <w:rPr>
          <w:rFonts w:hint="eastAsia"/>
        </w:rPr>
        <w:t>18</w:t>
      </w:r>
      <w:r>
        <w:rPr>
          <w:rFonts w:hint="eastAsia"/>
        </w:rPr>
        <w:t>日实施）</w:t>
      </w:r>
    </w:p>
    <w:p w14:paraId="53A30A3B" w14:textId="77777777" w:rsidR="00EF4562" w:rsidRDefault="00000000">
      <w:pPr>
        <w:pStyle w:val="af"/>
        <w:numPr>
          <w:ilvl w:val="0"/>
          <w:numId w:val="14"/>
        </w:numPr>
        <w:ind w:left="0" w:firstLine="560"/>
      </w:pPr>
      <w:r>
        <w:rPr>
          <w:rFonts w:hint="eastAsia"/>
        </w:rPr>
        <w:t>《辽宁省建设项目安全设施监督管理办法》（辽宁省人民政府令</w:t>
      </w:r>
      <w:r>
        <w:rPr>
          <w:rFonts w:hint="eastAsia"/>
        </w:rPr>
        <w:t>[2021]</w:t>
      </w:r>
      <w:r>
        <w:rPr>
          <w:rFonts w:hint="eastAsia"/>
        </w:rPr>
        <w:t>第</w:t>
      </w:r>
      <w:r>
        <w:rPr>
          <w:rFonts w:hint="eastAsia"/>
        </w:rPr>
        <w:t>341</w:t>
      </w:r>
      <w:r>
        <w:rPr>
          <w:rFonts w:hint="eastAsia"/>
        </w:rPr>
        <w:t>号，</w:t>
      </w:r>
      <w:r>
        <w:rPr>
          <w:rFonts w:hint="eastAsia"/>
        </w:rPr>
        <w:t>2021</w:t>
      </w:r>
      <w:r>
        <w:rPr>
          <w:rFonts w:hint="eastAsia"/>
        </w:rPr>
        <w:t>年</w:t>
      </w:r>
      <w:r>
        <w:rPr>
          <w:rFonts w:hint="eastAsia"/>
        </w:rPr>
        <w:t>5</w:t>
      </w:r>
      <w:r>
        <w:rPr>
          <w:rFonts w:hint="eastAsia"/>
        </w:rPr>
        <w:t>月</w:t>
      </w:r>
      <w:r>
        <w:rPr>
          <w:rFonts w:hint="eastAsia"/>
        </w:rPr>
        <w:t>18</w:t>
      </w:r>
      <w:r>
        <w:rPr>
          <w:rFonts w:hint="eastAsia"/>
        </w:rPr>
        <w:t>日实施）</w:t>
      </w:r>
    </w:p>
    <w:p w14:paraId="30CC4DBB" w14:textId="77777777" w:rsidR="00EF4562" w:rsidRDefault="00000000">
      <w:pPr>
        <w:pStyle w:val="af"/>
        <w:numPr>
          <w:ilvl w:val="0"/>
          <w:numId w:val="14"/>
        </w:numPr>
        <w:ind w:left="0" w:firstLine="560"/>
      </w:pPr>
      <w:r>
        <w:rPr>
          <w:rFonts w:hint="eastAsia"/>
        </w:rPr>
        <w:t>《辽宁省雷电灾害防御管理规定》（辽宁省人民政府令</w:t>
      </w:r>
      <w:r>
        <w:rPr>
          <w:rFonts w:hint="eastAsia"/>
        </w:rPr>
        <w:t>[2018]</w:t>
      </w:r>
      <w:r>
        <w:rPr>
          <w:rFonts w:hint="eastAsia"/>
        </w:rPr>
        <w:t>第</w:t>
      </w:r>
      <w:r>
        <w:rPr>
          <w:rFonts w:hint="eastAsia"/>
        </w:rPr>
        <w:t>324</w:t>
      </w:r>
      <w:r>
        <w:rPr>
          <w:rFonts w:hint="eastAsia"/>
        </w:rPr>
        <w:t>号，</w:t>
      </w:r>
      <w:r>
        <w:rPr>
          <w:rFonts w:hint="eastAsia"/>
        </w:rPr>
        <w:t>2018</w:t>
      </w:r>
      <w:r>
        <w:rPr>
          <w:rFonts w:hint="eastAsia"/>
        </w:rPr>
        <w:t>年</w:t>
      </w:r>
      <w:r>
        <w:rPr>
          <w:rFonts w:hint="eastAsia"/>
        </w:rPr>
        <w:t>12</w:t>
      </w:r>
      <w:r>
        <w:rPr>
          <w:rFonts w:hint="eastAsia"/>
        </w:rPr>
        <w:t>月</w:t>
      </w:r>
      <w:r>
        <w:rPr>
          <w:rFonts w:hint="eastAsia"/>
        </w:rPr>
        <w:t>4</w:t>
      </w:r>
      <w:r>
        <w:rPr>
          <w:rFonts w:hint="eastAsia"/>
        </w:rPr>
        <w:t>日实施）</w:t>
      </w:r>
    </w:p>
    <w:p w14:paraId="28CEBFAC" w14:textId="77777777" w:rsidR="00EF4562" w:rsidRDefault="00000000">
      <w:pPr>
        <w:pStyle w:val="af"/>
        <w:numPr>
          <w:ilvl w:val="0"/>
          <w:numId w:val="14"/>
        </w:numPr>
        <w:ind w:left="0" w:firstLine="560"/>
      </w:pPr>
      <w:r>
        <w:rPr>
          <w:rFonts w:hint="eastAsia"/>
        </w:rPr>
        <w:t>《辽宁省建设项目选址规划管理办法》（辽宁省人民政府令</w:t>
      </w:r>
      <w:r>
        <w:rPr>
          <w:rFonts w:hint="eastAsia"/>
        </w:rPr>
        <w:t>[2016]</w:t>
      </w:r>
      <w:r>
        <w:rPr>
          <w:rFonts w:hint="eastAsia"/>
        </w:rPr>
        <w:t>第</w:t>
      </w:r>
      <w:r>
        <w:rPr>
          <w:rFonts w:hint="eastAsia"/>
        </w:rPr>
        <w:t>300</w:t>
      </w:r>
      <w:r>
        <w:rPr>
          <w:rFonts w:hint="eastAsia"/>
        </w:rPr>
        <w:t>号，</w:t>
      </w:r>
      <w:r>
        <w:rPr>
          <w:rFonts w:hint="eastAsia"/>
        </w:rPr>
        <w:t>2016</w:t>
      </w:r>
      <w:r>
        <w:rPr>
          <w:rFonts w:hint="eastAsia"/>
        </w:rPr>
        <w:t>年</w:t>
      </w:r>
      <w:r>
        <w:rPr>
          <w:rFonts w:hint="eastAsia"/>
        </w:rPr>
        <w:t>4</w:t>
      </w:r>
      <w:r>
        <w:rPr>
          <w:rFonts w:hint="eastAsia"/>
        </w:rPr>
        <w:t>月</w:t>
      </w:r>
      <w:r>
        <w:rPr>
          <w:rFonts w:hint="eastAsia"/>
        </w:rPr>
        <w:t>17</w:t>
      </w:r>
      <w:r>
        <w:rPr>
          <w:rFonts w:hint="eastAsia"/>
        </w:rPr>
        <w:t>日实施）</w:t>
      </w:r>
    </w:p>
    <w:p w14:paraId="1E9C00EE" w14:textId="77777777" w:rsidR="00EF4562" w:rsidRDefault="00000000">
      <w:pPr>
        <w:pStyle w:val="af"/>
        <w:numPr>
          <w:ilvl w:val="0"/>
          <w:numId w:val="14"/>
        </w:numPr>
        <w:ind w:left="0" w:firstLine="560"/>
      </w:pPr>
      <w:r>
        <w:rPr>
          <w:rFonts w:hint="eastAsia"/>
        </w:rPr>
        <w:t>《辽宁省危险化学品建设项目安全监督管理实施细则》（辽宁省安</w:t>
      </w:r>
      <w:r>
        <w:rPr>
          <w:rFonts w:hint="eastAsia"/>
        </w:rPr>
        <w:lastRenderedPageBreak/>
        <w:t>全生产监督管理局辽安监管三</w:t>
      </w:r>
      <w:r>
        <w:rPr>
          <w:rFonts w:hint="eastAsia"/>
        </w:rPr>
        <w:t>[2016]24</w:t>
      </w:r>
      <w:r>
        <w:rPr>
          <w:rFonts w:hint="eastAsia"/>
        </w:rPr>
        <w:t>号）</w:t>
      </w:r>
    </w:p>
    <w:p w14:paraId="61DC5CF6" w14:textId="77777777" w:rsidR="00EF4562" w:rsidRDefault="00000000">
      <w:pPr>
        <w:pStyle w:val="af"/>
        <w:numPr>
          <w:ilvl w:val="0"/>
          <w:numId w:val="14"/>
        </w:numPr>
        <w:ind w:left="0" w:firstLine="560"/>
      </w:pPr>
      <w:r>
        <w:rPr>
          <w:rFonts w:hint="eastAsia"/>
        </w:rPr>
        <w:t>《关于印发辽宁省安全生产监督管理局贯彻落实〈生产安全事故应急预案管理办法〉实施细则的通知》（辽安监应急</w:t>
      </w:r>
      <w:r>
        <w:rPr>
          <w:rFonts w:hint="eastAsia"/>
        </w:rPr>
        <w:t>[2017]5</w:t>
      </w:r>
      <w:r>
        <w:rPr>
          <w:rFonts w:hint="eastAsia"/>
        </w:rPr>
        <w:t>号，</w:t>
      </w:r>
      <w:r>
        <w:rPr>
          <w:rFonts w:hint="eastAsia"/>
        </w:rPr>
        <w:t>2017</w:t>
      </w:r>
      <w:r>
        <w:rPr>
          <w:rFonts w:hint="eastAsia"/>
        </w:rPr>
        <w:t>年</w:t>
      </w:r>
      <w:r>
        <w:rPr>
          <w:rFonts w:hint="eastAsia"/>
        </w:rPr>
        <w:t>9</w:t>
      </w:r>
      <w:r>
        <w:rPr>
          <w:rFonts w:hint="eastAsia"/>
        </w:rPr>
        <w:t>月</w:t>
      </w:r>
      <w:r>
        <w:rPr>
          <w:rFonts w:hint="eastAsia"/>
        </w:rPr>
        <w:t>13</w:t>
      </w:r>
      <w:r>
        <w:rPr>
          <w:rFonts w:hint="eastAsia"/>
        </w:rPr>
        <w:t>日实施）</w:t>
      </w:r>
    </w:p>
    <w:p w14:paraId="5DE7338A" w14:textId="77777777" w:rsidR="00EF4562" w:rsidRDefault="00000000">
      <w:pPr>
        <w:pStyle w:val="af"/>
        <w:numPr>
          <w:ilvl w:val="0"/>
          <w:numId w:val="14"/>
        </w:numPr>
        <w:ind w:left="0" w:firstLine="560"/>
      </w:pPr>
      <w:r>
        <w:rPr>
          <w:rFonts w:hint="eastAsia"/>
        </w:rPr>
        <w:t>《关于做好危险化学品经营许可证颁发管理有关工作的通知》（辽安监管三</w:t>
      </w:r>
      <w:r>
        <w:rPr>
          <w:rFonts w:hint="eastAsia"/>
        </w:rPr>
        <w:t>[2012]144</w:t>
      </w:r>
      <w:r>
        <w:rPr>
          <w:rFonts w:hint="eastAsia"/>
        </w:rPr>
        <w:t>号，</w:t>
      </w:r>
      <w:r>
        <w:rPr>
          <w:rFonts w:hint="eastAsia"/>
        </w:rPr>
        <w:t>2012</w:t>
      </w:r>
      <w:r>
        <w:rPr>
          <w:rFonts w:hint="eastAsia"/>
        </w:rPr>
        <w:t>年</w:t>
      </w:r>
      <w:r>
        <w:rPr>
          <w:rFonts w:hint="eastAsia"/>
        </w:rPr>
        <w:t>8</w:t>
      </w:r>
      <w:r>
        <w:rPr>
          <w:rFonts w:hint="eastAsia"/>
        </w:rPr>
        <w:t>月</w:t>
      </w:r>
      <w:r>
        <w:rPr>
          <w:rFonts w:hint="eastAsia"/>
        </w:rPr>
        <w:t>30</w:t>
      </w:r>
      <w:r>
        <w:rPr>
          <w:rFonts w:hint="eastAsia"/>
        </w:rPr>
        <w:t>日实施）</w:t>
      </w:r>
    </w:p>
    <w:p w14:paraId="09B11DBD"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59" w:name="_Toc207695659"/>
      <w:r>
        <w:rPr>
          <w:rFonts w:eastAsia="楷体" w:cs="Times New Roman"/>
          <w:b/>
          <w:bCs/>
          <w:sz w:val="32"/>
          <w:szCs w:val="32"/>
        </w:rPr>
        <w:t>A.4</w:t>
      </w:r>
      <w:r>
        <w:rPr>
          <w:rFonts w:ascii="楷体" w:eastAsia="楷体" w:hAnsi="楷体" w:hint="eastAsia"/>
          <w:b/>
          <w:bCs/>
          <w:sz w:val="32"/>
          <w:szCs w:val="32"/>
        </w:rPr>
        <w:t>标准和规范</w:t>
      </w:r>
      <w:bookmarkEnd w:id="59"/>
    </w:p>
    <w:p w14:paraId="6ACE7EA6" w14:textId="77777777" w:rsidR="00EF4562" w:rsidRDefault="00000000">
      <w:pPr>
        <w:pStyle w:val="af"/>
        <w:numPr>
          <w:ilvl w:val="0"/>
          <w:numId w:val="15"/>
        </w:numPr>
        <w:ind w:left="0" w:firstLine="560"/>
      </w:pPr>
      <w:r>
        <w:rPr>
          <w:rFonts w:hint="eastAsia"/>
        </w:rPr>
        <w:t>《安全评价通则》（</w:t>
      </w:r>
      <w:r>
        <w:rPr>
          <w:rFonts w:hint="eastAsia"/>
        </w:rPr>
        <w:t>AQ 8001-2007</w:t>
      </w:r>
      <w:r>
        <w:rPr>
          <w:rFonts w:hint="eastAsia"/>
        </w:rPr>
        <w:t>）</w:t>
      </w:r>
    </w:p>
    <w:p w14:paraId="0EDD9FD7" w14:textId="77777777" w:rsidR="00EF4562" w:rsidRDefault="00000000">
      <w:pPr>
        <w:pStyle w:val="af"/>
        <w:numPr>
          <w:ilvl w:val="0"/>
          <w:numId w:val="15"/>
        </w:numPr>
        <w:ind w:left="0" w:firstLine="560"/>
      </w:pPr>
      <w:r>
        <w:rPr>
          <w:rFonts w:hint="eastAsia"/>
        </w:rPr>
        <w:t>《汽车加油加气加氢站技术标准》（</w:t>
      </w:r>
      <w:r>
        <w:rPr>
          <w:rFonts w:hint="eastAsia"/>
        </w:rPr>
        <w:t>GB 50156-2021</w:t>
      </w:r>
      <w:r>
        <w:rPr>
          <w:rFonts w:hint="eastAsia"/>
        </w:rPr>
        <w:t>）</w:t>
      </w:r>
    </w:p>
    <w:p w14:paraId="6749C68E" w14:textId="77777777" w:rsidR="00EF4562" w:rsidRDefault="00000000">
      <w:pPr>
        <w:pStyle w:val="af"/>
        <w:numPr>
          <w:ilvl w:val="0"/>
          <w:numId w:val="15"/>
        </w:numPr>
        <w:ind w:left="0" w:firstLine="560"/>
      </w:pPr>
      <w:r>
        <w:rPr>
          <w:rFonts w:hint="eastAsia"/>
        </w:rPr>
        <w:t>《建筑防火通用规范》（</w:t>
      </w:r>
      <w:r>
        <w:rPr>
          <w:rFonts w:hint="eastAsia"/>
        </w:rPr>
        <w:t>GB 55037-2022</w:t>
      </w:r>
      <w:r>
        <w:rPr>
          <w:rFonts w:hint="eastAsia"/>
        </w:rPr>
        <w:t>）</w:t>
      </w:r>
    </w:p>
    <w:p w14:paraId="1453326B" w14:textId="77777777" w:rsidR="00EF4562" w:rsidRDefault="00000000">
      <w:pPr>
        <w:pStyle w:val="af"/>
        <w:numPr>
          <w:ilvl w:val="0"/>
          <w:numId w:val="15"/>
        </w:numPr>
        <w:ind w:left="0" w:firstLine="560"/>
      </w:pPr>
      <w:r>
        <w:rPr>
          <w:rFonts w:hint="eastAsia"/>
        </w:rPr>
        <w:t>《建筑设计防火规范（</w:t>
      </w:r>
      <w:r>
        <w:rPr>
          <w:rFonts w:hint="eastAsia"/>
        </w:rPr>
        <w:t>2018</w:t>
      </w:r>
      <w:r>
        <w:rPr>
          <w:rFonts w:hint="eastAsia"/>
        </w:rPr>
        <w:t>年版）》（</w:t>
      </w:r>
      <w:r>
        <w:rPr>
          <w:rFonts w:hint="eastAsia"/>
        </w:rPr>
        <w:t>GB 50016-2014</w:t>
      </w:r>
      <w:r>
        <w:rPr>
          <w:rFonts w:hint="eastAsia"/>
        </w:rPr>
        <w:t>）</w:t>
      </w:r>
    </w:p>
    <w:p w14:paraId="56C1FDE0" w14:textId="77777777" w:rsidR="00EF4562" w:rsidRDefault="00000000">
      <w:pPr>
        <w:pStyle w:val="af"/>
        <w:numPr>
          <w:ilvl w:val="0"/>
          <w:numId w:val="15"/>
        </w:numPr>
        <w:ind w:left="0" w:firstLine="560"/>
      </w:pPr>
      <w:r>
        <w:rPr>
          <w:rFonts w:hint="eastAsia"/>
        </w:rPr>
        <w:t>《加油站作业安全规范》（</w:t>
      </w:r>
      <w:r>
        <w:rPr>
          <w:rFonts w:hint="eastAsia"/>
        </w:rPr>
        <w:t>AQ 3010-2022</w:t>
      </w:r>
      <w:r>
        <w:rPr>
          <w:rFonts w:hint="eastAsia"/>
        </w:rPr>
        <w:t>）</w:t>
      </w:r>
    </w:p>
    <w:p w14:paraId="6B354D65" w14:textId="77777777" w:rsidR="00EF4562" w:rsidRDefault="00000000">
      <w:pPr>
        <w:pStyle w:val="af"/>
        <w:numPr>
          <w:ilvl w:val="0"/>
          <w:numId w:val="15"/>
        </w:numPr>
        <w:ind w:left="0" w:firstLine="560"/>
      </w:pPr>
      <w:r>
        <w:rPr>
          <w:rFonts w:hint="eastAsia"/>
        </w:rPr>
        <w:t>《汽车加油加气站消防安全管理》（</w:t>
      </w:r>
      <w:r>
        <w:rPr>
          <w:rFonts w:hint="eastAsia"/>
        </w:rPr>
        <w:t>XF/T 3004-2020</w:t>
      </w:r>
      <w:r>
        <w:rPr>
          <w:rFonts w:hint="eastAsia"/>
        </w:rPr>
        <w:t>）</w:t>
      </w:r>
    </w:p>
    <w:p w14:paraId="76E6FF6B" w14:textId="77777777" w:rsidR="00EF4562" w:rsidRDefault="00000000">
      <w:pPr>
        <w:pStyle w:val="af"/>
        <w:numPr>
          <w:ilvl w:val="0"/>
          <w:numId w:val="15"/>
        </w:numPr>
        <w:ind w:left="0" w:firstLine="560"/>
      </w:pPr>
      <w:r>
        <w:rPr>
          <w:rFonts w:hint="eastAsia"/>
        </w:rPr>
        <w:t>《建筑物防雷设计规范》（</w:t>
      </w:r>
      <w:r>
        <w:rPr>
          <w:rFonts w:hint="eastAsia"/>
        </w:rPr>
        <w:t>GB 50057-2010</w:t>
      </w:r>
      <w:r>
        <w:rPr>
          <w:rFonts w:hint="eastAsia"/>
        </w:rPr>
        <w:t>）</w:t>
      </w:r>
    </w:p>
    <w:p w14:paraId="16E1A316" w14:textId="77777777" w:rsidR="00EF4562" w:rsidRDefault="00000000">
      <w:pPr>
        <w:pStyle w:val="af"/>
        <w:numPr>
          <w:ilvl w:val="0"/>
          <w:numId w:val="15"/>
        </w:numPr>
        <w:ind w:left="0" w:firstLine="560"/>
      </w:pPr>
      <w:r>
        <w:rPr>
          <w:rFonts w:hint="eastAsia"/>
        </w:rPr>
        <w:t>《建筑照明设计标准》（</w:t>
      </w:r>
      <w:r>
        <w:rPr>
          <w:rFonts w:hint="eastAsia"/>
        </w:rPr>
        <w:t>GB 50034-2024</w:t>
      </w:r>
      <w:r>
        <w:rPr>
          <w:rFonts w:hint="eastAsia"/>
        </w:rPr>
        <w:t>）</w:t>
      </w:r>
    </w:p>
    <w:p w14:paraId="693A362B" w14:textId="77777777" w:rsidR="00EF4562" w:rsidRDefault="00000000">
      <w:pPr>
        <w:pStyle w:val="af"/>
        <w:numPr>
          <w:ilvl w:val="0"/>
          <w:numId w:val="15"/>
        </w:numPr>
        <w:ind w:left="0" w:firstLine="560"/>
      </w:pPr>
      <w:r>
        <w:rPr>
          <w:rFonts w:hint="eastAsia"/>
        </w:rPr>
        <w:t>《建筑灭火器配置设计规范》（</w:t>
      </w:r>
      <w:r>
        <w:rPr>
          <w:rFonts w:hint="eastAsia"/>
        </w:rPr>
        <w:t>GB 50140-2005</w:t>
      </w:r>
      <w:r>
        <w:rPr>
          <w:rFonts w:hint="eastAsia"/>
        </w:rPr>
        <w:t>）</w:t>
      </w:r>
    </w:p>
    <w:p w14:paraId="793CEBC8" w14:textId="77777777" w:rsidR="00EF4562" w:rsidRDefault="00000000">
      <w:pPr>
        <w:pStyle w:val="af"/>
        <w:numPr>
          <w:ilvl w:val="0"/>
          <w:numId w:val="15"/>
        </w:numPr>
        <w:ind w:firstLineChars="0"/>
      </w:pPr>
      <w:r>
        <w:rPr>
          <w:rFonts w:hint="eastAsia"/>
        </w:rPr>
        <w:t>《建筑抗震设计标准（</w:t>
      </w:r>
      <w:r>
        <w:rPr>
          <w:rFonts w:hint="eastAsia"/>
        </w:rPr>
        <w:t>2024</w:t>
      </w:r>
      <w:r>
        <w:rPr>
          <w:rFonts w:hint="eastAsia"/>
        </w:rPr>
        <w:t>年版）》（</w:t>
      </w:r>
      <w:r>
        <w:rPr>
          <w:rFonts w:hint="eastAsia"/>
        </w:rPr>
        <w:t>GB/T 50011-2010</w:t>
      </w:r>
      <w:r>
        <w:rPr>
          <w:rFonts w:hint="eastAsia"/>
        </w:rPr>
        <w:t>）</w:t>
      </w:r>
    </w:p>
    <w:p w14:paraId="312E4188" w14:textId="77777777" w:rsidR="00EF4562" w:rsidRDefault="00000000">
      <w:pPr>
        <w:pStyle w:val="af"/>
        <w:numPr>
          <w:ilvl w:val="0"/>
          <w:numId w:val="15"/>
        </w:numPr>
        <w:ind w:left="0" w:firstLine="560"/>
      </w:pPr>
      <w:r>
        <w:rPr>
          <w:rFonts w:hint="eastAsia"/>
        </w:rPr>
        <w:t>《消防设施通用规范》（</w:t>
      </w:r>
      <w:r>
        <w:rPr>
          <w:rFonts w:hint="eastAsia"/>
        </w:rPr>
        <w:t>GB 55036-2022</w:t>
      </w:r>
      <w:r>
        <w:rPr>
          <w:rFonts w:hint="eastAsia"/>
        </w:rPr>
        <w:t>）</w:t>
      </w:r>
    </w:p>
    <w:p w14:paraId="5694CB35" w14:textId="77777777" w:rsidR="00EF4562" w:rsidRDefault="00000000">
      <w:pPr>
        <w:pStyle w:val="af"/>
        <w:numPr>
          <w:ilvl w:val="0"/>
          <w:numId w:val="15"/>
        </w:numPr>
        <w:ind w:left="0" w:firstLine="560"/>
      </w:pPr>
      <w:r>
        <w:rPr>
          <w:rFonts w:hint="eastAsia"/>
        </w:rPr>
        <w:t>《消防应急照明和疏散指示系统》（</w:t>
      </w:r>
      <w:r>
        <w:rPr>
          <w:rFonts w:hint="eastAsia"/>
        </w:rPr>
        <w:t>GB 17945-2024</w:t>
      </w:r>
      <w:r>
        <w:rPr>
          <w:rFonts w:hint="eastAsia"/>
        </w:rPr>
        <w:t>）</w:t>
      </w:r>
    </w:p>
    <w:p w14:paraId="25449110" w14:textId="77777777" w:rsidR="00EF4562" w:rsidRDefault="00000000">
      <w:pPr>
        <w:pStyle w:val="af"/>
        <w:numPr>
          <w:ilvl w:val="0"/>
          <w:numId w:val="15"/>
        </w:numPr>
        <w:ind w:left="0" w:firstLine="560"/>
      </w:pPr>
      <w:r>
        <w:rPr>
          <w:rFonts w:hint="eastAsia"/>
        </w:rPr>
        <w:t>《危险化学品重大危险源辨识》（</w:t>
      </w:r>
      <w:r>
        <w:rPr>
          <w:rFonts w:hint="eastAsia"/>
        </w:rPr>
        <w:t>GB 18218-2018</w:t>
      </w:r>
      <w:r>
        <w:rPr>
          <w:rFonts w:hint="eastAsia"/>
        </w:rPr>
        <w:t>）</w:t>
      </w:r>
    </w:p>
    <w:p w14:paraId="527DE05D" w14:textId="77777777" w:rsidR="00EF4562" w:rsidRDefault="00000000">
      <w:pPr>
        <w:pStyle w:val="af"/>
        <w:numPr>
          <w:ilvl w:val="0"/>
          <w:numId w:val="15"/>
        </w:numPr>
        <w:ind w:left="0" w:firstLine="560"/>
      </w:pPr>
      <w:r>
        <w:rPr>
          <w:rFonts w:hint="eastAsia"/>
        </w:rPr>
        <w:t>《易燃易爆性商品储存养护技术条件》（</w:t>
      </w:r>
      <w:r>
        <w:rPr>
          <w:rFonts w:hint="eastAsia"/>
        </w:rPr>
        <w:t>GB 17914-2013</w:t>
      </w:r>
      <w:r>
        <w:rPr>
          <w:rFonts w:hint="eastAsia"/>
        </w:rPr>
        <w:t>）</w:t>
      </w:r>
    </w:p>
    <w:p w14:paraId="4215298D" w14:textId="77777777" w:rsidR="00EF4562" w:rsidRDefault="00000000">
      <w:pPr>
        <w:pStyle w:val="af"/>
        <w:numPr>
          <w:ilvl w:val="0"/>
          <w:numId w:val="15"/>
        </w:numPr>
        <w:ind w:left="0" w:firstLine="560"/>
      </w:pPr>
      <w:r>
        <w:rPr>
          <w:rFonts w:hint="eastAsia"/>
        </w:rPr>
        <w:t>《供配电系统设计规范》（</w:t>
      </w:r>
      <w:r>
        <w:rPr>
          <w:rFonts w:hint="eastAsia"/>
        </w:rPr>
        <w:t>GB 50052-2009</w:t>
      </w:r>
      <w:r>
        <w:rPr>
          <w:rFonts w:hint="eastAsia"/>
        </w:rPr>
        <w:t>）</w:t>
      </w:r>
    </w:p>
    <w:p w14:paraId="40E7D0ED" w14:textId="77777777" w:rsidR="00EF4562" w:rsidRDefault="00000000">
      <w:pPr>
        <w:pStyle w:val="af"/>
        <w:numPr>
          <w:ilvl w:val="0"/>
          <w:numId w:val="15"/>
        </w:numPr>
        <w:ind w:left="0" w:firstLine="560"/>
      </w:pPr>
      <w:r>
        <w:rPr>
          <w:rFonts w:hint="eastAsia"/>
        </w:rPr>
        <w:t>《低压配电设计规范》（</w:t>
      </w:r>
      <w:r>
        <w:rPr>
          <w:rFonts w:hint="eastAsia"/>
        </w:rPr>
        <w:t>GB 50054-2011</w:t>
      </w:r>
      <w:r>
        <w:rPr>
          <w:rFonts w:hint="eastAsia"/>
        </w:rPr>
        <w:t>）</w:t>
      </w:r>
    </w:p>
    <w:p w14:paraId="1846F19C" w14:textId="77777777" w:rsidR="00EF4562" w:rsidRDefault="00000000">
      <w:pPr>
        <w:pStyle w:val="af"/>
        <w:numPr>
          <w:ilvl w:val="0"/>
          <w:numId w:val="15"/>
        </w:numPr>
        <w:ind w:left="0" w:firstLine="560"/>
      </w:pPr>
      <w:r>
        <w:rPr>
          <w:rFonts w:hint="eastAsia"/>
        </w:rPr>
        <w:t>《防止静电事故通用要求》（</w:t>
      </w:r>
      <w:r>
        <w:rPr>
          <w:rFonts w:hint="eastAsia"/>
        </w:rPr>
        <w:t>GB 12158-2024</w:t>
      </w:r>
      <w:r>
        <w:rPr>
          <w:rFonts w:hint="eastAsia"/>
        </w:rPr>
        <w:t>）</w:t>
      </w:r>
    </w:p>
    <w:p w14:paraId="74AFBB85" w14:textId="77777777" w:rsidR="00EF4562" w:rsidRDefault="00000000">
      <w:pPr>
        <w:pStyle w:val="af"/>
        <w:numPr>
          <w:ilvl w:val="0"/>
          <w:numId w:val="15"/>
        </w:numPr>
        <w:ind w:left="0" w:firstLine="560"/>
      </w:pPr>
      <w:r>
        <w:rPr>
          <w:rFonts w:hint="eastAsia"/>
        </w:rPr>
        <w:lastRenderedPageBreak/>
        <w:t>《用电安全导则》（</w:t>
      </w:r>
      <w:r>
        <w:rPr>
          <w:rFonts w:hint="eastAsia"/>
        </w:rPr>
        <w:t>GB/T 13869-2017</w:t>
      </w:r>
      <w:r>
        <w:rPr>
          <w:rFonts w:hint="eastAsia"/>
        </w:rPr>
        <w:t>）</w:t>
      </w:r>
    </w:p>
    <w:p w14:paraId="14B9D2F5" w14:textId="77777777" w:rsidR="00EF4562" w:rsidRDefault="00000000">
      <w:pPr>
        <w:pStyle w:val="af"/>
        <w:numPr>
          <w:ilvl w:val="0"/>
          <w:numId w:val="15"/>
        </w:numPr>
        <w:ind w:left="0" w:firstLine="560"/>
      </w:pPr>
      <w:r>
        <w:rPr>
          <w:rFonts w:hint="eastAsia"/>
        </w:rPr>
        <w:t>《电气装置安装工程接地装置施工及验收规范》（</w:t>
      </w:r>
      <w:r>
        <w:rPr>
          <w:rFonts w:hint="eastAsia"/>
        </w:rPr>
        <w:t>GB 50169-2016</w:t>
      </w:r>
      <w:r>
        <w:rPr>
          <w:rFonts w:hint="eastAsia"/>
        </w:rPr>
        <w:t>）</w:t>
      </w:r>
    </w:p>
    <w:p w14:paraId="37DEBB60" w14:textId="77777777" w:rsidR="00EF4562" w:rsidRDefault="00000000">
      <w:pPr>
        <w:pStyle w:val="af"/>
        <w:numPr>
          <w:ilvl w:val="0"/>
          <w:numId w:val="15"/>
        </w:numPr>
        <w:ind w:left="0" w:firstLine="560"/>
      </w:pPr>
      <w:r>
        <w:rPr>
          <w:rFonts w:hint="eastAsia"/>
        </w:rPr>
        <w:t>《系统接地的型式及安全技术要求》（</w:t>
      </w:r>
      <w:r>
        <w:rPr>
          <w:rFonts w:hint="eastAsia"/>
        </w:rPr>
        <w:t>GB 14050-2008</w:t>
      </w:r>
      <w:r>
        <w:rPr>
          <w:rFonts w:hint="eastAsia"/>
        </w:rPr>
        <w:t>）</w:t>
      </w:r>
    </w:p>
    <w:p w14:paraId="76C71874" w14:textId="77777777" w:rsidR="00EF4562" w:rsidRDefault="00000000">
      <w:pPr>
        <w:pStyle w:val="af"/>
        <w:numPr>
          <w:ilvl w:val="0"/>
          <w:numId w:val="15"/>
        </w:numPr>
        <w:ind w:left="0" w:firstLine="560"/>
      </w:pPr>
      <w:r>
        <w:rPr>
          <w:rFonts w:hint="eastAsia"/>
        </w:rPr>
        <w:t>《外壳防护等级（</w:t>
      </w:r>
      <w:r>
        <w:rPr>
          <w:rFonts w:hint="eastAsia"/>
        </w:rPr>
        <w:t>IP</w:t>
      </w:r>
      <w:r>
        <w:rPr>
          <w:rFonts w:hint="eastAsia"/>
        </w:rPr>
        <w:t>代码）》（</w:t>
      </w:r>
      <w:r>
        <w:rPr>
          <w:rFonts w:hint="eastAsia"/>
        </w:rPr>
        <w:t>GB/T 4208-2017</w:t>
      </w:r>
      <w:r>
        <w:rPr>
          <w:rFonts w:hint="eastAsia"/>
        </w:rPr>
        <w:t>）</w:t>
      </w:r>
    </w:p>
    <w:p w14:paraId="4F021E63" w14:textId="77777777" w:rsidR="00EF4562" w:rsidRDefault="00000000">
      <w:pPr>
        <w:pStyle w:val="af"/>
        <w:numPr>
          <w:ilvl w:val="0"/>
          <w:numId w:val="15"/>
        </w:numPr>
        <w:ind w:left="0" w:firstLine="560"/>
      </w:pPr>
      <w:r>
        <w:rPr>
          <w:rFonts w:hint="eastAsia"/>
        </w:rPr>
        <w:t>《剩余电流动作保护装置安装和运行》（</w:t>
      </w:r>
      <w:r>
        <w:rPr>
          <w:rFonts w:hint="eastAsia"/>
        </w:rPr>
        <w:t>GB/T 13955-2017</w:t>
      </w:r>
      <w:r>
        <w:rPr>
          <w:rFonts w:hint="eastAsia"/>
        </w:rPr>
        <w:t>）</w:t>
      </w:r>
    </w:p>
    <w:p w14:paraId="1F54ACBC" w14:textId="77777777" w:rsidR="00EF4562" w:rsidRDefault="00000000">
      <w:pPr>
        <w:pStyle w:val="af"/>
        <w:numPr>
          <w:ilvl w:val="0"/>
          <w:numId w:val="15"/>
        </w:numPr>
        <w:ind w:left="0" w:firstLine="560"/>
      </w:pPr>
      <w:r>
        <w:rPr>
          <w:rFonts w:hint="eastAsia"/>
        </w:rPr>
        <w:t>《爆炸危险环境电力装置设计规范》（</w:t>
      </w:r>
      <w:r>
        <w:rPr>
          <w:rFonts w:hint="eastAsia"/>
        </w:rPr>
        <w:t>GB 50058-2014</w:t>
      </w:r>
      <w:r>
        <w:rPr>
          <w:rFonts w:hint="eastAsia"/>
        </w:rPr>
        <w:t>）</w:t>
      </w:r>
    </w:p>
    <w:p w14:paraId="0E7369F0" w14:textId="77777777" w:rsidR="00EF4562" w:rsidRDefault="00000000">
      <w:pPr>
        <w:pStyle w:val="af"/>
        <w:numPr>
          <w:ilvl w:val="0"/>
          <w:numId w:val="15"/>
        </w:numPr>
        <w:ind w:left="0" w:firstLine="560"/>
      </w:pPr>
      <w:r>
        <w:rPr>
          <w:rFonts w:hint="eastAsia"/>
        </w:rPr>
        <w:t>《危险场所电气防爆安全规范》（</w:t>
      </w:r>
      <w:r>
        <w:rPr>
          <w:rFonts w:hint="eastAsia"/>
        </w:rPr>
        <w:t>AQ 3009-2007</w:t>
      </w:r>
      <w:r>
        <w:rPr>
          <w:rFonts w:hint="eastAsia"/>
        </w:rPr>
        <w:t>）</w:t>
      </w:r>
    </w:p>
    <w:p w14:paraId="7CB3D428" w14:textId="77777777" w:rsidR="00EF4562" w:rsidRDefault="00000000">
      <w:pPr>
        <w:pStyle w:val="af"/>
        <w:numPr>
          <w:ilvl w:val="0"/>
          <w:numId w:val="15"/>
        </w:numPr>
        <w:ind w:left="0" w:firstLine="560"/>
      </w:pPr>
      <w:r>
        <w:rPr>
          <w:rFonts w:hint="eastAsia"/>
        </w:rPr>
        <w:t>《高处作业分级》（</w:t>
      </w:r>
      <w:r>
        <w:rPr>
          <w:rFonts w:hint="eastAsia"/>
        </w:rPr>
        <w:t>GB/T 3608-2008</w:t>
      </w:r>
      <w:r>
        <w:rPr>
          <w:rFonts w:hint="eastAsia"/>
        </w:rPr>
        <w:t>）</w:t>
      </w:r>
    </w:p>
    <w:p w14:paraId="19DEF6AC" w14:textId="77777777" w:rsidR="00EF4562" w:rsidRDefault="00000000">
      <w:pPr>
        <w:pStyle w:val="af"/>
        <w:numPr>
          <w:ilvl w:val="0"/>
          <w:numId w:val="15"/>
        </w:numPr>
        <w:ind w:left="0" w:firstLine="560"/>
      </w:pPr>
      <w:r>
        <w:rPr>
          <w:rFonts w:hint="eastAsia"/>
        </w:rPr>
        <w:t>《车用汽油》（</w:t>
      </w:r>
      <w:r>
        <w:rPr>
          <w:rFonts w:hint="eastAsia"/>
        </w:rPr>
        <w:t>GB 17930-2016</w:t>
      </w:r>
      <w:r>
        <w:rPr>
          <w:rFonts w:hint="eastAsia"/>
        </w:rPr>
        <w:t>）</w:t>
      </w:r>
    </w:p>
    <w:p w14:paraId="19A9ECF1" w14:textId="77777777" w:rsidR="00EF4562" w:rsidRDefault="00000000">
      <w:pPr>
        <w:pStyle w:val="af"/>
        <w:numPr>
          <w:ilvl w:val="0"/>
          <w:numId w:val="15"/>
        </w:numPr>
        <w:ind w:left="0" w:firstLine="560"/>
      </w:pPr>
      <w:r>
        <w:rPr>
          <w:rFonts w:hint="eastAsia"/>
        </w:rPr>
        <w:t>《车用乙醇汽油（</w:t>
      </w:r>
      <w:r>
        <w:rPr>
          <w:rFonts w:hint="eastAsia"/>
        </w:rPr>
        <w:t>E10</w:t>
      </w:r>
      <w:r>
        <w:rPr>
          <w:rFonts w:hint="eastAsia"/>
        </w:rPr>
        <w:t>）》（</w:t>
      </w:r>
      <w:r>
        <w:rPr>
          <w:rFonts w:hint="eastAsia"/>
        </w:rPr>
        <w:t>GB 18351-2017</w:t>
      </w:r>
      <w:r>
        <w:rPr>
          <w:rFonts w:hint="eastAsia"/>
        </w:rPr>
        <w:t>）</w:t>
      </w:r>
    </w:p>
    <w:p w14:paraId="26F3A5D4" w14:textId="77777777" w:rsidR="00EF4562" w:rsidRDefault="00000000">
      <w:pPr>
        <w:pStyle w:val="af"/>
        <w:numPr>
          <w:ilvl w:val="0"/>
          <w:numId w:val="15"/>
        </w:numPr>
        <w:ind w:left="0" w:firstLine="560"/>
      </w:pPr>
      <w:r>
        <w:rPr>
          <w:rFonts w:hint="eastAsia"/>
        </w:rPr>
        <w:t>《车用乙醇汽油储运设计规范》（</w:t>
      </w:r>
      <w:r>
        <w:rPr>
          <w:rFonts w:hint="eastAsia"/>
        </w:rPr>
        <w:t>GB/T 50610-2010</w:t>
      </w:r>
      <w:r>
        <w:rPr>
          <w:rFonts w:hint="eastAsia"/>
        </w:rPr>
        <w:t>）</w:t>
      </w:r>
    </w:p>
    <w:p w14:paraId="6C2D8C68" w14:textId="77777777" w:rsidR="00EF4562" w:rsidRDefault="00000000">
      <w:pPr>
        <w:pStyle w:val="af"/>
        <w:numPr>
          <w:ilvl w:val="0"/>
          <w:numId w:val="15"/>
        </w:numPr>
        <w:ind w:left="0" w:firstLine="560"/>
      </w:pPr>
      <w:r>
        <w:rPr>
          <w:rFonts w:hint="eastAsia"/>
        </w:rPr>
        <w:t>《加油站大气污染物排放标准》（</w:t>
      </w:r>
      <w:r>
        <w:rPr>
          <w:rFonts w:hint="eastAsia"/>
        </w:rPr>
        <w:t>GB 20952-2020</w:t>
      </w:r>
      <w:r>
        <w:rPr>
          <w:rFonts w:hint="eastAsia"/>
        </w:rPr>
        <w:t>）</w:t>
      </w:r>
    </w:p>
    <w:p w14:paraId="2A705C2E" w14:textId="77777777" w:rsidR="00EF4562" w:rsidRDefault="00000000">
      <w:pPr>
        <w:pStyle w:val="af"/>
        <w:numPr>
          <w:ilvl w:val="0"/>
          <w:numId w:val="15"/>
        </w:numPr>
        <w:ind w:left="0" w:firstLine="560"/>
      </w:pPr>
      <w:r>
        <w:rPr>
          <w:rFonts w:hint="eastAsia"/>
        </w:rPr>
        <w:t>《燃油加油站防爆安全技术第</w:t>
      </w:r>
      <w:r>
        <w:rPr>
          <w:rFonts w:hint="eastAsia"/>
        </w:rPr>
        <w:t>1</w:t>
      </w:r>
      <w:r>
        <w:rPr>
          <w:rFonts w:hint="eastAsia"/>
        </w:rPr>
        <w:t>部分：燃油加油机防爆安全技术要求》（</w:t>
      </w:r>
      <w:r>
        <w:rPr>
          <w:rFonts w:hint="eastAsia"/>
        </w:rPr>
        <w:t>GB/T 22380.1-2017</w:t>
      </w:r>
      <w:r>
        <w:rPr>
          <w:rFonts w:hint="eastAsia"/>
        </w:rPr>
        <w:t>）</w:t>
      </w:r>
    </w:p>
    <w:p w14:paraId="338D27DB" w14:textId="77777777" w:rsidR="00EF4562" w:rsidRDefault="00000000">
      <w:pPr>
        <w:pStyle w:val="af"/>
        <w:numPr>
          <w:ilvl w:val="0"/>
          <w:numId w:val="15"/>
        </w:numPr>
        <w:ind w:left="0" w:firstLine="560"/>
      </w:pPr>
      <w:r>
        <w:rPr>
          <w:rFonts w:hint="eastAsia"/>
        </w:rPr>
        <w:t>《燃油加油站防爆安全技术</w:t>
      </w:r>
      <w:r>
        <w:rPr>
          <w:rFonts w:hint="eastAsia"/>
        </w:rPr>
        <w:t xml:space="preserve"> </w:t>
      </w:r>
      <w:r>
        <w:rPr>
          <w:rFonts w:hint="eastAsia"/>
        </w:rPr>
        <w:t>第</w:t>
      </w:r>
      <w:r>
        <w:rPr>
          <w:rFonts w:hint="eastAsia"/>
        </w:rPr>
        <w:t>3</w:t>
      </w:r>
      <w:r>
        <w:rPr>
          <w:rFonts w:hint="eastAsia"/>
        </w:rPr>
        <w:t>部分：剪切阀结构和性能的安全要求》（</w:t>
      </w:r>
      <w:r>
        <w:rPr>
          <w:rFonts w:hint="eastAsia"/>
        </w:rPr>
        <w:t>GB/T 22380.3-2019</w:t>
      </w:r>
      <w:r>
        <w:rPr>
          <w:rFonts w:hint="eastAsia"/>
        </w:rPr>
        <w:t>）</w:t>
      </w:r>
    </w:p>
    <w:p w14:paraId="493EB98D" w14:textId="77777777" w:rsidR="00EF4562" w:rsidRDefault="00000000">
      <w:pPr>
        <w:pStyle w:val="af"/>
        <w:numPr>
          <w:ilvl w:val="0"/>
          <w:numId w:val="15"/>
        </w:numPr>
        <w:ind w:left="0" w:firstLine="560"/>
      </w:pPr>
      <w:r>
        <w:rPr>
          <w:rFonts w:hint="eastAsia"/>
        </w:rPr>
        <w:t>《油气回收处理设施技术标准》（</w:t>
      </w:r>
      <w:r>
        <w:rPr>
          <w:rFonts w:hint="eastAsia"/>
        </w:rPr>
        <w:t>GB/T 50759-2022</w:t>
      </w:r>
      <w:r>
        <w:rPr>
          <w:rFonts w:hint="eastAsia"/>
        </w:rPr>
        <w:t>）</w:t>
      </w:r>
    </w:p>
    <w:p w14:paraId="06612A85" w14:textId="77777777" w:rsidR="00EF4562" w:rsidRDefault="00000000">
      <w:pPr>
        <w:pStyle w:val="af"/>
        <w:numPr>
          <w:ilvl w:val="0"/>
          <w:numId w:val="15"/>
        </w:numPr>
        <w:ind w:left="0" w:firstLine="560"/>
      </w:pPr>
      <w:r>
        <w:rPr>
          <w:rFonts w:hint="eastAsia"/>
        </w:rPr>
        <w:t>《油气回收系统防爆技术要求》（</w:t>
      </w:r>
      <w:r>
        <w:rPr>
          <w:rFonts w:hint="eastAsia"/>
        </w:rPr>
        <w:t>GB/T 34661-2017</w:t>
      </w:r>
      <w:r>
        <w:rPr>
          <w:rFonts w:hint="eastAsia"/>
        </w:rPr>
        <w:t>）</w:t>
      </w:r>
    </w:p>
    <w:p w14:paraId="58A8F10E" w14:textId="77777777" w:rsidR="00EF4562" w:rsidRDefault="00000000">
      <w:pPr>
        <w:pStyle w:val="af"/>
        <w:numPr>
          <w:ilvl w:val="0"/>
          <w:numId w:val="15"/>
        </w:numPr>
        <w:ind w:left="0" w:firstLine="560"/>
      </w:pPr>
      <w:r>
        <w:rPr>
          <w:rFonts w:hint="eastAsia"/>
        </w:rPr>
        <w:t>《油气回收装置通用技术条件》（</w:t>
      </w:r>
      <w:r>
        <w:rPr>
          <w:rFonts w:hint="eastAsia"/>
        </w:rPr>
        <w:t>GB/T 35579-2017</w:t>
      </w:r>
      <w:r>
        <w:rPr>
          <w:rFonts w:hint="eastAsia"/>
        </w:rPr>
        <w:t>）</w:t>
      </w:r>
    </w:p>
    <w:p w14:paraId="64347D86" w14:textId="77777777" w:rsidR="00EF4562" w:rsidRDefault="00000000">
      <w:pPr>
        <w:pStyle w:val="af"/>
        <w:numPr>
          <w:ilvl w:val="0"/>
          <w:numId w:val="15"/>
        </w:numPr>
        <w:ind w:left="0" w:firstLine="560"/>
      </w:pPr>
      <w:r>
        <w:rPr>
          <w:rFonts w:hint="eastAsia"/>
        </w:rPr>
        <w:t>《企业职工伤亡事故分类》（</w:t>
      </w:r>
      <w:r>
        <w:rPr>
          <w:rFonts w:hint="eastAsia"/>
        </w:rPr>
        <w:t>GB 6441-1986</w:t>
      </w:r>
      <w:r>
        <w:rPr>
          <w:rFonts w:hint="eastAsia"/>
        </w:rPr>
        <w:t>）</w:t>
      </w:r>
    </w:p>
    <w:p w14:paraId="4CC07CE8" w14:textId="77777777" w:rsidR="00EF4562" w:rsidRDefault="00000000">
      <w:pPr>
        <w:pStyle w:val="af"/>
        <w:numPr>
          <w:ilvl w:val="0"/>
          <w:numId w:val="15"/>
        </w:numPr>
        <w:ind w:left="0" w:firstLine="560"/>
      </w:pPr>
      <w:r>
        <w:rPr>
          <w:rFonts w:hint="eastAsia"/>
        </w:rPr>
        <w:t>《生产过程危险和有害因素分类与代码》（</w:t>
      </w:r>
      <w:r>
        <w:rPr>
          <w:rFonts w:hint="eastAsia"/>
        </w:rPr>
        <w:t>GB/T 13861-2022</w:t>
      </w:r>
      <w:r>
        <w:rPr>
          <w:rFonts w:hint="eastAsia"/>
        </w:rPr>
        <w:t>）</w:t>
      </w:r>
    </w:p>
    <w:p w14:paraId="0F84BA75" w14:textId="77777777" w:rsidR="00EF4562" w:rsidRDefault="00000000">
      <w:pPr>
        <w:pStyle w:val="af"/>
        <w:numPr>
          <w:ilvl w:val="0"/>
          <w:numId w:val="15"/>
        </w:numPr>
        <w:ind w:left="0" w:firstLine="560"/>
      </w:pPr>
      <w:r>
        <w:rPr>
          <w:rFonts w:hint="eastAsia"/>
        </w:rPr>
        <w:t>《化学品分类和危险性公示通则》（</w:t>
      </w:r>
      <w:r>
        <w:rPr>
          <w:rFonts w:hint="eastAsia"/>
        </w:rPr>
        <w:t>GB 13690-2009</w:t>
      </w:r>
      <w:r>
        <w:rPr>
          <w:rFonts w:hint="eastAsia"/>
        </w:rPr>
        <w:t>）</w:t>
      </w:r>
    </w:p>
    <w:p w14:paraId="71F1DCBD" w14:textId="77777777" w:rsidR="00EF4562" w:rsidRDefault="00000000">
      <w:pPr>
        <w:pStyle w:val="af"/>
        <w:numPr>
          <w:ilvl w:val="0"/>
          <w:numId w:val="15"/>
        </w:numPr>
        <w:ind w:left="0" w:firstLine="560"/>
      </w:pPr>
      <w:r>
        <w:rPr>
          <w:rFonts w:hint="eastAsia"/>
        </w:rPr>
        <w:t>《危险货物运输包装通用技术条件》（</w:t>
      </w:r>
      <w:r>
        <w:rPr>
          <w:rFonts w:hint="eastAsia"/>
        </w:rPr>
        <w:t>GB 12463-2009</w:t>
      </w:r>
      <w:r>
        <w:rPr>
          <w:rFonts w:hint="eastAsia"/>
        </w:rPr>
        <w:t>）</w:t>
      </w:r>
    </w:p>
    <w:p w14:paraId="66AE2E60" w14:textId="77777777" w:rsidR="00EF4562" w:rsidRDefault="00000000">
      <w:pPr>
        <w:pStyle w:val="af"/>
        <w:numPr>
          <w:ilvl w:val="0"/>
          <w:numId w:val="15"/>
        </w:numPr>
        <w:ind w:left="0" w:firstLine="560"/>
      </w:pPr>
      <w:r>
        <w:rPr>
          <w:rFonts w:hint="eastAsia"/>
        </w:rPr>
        <w:t>《危险货物运输包装类别划分方法》（</w:t>
      </w:r>
      <w:r>
        <w:rPr>
          <w:rFonts w:hint="eastAsia"/>
        </w:rPr>
        <w:t>GB/T 15098-2008</w:t>
      </w:r>
      <w:r>
        <w:rPr>
          <w:rFonts w:hint="eastAsia"/>
        </w:rPr>
        <w:t>）</w:t>
      </w:r>
    </w:p>
    <w:p w14:paraId="4336127C" w14:textId="77777777" w:rsidR="00EF4562" w:rsidRDefault="00000000">
      <w:pPr>
        <w:pStyle w:val="af"/>
        <w:numPr>
          <w:ilvl w:val="0"/>
          <w:numId w:val="15"/>
        </w:numPr>
        <w:ind w:left="0" w:firstLine="560"/>
      </w:pPr>
      <w:r>
        <w:rPr>
          <w:rFonts w:hint="eastAsia"/>
        </w:rPr>
        <w:t>《危险货物分类和品名编号》（</w:t>
      </w:r>
      <w:r>
        <w:rPr>
          <w:rFonts w:hint="eastAsia"/>
        </w:rPr>
        <w:t>GB 6944-2025</w:t>
      </w:r>
      <w:r>
        <w:rPr>
          <w:rFonts w:hint="eastAsia"/>
        </w:rPr>
        <w:t>）</w:t>
      </w:r>
    </w:p>
    <w:p w14:paraId="0C6FF152" w14:textId="77777777" w:rsidR="00EF4562" w:rsidRDefault="00000000">
      <w:pPr>
        <w:pStyle w:val="af"/>
        <w:numPr>
          <w:ilvl w:val="0"/>
          <w:numId w:val="15"/>
        </w:numPr>
        <w:ind w:left="0" w:firstLine="560"/>
      </w:pPr>
      <w:r>
        <w:rPr>
          <w:rFonts w:hint="eastAsia"/>
        </w:rPr>
        <w:t>《危险货物品名表》（</w:t>
      </w:r>
      <w:r>
        <w:rPr>
          <w:rFonts w:hint="eastAsia"/>
        </w:rPr>
        <w:t>GB 12268-2025</w:t>
      </w:r>
      <w:r>
        <w:rPr>
          <w:rFonts w:hint="eastAsia"/>
        </w:rPr>
        <w:t>）</w:t>
      </w:r>
    </w:p>
    <w:p w14:paraId="3D899B33" w14:textId="77777777" w:rsidR="00EF4562" w:rsidRDefault="00000000">
      <w:pPr>
        <w:pStyle w:val="af"/>
        <w:numPr>
          <w:ilvl w:val="0"/>
          <w:numId w:val="15"/>
        </w:numPr>
        <w:ind w:left="0" w:firstLine="560"/>
      </w:pPr>
      <w:r>
        <w:rPr>
          <w:rFonts w:hint="eastAsia"/>
        </w:rPr>
        <w:lastRenderedPageBreak/>
        <w:t>《安全色和安全标志》（</w:t>
      </w:r>
      <w:r>
        <w:t>GB 2894-2025</w:t>
      </w:r>
      <w:r>
        <w:rPr>
          <w:rFonts w:hint="eastAsia"/>
        </w:rPr>
        <w:t>）</w:t>
      </w:r>
    </w:p>
    <w:p w14:paraId="6313C725" w14:textId="77777777" w:rsidR="00EF4562" w:rsidRDefault="00000000">
      <w:pPr>
        <w:pStyle w:val="af"/>
        <w:numPr>
          <w:ilvl w:val="0"/>
          <w:numId w:val="15"/>
        </w:numPr>
        <w:ind w:left="0" w:firstLine="560"/>
      </w:pPr>
      <w:r>
        <w:rPr>
          <w:rFonts w:hint="eastAsia"/>
        </w:rPr>
        <w:t>《图形符号</w:t>
      </w:r>
      <w:r>
        <w:rPr>
          <w:rFonts w:hint="eastAsia"/>
        </w:rPr>
        <w:t xml:space="preserve"> </w:t>
      </w:r>
      <w:r>
        <w:rPr>
          <w:rFonts w:hint="eastAsia"/>
        </w:rPr>
        <w:t>安全色和安全标志</w:t>
      </w:r>
      <w:r>
        <w:rPr>
          <w:rFonts w:hint="eastAsia"/>
        </w:rPr>
        <w:t xml:space="preserve"> </w:t>
      </w:r>
      <w:r>
        <w:rPr>
          <w:rFonts w:hint="eastAsia"/>
        </w:rPr>
        <w:t>第</w:t>
      </w:r>
      <w:r>
        <w:rPr>
          <w:rFonts w:hint="eastAsia"/>
        </w:rPr>
        <w:t>1</w:t>
      </w:r>
      <w:r>
        <w:rPr>
          <w:rFonts w:hint="eastAsia"/>
        </w:rPr>
        <w:t>部分：安全标志和安全标记的设计原则》（</w:t>
      </w:r>
      <w:r>
        <w:rPr>
          <w:rFonts w:hint="eastAsia"/>
        </w:rPr>
        <w:t>GB/T 2893.1-2013</w:t>
      </w:r>
      <w:r>
        <w:rPr>
          <w:rFonts w:hint="eastAsia"/>
        </w:rPr>
        <w:t>）</w:t>
      </w:r>
    </w:p>
    <w:p w14:paraId="08CBCB8F" w14:textId="77777777" w:rsidR="00EF4562" w:rsidRDefault="00000000">
      <w:pPr>
        <w:pStyle w:val="af"/>
        <w:numPr>
          <w:ilvl w:val="0"/>
          <w:numId w:val="15"/>
        </w:numPr>
        <w:ind w:left="0" w:firstLine="560"/>
      </w:pPr>
      <w:r>
        <w:rPr>
          <w:rFonts w:hint="eastAsia"/>
        </w:rPr>
        <w:t>《图形符号</w:t>
      </w:r>
      <w:r>
        <w:rPr>
          <w:rFonts w:hint="eastAsia"/>
        </w:rPr>
        <w:t xml:space="preserve"> </w:t>
      </w:r>
      <w:r>
        <w:rPr>
          <w:rFonts w:hint="eastAsia"/>
        </w:rPr>
        <w:t>安全色和安全标志</w:t>
      </w:r>
      <w:r>
        <w:rPr>
          <w:rFonts w:hint="eastAsia"/>
        </w:rPr>
        <w:t xml:space="preserve"> </w:t>
      </w:r>
      <w:r>
        <w:rPr>
          <w:rFonts w:hint="eastAsia"/>
        </w:rPr>
        <w:t>第</w:t>
      </w:r>
      <w:r>
        <w:rPr>
          <w:rFonts w:hint="eastAsia"/>
        </w:rPr>
        <w:t>5</w:t>
      </w:r>
      <w:r>
        <w:rPr>
          <w:rFonts w:hint="eastAsia"/>
        </w:rPr>
        <w:t>部分：安全标志使用原则与要求》（</w:t>
      </w:r>
      <w:r>
        <w:rPr>
          <w:rFonts w:hint="eastAsia"/>
        </w:rPr>
        <w:t>GB/T 2893.5-2020</w:t>
      </w:r>
      <w:r>
        <w:rPr>
          <w:rFonts w:hint="eastAsia"/>
        </w:rPr>
        <w:t>）</w:t>
      </w:r>
    </w:p>
    <w:p w14:paraId="0D4CDCC2" w14:textId="77777777" w:rsidR="00EF4562" w:rsidRDefault="00000000">
      <w:pPr>
        <w:pStyle w:val="af"/>
        <w:numPr>
          <w:ilvl w:val="0"/>
          <w:numId w:val="15"/>
        </w:numPr>
        <w:ind w:left="0" w:firstLine="560"/>
      </w:pPr>
      <w:r>
        <w:rPr>
          <w:rFonts w:hint="eastAsia"/>
        </w:rPr>
        <w:t>《消防安全标志第</w:t>
      </w:r>
      <w:r>
        <w:rPr>
          <w:rFonts w:hint="eastAsia"/>
        </w:rPr>
        <w:t>1</w:t>
      </w:r>
      <w:r>
        <w:rPr>
          <w:rFonts w:hint="eastAsia"/>
        </w:rPr>
        <w:t>部分：标志》（</w:t>
      </w:r>
      <w:r>
        <w:rPr>
          <w:rFonts w:hint="eastAsia"/>
        </w:rPr>
        <w:t>GB 13495.1-2015</w:t>
      </w:r>
      <w:r>
        <w:rPr>
          <w:rFonts w:hint="eastAsia"/>
        </w:rPr>
        <w:t>）</w:t>
      </w:r>
    </w:p>
    <w:p w14:paraId="58BDAD9B" w14:textId="77777777" w:rsidR="00EF4562" w:rsidRDefault="00000000">
      <w:pPr>
        <w:pStyle w:val="af"/>
        <w:numPr>
          <w:ilvl w:val="0"/>
          <w:numId w:val="15"/>
        </w:numPr>
        <w:ind w:left="0" w:firstLine="560"/>
      </w:pPr>
      <w:r>
        <w:rPr>
          <w:rFonts w:hint="eastAsia"/>
        </w:rPr>
        <w:t>《职业性接触毒物危害程度分级》（</w:t>
      </w:r>
      <w:r>
        <w:rPr>
          <w:rFonts w:hint="eastAsia"/>
        </w:rPr>
        <w:t>GBZ 230-2010</w:t>
      </w:r>
      <w:r>
        <w:rPr>
          <w:rFonts w:hint="eastAsia"/>
        </w:rPr>
        <w:t>）</w:t>
      </w:r>
    </w:p>
    <w:p w14:paraId="7FB9F6CF" w14:textId="77777777" w:rsidR="00EF4562" w:rsidRDefault="00000000">
      <w:pPr>
        <w:pStyle w:val="af"/>
        <w:numPr>
          <w:ilvl w:val="0"/>
          <w:numId w:val="15"/>
        </w:numPr>
        <w:ind w:left="0" w:firstLine="560"/>
      </w:pPr>
      <w:r>
        <w:rPr>
          <w:rFonts w:hint="eastAsia"/>
        </w:rPr>
        <w:t>《工作场所有害因素职业接触限值</w:t>
      </w:r>
      <w:r>
        <w:rPr>
          <w:rFonts w:hint="eastAsia"/>
        </w:rPr>
        <w:t xml:space="preserve"> </w:t>
      </w:r>
      <w:r>
        <w:rPr>
          <w:rFonts w:hint="eastAsia"/>
        </w:rPr>
        <w:t>第</w:t>
      </w:r>
      <w:r>
        <w:rPr>
          <w:rFonts w:hint="eastAsia"/>
        </w:rPr>
        <w:t>1</w:t>
      </w:r>
      <w:r>
        <w:rPr>
          <w:rFonts w:hint="eastAsia"/>
        </w:rPr>
        <w:t>部分：化学有害因素》行业标准第</w:t>
      </w:r>
      <w:r>
        <w:rPr>
          <w:rFonts w:hint="eastAsia"/>
        </w:rPr>
        <w:t>2</w:t>
      </w:r>
      <w:r>
        <w:rPr>
          <w:rFonts w:hint="eastAsia"/>
        </w:rPr>
        <w:t>号修改单（</w:t>
      </w:r>
      <w:r>
        <w:t>GBZ 2.1-2019/XG2-2024</w:t>
      </w:r>
      <w:r>
        <w:rPr>
          <w:rFonts w:hint="eastAsia"/>
        </w:rPr>
        <w:t>）</w:t>
      </w:r>
    </w:p>
    <w:p w14:paraId="1C3E6BCC" w14:textId="77777777" w:rsidR="00EF4562" w:rsidRDefault="00000000">
      <w:pPr>
        <w:pStyle w:val="af"/>
        <w:numPr>
          <w:ilvl w:val="0"/>
          <w:numId w:val="15"/>
        </w:numPr>
        <w:ind w:left="0" w:firstLine="560"/>
      </w:pPr>
      <w:r>
        <w:rPr>
          <w:rFonts w:hint="eastAsia"/>
        </w:rPr>
        <w:t>《工作场所有害因素职业接触限值</w:t>
      </w:r>
      <w:r>
        <w:rPr>
          <w:rFonts w:hint="eastAsia"/>
        </w:rPr>
        <w:t xml:space="preserve"> </w:t>
      </w:r>
      <w:r>
        <w:rPr>
          <w:rFonts w:hint="eastAsia"/>
        </w:rPr>
        <w:t>第</w:t>
      </w:r>
      <w:r>
        <w:rPr>
          <w:rFonts w:hint="eastAsia"/>
        </w:rPr>
        <w:t>2</w:t>
      </w:r>
      <w:r>
        <w:rPr>
          <w:rFonts w:hint="eastAsia"/>
        </w:rPr>
        <w:t>部分：物理因素》（</w:t>
      </w:r>
      <w:r>
        <w:rPr>
          <w:rFonts w:hint="eastAsia"/>
        </w:rPr>
        <w:t>GBZ 2.2-2007</w:t>
      </w:r>
      <w:r>
        <w:rPr>
          <w:rFonts w:hint="eastAsia"/>
        </w:rPr>
        <w:t>）</w:t>
      </w:r>
    </w:p>
    <w:p w14:paraId="21BA29AF" w14:textId="77777777" w:rsidR="00EF4562" w:rsidRDefault="00000000">
      <w:pPr>
        <w:pStyle w:val="af"/>
        <w:numPr>
          <w:ilvl w:val="0"/>
          <w:numId w:val="15"/>
        </w:numPr>
        <w:ind w:left="0" w:firstLine="560"/>
      </w:pPr>
      <w:r>
        <w:rPr>
          <w:rFonts w:hint="eastAsia"/>
        </w:rPr>
        <w:t>《个体防护装备配备规范第</w:t>
      </w:r>
      <w:r>
        <w:rPr>
          <w:rFonts w:hint="eastAsia"/>
        </w:rPr>
        <w:t>1</w:t>
      </w:r>
      <w:r>
        <w:rPr>
          <w:rFonts w:hint="eastAsia"/>
        </w:rPr>
        <w:t>部分：总则》（</w:t>
      </w:r>
      <w:r>
        <w:rPr>
          <w:rFonts w:hint="eastAsia"/>
        </w:rPr>
        <w:t>GB 39800.1-2020</w:t>
      </w:r>
      <w:r>
        <w:rPr>
          <w:rFonts w:hint="eastAsia"/>
        </w:rPr>
        <w:t>）</w:t>
      </w:r>
    </w:p>
    <w:p w14:paraId="7DDDD75E" w14:textId="77777777" w:rsidR="00EF4562" w:rsidRDefault="00000000">
      <w:pPr>
        <w:pStyle w:val="af"/>
        <w:numPr>
          <w:ilvl w:val="0"/>
          <w:numId w:val="15"/>
        </w:numPr>
        <w:ind w:left="0" w:firstLine="560"/>
      </w:pPr>
      <w:r>
        <w:rPr>
          <w:rFonts w:hint="eastAsia"/>
        </w:rPr>
        <w:t>《个体防护装备配备规范第</w:t>
      </w:r>
      <w:r>
        <w:rPr>
          <w:rFonts w:hint="eastAsia"/>
        </w:rPr>
        <w:t>2</w:t>
      </w:r>
      <w:r>
        <w:rPr>
          <w:rFonts w:hint="eastAsia"/>
        </w:rPr>
        <w:t>部分：石油、化工、天然气》（</w:t>
      </w:r>
      <w:r>
        <w:rPr>
          <w:rFonts w:hint="eastAsia"/>
        </w:rPr>
        <w:t>GB 39800.2-2020</w:t>
      </w:r>
      <w:r>
        <w:rPr>
          <w:rFonts w:hint="eastAsia"/>
        </w:rPr>
        <w:t>）</w:t>
      </w:r>
    </w:p>
    <w:p w14:paraId="429C2536" w14:textId="77777777" w:rsidR="00EF4562" w:rsidRDefault="00000000">
      <w:pPr>
        <w:pStyle w:val="af"/>
        <w:numPr>
          <w:ilvl w:val="0"/>
          <w:numId w:val="15"/>
        </w:numPr>
        <w:ind w:left="0" w:firstLine="560"/>
      </w:pPr>
      <w:r>
        <w:rPr>
          <w:rFonts w:hint="eastAsia"/>
        </w:rPr>
        <w:t>《生产经营单位生产安全事故应急预案编制导则》（</w:t>
      </w:r>
      <w:r>
        <w:rPr>
          <w:rFonts w:hint="eastAsia"/>
        </w:rPr>
        <w:t>GB/T 29639-2020</w:t>
      </w:r>
      <w:r>
        <w:rPr>
          <w:rFonts w:hint="eastAsia"/>
        </w:rPr>
        <w:t>）</w:t>
      </w:r>
    </w:p>
    <w:p w14:paraId="7B4C7064" w14:textId="77777777" w:rsidR="00EF4562" w:rsidRDefault="00000000">
      <w:pPr>
        <w:pStyle w:val="af"/>
        <w:numPr>
          <w:ilvl w:val="0"/>
          <w:numId w:val="15"/>
        </w:numPr>
        <w:ind w:left="0" w:firstLine="560"/>
      </w:pPr>
      <w:r>
        <w:rPr>
          <w:rFonts w:hint="eastAsia"/>
        </w:rPr>
        <w:t>《</w:t>
      </w:r>
      <w:bookmarkStart w:id="60" w:name="OLE_LINK24"/>
      <w:r>
        <w:rPr>
          <w:rFonts w:hint="eastAsia"/>
        </w:rPr>
        <w:t>生产安全事故应急演练基本规范</w:t>
      </w:r>
      <w:bookmarkEnd w:id="60"/>
      <w:r>
        <w:rPr>
          <w:rFonts w:hint="eastAsia"/>
        </w:rPr>
        <w:t>》（</w:t>
      </w:r>
      <w:r>
        <w:t>YJ/T 9007-2019</w:t>
      </w:r>
      <w:r>
        <w:rPr>
          <w:rFonts w:hint="eastAsia"/>
        </w:rPr>
        <w:t>）</w:t>
      </w:r>
    </w:p>
    <w:p w14:paraId="3E809C1F" w14:textId="77777777" w:rsidR="00EF4562" w:rsidRDefault="00000000">
      <w:pPr>
        <w:pStyle w:val="af"/>
        <w:numPr>
          <w:ilvl w:val="0"/>
          <w:numId w:val="15"/>
        </w:numPr>
        <w:ind w:left="0" w:firstLine="560"/>
      </w:pPr>
      <w:r>
        <w:rPr>
          <w:rFonts w:hint="eastAsia"/>
        </w:rPr>
        <w:t>《</w:t>
      </w:r>
      <w:bookmarkStart w:id="61" w:name="OLE_LINK25"/>
      <w:r>
        <w:rPr>
          <w:rFonts w:hint="eastAsia"/>
        </w:rPr>
        <w:t>生产经营单位生产安全事故应急预案评估指南</w:t>
      </w:r>
      <w:bookmarkEnd w:id="61"/>
      <w:r>
        <w:rPr>
          <w:rFonts w:hint="eastAsia"/>
        </w:rPr>
        <w:t>》（</w:t>
      </w:r>
      <w:r>
        <w:rPr>
          <w:rFonts w:hint="eastAsia"/>
        </w:rPr>
        <w:t>YJ/T 9011-2019</w:t>
      </w:r>
      <w:r>
        <w:rPr>
          <w:rFonts w:hint="eastAsia"/>
        </w:rPr>
        <w:t>）</w:t>
      </w:r>
    </w:p>
    <w:p w14:paraId="66F22B66" w14:textId="77777777" w:rsidR="00EF4562" w:rsidRDefault="00000000">
      <w:pPr>
        <w:pStyle w:val="af"/>
        <w:numPr>
          <w:ilvl w:val="0"/>
          <w:numId w:val="15"/>
        </w:numPr>
        <w:ind w:left="0" w:firstLine="560"/>
      </w:pPr>
      <w:r>
        <w:rPr>
          <w:rFonts w:hint="eastAsia"/>
        </w:rPr>
        <w:t>《</w:t>
      </w:r>
      <w:bookmarkStart w:id="62" w:name="OLE_LINK26"/>
      <w:r>
        <w:rPr>
          <w:rFonts w:hint="eastAsia"/>
        </w:rPr>
        <w:t>危险化学品单位应急救援物资配备要求</w:t>
      </w:r>
      <w:bookmarkEnd w:id="62"/>
      <w:r>
        <w:rPr>
          <w:rFonts w:hint="eastAsia"/>
        </w:rPr>
        <w:t>》（</w:t>
      </w:r>
      <w:r>
        <w:rPr>
          <w:rFonts w:hint="eastAsia"/>
        </w:rPr>
        <w:t>GB 30077-2023</w:t>
      </w:r>
      <w:r>
        <w:rPr>
          <w:rFonts w:hint="eastAsia"/>
        </w:rPr>
        <w:t>）</w:t>
      </w:r>
    </w:p>
    <w:p w14:paraId="7377D599" w14:textId="77777777" w:rsidR="00EF4562" w:rsidRDefault="00000000">
      <w:pPr>
        <w:pStyle w:val="af"/>
        <w:numPr>
          <w:ilvl w:val="0"/>
          <w:numId w:val="15"/>
        </w:numPr>
        <w:ind w:left="0" w:firstLine="560"/>
      </w:pPr>
      <w:r>
        <w:rPr>
          <w:rFonts w:hint="eastAsia"/>
        </w:rPr>
        <w:t>《</w:t>
      </w:r>
      <w:bookmarkStart w:id="63" w:name="OLE_LINK27"/>
      <w:r>
        <w:rPr>
          <w:rFonts w:hint="eastAsia"/>
        </w:rPr>
        <w:t>危险化学品企业特殊作业安全规范</w:t>
      </w:r>
      <w:bookmarkEnd w:id="63"/>
      <w:r>
        <w:rPr>
          <w:rFonts w:hint="eastAsia"/>
        </w:rPr>
        <w:t>》（</w:t>
      </w:r>
      <w:r>
        <w:rPr>
          <w:rFonts w:hint="eastAsia"/>
        </w:rPr>
        <w:t>GB 30871-2022</w:t>
      </w:r>
      <w:r>
        <w:rPr>
          <w:rFonts w:hint="eastAsia"/>
        </w:rPr>
        <w:t>）</w:t>
      </w:r>
    </w:p>
    <w:p w14:paraId="574A3DD9" w14:textId="77777777" w:rsidR="00EF4562" w:rsidRDefault="00000000">
      <w:pPr>
        <w:pStyle w:val="af"/>
        <w:numPr>
          <w:ilvl w:val="0"/>
          <w:numId w:val="15"/>
        </w:numPr>
        <w:ind w:left="0" w:firstLine="560"/>
      </w:pPr>
      <w:r>
        <w:rPr>
          <w:rFonts w:hint="eastAsia"/>
        </w:rPr>
        <w:t>《石油化工设备和管道涂料防腐蚀设计标准》（</w:t>
      </w:r>
      <w:r>
        <w:rPr>
          <w:rFonts w:hint="eastAsia"/>
        </w:rPr>
        <w:t>SH/T 3022-2019</w:t>
      </w:r>
      <w:r>
        <w:rPr>
          <w:rFonts w:hint="eastAsia"/>
        </w:rPr>
        <w:t>）</w:t>
      </w:r>
    </w:p>
    <w:p w14:paraId="5633A3FE" w14:textId="77777777" w:rsidR="00EF4562" w:rsidRDefault="00000000">
      <w:pPr>
        <w:pStyle w:val="af"/>
        <w:numPr>
          <w:ilvl w:val="0"/>
          <w:numId w:val="15"/>
        </w:numPr>
        <w:ind w:left="0" w:firstLine="560"/>
      </w:pPr>
      <w:r>
        <w:rPr>
          <w:rFonts w:hint="eastAsia"/>
        </w:rPr>
        <w:t>《石油化工设备和管道涂料防腐蚀设计标准》行业标准第</w:t>
      </w:r>
      <w:r>
        <w:rPr>
          <w:rFonts w:hint="eastAsia"/>
        </w:rPr>
        <w:t>1</w:t>
      </w:r>
      <w:r>
        <w:rPr>
          <w:rFonts w:hint="eastAsia"/>
        </w:rPr>
        <w:t>号修改单（</w:t>
      </w:r>
      <w:r>
        <w:t>SH/T 3022-2019/XG1-2021</w:t>
      </w:r>
      <w:r>
        <w:rPr>
          <w:rFonts w:hint="eastAsia"/>
        </w:rPr>
        <w:t>）</w:t>
      </w:r>
    </w:p>
    <w:p w14:paraId="16273246"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64" w:name="_Toc207695660"/>
      <w:r>
        <w:rPr>
          <w:rFonts w:eastAsia="楷体" w:cs="Times New Roman"/>
          <w:b/>
          <w:bCs/>
          <w:sz w:val="32"/>
          <w:szCs w:val="32"/>
        </w:rPr>
        <w:lastRenderedPageBreak/>
        <w:t>A.5</w:t>
      </w:r>
      <w:r>
        <w:rPr>
          <w:rFonts w:ascii="楷体" w:eastAsia="楷体" w:hAnsi="楷体" w:hint="eastAsia"/>
          <w:b/>
          <w:bCs/>
          <w:sz w:val="32"/>
          <w:szCs w:val="32"/>
        </w:rPr>
        <w:t>其它资料或文件</w:t>
      </w:r>
      <w:bookmarkEnd w:id="64"/>
    </w:p>
    <w:p w14:paraId="78C06997" w14:textId="77777777" w:rsidR="00EF4562" w:rsidRDefault="00000000">
      <w:pPr>
        <w:ind w:firstLine="560"/>
      </w:pPr>
      <w:r>
        <w:rPr>
          <w:rFonts w:hint="eastAsia"/>
        </w:rPr>
        <w:t>（</w:t>
      </w:r>
      <w:r>
        <w:rPr>
          <w:rFonts w:hint="eastAsia"/>
        </w:rPr>
        <w:t>1</w:t>
      </w:r>
      <w:r>
        <w:rPr>
          <w:rFonts w:hint="eastAsia"/>
        </w:rPr>
        <w:t>）锦州市杨兴加油站有限公司与辽宁诺诚安全科技有限公司双方签订的安全评价技术服务合同</w:t>
      </w:r>
    </w:p>
    <w:p w14:paraId="089FAE9C" w14:textId="77777777" w:rsidR="00EF4562" w:rsidRDefault="00000000">
      <w:pPr>
        <w:ind w:firstLine="560"/>
      </w:pPr>
      <w:r>
        <w:rPr>
          <w:rFonts w:hint="eastAsia"/>
        </w:rPr>
        <w:t>（</w:t>
      </w:r>
      <w:r>
        <w:rPr>
          <w:rFonts w:hint="eastAsia"/>
        </w:rPr>
        <w:t>2</w:t>
      </w:r>
      <w:r>
        <w:rPr>
          <w:rFonts w:hint="eastAsia"/>
        </w:rPr>
        <w:t>）辽宁诺诚安全科技有限公司技术人员现场采集的资料；</w:t>
      </w:r>
    </w:p>
    <w:p w14:paraId="70FA47BF" w14:textId="77777777" w:rsidR="00EF4562" w:rsidRDefault="00000000">
      <w:pPr>
        <w:ind w:firstLine="560"/>
        <w:sectPr w:rsidR="00EF4562">
          <w:pgSz w:w="11906" w:h="16838"/>
          <w:pgMar w:top="1418" w:right="1134" w:bottom="1134" w:left="1588" w:header="851" w:footer="992" w:gutter="0"/>
          <w:cols w:space="425"/>
          <w:docGrid w:type="linesAndChars" w:linePitch="381"/>
        </w:sectPr>
      </w:pPr>
      <w:r>
        <w:rPr>
          <w:rFonts w:hint="eastAsia"/>
        </w:rPr>
        <w:t>（</w:t>
      </w:r>
      <w:r>
        <w:rPr>
          <w:rFonts w:hint="eastAsia"/>
        </w:rPr>
        <w:t>3</w:t>
      </w:r>
      <w:r>
        <w:rPr>
          <w:rFonts w:hint="eastAsia"/>
        </w:rPr>
        <w:t>）锦州市杨兴加油站有限公司提供的有关书面资料、文件和数据。</w:t>
      </w:r>
    </w:p>
    <w:p w14:paraId="4C9F699D" w14:textId="77777777" w:rsidR="00EF4562" w:rsidRDefault="00000000">
      <w:pPr>
        <w:spacing w:beforeLines="150" w:before="571" w:afterLines="150" w:after="571"/>
        <w:ind w:firstLineChars="0" w:firstLine="0"/>
        <w:jc w:val="center"/>
        <w:outlineLvl w:val="0"/>
        <w:rPr>
          <w:rFonts w:ascii="黑体" w:eastAsia="黑体" w:hAnsi="黑体" w:hint="eastAsia"/>
          <w:b/>
          <w:bCs/>
          <w:sz w:val="32"/>
          <w:szCs w:val="32"/>
        </w:rPr>
      </w:pPr>
      <w:bookmarkStart w:id="65" w:name="_Toc207695661"/>
      <w:bookmarkStart w:id="66" w:name="_Toc14442"/>
      <w:r>
        <w:rPr>
          <w:rFonts w:ascii="黑体" w:eastAsia="黑体" w:hAnsi="黑体"/>
          <w:b/>
          <w:bCs/>
          <w:sz w:val="32"/>
          <w:szCs w:val="32"/>
        </w:rPr>
        <w:lastRenderedPageBreak/>
        <w:t>附</w:t>
      </w:r>
      <w:r>
        <w:rPr>
          <w:rFonts w:ascii="黑体" w:eastAsia="黑体" w:hAnsi="黑体" w:hint="eastAsia"/>
          <w:b/>
          <w:bCs/>
          <w:sz w:val="32"/>
          <w:szCs w:val="32"/>
        </w:rPr>
        <w:t>录</w:t>
      </w:r>
      <w:r>
        <w:rPr>
          <w:rFonts w:eastAsia="黑体" w:cs="Times New Roman"/>
          <w:b/>
          <w:bCs/>
          <w:sz w:val="32"/>
          <w:szCs w:val="32"/>
        </w:rPr>
        <w:t>B</w:t>
      </w:r>
      <w:r>
        <w:rPr>
          <w:rFonts w:ascii="黑体" w:eastAsia="黑体" w:hAnsi="黑体"/>
          <w:b/>
          <w:bCs/>
          <w:sz w:val="32"/>
          <w:szCs w:val="32"/>
        </w:rPr>
        <w:t>选用的安全评价方法简介</w:t>
      </w:r>
      <w:bookmarkEnd w:id="65"/>
      <w:bookmarkEnd w:id="66"/>
    </w:p>
    <w:p w14:paraId="1AA3965C"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67" w:name="_Toc207695662"/>
      <w:bookmarkStart w:id="68" w:name="_Toc41246747"/>
      <w:bookmarkStart w:id="69" w:name="_Toc29686"/>
      <w:r>
        <w:rPr>
          <w:rFonts w:eastAsia="楷体" w:cs="Times New Roman"/>
          <w:b/>
          <w:bCs/>
          <w:sz w:val="32"/>
          <w:szCs w:val="32"/>
        </w:rPr>
        <w:t>B.1</w:t>
      </w:r>
      <w:r>
        <w:rPr>
          <w:rFonts w:ascii="楷体" w:eastAsia="楷体" w:hAnsi="楷体"/>
          <w:b/>
          <w:bCs/>
          <w:sz w:val="32"/>
          <w:szCs w:val="32"/>
        </w:rPr>
        <w:t>安全检查表法</w:t>
      </w:r>
      <w:bookmarkEnd w:id="67"/>
      <w:bookmarkEnd w:id="68"/>
      <w:bookmarkEnd w:id="69"/>
    </w:p>
    <w:p w14:paraId="10CC1799" w14:textId="77777777" w:rsidR="00EF4562" w:rsidRDefault="00000000">
      <w:pPr>
        <w:ind w:firstLine="560"/>
      </w:pPr>
      <w:r>
        <w:t>安全检查表法分析，即为了查找工程、系统中各种设备设施、物料、工件、操作、管理和组织措施中的危险、有害因素，事先把检查对象加以分解，将大系统分割成若干小的子系统，以提问或打分的形式，将检查项目列表逐项检查，避免遗漏，通常将这种评价方法称为安全检查表分析法。</w:t>
      </w:r>
    </w:p>
    <w:p w14:paraId="00B209B3"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70" w:name="_Toc13121"/>
      <w:bookmarkStart w:id="71" w:name="_Toc207695663"/>
      <w:bookmarkStart w:id="72" w:name="_Toc41246749"/>
      <w:r>
        <w:rPr>
          <w:rFonts w:eastAsia="楷体" w:cs="Times New Roman"/>
          <w:b/>
          <w:bCs/>
          <w:sz w:val="32"/>
          <w:szCs w:val="32"/>
        </w:rPr>
        <w:t>B.2</w:t>
      </w:r>
      <w:r>
        <w:rPr>
          <w:rFonts w:ascii="楷体" w:eastAsia="楷体" w:hAnsi="楷体"/>
          <w:b/>
          <w:bCs/>
          <w:sz w:val="32"/>
          <w:szCs w:val="32"/>
        </w:rPr>
        <w:t>预先危险性分析评价法</w:t>
      </w:r>
      <w:bookmarkEnd w:id="70"/>
      <w:bookmarkEnd w:id="71"/>
      <w:bookmarkEnd w:id="72"/>
    </w:p>
    <w:p w14:paraId="492AC595" w14:textId="77777777" w:rsidR="00EF4562" w:rsidRDefault="00000000">
      <w:pPr>
        <w:ind w:firstLine="560"/>
      </w:pPr>
      <w:r>
        <w:t>预先危险性分析（</w:t>
      </w:r>
      <w:r>
        <w:t>Preliminary Hazard Analysis</w:t>
      </w:r>
      <w:r>
        <w:t>，简称</w:t>
      </w:r>
      <w:r>
        <w:t>PHA</w:t>
      </w:r>
      <w:r>
        <w:t>）是在进行某项工程活动（包括设计、施工、生产、维修等）之前，对系统存在的各种危险因素、出现条件和事故可能造成的后果进行宏观、概略分析的系统安全分析方法。</w:t>
      </w:r>
      <w:r>
        <w:rPr>
          <w:rFonts w:hint="eastAsia"/>
        </w:rPr>
        <w:t>其</w:t>
      </w:r>
      <w:r>
        <w:t>目的是早期发现系统中潜在的危险因素，确定系统的危险等级，提出相应的防范措施，防止这些危险因素发展成为事故，避免考虑不周所造成的损失。</w:t>
      </w:r>
    </w:p>
    <w:p w14:paraId="08EACFC2" w14:textId="77777777" w:rsidR="00EF4562" w:rsidRDefault="00000000">
      <w:pPr>
        <w:ind w:firstLine="560"/>
      </w:pPr>
      <w:r>
        <w:t>PHA</w:t>
      </w:r>
      <w:r>
        <w:t>法概要介绍如下。</w:t>
      </w:r>
    </w:p>
    <w:p w14:paraId="3330F043" w14:textId="77777777" w:rsidR="00EF4562" w:rsidRDefault="00000000">
      <w:pPr>
        <w:ind w:firstLine="560"/>
      </w:pPr>
      <w:r>
        <w:t>（</w:t>
      </w:r>
      <w:r>
        <w:t>1</w:t>
      </w:r>
      <w:r>
        <w:t>）对所分析系统的生产目的、工艺过程、操作条件和周围环境进行充分的调查、了解；</w:t>
      </w:r>
    </w:p>
    <w:p w14:paraId="777E0950" w14:textId="77777777" w:rsidR="00EF4562" w:rsidRDefault="00000000">
      <w:pPr>
        <w:ind w:firstLine="560"/>
      </w:pPr>
      <w:r>
        <w:t>（</w:t>
      </w:r>
      <w:r>
        <w:t>2</w:t>
      </w:r>
      <w:r>
        <w:t>）收集国内外同类生产过程中发生过的事故情况，判断所分析的系统是否也会出现类似情况，查出会造成系统故障、人员伤亡、设备设施及物质损坏、损失的危险性。</w:t>
      </w:r>
    </w:p>
    <w:p w14:paraId="39382D23" w14:textId="77777777" w:rsidR="00EF4562" w:rsidRDefault="00000000">
      <w:pPr>
        <w:ind w:firstLine="560"/>
      </w:pPr>
      <w:r>
        <w:t>（</w:t>
      </w:r>
      <w:r>
        <w:t>3</w:t>
      </w:r>
      <w:r>
        <w:t>）确定系统中的危险和有害因素（危险源），编制</w:t>
      </w:r>
      <w:r>
        <w:rPr>
          <w:rFonts w:hint="eastAsia"/>
        </w:rPr>
        <w:t>“</w:t>
      </w:r>
      <w:r>
        <w:t>预先危险性分析表</w:t>
      </w:r>
      <w:r>
        <w:rPr>
          <w:rFonts w:hint="eastAsia"/>
        </w:rPr>
        <w:t>”</w:t>
      </w:r>
      <w:r>
        <w:t>。</w:t>
      </w:r>
    </w:p>
    <w:p w14:paraId="3B2860EC" w14:textId="77777777" w:rsidR="00EF4562" w:rsidRDefault="00000000">
      <w:pPr>
        <w:ind w:firstLine="560"/>
      </w:pPr>
      <w:r>
        <w:lastRenderedPageBreak/>
        <w:t>（</w:t>
      </w:r>
      <w:r>
        <w:t>4</w:t>
      </w:r>
      <w:r>
        <w:t>）根据</w:t>
      </w:r>
      <w:r>
        <w:rPr>
          <w:rFonts w:hint="eastAsia"/>
        </w:rPr>
        <w:t>“</w:t>
      </w:r>
      <w:r>
        <w:t>危险性等级划分表</w:t>
      </w:r>
      <w:r>
        <w:rPr>
          <w:rFonts w:hint="eastAsia"/>
        </w:rPr>
        <w:t>”</w:t>
      </w:r>
      <w:r>
        <w:t>，确定危险有害因素的危险等级，找出应重点监控的危险源。</w:t>
      </w:r>
    </w:p>
    <w:p w14:paraId="171B02F9" w14:textId="77777777" w:rsidR="00EF4562" w:rsidRDefault="00000000">
      <w:pPr>
        <w:ind w:firstLine="560"/>
      </w:pPr>
      <w:r>
        <w:t>（</w:t>
      </w:r>
      <w:r>
        <w:t>5</w:t>
      </w:r>
      <w:r>
        <w:t>）按危险和有害因素危险等级制定相应对策措施。</w:t>
      </w:r>
    </w:p>
    <w:p w14:paraId="024DB7A5" w14:textId="77777777" w:rsidR="00EF4562" w:rsidRDefault="00000000">
      <w:pPr>
        <w:ind w:firstLine="560"/>
      </w:pPr>
      <w:r>
        <w:t>危险等级划分采用美国军用标准</w:t>
      </w:r>
      <w:r>
        <w:t>MIL-STD-882A</w:t>
      </w:r>
      <w:r>
        <w:t>所给出的危险等级划分表，如</w:t>
      </w:r>
      <w:r>
        <w:rPr>
          <w:rFonts w:hint="eastAsia"/>
        </w:rPr>
        <w:t>表</w:t>
      </w:r>
      <w:r>
        <w:rPr>
          <w:rFonts w:hint="eastAsia"/>
        </w:rPr>
        <w:t>B-1</w:t>
      </w:r>
      <w:r>
        <w:t>所示。</w:t>
      </w:r>
    </w:p>
    <w:p w14:paraId="7A8AD65B"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B-1</w:t>
      </w:r>
      <w:r>
        <w:rPr>
          <w:rFonts w:ascii="黑体" w:eastAsia="黑体" w:hAnsi="黑体" w:hint="eastAsia"/>
          <w:sz w:val="24"/>
        </w:rPr>
        <w:t xml:space="preserve">  </w:t>
      </w:r>
      <w:r>
        <w:rPr>
          <w:rFonts w:ascii="黑体" w:eastAsia="黑体" w:hAnsi="黑体"/>
          <w:sz w:val="24"/>
        </w:rPr>
        <w:t>危险等级划分表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4"/>
        <w:gridCol w:w="1416"/>
        <w:gridCol w:w="6704"/>
      </w:tblGrid>
      <w:tr w:rsidR="00EF4562" w14:paraId="5B25578F" w14:textId="77777777">
        <w:trPr>
          <w:trHeight w:val="454"/>
          <w:jc w:val="center"/>
        </w:trPr>
        <w:tc>
          <w:tcPr>
            <w:tcW w:w="574" w:type="pct"/>
            <w:vAlign w:val="center"/>
          </w:tcPr>
          <w:p w14:paraId="3B4E61B7" w14:textId="77777777" w:rsidR="00EF4562" w:rsidRDefault="00000000">
            <w:pPr>
              <w:spacing w:line="240" w:lineRule="auto"/>
              <w:ind w:firstLineChars="0" w:firstLine="0"/>
              <w:jc w:val="center"/>
              <w:rPr>
                <w:rFonts w:cs="Times New Roman"/>
                <w:sz w:val="21"/>
                <w14:ligatures w14:val="none"/>
              </w:rPr>
            </w:pPr>
            <w:r>
              <w:rPr>
                <w:rFonts w:cs="Times New Roman"/>
                <w:sz w:val="21"/>
                <w14:ligatures w14:val="none"/>
              </w:rPr>
              <w:t>等级</w:t>
            </w:r>
          </w:p>
        </w:tc>
        <w:tc>
          <w:tcPr>
            <w:tcW w:w="772" w:type="pct"/>
            <w:vAlign w:val="center"/>
          </w:tcPr>
          <w:p w14:paraId="49076F3D" w14:textId="77777777" w:rsidR="00EF4562" w:rsidRDefault="00000000">
            <w:pPr>
              <w:spacing w:line="240" w:lineRule="auto"/>
              <w:ind w:firstLineChars="0" w:firstLine="0"/>
              <w:jc w:val="center"/>
              <w:rPr>
                <w:rFonts w:cs="Times New Roman"/>
                <w:sz w:val="21"/>
                <w14:ligatures w14:val="none"/>
              </w:rPr>
            </w:pPr>
            <w:r>
              <w:rPr>
                <w:rFonts w:cs="Times New Roman"/>
                <w:sz w:val="21"/>
                <w14:ligatures w14:val="none"/>
              </w:rPr>
              <w:t>名称</w:t>
            </w:r>
          </w:p>
        </w:tc>
        <w:tc>
          <w:tcPr>
            <w:tcW w:w="3654" w:type="pct"/>
            <w:vAlign w:val="center"/>
          </w:tcPr>
          <w:p w14:paraId="3D43551F" w14:textId="77777777" w:rsidR="00EF4562" w:rsidRDefault="00000000">
            <w:pPr>
              <w:spacing w:line="240" w:lineRule="auto"/>
              <w:ind w:firstLineChars="0" w:firstLine="0"/>
              <w:jc w:val="center"/>
              <w:rPr>
                <w:rFonts w:cs="Times New Roman"/>
                <w:sz w:val="21"/>
                <w14:ligatures w14:val="none"/>
              </w:rPr>
            </w:pPr>
            <w:r>
              <w:rPr>
                <w:rFonts w:cs="Times New Roman"/>
                <w:sz w:val="21"/>
                <w14:ligatures w14:val="none"/>
              </w:rPr>
              <w:t>特征</w:t>
            </w:r>
          </w:p>
        </w:tc>
      </w:tr>
      <w:tr w:rsidR="00EF4562" w14:paraId="202251DC" w14:textId="77777777">
        <w:trPr>
          <w:trHeight w:val="454"/>
          <w:jc w:val="center"/>
        </w:trPr>
        <w:tc>
          <w:tcPr>
            <w:tcW w:w="574" w:type="pct"/>
            <w:vAlign w:val="center"/>
          </w:tcPr>
          <w:p w14:paraId="429CE5DC" w14:textId="77777777" w:rsidR="00EF4562" w:rsidRDefault="00000000">
            <w:pPr>
              <w:autoSpaceDE w:val="0"/>
              <w:autoSpaceDN w:val="0"/>
              <w:spacing w:line="240" w:lineRule="auto"/>
              <w:ind w:firstLineChars="0" w:firstLine="0"/>
              <w:jc w:val="center"/>
              <w:rPr>
                <w:rFonts w:cs="Times New Roman"/>
                <w:sz w:val="21"/>
                <w14:ligatures w14:val="none"/>
              </w:rPr>
            </w:pPr>
            <w:r>
              <w:rPr>
                <w:rFonts w:cs="Times New Roman"/>
                <w:sz w:val="21"/>
                <w14:ligatures w14:val="none"/>
              </w:rPr>
              <w:t>I</w:t>
            </w:r>
            <w:r>
              <w:rPr>
                <w:rFonts w:cs="Times New Roman"/>
                <w:sz w:val="21"/>
                <w14:ligatures w14:val="none"/>
              </w:rPr>
              <w:t>级</w:t>
            </w:r>
          </w:p>
        </w:tc>
        <w:tc>
          <w:tcPr>
            <w:tcW w:w="772" w:type="pct"/>
            <w:vAlign w:val="center"/>
          </w:tcPr>
          <w:p w14:paraId="182B0BC1" w14:textId="77777777" w:rsidR="00EF4562" w:rsidRDefault="00000000">
            <w:pPr>
              <w:spacing w:line="240" w:lineRule="auto"/>
              <w:ind w:firstLineChars="0" w:firstLine="0"/>
              <w:jc w:val="center"/>
              <w:rPr>
                <w:rFonts w:cs="Times New Roman"/>
                <w:sz w:val="21"/>
                <w14:ligatures w14:val="none"/>
              </w:rPr>
            </w:pPr>
            <w:r>
              <w:rPr>
                <w:rFonts w:cs="Times New Roman"/>
                <w:sz w:val="21"/>
                <w14:ligatures w14:val="none"/>
              </w:rPr>
              <w:t>安全的</w:t>
            </w:r>
          </w:p>
        </w:tc>
        <w:tc>
          <w:tcPr>
            <w:tcW w:w="3654" w:type="pct"/>
            <w:vAlign w:val="center"/>
          </w:tcPr>
          <w:p w14:paraId="466EB4FE" w14:textId="77777777" w:rsidR="00EF4562" w:rsidRDefault="00000000">
            <w:pPr>
              <w:spacing w:line="240" w:lineRule="auto"/>
              <w:ind w:firstLineChars="0" w:firstLine="0"/>
              <w:jc w:val="center"/>
              <w:rPr>
                <w:rFonts w:cs="Times New Roman"/>
                <w:sz w:val="21"/>
                <w14:ligatures w14:val="none"/>
              </w:rPr>
            </w:pPr>
            <w:r>
              <w:rPr>
                <w:rFonts w:cs="Times New Roman"/>
                <w:sz w:val="21"/>
                <w14:ligatures w14:val="none"/>
              </w:rPr>
              <w:t>可以忽略</w:t>
            </w:r>
          </w:p>
        </w:tc>
      </w:tr>
      <w:tr w:rsidR="00EF4562" w14:paraId="7F4DCFD2" w14:textId="77777777">
        <w:trPr>
          <w:trHeight w:val="454"/>
          <w:jc w:val="center"/>
        </w:trPr>
        <w:tc>
          <w:tcPr>
            <w:tcW w:w="574" w:type="pct"/>
            <w:vAlign w:val="center"/>
          </w:tcPr>
          <w:p w14:paraId="5FAB39BD" w14:textId="77777777" w:rsidR="00EF4562" w:rsidRDefault="00000000">
            <w:pPr>
              <w:autoSpaceDE w:val="0"/>
              <w:autoSpaceDN w:val="0"/>
              <w:spacing w:line="240" w:lineRule="auto"/>
              <w:ind w:firstLineChars="0" w:firstLine="0"/>
              <w:jc w:val="center"/>
              <w:rPr>
                <w:rFonts w:cs="Times New Roman"/>
                <w:sz w:val="21"/>
                <w14:ligatures w14:val="none"/>
              </w:rPr>
            </w:pPr>
            <w:r>
              <w:rPr>
                <w:rFonts w:cs="Times New Roman"/>
                <w:sz w:val="21"/>
                <w14:ligatures w14:val="none"/>
              </w:rPr>
              <w:t>II</w:t>
            </w:r>
            <w:r>
              <w:rPr>
                <w:rFonts w:cs="Times New Roman"/>
                <w:sz w:val="21"/>
                <w14:ligatures w14:val="none"/>
              </w:rPr>
              <w:t>级</w:t>
            </w:r>
          </w:p>
        </w:tc>
        <w:tc>
          <w:tcPr>
            <w:tcW w:w="772" w:type="pct"/>
            <w:vAlign w:val="center"/>
          </w:tcPr>
          <w:p w14:paraId="46D2F92D" w14:textId="77777777" w:rsidR="00EF4562" w:rsidRDefault="00000000">
            <w:pPr>
              <w:spacing w:line="240" w:lineRule="auto"/>
              <w:ind w:firstLineChars="0" w:firstLine="0"/>
              <w:jc w:val="center"/>
              <w:rPr>
                <w:rFonts w:cs="Times New Roman"/>
                <w:sz w:val="21"/>
                <w14:ligatures w14:val="none"/>
              </w:rPr>
            </w:pPr>
            <w:r>
              <w:rPr>
                <w:rFonts w:cs="Times New Roman"/>
                <w:sz w:val="21"/>
                <w14:ligatures w14:val="none"/>
              </w:rPr>
              <w:t>临界的</w:t>
            </w:r>
          </w:p>
        </w:tc>
        <w:tc>
          <w:tcPr>
            <w:tcW w:w="3654" w:type="pct"/>
            <w:vAlign w:val="center"/>
          </w:tcPr>
          <w:p w14:paraId="26AE144F" w14:textId="77777777" w:rsidR="00EF4562" w:rsidRDefault="00000000">
            <w:pPr>
              <w:spacing w:line="240" w:lineRule="auto"/>
              <w:ind w:firstLineChars="0" w:firstLine="0"/>
              <w:jc w:val="center"/>
              <w:rPr>
                <w:rFonts w:cs="Times New Roman"/>
                <w:sz w:val="21"/>
                <w14:ligatures w14:val="none"/>
              </w:rPr>
            </w:pPr>
            <w:r>
              <w:rPr>
                <w:rFonts w:cs="Times New Roman"/>
                <w:sz w:val="21"/>
                <w14:ligatures w14:val="none"/>
              </w:rPr>
              <w:t>处于事故边缘状态，暂不会造成人员伤亡和财产损失，但应予以排除或采取控制措施</w:t>
            </w:r>
          </w:p>
        </w:tc>
      </w:tr>
      <w:tr w:rsidR="00EF4562" w14:paraId="02C03E8F" w14:textId="77777777">
        <w:trPr>
          <w:trHeight w:val="454"/>
          <w:jc w:val="center"/>
        </w:trPr>
        <w:tc>
          <w:tcPr>
            <w:tcW w:w="574" w:type="pct"/>
            <w:vAlign w:val="center"/>
          </w:tcPr>
          <w:p w14:paraId="672AA32C" w14:textId="77777777" w:rsidR="00EF4562" w:rsidRDefault="00000000">
            <w:pPr>
              <w:autoSpaceDE w:val="0"/>
              <w:autoSpaceDN w:val="0"/>
              <w:spacing w:line="240" w:lineRule="auto"/>
              <w:ind w:firstLineChars="0" w:firstLine="0"/>
              <w:jc w:val="center"/>
              <w:rPr>
                <w:rFonts w:cs="Times New Roman"/>
                <w:sz w:val="21"/>
                <w14:ligatures w14:val="none"/>
              </w:rPr>
            </w:pPr>
            <w:r>
              <w:rPr>
                <w:rFonts w:cs="Times New Roman"/>
                <w:sz w:val="21"/>
                <w14:ligatures w14:val="none"/>
              </w:rPr>
              <w:t>Ⅲ</w:t>
            </w:r>
            <w:r>
              <w:rPr>
                <w:rFonts w:cs="Times New Roman"/>
                <w:sz w:val="21"/>
                <w14:ligatures w14:val="none"/>
              </w:rPr>
              <w:t>级</w:t>
            </w:r>
          </w:p>
        </w:tc>
        <w:tc>
          <w:tcPr>
            <w:tcW w:w="772" w:type="pct"/>
            <w:vAlign w:val="center"/>
          </w:tcPr>
          <w:p w14:paraId="69C2C0CC" w14:textId="77777777" w:rsidR="00EF4562" w:rsidRDefault="00000000">
            <w:pPr>
              <w:spacing w:line="240" w:lineRule="auto"/>
              <w:ind w:firstLineChars="0" w:firstLine="0"/>
              <w:jc w:val="center"/>
              <w:rPr>
                <w:rFonts w:cs="Times New Roman"/>
                <w:sz w:val="21"/>
                <w14:ligatures w14:val="none"/>
              </w:rPr>
            </w:pPr>
            <w:r>
              <w:rPr>
                <w:rFonts w:cs="Times New Roman"/>
                <w:sz w:val="21"/>
                <w14:ligatures w14:val="none"/>
              </w:rPr>
              <w:t>危险的</w:t>
            </w:r>
          </w:p>
        </w:tc>
        <w:tc>
          <w:tcPr>
            <w:tcW w:w="3654" w:type="pct"/>
            <w:vAlign w:val="center"/>
          </w:tcPr>
          <w:p w14:paraId="6F6B4EF0" w14:textId="77777777" w:rsidR="00EF4562" w:rsidRDefault="00000000">
            <w:pPr>
              <w:spacing w:line="240" w:lineRule="auto"/>
              <w:ind w:firstLineChars="0" w:firstLine="0"/>
              <w:jc w:val="center"/>
              <w:rPr>
                <w:rFonts w:cs="Times New Roman"/>
                <w:sz w:val="21"/>
                <w14:ligatures w14:val="none"/>
              </w:rPr>
            </w:pPr>
            <w:r>
              <w:rPr>
                <w:rFonts w:cs="Times New Roman"/>
                <w:sz w:val="21"/>
                <w14:ligatures w14:val="none"/>
              </w:rPr>
              <w:t>会造成人员伤亡和系统破坏，要立即采取措施</w:t>
            </w:r>
          </w:p>
        </w:tc>
      </w:tr>
      <w:tr w:rsidR="00EF4562" w14:paraId="634EEEC6" w14:textId="77777777">
        <w:trPr>
          <w:trHeight w:val="454"/>
          <w:jc w:val="center"/>
        </w:trPr>
        <w:tc>
          <w:tcPr>
            <w:tcW w:w="574" w:type="pct"/>
            <w:vAlign w:val="center"/>
          </w:tcPr>
          <w:p w14:paraId="242CA0AF" w14:textId="77777777" w:rsidR="00EF4562" w:rsidRDefault="00000000">
            <w:pPr>
              <w:autoSpaceDE w:val="0"/>
              <w:autoSpaceDN w:val="0"/>
              <w:spacing w:line="240" w:lineRule="auto"/>
              <w:ind w:firstLineChars="0" w:firstLine="0"/>
              <w:jc w:val="center"/>
              <w:rPr>
                <w:rFonts w:cs="Times New Roman"/>
                <w:sz w:val="21"/>
                <w14:ligatures w14:val="none"/>
              </w:rPr>
            </w:pPr>
            <w:r>
              <w:rPr>
                <w:rFonts w:cs="Times New Roman"/>
                <w:sz w:val="21"/>
                <w14:ligatures w14:val="none"/>
              </w:rPr>
              <w:t>Ⅳ</w:t>
            </w:r>
            <w:r>
              <w:rPr>
                <w:rFonts w:cs="Times New Roman"/>
                <w:sz w:val="21"/>
                <w14:ligatures w14:val="none"/>
              </w:rPr>
              <w:t>级</w:t>
            </w:r>
          </w:p>
        </w:tc>
        <w:tc>
          <w:tcPr>
            <w:tcW w:w="772" w:type="pct"/>
            <w:vAlign w:val="center"/>
          </w:tcPr>
          <w:p w14:paraId="5F1D1DE9" w14:textId="77777777" w:rsidR="00EF4562" w:rsidRDefault="00000000">
            <w:pPr>
              <w:spacing w:line="240" w:lineRule="auto"/>
              <w:ind w:firstLineChars="0" w:firstLine="0"/>
              <w:jc w:val="center"/>
              <w:rPr>
                <w:rFonts w:cs="Times New Roman"/>
                <w:sz w:val="21"/>
                <w14:ligatures w14:val="none"/>
              </w:rPr>
            </w:pPr>
            <w:r>
              <w:rPr>
                <w:rFonts w:cs="Times New Roman"/>
                <w:sz w:val="21"/>
                <w14:ligatures w14:val="none"/>
              </w:rPr>
              <w:t>破坏性的</w:t>
            </w:r>
          </w:p>
        </w:tc>
        <w:tc>
          <w:tcPr>
            <w:tcW w:w="3654" w:type="pct"/>
            <w:vAlign w:val="center"/>
          </w:tcPr>
          <w:p w14:paraId="7B11574C" w14:textId="77777777" w:rsidR="00EF4562" w:rsidRDefault="00000000">
            <w:pPr>
              <w:spacing w:line="240" w:lineRule="auto"/>
              <w:ind w:firstLineChars="0" w:firstLine="0"/>
              <w:jc w:val="center"/>
              <w:rPr>
                <w:rFonts w:cs="Times New Roman"/>
                <w:sz w:val="21"/>
                <w14:ligatures w14:val="none"/>
              </w:rPr>
            </w:pPr>
            <w:r>
              <w:rPr>
                <w:rFonts w:cs="Times New Roman"/>
                <w:sz w:val="21"/>
                <w14:ligatures w14:val="none"/>
              </w:rPr>
              <w:t>会造成破坏性事故，必须立即排除，并进行重点防范</w:t>
            </w:r>
          </w:p>
        </w:tc>
      </w:tr>
    </w:tbl>
    <w:p w14:paraId="662B1EFC" w14:textId="77777777" w:rsidR="00EF4562" w:rsidRDefault="00000000">
      <w:pPr>
        <w:ind w:firstLine="560"/>
        <w:rPr>
          <w:szCs w:val="28"/>
        </w:rPr>
      </w:pPr>
      <w:r>
        <w:t>PHA</w:t>
      </w:r>
      <w:r>
        <w:t>是一种应用范围较广的定性评价方法，常常由具有丰富知识和经验的工程技术人员、管理人员、操作者经过分析、讨论而实施。</w:t>
      </w:r>
    </w:p>
    <w:p w14:paraId="1F508975"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73" w:name="_Toc29148"/>
      <w:bookmarkStart w:id="74" w:name="_Toc207695664"/>
      <w:r>
        <w:rPr>
          <w:rFonts w:eastAsia="楷体" w:cs="Times New Roman"/>
          <w:b/>
          <w:bCs/>
          <w:sz w:val="32"/>
          <w:szCs w:val="32"/>
        </w:rPr>
        <w:t>B.3</w:t>
      </w:r>
      <w:r>
        <w:rPr>
          <w:rFonts w:ascii="楷体" w:eastAsia="楷体" w:hAnsi="楷体" w:hint="eastAsia"/>
          <w:b/>
          <w:bCs/>
          <w:sz w:val="32"/>
          <w:szCs w:val="32"/>
        </w:rPr>
        <w:t>蒸汽云爆炸灾害模型</w:t>
      </w:r>
      <w:bookmarkEnd w:id="73"/>
      <w:bookmarkEnd w:id="74"/>
    </w:p>
    <w:p w14:paraId="6FB61429" w14:textId="77777777" w:rsidR="00EF4562" w:rsidRDefault="00000000">
      <w:pPr>
        <w:ind w:firstLine="560"/>
      </w:pPr>
      <w:r>
        <w:rPr>
          <w:rFonts w:hint="eastAsia"/>
        </w:rPr>
        <w:t>当大量可燃气体泄漏到敞开空间后，如果没有立即点火，而是在空中扩散，与空气形成爆炸性混合物，然后发生延迟点火，就会发生蒸气云爆炸。</w:t>
      </w:r>
    </w:p>
    <w:p w14:paraId="37304DC0" w14:textId="77777777" w:rsidR="00EF4562" w:rsidRDefault="00000000">
      <w:pPr>
        <w:ind w:firstLine="560"/>
      </w:pPr>
      <w:r>
        <w:t>蒸气云爆炸的能量常用</w:t>
      </w:r>
      <w:r>
        <w:t>TNT</w:t>
      </w:r>
      <w:r>
        <w:t>当量描述，即将参与爆炸的可燃气体释放的能量折合为能释放相同能量的</w:t>
      </w:r>
      <w:r>
        <w:t>TNT</w:t>
      </w:r>
      <w:r>
        <w:t>炸药的量，这样，就可以利用有关</w:t>
      </w:r>
      <w:r>
        <w:t>TNT</w:t>
      </w:r>
      <w:r>
        <w:t>爆炸效应的实验数据预测蒸气云爆炸效应。</w:t>
      </w:r>
    </w:p>
    <w:p w14:paraId="5323851B" w14:textId="77777777" w:rsidR="00EF4562" w:rsidRDefault="00000000">
      <w:pPr>
        <w:ind w:firstLine="560"/>
      </w:pPr>
      <w:r>
        <w:rPr>
          <w:rFonts w:hint="eastAsia"/>
        </w:rPr>
        <w:t>TNT</w:t>
      </w:r>
      <w:r>
        <w:rPr>
          <w:rFonts w:hint="eastAsia"/>
        </w:rPr>
        <w:t>当量计算：</w:t>
      </w:r>
    </w:p>
    <w:p w14:paraId="14B64C28" w14:textId="77777777" w:rsidR="00EF4562" w:rsidRDefault="00000000">
      <w:pPr>
        <w:ind w:firstLine="560"/>
      </w:pPr>
      <w:r>
        <w:rPr>
          <w:rFonts w:hint="eastAsia"/>
        </w:rPr>
        <w:t>该项目车用乙醇汽油储罐物质泄漏后形成蒸汽云，蒸汽云爆炸的能量常用</w:t>
      </w:r>
      <w:r>
        <w:rPr>
          <w:rFonts w:hint="eastAsia"/>
        </w:rPr>
        <w:t>TNT</w:t>
      </w:r>
      <w:r>
        <w:rPr>
          <w:rFonts w:hint="eastAsia"/>
        </w:rPr>
        <w:t>当量描述，即将参与爆炸的可燃气体释放的能量折合为能释放相同能量的</w:t>
      </w:r>
      <w:r>
        <w:rPr>
          <w:rFonts w:hint="eastAsia"/>
        </w:rPr>
        <w:t>TNT</w:t>
      </w:r>
      <w:r>
        <w:rPr>
          <w:rFonts w:hint="eastAsia"/>
        </w:rPr>
        <w:t>炸药的量。</w:t>
      </w:r>
    </w:p>
    <w:p w14:paraId="30944ADC" w14:textId="77777777" w:rsidR="00EF4562" w:rsidRDefault="00000000">
      <w:pPr>
        <w:ind w:firstLine="560"/>
      </w:pPr>
      <w:r>
        <w:rPr>
          <w:rFonts w:hint="eastAsia"/>
        </w:rPr>
        <w:t>TNT</w:t>
      </w:r>
      <w:r>
        <w:rPr>
          <w:rFonts w:hint="eastAsia"/>
        </w:rPr>
        <w:t>当量计算公式如下：</w:t>
      </w:r>
    </w:p>
    <w:p w14:paraId="4408B9D5" w14:textId="77777777" w:rsidR="00EF4562" w:rsidRDefault="00000000">
      <w:pPr>
        <w:ind w:firstLine="560"/>
        <w:rPr>
          <w:vertAlign w:val="subscript"/>
        </w:rPr>
      </w:pPr>
      <w:r>
        <w:t>W</w:t>
      </w:r>
      <w:r>
        <w:rPr>
          <w:vertAlign w:val="subscript"/>
        </w:rPr>
        <w:t>TNT</w:t>
      </w:r>
      <w:r>
        <w:t>=βAW</w:t>
      </w:r>
      <w:r>
        <w:rPr>
          <w:vertAlign w:val="subscript"/>
        </w:rPr>
        <w:t>f</w:t>
      </w:r>
      <w:r>
        <w:t>Q</w:t>
      </w:r>
      <w:r>
        <w:rPr>
          <w:vertAlign w:val="subscript"/>
        </w:rPr>
        <w:t>f </w:t>
      </w:r>
      <w:r>
        <w:t>/Q</w:t>
      </w:r>
      <w:r>
        <w:rPr>
          <w:vertAlign w:val="subscript"/>
        </w:rPr>
        <w:t>TNT</w:t>
      </w:r>
    </w:p>
    <w:p w14:paraId="1DCDE70A" w14:textId="77777777" w:rsidR="00EF4562" w:rsidRDefault="00000000">
      <w:pPr>
        <w:ind w:firstLine="560"/>
      </w:pPr>
      <w:r>
        <w:lastRenderedPageBreak/>
        <w:t>式中</w:t>
      </w:r>
      <w:r>
        <w:t>W</w:t>
      </w:r>
      <w:r>
        <w:rPr>
          <w:vertAlign w:val="subscript"/>
        </w:rPr>
        <w:t>TNT</w:t>
      </w:r>
      <w:r>
        <w:t>——</w:t>
      </w:r>
      <w:r>
        <w:t>蒸气云的</w:t>
      </w:r>
      <w:r>
        <w:t>TNT</w:t>
      </w:r>
      <w:r>
        <w:t>当量，</w:t>
      </w:r>
      <w:r>
        <w:t>kg</w:t>
      </w:r>
      <w:r>
        <w:t>；</w:t>
      </w:r>
    </w:p>
    <w:p w14:paraId="7F25291F" w14:textId="77777777" w:rsidR="00EF4562" w:rsidRDefault="00000000">
      <w:pPr>
        <w:ind w:firstLineChars="500" w:firstLine="1400"/>
        <w:rPr>
          <w:rFonts w:cs="Times New Roman"/>
          <w:szCs w:val="28"/>
          <w14:ligatures w14:val="none"/>
        </w:rPr>
      </w:pPr>
      <w:r>
        <w:rPr>
          <w:rFonts w:cs="Times New Roman"/>
          <w:szCs w:val="28"/>
          <w14:ligatures w14:val="none"/>
        </w:rPr>
        <w:t>β——</w:t>
      </w:r>
      <w:r>
        <w:rPr>
          <w:rFonts w:cs="Times New Roman"/>
          <w:szCs w:val="28"/>
          <w14:ligatures w14:val="none"/>
        </w:rPr>
        <w:t>地面爆炸系数，取</w:t>
      </w:r>
      <w:r>
        <w:rPr>
          <w:rFonts w:cs="Times New Roman"/>
          <w:szCs w:val="28"/>
          <w14:ligatures w14:val="none"/>
        </w:rPr>
        <w:t>β=1.8</w:t>
      </w:r>
      <w:r>
        <w:rPr>
          <w:rFonts w:cs="Times New Roman"/>
          <w:szCs w:val="28"/>
          <w14:ligatures w14:val="none"/>
        </w:rPr>
        <w:t>；</w:t>
      </w:r>
    </w:p>
    <w:p w14:paraId="4FA776D5" w14:textId="77777777" w:rsidR="00EF4562" w:rsidRDefault="00000000">
      <w:pPr>
        <w:ind w:firstLineChars="500" w:firstLine="1400"/>
        <w:rPr>
          <w:rFonts w:cs="Times New Roman"/>
          <w:szCs w:val="28"/>
          <w14:ligatures w14:val="none"/>
        </w:rPr>
      </w:pPr>
      <w:r>
        <w:rPr>
          <w:rFonts w:cs="Times New Roman"/>
          <w:szCs w:val="28"/>
          <w14:ligatures w14:val="none"/>
        </w:rPr>
        <w:t>A——</w:t>
      </w:r>
      <w:r>
        <w:rPr>
          <w:rFonts w:cs="Times New Roman"/>
          <w:szCs w:val="28"/>
          <w14:ligatures w14:val="none"/>
        </w:rPr>
        <w:t>蒸气云的</w:t>
      </w:r>
      <w:r>
        <w:rPr>
          <w:rFonts w:cs="Times New Roman"/>
          <w:szCs w:val="28"/>
          <w14:ligatures w14:val="none"/>
        </w:rPr>
        <w:t>TNT</w:t>
      </w:r>
      <w:r>
        <w:rPr>
          <w:rFonts w:cs="Times New Roman"/>
          <w:szCs w:val="28"/>
          <w14:ligatures w14:val="none"/>
        </w:rPr>
        <w:t>当量系数，</w:t>
      </w:r>
      <w:r>
        <w:rPr>
          <w:rFonts w:cs="Times New Roman"/>
          <w:szCs w:val="28"/>
          <w14:ligatures w14:val="none"/>
        </w:rPr>
        <w:t>A</w:t>
      </w:r>
      <w:r>
        <w:rPr>
          <w:rFonts w:cs="Times New Roman" w:hint="eastAsia"/>
          <w:szCs w:val="28"/>
          <w14:ligatures w14:val="none"/>
        </w:rPr>
        <w:t>取</w:t>
      </w:r>
      <w:r>
        <w:rPr>
          <w:rFonts w:cs="Times New Roman" w:hint="eastAsia"/>
          <w:szCs w:val="28"/>
          <w14:ligatures w14:val="none"/>
        </w:rPr>
        <w:t>0.3</w:t>
      </w:r>
      <w:r>
        <w:rPr>
          <w:rFonts w:cs="Times New Roman"/>
          <w:szCs w:val="28"/>
          <w14:ligatures w14:val="none"/>
        </w:rPr>
        <w:t>%</w:t>
      </w:r>
      <w:r>
        <w:rPr>
          <w:rFonts w:cs="Times New Roman" w:hint="eastAsia"/>
          <w:szCs w:val="28"/>
          <w14:ligatures w14:val="none"/>
        </w:rPr>
        <w:t>或</w:t>
      </w:r>
      <w:r>
        <w:rPr>
          <w:rFonts w:cs="Times New Roman" w:hint="eastAsia"/>
          <w:szCs w:val="28"/>
          <w14:ligatures w14:val="none"/>
        </w:rPr>
        <w:t>0.</w:t>
      </w:r>
      <w:r>
        <w:rPr>
          <w:rFonts w:cs="Times New Roman"/>
          <w:szCs w:val="28"/>
          <w14:ligatures w14:val="none"/>
        </w:rPr>
        <w:t>4%</w:t>
      </w:r>
      <w:r>
        <w:rPr>
          <w:rFonts w:cs="Times New Roman"/>
          <w:szCs w:val="28"/>
          <w14:ligatures w14:val="none"/>
        </w:rPr>
        <w:t>；</w:t>
      </w:r>
    </w:p>
    <w:p w14:paraId="6686AADC" w14:textId="77777777" w:rsidR="00EF4562" w:rsidRDefault="00000000">
      <w:pPr>
        <w:ind w:firstLineChars="500" w:firstLine="1400"/>
        <w:rPr>
          <w:rFonts w:cs="Times New Roman"/>
          <w:szCs w:val="28"/>
          <w14:ligatures w14:val="none"/>
        </w:rPr>
      </w:pPr>
      <w:r>
        <w:rPr>
          <w:rFonts w:cs="Times New Roman"/>
          <w:szCs w:val="28"/>
          <w14:ligatures w14:val="none"/>
        </w:rPr>
        <w:t>W</w:t>
      </w:r>
      <w:r>
        <w:rPr>
          <w:rFonts w:cs="Times New Roman"/>
          <w:szCs w:val="28"/>
          <w:vertAlign w:val="subscript"/>
          <w14:ligatures w14:val="none"/>
        </w:rPr>
        <w:t>f</w:t>
      </w:r>
      <w:r>
        <w:rPr>
          <w:rFonts w:cs="Times New Roman"/>
          <w:szCs w:val="28"/>
          <w14:ligatures w14:val="none"/>
        </w:rPr>
        <w:t>——</w:t>
      </w:r>
      <w:r>
        <w:rPr>
          <w:rFonts w:cs="Times New Roman"/>
          <w:szCs w:val="28"/>
          <w14:ligatures w14:val="none"/>
        </w:rPr>
        <w:t>蒸气云中燃料的总质量：</w:t>
      </w:r>
      <w:r>
        <w:rPr>
          <w:rFonts w:cs="Times New Roman"/>
          <w:szCs w:val="28"/>
          <w14:ligatures w14:val="none"/>
        </w:rPr>
        <w:t>kg</w:t>
      </w:r>
      <w:r>
        <w:rPr>
          <w:rFonts w:cs="Times New Roman"/>
          <w:szCs w:val="28"/>
          <w14:ligatures w14:val="none"/>
        </w:rPr>
        <w:t>；</w:t>
      </w:r>
    </w:p>
    <w:p w14:paraId="57559FD3" w14:textId="77777777" w:rsidR="00EF4562" w:rsidRDefault="00000000">
      <w:pPr>
        <w:ind w:firstLineChars="500" w:firstLine="1400"/>
        <w:rPr>
          <w:rFonts w:cs="Times New Roman"/>
          <w:szCs w:val="28"/>
          <w14:ligatures w14:val="none"/>
        </w:rPr>
      </w:pPr>
      <w:r>
        <w:rPr>
          <w:rFonts w:cs="Times New Roman"/>
          <w:szCs w:val="28"/>
          <w14:ligatures w14:val="none"/>
        </w:rPr>
        <w:t>Q</w:t>
      </w:r>
      <w:r>
        <w:rPr>
          <w:rFonts w:cs="Times New Roman"/>
          <w:szCs w:val="28"/>
          <w:vertAlign w:val="subscript"/>
          <w14:ligatures w14:val="none"/>
        </w:rPr>
        <w:t>f</w:t>
      </w:r>
      <w:r>
        <w:rPr>
          <w:rFonts w:cs="Times New Roman"/>
          <w:szCs w:val="28"/>
          <w14:ligatures w14:val="none"/>
        </w:rPr>
        <w:t>——</w:t>
      </w:r>
      <w:r>
        <w:rPr>
          <w:rFonts w:cs="Times New Roman"/>
          <w:szCs w:val="28"/>
          <w14:ligatures w14:val="none"/>
        </w:rPr>
        <w:t>燃料的燃烧热，</w:t>
      </w:r>
      <w:r>
        <w:rPr>
          <w:rFonts w:cs="Times New Roman"/>
          <w:szCs w:val="28"/>
          <w14:ligatures w14:val="none"/>
        </w:rPr>
        <w:t>kJ/kg</w:t>
      </w:r>
      <w:r>
        <w:rPr>
          <w:rFonts w:cs="Times New Roman"/>
          <w:szCs w:val="28"/>
          <w14:ligatures w14:val="none"/>
        </w:rPr>
        <w:t>；</w:t>
      </w:r>
    </w:p>
    <w:p w14:paraId="0AE13CB2" w14:textId="77777777" w:rsidR="00EF4562" w:rsidRDefault="00000000">
      <w:pPr>
        <w:ind w:firstLineChars="500" w:firstLine="1400"/>
        <w:rPr>
          <w:rFonts w:cs="Times New Roman"/>
          <w:szCs w:val="28"/>
          <w14:ligatures w14:val="none"/>
        </w:rPr>
      </w:pPr>
      <w:r>
        <w:rPr>
          <w:rFonts w:cs="Times New Roman"/>
          <w:szCs w:val="28"/>
          <w14:ligatures w14:val="none"/>
        </w:rPr>
        <w:t>Q</w:t>
      </w:r>
      <w:r>
        <w:rPr>
          <w:rFonts w:cs="Times New Roman"/>
          <w:szCs w:val="28"/>
          <w:vertAlign w:val="subscript"/>
          <w14:ligatures w14:val="none"/>
        </w:rPr>
        <w:t>TNT</w:t>
      </w:r>
      <w:r>
        <w:rPr>
          <w:rFonts w:cs="Times New Roman"/>
          <w:szCs w:val="28"/>
          <w14:ligatures w14:val="none"/>
        </w:rPr>
        <w:t>——TNT</w:t>
      </w:r>
      <w:r>
        <w:rPr>
          <w:rFonts w:cs="Times New Roman"/>
          <w:szCs w:val="28"/>
          <w14:ligatures w14:val="none"/>
        </w:rPr>
        <w:t>的爆</w:t>
      </w:r>
      <w:r>
        <w:rPr>
          <w:rFonts w:cs="Times New Roman" w:hint="eastAsia"/>
          <w:szCs w:val="28"/>
          <w14:ligatures w14:val="none"/>
        </w:rPr>
        <w:t>炸</w:t>
      </w:r>
      <w:r>
        <w:rPr>
          <w:rFonts w:cs="Times New Roman"/>
          <w:szCs w:val="28"/>
          <w14:ligatures w14:val="none"/>
        </w:rPr>
        <w:t>热，</w:t>
      </w:r>
      <w:r>
        <w:rPr>
          <w:rFonts w:cs="Times New Roman"/>
          <w:szCs w:val="28"/>
          <w14:ligatures w14:val="none"/>
        </w:rPr>
        <w:t>Q</w:t>
      </w:r>
      <w:r>
        <w:rPr>
          <w:rFonts w:cs="Times New Roman"/>
          <w:szCs w:val="28"/>
          <w:vertAlign w:val="subscript"/>
          <w14:ligatures w14:val="none"/>
        </w:rPr>
        <w:t>TNT</w:t>
      </w:r>
      <w:r>
        <w:rPr>
          <w:rFonts w:cs="Times New Roman" w:hint="eastAsia"/>
          <w:szCs w:val="28"/>
          <w:vertAlign w:val="subscript"/>
          <w14:ligatures w14:val="none"/>
        </w:rPr>
        <w:t>=</w:t>
      </w:r>
      <w:r>
        <w:rPr>
          <w:rFonts w:cs="Times New Roman" w:hint="eastAsia"/>
          <w:szCs w:val="28"/>
          <w14:ligatures w14:val="none"/>
        </w:rPr>
        <w:t>4520</w:t>
      </w:r>
      <w:r>
        <w:rPr>
          <w:rFonts w:cs="Times New Roman"/>
          <w:szCs w:val="28"/>
          <w14:ligatures w14:val="none"/>
        </w:rPr>
        <w:t>kJ/kg</w:t>
      </w:r>
      <w:r>
        <w:rPr>
          <w:rFonts w:cs="Times New Roman"/>
          <w:szCs w:val="28"/>
          <w14:ligatures w14:val="none"/>
        </w:rPr>
        <w:t>。</w:t>
      </w:r>
    </w:p>
    <w:p w14:paraId="7DE2205F" w14:textId="77777777" w:rsidR="00EF4562" w:rsidRDefault="00EF4562">
      <w:pPr>
        <w:ind w:firstLine="560"/>
        <w:sectPr w:rsidR="00EF4562">
          <w:pgSz w:w="11906" w:h="16838"/>
          <w:pgMar w:top="1418" w:right="1134" w:bottom="1134" w:left="1588" w:header="851" w:footer="992" w:gutter="0"/>
          <w:cols w:space="425"/>
          <w:docGrid w:type="linesAndChars" w:linePitch="381"/>
        </w:sectPr>
      </w:pPr>
    </w:p>
    <w:p w14:paraId="6700E70D" w14:textId="77777777" w:rsidR="00EF4562" w:rsidRDefault="00000000">
      <w:pPr>
        <w:spacing w:beforeLines="150" w:before="571" w:afterLines="150" w:after="571"/>
        <w:ind w:firstLineChars="0" w:firstLine="0"/>
        <w:jc w:val="center"/>
        <w:outlineLvl w:val="0"/>
        <w:rPr>
          <w:rFonts w:ascii="黑体" w:eastAsia="黑体" w:hAnsi="黑体" w:hint="eastAsia"/>
          <w:b/>
          <w:bCs/>
          <w:sz w:val="32"/>
          <w:szCs w:val="32"/>
        </w:rPr>
      </w:pPr>
      <w:bookmarkStart w:id="75" w:name="_Toc207695665"/>
      <w:r>
        <w:rPr>
          <w:rFonts w:ascii="黑体" w:eastAsia="黑体" w:hAnsi="黑体" w:hint="eastAsia"/>
          <w:b/>
          <w:bCs/>
          <w:sz w:val="32"/>
          <w:szCs w:val="32"/>
        </w:rPr>
        <w:lastRenderedPageBreak/>
        <w:t>附录</w:t>
      </w:r>
      <w:r>
        <w:rPr>
          <w:rFonts w:eastAsia="黑体" w:cs="Times New Roman"/>
          <w:b/>
          <w:bCs/>
          <w:sz w:val="32"/>
          <w:szCs w:val="32"/>
        </w:rPr>
        <w:t>C</w:t>
      </w:r>
      <w:r>
        <w:rPr>
          <w:rFonts w:ascii="黑体" w:eastAsia="黑体" w:hAnsi="黑体" w:hint="eastAsia"/>
          <w:b/>
          <w:bCs/>
          <w:sz w:val="32"/>
          <w:szCs w:val="32"/>
        </w:rPr>
        <w:t>危险、有害因素分析</w:t>
      </w:r>
      <w:bookmarkEnd w:id="75"/>
    </w:p>
    <w:p w14:paraId="28ACD862"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76" w:name="_Toc207695666"/>
      <w:r>
        <w:rPr>
          <w:rFonts w:eastAsia="楷体" w:cs="Times New Roman"/>
          <w:b/>
          <w:bCs/>
          <w:sz w:val="32"/>
          <w:szCs w:val="32"/>
        </w:rPr>
        <w:t>C.1</w:t>
      </w:r>
      <w:r>
        <w:rPr>
          <w:rFonts w:ascii="楷体" w:eastAsia="楷体" w:hAnsi="楷体" w:hint="eastAsia"/>
          <w:b/>
          <w:bCs/>
          <w:sz w:val="32"/>
          <w:szCs w:val="32"/>
        </w:rPr>
        <w:t>主要物料危险、有害因素</w:t>
      </w:r>
      <w:bookmarkEnd w:id="76"/>
    </w:p>
    <w:p w14:paraId="09F5E858"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C.1.1</w:t>
      </w:r>
      <w:r>
        <w:rPr>
          <w:rFonts w:ascii="黑体" w:eastAsia="黑体" w:hAnsi="黑体" w:hint="eastAsia"/>
          <w:b/>
          <w:bCs/>
        </w:rPr>
        <w:t>车用乙醇汽油</w:t>
      </w:r>
    </w:p>
    <w:p w14:paraId="39DF290C" w14:textId="77777777" w:rsidR="00EF4562" w:rsidRDefault="00000000">
      <w:pPr>
        <w:keepNext/>
        <w:keepLines/>
        <w:spacing w:beforeLines="50" w:before="190" w:afterLines="50" w:after="190" w:line="240" w:lineRule="auto"/>
        <w:ind w:firstLineChars="0" w:firstLine="0"/>
        <w:jc w:val="center"/>
        <w:rPr>
          <w:rFonts w:eastAsia="黑体"/>
          <w:sz w:val="24"/>
        </w:rPr>
      </w:pPr>
      <w:r>
        <w:rPr>
          <w:rFonts w:eastAsia="黑体" w:hint="eastAsia"/>
          <w:sz w:val="24"/>
        </w:rPr>
        <w:t>表</w:t>
      </w:r>
      <w:r>
        <w:rPr>
          <w:rFonts w:eastAsia="黑体" w:cs="Times New Roman"/>
          <w:sz w:val="24"/>
        </w:rPr>
        <w:t>C-1</w:t>
      </w:r>
      <w:r>
        <w:rPr>
          <w:rFonts w:eastAsia="黑体" w:hint="eastAsia"/>
          <w:sz w:val="24"/>
        </w:rPr>
        <w:t xml:space="preserve">  </w:t>
      </w:r>
      <w:r>
        <w:rPr>
          <w:rFonts w:eastAsia="黑体" w:hint="eastAsia"/>
          <w:sz w:val="24"/>
        </w:rPr>
        <w:t>车用乙醇汽油的危险、有害识别表</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4"/>
        <w:gridCol w:w="8418"/>
      </w:tblGrid>
      <w:tr w:rsidR="00EF4562" w14:paraId="2D26B8F6" w14:textId="77777777">
        <w:tc>
          <w:tcPr>
            <w:tcW w:w="411" w:type="pct"/>
            <w:vAlign w:val="center"/>
          </w:tcPr>
          <w:p w14:paraId="41368A39"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特别</w:t>
            </w:r>
          </w:p>
          <w:p w14:paraId="646196E1"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警示</w:t>
            </w:r>
          </w:p>
        </w:tc>
        <w:tc>
          <w:tcPr>
            <w:tcW w:w="4589" w:type="pct"/>
            <w:vAlign w:val="center"/>
          </w:tcPr>
          <w:p w14:paraId="0EE61E57"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高度易燃液体；不得使用直流水扑救（用水灭火无效）。</w:t>
            </w:r>
          </w:p>
        </w:tc>
      </w:tr>
      <w:tr w:rsidR="00EF4562" w14:paraId="50C0FD61" w14:textId="77777777">
        <w:tc>
          <w:tcPr>
            <w:tcW w:w="411" w:type="pct"/>
            <w:vAlign w:val="center"/>
          </w:tcPr>
          <w:p w14:paraId="4192888A"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理</w:t>
            </w:r>
          </w:p>
          <w:p w14:paraId="2D8CE170"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化</w:t>
            </w:r>
          </w:p>
          <w:p w14:paraId="10B14E39"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特</w:t>
            </w:r>
          </w:p>
          <w:p w14:paraId="7D128D96"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性</w:t>
            </w:r>
          </w:p>
        </w:tc>
        <w:tc>
          <w:tcPr>
            <w:tcW w:w="4589" w:type="pct"/>
          </w:tcPr>
          <w:p w14:paraId="4BCEAC20"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无色到浅黄色的透明液体。</w:t>
            </w:r>
          </w:p>
          <w:p w14:paraId="52AE328C"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车用乙醇汽油理化性质：按研究法辛烷值</w:t>
            </w:r>
            <w:r>
              <w:rPr>
                <w:rFonts w:cs="Times New Roman" w:hint="eastAsia"/>
                <w:kern w:val="0"/>
                <w:sz w:val="21"/>
                <w:szCs w:val="21"/>
                <w14:ligatures w14:val="none"/>
              </w:rPr>
              <w:t>（</w:t>
            </w:r>
            <w:r>
              <w:rPr>
                <w:rFonts w:cs="Times New Roman"/>
                <w:kern w:val="0"/>
                <w:sz w:val="21"/>
                <w:szCs w:val="21"/>
                <w14:ligatures w14:val="none"/>
              </w:rPr>
              <w:t>RON</w:t>
            </w:r>
            <w:r>
              <w:rPr>
                <w:rFonts w:cs="Times New Roman" w:hint="eastAsia"/>
                <w:kern w:val="0"/>
                <w:sz w:val="21"/>
                <w:szCs w:val="21"/>
                <w14:ligatures w14:val="none"/>
              </w:rPr>
              <w:t>）</w:t>
            </w:r>
            <w:r>
              <w:rPr>
                <w:rFonts w:cs="Times New Roman"/>
                <w:kern w:val="0"/>
                <w:sz w:val="21"/>
                <w:szCs w:val="21"/>
                <w14:ligatures w14:val="none"/>
              </w:rPr>
              <w:t>分为</w:t>
            </w:r>
            <w:r>
              <w:rPr>
                <w:rFonts w:cs="Times New Roman"/>
                <w:kern w:val="0"/>
                <w:sz w:val="21"/>
                <w:szCs w:val="21"/>
                <w14:ligatures w14:val="none"/>
              </w:rPr>
              <w:t>92</w:t>
            </w:r>
            <w:r>
              <w:rPr>
                <w:rFonts w:cs="Times New Roman"/>
                <w:kern w:val="0"/>
                <w:sz w:val="21"/>
                <w:szCs w:val="21"/>
                <w14:ligatures w14:val="none"/>
              </w:rPr>
              <w:t>号、</w:t>
            </w:r>
            <w:r>
              <w:rPr>
                <w:rFonts w:cs="Times New Roman"/>
                <w:kern w:val="0"/>
                <w:sz w:val="21"/>
                <w:szCs w:val="21"/>
                <w14:ligatures w14:val="none"/>
              </w:rPr>
              <w:t>95</w:t>
            </w:r>
            <w:r>
              <w:rPr>
                <w:rFonts w:cs="Times New Roman"/>
                <w:kern w:val="0"/>
                <w:sz w:val="21"/>
                <w:szCs w:val="21"/>
                <w14:ligatures w14:val="none"/>
              </w:rPr>
              <w:t>号和</w:t>
            </w:r>
            <w:r>
              <w:rPr>
                <w:rFonts w:cs="Times New Roman"/>
                <w:kern w:val="0"/>
                <w:sz w:val="21"/>
                <w:szCs w:val="21"/>
                <w14:ligatures w14:val="none"/>
              </w:rPr>
              <w:t>98</w:t>
            </w:r>
            <w:r>
              <w:rPr>
                <w:rFonts w:cs="Times New Roman"/>
                <w:kern w:val="0"/>
                <w:sz w:val="21"/>
                <w:szCs w:val="21"/>
                <w14:ligatures w14:val="none"/>
              </w:rPr>
              <w:t>号三个牌号，相对密度（水</w:t>
            </w:r>
            <w:r>
              <w:rPr>
                <w:rFonts w:cs="Times New Roman"/>
                <w:kern w:val="0"/>
                <w:sz w:val="21"/>
                <w:szCs w:val="21"/>
                <w14:ligatures w14:val="none"/>
              </w:rPr>
              <w:t>=1</w:t>
            </w:r>
            <w:r>
              <w:rPr>
                <w:rFonts w:cs="Times New Roman"/>
                <w:kern w:val="0"/>
                <w:sz w:val="21"/>
                <w:szCs w:val="21"/>
                <w14:ligatures w14:val="none"/>
              </w:rPr>
              <w:t>）</w:t>
            </w:r>
            <w:r>
              <w:rPr>
                <w:rFonts w:cs="Times New Roman"/>
                <w:kern w:val="0"/>
                <w:sz w:val="21"/>
                <w:szCs w:val="21"/>
                <w14:ligatures w14:val="none"/>
              </w:rPr>
              <w:t>0.70</w:t>
            </w:r>
            <w:r>
              <w:rPr>
                <w:rFonts w:cs="Times New Roman"/>
                <w:kern w:val="0"/>
                <w:sz w:val="21"/>
                <w:szCs w:val="21"/>
                <w14:ligatures w14:val="none"/>
              </w:rPr>
              <w:t>～</w:t>
            </w:r>
            <w:r>
              <w:rPr>
                <w:rFonts w:cs="Times New Roman"/>
                <w:kern w:val="0"/>
                <w:sz w:val="21"/>
                <w:szCs w:val="21"/>
                <w14:ligatures w14:val="none"/>
              </w:rPr>
              <w:t>0.80</w:t>
            </w:r>
            <w:r>
              <w:rPr>
                <w:rFonts w:cs="Times New Roman"/>
                <w:kern w:val="0"/>
                <w:sz w:val="21"/>
                <w:szCs w:val="21"/>
                <w14:ligatures w14:val="none"/>
              </w:rPr>
              <w:t>，相对蒸气密度（空气</w:t>
            </w:r>
            <w:r>
              <w:rPr>
                <w:rFonts w:cs="Times New Roman"/>
                <w:kern w:val="0"/>
                <w:sz w:val="21"/>
                <w:szCs w:val="21"/>
                <w14:ligatures w14:val="none"/>
              </w:rPr>
              <w:t>=1</w:t>
            </w:r>
            <w:r>
              <w:rPr>
                <w:rFonts w:cs="Times New Roman"/>
                <w:kern w:val="0"/>
                <w:sz w:val="21"/>
                <w:szCs w:val="21"/>
                <w14:ligatures w14:val="none"/>
              </w:rPr>
              <w:t>）</w:t>
            </w:r>
            <w:r>
              <w:rPr>
                <w:rFonts w:cs="Times New Roman"/>
                <w:kern w:val="0"/>
                <w:sz w:val="21"/>
                <w:szCs w:val="21"/>
                <w14:ligatures w14:val="none"/>
              </w:rPr>
              <w:t>3</w:t>
            </w:r>
            <w:r>
              <w:rPr>
                <w:rFonts w:cs="Times New Roman"/>
                <w:kern w:val="0"/>
                <w:sz w:val="21"/>
                <w:szCs w:val="21"/>
                <w14:ligatures w14:val="none"/>
              </w:rPr>
              <w:t>～</w:t>
            </w:r>
            <w:r>
              <w:rPr>
                <w:rFonts w:cs="Times New Roman"/>
                <w:kern w:val="0"/>
                <w:sz w:val="21"/>
                <w:szCs w:val="21"/>
                <w14:ligatures w14:val="none"/>
              </w:rPr>
              <w:t>4</w:t>
            </w:r>
            <w:r>
              <w:rPr>
                <w:rFonts w:cs="Times New Roman"/>
                <w:kern w:val="0"/>
                <w:sz w:val="21"/>
                <w:szCs w:val="21"/>
                <w14:ligatures w14:val="none"/>
              </w:rPr>
              <w:t>，闪点</w:t>
            </w:r>
            <w:r>
              <w:rPr>
                <w:rFonts w:cs="Times New Roman"/>
                <w:kern w:val="0"/>
                <w:sz w:val="21"/>
                <w:szCs w:val="21"/>
                <w14:ligatures w14:val="none"/>
              </w:rPr>
              <w:t>-46℃</w:t>
            </w:r>
            <w:r>
              <w:rPr>
                <w:rFonts w:cs="Times New Roman"/>
                <w:kern w:val="0"/>
                <w:sz w:val="21"/>
                <w:szCs w:val="21"/>
                <w14:ligatures w14:val="none"/>
              </w:rPr>
              <w:t>，爆炸极限</w:t>
            </w:r>
            <w:r>
              <w:rPr>
                <w:rFonts w:cs="Times New Roman"/>
                <w:kern w:val="0"/>
                <w:sz w:val="21"/>
                <w:szCs w:val="21"/>
                <w14:ligatures w14:val="none"/>
              </w:rPr>
              <w:t>1.4</w:t>
            </w:r>
            <w:r>
              <w:rPr>
                <w:rFonts w:cs="Times New Roman"/>
                <w:kern w:val="0"/>
                <w:sz w:val="21"/>
                <w:szCs w:val="21"/>
                <w14:ligatures w14:val="none"/>
              </w:rPr>
              <w:t>～</w:t>
            </w:r>
            <w:r>
              <w:rPr>
                <w:rFonts w:cs="Times New Roman"/>
                <w:kern w:val="0"/>
                <w:sz w:val="21"/>
                <w:szCs w:val="21"/>
                <w14:ligatures w14:val="none"/>
              </w:rPr>
              <w:t>7.6%</w:t>
            </w:r>
            <w:r>
              <w:rPr>
                <w:rFonts w:cs="Times New Roman"/>
                <w:kern w:val="0"/>
                <w:sz w:val="21"/>
                <w:szCs w:val="21"/>
                <w14:ligatures w14:val="none"/>
              </w:rPr>
              <w:t>（体积比），自燃温度</w:t>
            </w:r>
            <w:r>
              <w:rPr>
                <w:rFonts w:cs="Times New Roman"/>
                <w:kern w:val="0"/>
                <w:sz w:val="21"/>
                <w:szCs w:val="21"/>
                <w14:ligatures w14:val="none"/>
              </w:rPr>
              <w:t>415</w:t>
            </w:r>
            <w:r>
              <w:rPr>
                <w:rFonts w:cs="Times New Roman"/>
                <w:kern w:val="0"/>
                <w:sz w:val="21"/>
                <w:szCs w:val="21"/>
                <w14:ligatures w14:val="none"/>
              </w:rPr>
              <w:t>～</w:t>
            </w:r>
            <w:r>
              <w:rPr>
                <w:rFonts w:cs="Times New Roman"/>
                <w:kern w:val="0"/>
                <w:sz w:val="21"/>
                <w:szCs w:val="21"/>
                <w14:ligatures w14:val="none"/>
              </w:rPr>
              <w:t>530℃</w:t>
            </w:r>
            <w:r>
              <w:rPr>
                <w:rFonts w:cs="Times New Roman"/>
                <w:kern w:val="0"/>
                <w:sz w:val="21"/>
                <w:szCs w:val="21"/>
                <w14:ligatures w14:val="none"/>
              </w:rPr>
              <w:t>，最大爆炸压力</w:t>
            </w:r>
            <w:r>
              <w:rPr>
                <w:rFonts w:cs="Times New Roman"/>
                <w:kern w:val="0"/>
                <w:sz w:val="21"/>
                <w:szCs w:val="21"/>
                <w14:ligatures w14:val="none"/>
              </w:rPr>
              <w:t>0.813MPa</w:t>
            </w:r>
            <w:r>
              <w:rPr>
                <w:rFonts w:cs="Times New Roman"/>
                <w:kern w:val="0"/>
                <w:sz w:val="21"/>
                <w:szCs w:val="21"/>
                <w14:ligatures w14:val="none"/>
              </w:rPr>
              <w:t>。</w:t>
            </w:r>
          </w:p>
          <w:p w14:paraId="7FD6066A"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主要用途：汽油主要用作汽油机的燃料，可用于橡胶、制鞋、印刷、制革、颜料等行业</w:t>
            </w:r>
            <w:r>
              <w:rPr>
                <w:rFonts w:cs="Times New Roman"/>
                <w:kern w:val="0"/>
                <w:sz w:val="21"/>
                <w:szCs w:val="21"/>
                <w14:ligatures w14:val="none"/>
              </w:rPr>
              <w:t>,</w:t>
            </w:r>
            <w:r>
              <w:rPr>
                <w:rFonts w:cs="Times New Roman"/>
                <w:kern w:val="0"/>
                <w:sz w:val="21"/>
                <w:szCs w:val="21"/>
                <w14:ligatures w14:val="none"/>
              </w:rPr>
              <w:t>也可用作机械零件的去污剂</w:t>
            </w:r>
            <w:r>
              <w:rPr>
                <w:rFonts w:cs="Times New Roman" w:hint="eastAsia"/>
                <w:kern w:val="0"/>
                <w:sz w:val="21"/>
                <w:szCs w:val="21"/>
                <w14:ligatures w14:val="none"/>
              </w:rPr>
              <w:t>。</w:t>
            </w:r>
          </w:p>
        </w:tc>
      </w:tr>
      <w:tr w:rsidR="00EF4562" w14:paraId="66DC0060" w14:textId="77777777">
        <w:tc>
          <w:tcPr>
            <w:tcW w:w="411" w:type="pct"/>
            <w:vAlign w:val="center"/>
          </w:tcPr>
          <w:p w14:paraId="16C5493C"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危</w:t>
            </w:r>
          </w:p>
          <w:p w14:paraId="299731DB"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害</w:t>
            </w:r>
          </w:p>
          <w:p w14:paraId="286054BC"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信</w:t>
            </w:r>
          </w:p>
          <w:p w14:paraId="129F704A"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息</w:t>
            </w:r>
          </w:p>
        </w:tc>
        <w:tc>
          <w:tcPr>
            <w:tcW w:w="4589" w:type="pct"/>
          </w:tcPr>
          <w:p w14:paraId="09A37F02" w14:textId="77777777" w:rsidR="00EF4562" w:rsidRDefault="00000000">
            <w:pPr>
              <w:widowControl/>
              <w:spacing w:line="240" w:lineRule="auto"/>
              <w:ind w:firstLineChars="0" w:firstLine="0"/>
              <w:rPr>
                <w:rFonts w:cs="Times New Roman"/>
                <w:b/>
                <w:kern w:val="0"/>
                <w:sz w:val="21"/>
                <w:szCs w:val="21"/>
                <w14:ligatures w14:val="none"/>
              </w:rPr>
            </w:pPr>
            <w:r>
              <w:rPr>
                <w:rFonts w:cs="Times New Roman"/>
                <w:kern w:val="0"/>
                <w:sz w:val="21"/>
                <w:szCs w:val="21"/>
                <w14:ligatures w14:val="none"/>
              </w:rPr>
              <w:t>【燃烧和爆炸危险性】</w:t>
            </w:r>
          </w:p>
          <w:p w14:paraId="604C2513"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64373054" w14:textId="77777777" w:rsidR="00EF4562" w:rsidRDefault="00000000">
            <w:pPr>
              <w:widowControl/>
              <w:spacing w:line="240" w:lineRule="auto"/>
              <w:ind w:firstLineChars="0" w:firstLine="0"/>
              <w:rPr>
                <w:rFonts w:cs="Times New Roman"/>
                <w:b/>
                <w:kern w:val="0"/>
                <w:sz w:val="21"/>
                <w:szCs w:val="21"/>
                <w14:ligatures w14:val="none"/>
              </w:rPr>
            </w:pPr>
            <w:r>
              <w:rPr>
                <w:rFonts w:cs="Times New Roman"/>
                <w:kern w:val="0"/>
                <w:sz w:val="21"/>
                <w:szCs w:val="21"/>
                <w14:ligatures w14:val="none"/>
              </w:rPr>
              <w:t>【健康危害】</w:t>
            </w:r>
          </w:p>
          <w:p w14:paraId="3445EBF8"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汽油为麻醉性毒物，高浓度吸入出现中毒性脑病，极高浓度吸入引起意识突然丧失、反射性呼吸停止。误将汽油吸入呼吸道可引起吸入性肺炎。</w:t>
            </w:r>
          </w:p>
          <w:p w14:paraId="797A60AF"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职业接触限值：</w:t>
            </w:r>
            <w:r>
              <w:rPr>
                <w:rFonts w:cs="Times New Roman"/>
                <w:kern w:val="0"/>
                <w:sz w:val="21"/>
                <w:szCs w:val="21"/>
                <w14:ligatures w14:val="none"/>
              </w:rPr>
              <w:t>PC-TWA</w:t>
            </w:r>
            <w:r>
              <w:rPr>
                <w:rFonts w:cs="Times New Roman" w:hint="eastAsia"/>
                <w:kern w:val="0"/>
                <w:sz w:val="21"/>
                <w:szCs w:val="21"/>
                <w14:ligatures w14:val="none"/>
              </w:rPr>
              <w:t>（</w:t>
            </w:r>
            <w:r>
              <w:rPr>
                <w:rFonts w:cs="Times New Roman"/>
                <w:kern w:val="0"/>
                <w:sz w:val="21"/>
                <w:szCs w:val="21"/>
                <w14:ligatures w14:val="none"/>
              </w:rPr>
              <w:t>时间加权平均容许浓度</w:t>
            </w:r>
            <w:r>
              <w:rPr>
                <w:rFonts w:cs="Times New Roman" w:hint="eastAsia"/>
                <w:kern w:val="0"/>
                <w:sz w:val="21"/>
                <w:szCs w:val="21"/>
                <w14:ligatures w14:val="none"/>
              </w:rPr>
              <w:t>）（</w:t>
            </w:r>
            <w:r>
              <w:rPr>
                <w:rFonts w:cs="Times New Roman"/>
                <w:kern w:val="0"/>
                <w:sz w:val="21"/>
                <w:szCs w:val="21"/>
                <w14:ligatures w14:val="none"/>
              </w:rPr>
              <w:t>mg/m</w:t>
            </w:r>
            <w:r>
              <w:rPr>
                <w:rFonts w:cs="Times New Roman"/>
                <w:kern w:val="0"/>
                <w:sz w:val="21"/>
                <w:szCs w:val="21"/>
                <w:vertAlign w:val="superscript"/>
                <w14:ligatures w14:val="none"/>
              </w:rPr>
              <w:t>3</w:t>
            </w:r>
            <w:r>
              <w:rPr>
                <w:rFonts w:cs="Times New Roman" w:hint="eastAsia"/>
                <w:kern w:val="0"/>
                <w:sz w:val="21"/>
                <w:szCs w:val="21"/>
                <w14:ligatures w14:val="none"/>
              </w:rPr>
              <w:t>）：</w:t>
            </w:r>
            <w:r>
              <w:rPr>
                <w:rFonts w:cs="Times New Roman"/>
                <w:kern w:val="0"/>
                <w:sz w:val="21"/>
                <w:szCs w:val="21"/>
                <w14:ligatures w14:val="none"/>
              </w:rPr>
              <w:t>300</w:t>
            </w:r>
            <w:r>
              <w:rPr>
                <w:rFonts w:cs="Times New Roman"/>
                <w:kern w:val="0"/>
                <w:sz w:val="21"/>
                <w:szCs w:val="21"/>
                <w14:ligatures w14:val="none"/>
              </w:rPr>
              <w:t>（汽油）。</w:t>
            </w:r>
          </w:p>
        </w:tc>
      </w:tr>
      <w:tr w:rsidR="00EF4562" w14:paraId="1D073125" w14:textId="77777777">
        <w:tc>
          <w:tcPr>
            <w:tcW w:w="411" w:type="pct"/>
            <w:vAlign w:val="center"/>
          </w:tcPr>
          <w:p w14:paraId="210744CF"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安</w:t>
            </w:r>
          </w:p>
          <w:p w14:paraId="2EE77C30"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全</w:t>
            </w:r>
          </w:p>
          <w:p w14:paraId="0193FFC1"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措</w:t>
            </w:r>
          </w:p>
          <w:p w14:paraId="25C73913"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施</w:t>
            </w:r>
          </w:p>
        </w:tc>
        <w:tc>
          <w:tcPr>
            <w:tcW w:w="4589" w:type="pct"/>
          </w:tcPr>
          <w:p w14:paraId="66E55CF3" w14:textId="77777777" w:rsidR="00EF4562" w:rsidRDefault="00000000">
            <w:pPr>
              <w:widowControl/>
              <w:spacing w:line="240" w:lineRule="auto"/>
              <w:ind w:firstLineChars="0" w:firstLine="0"/>
              <w:rPr>
                <w:rFonts w:cs="Times New Roman"/>
                <w:b/>
                <w:kern w:val="0"/>
                <w:sz w:val="21"/>
                <w:szCs w:val="21"/>
                <w14:ligatures w14:val="none"/>
              </w:rPr>
            </w:pPr>
            <w:r>
              <w:rPr>
                <w:rFonts w:cs="Times New Roman"/>
                <w:kern w:val="0"/>
                <w:sz w:val="21"/>
                <w:szCs w:val="21"/>
                <w14:ligatures w14:val="none"/>
              </w:rPr>
              <w:t>【一般要求】</w:t>
            </w:r>
          </w:p>
          <w:p w14:paraId="082BD3D3"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操作人员必须经过专门培训，严格遵守操作规程，熟练掌握操作技能，具备应急处置知识。</w:t>
            </w:r>
          </w:p>
          <w:p w14:paraId="1469F2E9"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3F98A365"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储罐等容器和设备应设置液位计、温度计，并应装有带液位、温度远传记录和报警功能的安全装置。</w:t>
            </w:r>
          </w:p>
          <w:p w14:paraId="5DC12FDC"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避免与氧化剂接触。</w:t>
            </w:r>
          </w:p>
          <w:p w14:paraId="5755E06A"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生产、储存区域应设置安全警示标志。灌装时应控制流速，且有接地装置，防止静电积聚。搬运时要轻装轻卸，防止包装及容器损坏。配备相应品种和数量的消防器材及泄漏应急处理设备。</w:t>
            </w:r>
          </w:p>
          <w:p w14:paraId="148F2604" w14:textId="77777777" w:rsidR="00EF4562" w:rsidRDefault="00000000">
            <w:pPr>
              <w:widowControl/>
              <w:spacing w:line="240" w:lineRule="auto"/>
              <w:ind w:firstLineChars="0" w:firstLine="0"/>
              <w:rPr>
                <w:rFonts w:cs="Times New Roman"/>
                <w:b/>
                <w:kern w:val="0"/>
                <w:sz w:val="21"/>
                <w:szCs w:val="21"/>
                <w14:ligatures w14:val="none"/>
              </w:rPr>
            </w:pPr>
            <w:r>
              <w:rPr>
                <w:rFonts w:cs="Times New Roman"/>
                <w:kern w:val="0"/>
                <w:sz w:val="21"/>
                <w:szCs w:val="21"/>
                <w14:ligatures w14:val="none"/>
              </w:rPr>
              <w:t>【特殊要求】</w:t>
            </w:r>
          </w:p>
          <w:p w14:paraId="52B22352" w14:textId="77777777" w:rsidR="00EF4562" w:rsidRDefault="00000000">
            <w:pPr>
              <w:widowControl/>
              <w:spacing w:line="240" w:lineRule="auto"/>
              <w:ind w:firstLineChars="0" w:firstLine="0"/>
              <w:rPr>
                <w:rFonts w:cs="Times New Roman"/>
                <w:kern w:val="0"/>
                <w:sz w:val="21"/>
                <w:szCs w:val="21"/>
                <w14:ligatures w14:val="none"/>
              </w:rPr>
            </w:pPr>
            <w:r>
              <w:rPr>
                <w:rFonts w:cs="Times New Roman"/>
                <w:b/>
                <w:kern w:val="0"/>
                <w:sz w:val="21"/>
                <w:szCs w:val="21"/>
                <w14:ligatures w14:val="none"/>
              </w:rPr>
              <w:t>【</w:t>
            </w:r>
            <w:r>
              <w:rPr>
                <w:rFonts w:cs="Times New Roman"/>
                <w:kern w:val="0"/>
                <w:sz w:val="21"/>
                <w:szCs w:val="21"/>
                <w14:ligatures w14:val="none"/>
              </w:rPr>
              <w:t>操作安全</w:t>
            </w:r>
            <w:r>
              <w:rPr>
                <w:rFonts w:cs="Times New Roman"/>
                <w:b/>
                <w:kern w:val="0"/>
                <w:sz w:val="21"/>
                <w:szCs w:val="21"/>
                <w14:ligatures w14:val="none"/>
              </w:rPr>
              <w:t>】</w:t>
            </w:r>
          </w:p>
          <w:p w14:paraId="1701DFA7"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1</w:t>
            </w:r>
            <w:r>
              <w:rPr>
                <w:rFonts w:cs="Times New Roman"/>
                <w:kern w:val="0"/>
                <w:sz w:val="21"/>
                <w:szCs w:val="21"/>
                <w14:ligatures w14:val="none"/>
              </w:rPr>
              <w:t>）油罐及贮存桶装汽油附近要严禁烟火。禁止将汽油与其他易燃物放在一起。</w:t>
            </w:r>
          </w:p>
          <w:p w14:paraId="3DEDBB7F"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2</w:t>
            </w:r>
            <w:r>
              <w:rPr>
                <w:rFonts w:cs="Times New Roman"/>
                <w:kern w:val="0"/>
                <w:sz w:val="21"/>
                <w:szCs w:val="21"/>
                <w14:ligatures w14:val="none"/>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643EC8F5"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3</w:t>
            </w:r>
            <w:r>
              <w:rPr>
                <w:rFonts w:cs="Times New Roman"/>
                <w:kern w:val="0"/>
                <w:sz w:val="21"/>
                <w:szCs w:val="21"/>
                <w14:ligatures w14:val="none"/>
              </w:rPr>
              <w:t>）当进行灌装汽油时，邻近的汽车、拖拉机的排气管要戴上防火帽后才能发动，存汽油地点附近严禁检修车辆。</w:t>
            </w:r>
          </w:p>
          <w:p w14:paraId="57B04654"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lastRenderedPageBreak/>
              <w:t>（</w:t>
            </w:r>
            <w:r>
              <w:rPr>
                <w:rFonts w:cs="Times New Roman"/>
                <w:kern w:val="0"/>
                <w:sz w:val="21"/>
                <w:szCs w:val="21"/>
                <w14:ligatures w14:val="none"/>
              </w:rPr>
              <w:t>4</w:t>
            </w:r>
            <w:r>
              <w:rPr>
                <w:rFonts w:cs="Times New Roman"/>
                <w:kern w:val="0"/>
                <w:sz w:val="21"/>
                <w:szCs w:val="21"/>
                <w14:ligatures w14:val="none"/>
              </w:rPr>
              <w:t>）汽油油罐和贮存汽油区的上空，不应有电线通过。油罐、库房与电线的距离要为电杆长度的</w:t>
            </w:r>
            <w:r>
              <w:rPr>
                <w:rFonts w:cs="Times New Roman"/>
                <w:kern w:val="0"/>
                <w:sz w:val="21"/>
                <w:szCs w:val="21"/>
                <w14:ligatures w14:val="none"/>
              </w:rPr>
              <w:t>1.5</w:t>
            </w:r>
            <w:r>
              <w:rPr>
                <w:rFonts w:cs="Times New Roman"/>
                <w:kern w:val="0"/>
                <w:sz w:val="21"/>
                <w:szCs w:val="21"/>
                <w14:ligatures w14:val="none"/>
              </w:rPr>
              <w:t>倍以上。</w:t>
            </w:r>
          </w:p>
          <w:p w14:paraId="2086F0DD"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5</w:t>
            </w:r>
            <w:r>
              <w:rPr>
                <w:rFonts w:cs="Times New Roman"/>
                <w:kern w:val="0"/>
                <w:sz w:val="21"/>
                <w:szCs w:val="21"/>
                <w14:ligatures w14:val="none"/>
              </w:rPr>
              <w:t>）注意仓库及操作场所的通风，使油蒸气容易逸散。</w:t>
            </w:r>
          </w:p>
          <w:p w14:paraId="73D31AC9" w14:textId="77777777" w:rsidR="00EF4562" w:rsidRDefault="00000000">
            <w:pPr>
              <w:spacing w:line="240" w:lineRule="auto"/>
              <w:ind w:firstLineChars="0" w:firstLine="0"/>
              <w:rPr>
                <w:rFonts w:cs="Times New Roman"/>
                <w:b/>
                <w:kern w:val="0"/>
                <w:sz w:val="21"/>
                <w:szCs w:val="21"/>
                <w14:ligatures w14:val="none"/>
              </w:rPr>
            </w:pPr>
            <w:r>
              <w:rPr>
                <w:rFonts w:cs="Times New Roman"/>
                <w:kern w:val="0"/>
                <w:sz w:val="21"/>
                <w:szCs w:val="21"/>
                <w14:ligatures w14:val="none"/>
              </w:rPr>
              <w:t>【储存安全】</w:t>
            </w:r>
          </w:p>
          <w:p w14:paraId="04B77C52"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1</w:t>
            </w:r>
            <w:r>
              <w:rPr>
                <w:rFonts w:cs="Times New Roman"/>
                <w:kern w:val="0"/>
                <w:sz w:val="21"/>
                <w:szCs w:val="21"/>
                <w14:ligatures w14:val="none"/>
              </w:rPr>
              <w:t>）储存于阴凉、通风的库房。远离火种、热源。库房温度不宜超过</w:t>
            </w:r>
            <w:r>
              <w:rPr>
                <w:rFonts w:cs="Times New Roman"/>
                <w:kern w:val="0"/>
                <w:sz w:val="21"/>
                <w:szCs w:val="21"/>
                <w14:ligatures w14:val="none"/>
              </w:rPr>
              <w:t>30℃</w:t>
            </w:r>
            <w:r>
              <w:rPr>
                <w:rFonts w:cs="Times New Roman"/>
                <w:kern w:val="0"/>
                <w:sz w:val="21"/>
                <w:szCs w:val="21"/>
                <w14:ligatures w14:val="none"/>
              </w:rPr>
              <w:t>。炎热季节应采取喷淋、通风等降温措施。</w:t>
            </w:r>
          </w:p>
          <w:p w14:paraId="0E290D77"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2</w:t>
            </w:r>
            <w:r>
              <w:rPr>
                <w:rFonts w:cs="Times New Roman"/>
                <w:kern w:val="0"/>
                <w:sz w:val="21"/>
                <w:szCs w:val="21"/>
                <w14:ligatures w14:val="none"/>
              </w:rPr>
              <w:t>）应与氧化剂分开存放，切忌混储。用储罐、铁桶等容器盛装，不要用塑料桶来存放汽油。盛装时，切不可充满，要留出必要的安全空间。</w:t>
            </w:r>
          </w:p>
          <w:p w14:paraId="57F64022"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w:t>
            </w:r>
            <w:r>
              <w:rPr>
                <w:rFonts w:cs="Times New Roman"/>
                <w:kern w:val="0"/>
                <w:sz w:val="21"/>
                <w:szCs w:val="21"/>
                <w14:ligatures w14:val="none"/>
              </w:rPr>
              <w:t>3</w:t>
            </w:r>
            <w:r>
              <w:rPr>
                <w:rFonts w:cs="Times New Roman"/>
                <w:kern w:val="0"/>
                <w:sz w:val="21"/>
                <w:szCs w:val="21"/>
                <w14:ligatures w14:val="none"/>
              </w:rPr>
              <w:t>）采用防爆型照明、通风设施。禁止使用易产生火花的机械设备和工具。储存区应备有泄漏应急处理设备和合适的收容材料。罐储时要有防火防爆技术措施。对于</w:t>
            </w:r>
            <w:r>
              <w:rPr>
                <w:rFonts w:cs="Times New Roman"/>
                <w:kern w:val="0"/>
                <w:sz w:val="21"/>
                <w:szCs w:val="21"/>
                <w14:ligatures w14:val="none"/>
              </w:rPr>
              <w:t>1000m</w:t>
            </w:r>
            <w:r>
              <w:rPr>
                <w:rFonts w:cs="Times New Roman"/>
                <w:kern w:val="0"/>
                <w:sz w:val="21"/>
                <w:szCs w:val="21"/>
                <w:vertAlign w:val="superscript"/>
                <w14:ligatures w14:val="none"/>
              </w:rPr>
              <w:t>3</w:t>
            </w:r>
            <w:r>
              <w:rPr>
                <w:rFonts w:cs="Times New Roman"/>
                <w:kern w:val="0"/>
                <w:sz w:val="21"/>
                <w:szCs w:val="21"/>
                <w14:ligatures w14:val="none"/>
              </w:rPr>
              <w:t>及以上的储罐顶部应有泡沫灭火设施等。</w:t>
            </w:r>
          </w:p>
        </w:tc>
      </w:tr>
      <w:tr w:rsidR="00EF4562" w14:paraId="63C9BA1B" w14:textId="77777777">
        <w:tc>
          <w:tcPr>
            <w:tcW w:w="411" w:type="pct"/>
            <w:vAlign w:val="center"/>
          </w:tcPr>
          <w:p w14:paraId="37F51549"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lastRenderedPageBreak/>
              <w:t>应</w:t>
            </w:r>
          </w:p>
          <w:p w14:paraId="503E57E0"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急</w:t>
            </w:r>
          </w:p>
          <w:p w14:paraId="02BE1BB9"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处</w:t>
            </w:r>
          </w:p>
          <w:p w14:paraId="523A3889"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置</w:t>
            </w:r>
          </w:p>
          <w:p w14:paraId="1E97BFAF"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原</w:t>
            </w:r>
          </w:p>
          <w:p w14:paraId="3EA153DF"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则</w:t>
            </w:r>
          </w:p>
        </w:tc>
        <w:tc>
          <w:tcPr>
            <w:tcW w:w="4589" w:type="pct"/>
          </w:tcPr>
          <w:p w14:paraId="4E1B6DCC" w14:textId="77777777" w:rsidR="00EF4562" w:rsidRDefault="00000000">
            <w:pPr>
              <w:adjustRightInd/>
              <w:snapToGrid/>
              <w:spacing w:line="240" w:lineRule="auto"/>
              <w:ind w:firstLineChars="0" w:firstLine="0"/>
              <w:rPr>
                <w:rFonts w:cs="Times New Roman"/>
                <w:b/>
                <w:kern w:val="0"/>
                <w:sz w:val="21"/>
                <w:szCs w:val="21"/>
                <w14:ligatures w14:val="none"/>
              </w:rPr>
            </w:pPr>
            <w:r>
              <w:rPr>
                <w:rFonts w:cs="Times New Roman"/>
                <w:kern w:val="0"/>
                <w:sz w:val="21"/>
                <w:szCs w:val="21"/>
                <w14:ligatures w14:val="none"/>
              </w:rPr>
              <w:t>【急救措施】</w:t>
            </w:r>
          </w:p>
          <w:p w14:paraId="0D501882"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吸入：迅速脱离现场至空气新鲜处。保持呼吸道通畅。如呼吸困难，给氧。如呼吸停止，立即进行人工呼吸。就医。</w:t>
            </w:r>
          </w:p>
          <w:p w14:paraId="54C8EE32"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食入：给饮牛奶或用植物油洗胃和灌肠。就医。</w:t>
            </w:r>
          </w:p>
          <w:p w14:paraId="3B66CC21"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皮肤接触：立即脱去污染的衣着，用肥皂水和清水彻底冲洗皮肤。就医。</w:t>
            </w:r>
          </w:p>
          <w:p w14:paraId="71B1F144"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眼睛接触：立即提起眼睑，用大量流动清水或生理盐水彻底冲洗至少</w:t>
            </w:r>
            <w:r>
              <w:rPr>
                <w:rFonts w:cs="Times New Roman"/>
                <w:kern w:val="0"/>
                <w:sz w:val="21"/>
                <w:szCs w:val="21"/>
                <w14:ligatures w14:val="none"/>
              </w:rPr>
              <w:t>15</w:t>
            </w:r>
            <w:r>
              <w:rPr>
                <w:rFonts w:cs="Times New Roman"/>
                <w:kern w:val="0"/>
                <w:sz w:val="21"/>
                <w:szCs w:val="21"/>
                <w14:ligatures w14:val="none"/>
              </w:rPr>
              <w:t>分钟。就医。</w:t>
            </w:r>
          </w:p>
          <w:p w14:paraId="5281B164" w14:textId="77777777" w:rsidR="00EF4562" w:rsidRDefault="00000000">
            <w:pPr>
              <w:adjustRightInd/>
              <w:snapToGrid/>
              <w:spacing w:line="240" w:lineRule="auto"/>
              <w:ind w:firstLineChars="0" w:firstLine="0"/>
              <w:rPr>
                <w:rFonts w:cs="Times New Roman"/>
                <w:b/>
                <w:kern w:val="0"/>
                <w:sz w:val="21"/>
                <w:szCs w:val="21"/>
                <w14:ligatures w14:val="none"/>
              </w:rPr>
            </w:pPr>
            <w:r>
              <w:rPr>
                <w:rFonts w:cs="Times New Roman"/>
                <w:kern w:val="0"/>
                <w:sz w:val="21"/>
                <w:szCs w:val="21"/>
                <w14:ligatures w14:val="none"/>
              </w:rPr>
              <w:t>【灭火方法】</w:t>
            </w:r>
          </w:p>
          <w:p w14:paraId="547F348D"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喷水冷却容器，尽可能将容器从火场移至空旷处。</w:t>
            </w:r>
          </w:p>
          <w:p w14:paraId="2F0FDC4A"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灭火剂：泡沫、干粉、二氧化碳。用水灭火无效。</w:t>
            </w:r>
          </w:p>
          <w:p w14:paraId="0E82DF46" w14:textId="77777777" w:rsidR="00EF4562" w:rsidRDefault="00000000">
            <w:pPr>
              <w:adjustRightInd/>
              <w:snapToGrid/>
              <w:spacing w:line="240" w:lineRule="auto"/>
              <w:ind w:firstLineChars="0" w:firstLine="0"/>
              <w:rPr>
                <w:rFonts w:cs="Times New Roman"/>
                <w:b/>
                <w:kern w:val="0"/>
                <w:sz w:val="21"/>
                <w:szCs w:val="21"/>
                <w14:ligatures w14:val="none"/>
              </w:rPr>
            </w:pPr>
            <w:r>
              <w:rPr>
                <w:rFonts w:cs="Times New Roman"/>
                <w:kern w:val="0"/>
                <w:sz w:val="21"/>
                <w:szCs w:val="21"/>
                <w14:ligatures w14:val="none"/>
              </w:rPr>
              <w:t>【泄漏应急处置】</w:t>
            </w:r>
          </w:p>
          <w:p w14:paraId="4DBC327B"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它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47E97F69"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作为一项紧急预防措施，泄漏隔离距离至少为</w:t>
            </w:r>
            <w:r>
              <w:rPr>
                <w:rFonts w:cs="Times New Roman"/>
                <w:kern w:val="0"/>
                <w:sz w:val="21"/>
                <w:szCs w:val="21"/>
                <w14:ligatures w14:val="none"/>
              </w:rPr>
              <w:t>50m</w:t>
            </w:r>
            <w:r>
              <w:rPr>
                <w:rFonts w:cs="Times New Roman"/>
                <w:kern w:val="0"/>
                <w:sz w:val="21"/>
                <w:szCs w:val="21"/>
                <w14:ligatures w14:val="none"/>
              </w:rPr>
              <w:t>。如果为大量泄漏，下风向的初始疏散距离应至少为</w:t>
            </w:r>
            <w:r>
              <w:rPr>
                <w:rFonts w:cs="Times New Roman"/>
                <w:kern w:val="0"/>
                <w:sz w:val="21"/>
                <w:szCs w:val="21"/>
                <w14:ligatures w14:val="none"/>
              </w:rPr>
              <w:t>300m</w:t>
            </w:r>
            <w:r>
              <w:rPr>
                <w:rFonts w:cs="Times New Roman"/>
                <w:kern w:val="0"/>
                <w:sz w:val="21"/>
                <w:szCs w:val="21"/>
                <w14:ligatures w14:val="none"/>
              </w:rPr>
              <w:t>。</w:t>
            </w:r>
          </w:p>
        </w:tc>
      </w:tr>
    </w:tbl>
    <w:p w14:paraId="4CF58B47" w14:textId="77777777" w:rsidR="00EF4562" w:rsidRDefault="00000000">
      <w:pPr>
        <w:spacing w:beforeLines="50" w:before="190" w:afterLines="50" w:after="190"/>
        <w:ind w:firstLine="562"/>
        <w:outlineLvl w:val="2"/>
        <w:rPr>
          <w:rFonts w:ascii="黑体" w:eastAsia="黑体" w:hAnsi="黑体" w:hint="eastAsia"/>
          <w:b/>
          <w:bCs/>
        </w:rPr>
      </w:pPr>
      <w:r>
        <w:rPr>
          <w:rFonts w:eastAsia="黑体" w:cs="Times New Roman"/>
          <w:b/>
          <w:bCs/>
        </w:rPr>
        <w:t>C.1.2</w:t>
      </w:r>
      <w:r>
        <w:rPr>
          <w:rFonts w:ascii="黑体" w:eastAsia="黑体" w:hAnsi="黑体" w:hint="eastAsia"/>
          <w:b/>
          <w:bCs/>
        </w:rPr>
        <w:t>柴油</w:t>
      </w:r>
    </w:p>
    <w:p w14:paraId="02ED0B19" w14:textId="77777777" w:rsidR="00EF4562" w:rsidRDefault="00000000">
      <w:pPr>
        <w:keepNext/>
        <w:keepLines/>
        <w:spacing w:beforeLines="50" w:before="190" w:afterLines="50" w:after="190" w:line="240" w:lineRule="auto"/>
        <w:ind w:firstLineChars="0" w:firstLine="0"/>
        <w:jc w:val="center"/>
        <w:rPr>
          <w:rFonts w:eastAsia="黑体"/>
          <w:sz w:val="24"/>
        </w:rPr>
      </w:pPr>
      <w:r>
        <w:rPr>
          <w:rFonts w:eastAsia="黑体" w:hint="eastAsia"/>
          <w:sz w:val="24"/>
        </w:rPr>
        <w:t>表</w:t>
      </w:r>
      <w:r>
        <w:rPr>
          <w:rFonts w:eastAsia="黑体" w:cs="Times New Roman"/>
          <w:sz w:val="24"/>
        </w:rPr>
        <w:t>C-2</w:t>
      </w:r>
      <w:r>
        <w:rPr>
          <w:rFonts w:eastAsia="黑体" w:hint="eastAsia"/>
          <w:sz w:val="24"/>
        </w:rPr>
        <w:t xml:space="preserve">  </w:t>
      </w:r>
      <w:r>
        <w:rPr>
          <w:rFonts w:eastAsia="黑体" w:hint="eastAsia"/>
          <w:sz w:val="24"/>
        </w:rPr>
        <w:t>柴油的危险、有害识别表</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8"/>
        <w:gridCol w:w="8414"/>
      </w:tblGrid>
      <w:tr w:rsidR="00EF4562" w14:paraId="583B48E6" w14:textId="77777777">
        <w:tc>
          <w:tcPr>
            <w:tcW w:w="413" w:type="pct"/>
            <w:vAlign w:val="center"/>
          </w:tcPr>
          <w:p w14:paraId="5ACF6B90"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特别警示</w:t>
            </w:r>
          </w:p>
        </w:tc>
        <w:tc>
          <w:tcPr>
            <w:tcW w:w="4587" w:type="pct"/>
          </w:tcPr>
          <w:p w14:paraId="625E56F8"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该物质对环境有危害，建议不要让其进入环境。对水体和大气可造成污染，破坏水生生物呼吸系统。对海藻应给予特别注意。</w:t>
            </w:r>
          </w:p>
        </w:tc>
      </w:tr>
      <w:tr w:rsidR="00EF4562" w14:paraId="3293E4BF" w14:textId="77777777">
        <w:tc>
          <w:tcPr>
            <w:tcW w:w="413" w:type="pct"/>
            <w:vAlign w:val="center"/>
          </w:tcPr>
          <w:p w14:paraId="75689377"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理</w:t>
            </w:r>
          </w:p>
          <w:p w14:paraId="47EE3C5C"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化</w:t>
            </w:r>
          </w:p>
          <w:p w14:paraId="198E6047"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特</w:t>
            </w:r>
          </w:p>
          <w:p w14:paraId="061048E1"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性</w:t>
            </w:r>
          </w:p>
        </w:tc>
        <w:tc>
          <w:tcPr>
            <w:tcW w:w="4587" w:type="pct"/>
          </w:tcPr>
          <w:p w14:paraId="39C8A559"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稍有粘性的棕色液体。</w:t>
            </w:r>
          </w:p>
          <w:p w14:paraId="617C175B"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相对密度（水</w:t>
            </w:r>
            <w:r>
              <w:rPr>
                <w:rFonts w:cs="Times New Roman"/>
                <w:kern w:val="0"/>
                <w:sz w:val="21"/>
                <w:szCs w:val="21"/>
                <w14:ligatures w14:val="none"/>
              </w:rPr>
              <w:t>=1</w:t>
            </w:r>
            <w:r>
              <w:rPr>
                <w:rFonts w:cs="Times New Roman"/>
                <w:kern w:val="0"/>
                <w:sz w:val="21"/>
                <w:szCs w:val="21"/>
                <w14:ligatures w14:val="none"/>
              </w:rPr>
              <w:t>）</w:t>
            </w:r>
            <w:r>
              <w:rPr>
                <w:rFonts w:cs="Times New Roman"/>
                <w:kern w:val="0"/>
                <w:sz w:val="21"/>
                <w:szCs w:val="21"/>
                <w14:ligatures w14:val="none"/>
              </w:rPr>
              <w:t>0.79</w:t>
            </w:r>
            <w:r>
              <w:rPr>
                <w:rFonts w:cs="Times New Roman"/>
                <w:kern w:val="0"/>
                <w:sz w:val="21"/>
                <w:szCs w:val="21"/>
                <w14:ligatures w14:val="none"/>
              </w:rPr>
              <w:t>～</w:t>
            </w:r>
            <w:r>
              <w:rPr>
                <w:rFonts w:cs="Times New Roman"/>
                <w:kern w:val="0"/>
                <w:sz w:val="21"/>
                <w:szCs w:val="21"/>
                <w14:ligatures w14:val="none"/>
              </w:rPr>
              <w:t>0.85</w:t>
            </w:r>
            <w:r>
              <w:rPr>
                <w:rFonts w:cs="Times New Roman"/>
                <w:kern w:val="0"/>
                <w:sz w:val="21"/>
                <w:szCs w:val="21"/>
                <w14:ligatures w14:val="none"/>
              </w:rPr>
              <w:t>，闪点（闭口）（</w:t>
            </w:r>
            <w:r>
              <w:rPr>
                <w:rFonts w:cs="Times New Roman"/>
                <w:kern w:val="0"/>
                <w:sz w:val="21"/>
                <w:szCs w:val="21"/>
                <w14:ligatures w14:val="none"/>
              </w:rPr>
              <w:t>℃</w:t>
            </w:r>
            <w:r>
              <w:rPr>
                <w:rFonts w:cs="Times New Roman"/>
                <w:kern w:val="0"/>
                <w:sz w:val="21"/>
                <w:szCs w:val="21"/>
                <w14:ligatures w14:val="none"/>
              </w:rPr>
              <w:t>）：其中</w:t>
            </w:r>
            <w:r>
              <w:rPr>
                <w:rFonts w:cs="Times New Roman"/>
                <w:kern w:val="0"/>
                <w:sz w:val="21"/>
                <w:szCs w:val="21"/>
                <w14:ligatures w14:val="none"/>
              </w:rPr>
              <w:t>5</w:t>
            </w:r>
            <w:r>
              <w:rPr>
                <w:rFonts w:cs="Times New Roman"/>
                <w:kern w:val="0"/>
                <w:sz w:val="21"/>
                <w:szCs w:val="21"/>
                <w14:ligatures w14:val="none"/>
              </w:rPr>
              <w:t>号、</w:t>
            </w:r>
            <w:r>
              <w:rPr>
                <w:rFonts w:cs="Times New Roman"/>
                <w:kern w:val="0"/>
                <w:sz w:val="21"/>
                <w:szCs w:val="21"/>
                <w14:ligatures w14:val="none"/>
              </w:rPr>
              <w:t>0</w:t>
            </w:r>
            <w:r>
              <w:rPr>
                <w:rFonts w:cs="Times New Roman"/>
                <w:kern w:val="0"/>
                <w:sz w:val="21"/>
                <w:szCs w:val="21"/>
                <w14:ligatures w14:val="none"/>
              </w:rPr>
              <w:t>号、</w:t>
            </w:r>
            <w:r>
              <w:rPr>
                <w:rFonts w:cs="Times New Roman"/>
                <w:kern w:val="0"/>
                <w:sz w:val="21"/>
                <w:szCs w:val="21"/>
                <w14:ligatures w14:val="none"/>
              </w:rPr>
              <w:t>-10</w:t>
            </w:r>
            <w:r>
              <w:rPr>
                <w:rFonts w:cs="Times New Roman"/>
                <w:kern w:val="0"/>
                <w:sz w:val="21"/>
                <w:szCs w:val="21"/>
                <w14:ligatures w14:val="none"/>
              </w:rPr>
              <w:t>号柴油的闪点不低于</w:t>
            </w:r>
            <w:r>
              <w:rPr>
                <w:rFonts w:cs="Times New Roman"/>
                <w:kern w:val="0"/>
                <w:sz w:val="21"/>
                <w:szCs w:val="21"/>
                <w14:ligatures w14:val="none"/>
              </w:rPr>
              <w:t>60℃</w:t>
            </w:r>
            <w:r>
              <w:rPr>
                <w:rFonts w:cs="Times New Roman"/>
                <w:kern w:val="0"/>
                <w:sz w:val="21"/>
                <w:szCs w:val="21"/>
                <w14:ligatures w14:val="none"/>
              </w:rPr>
              <w:t>；</w:t>
            </w:r>
            <w:r>
              <w:rPr>
                <w:rFonts w:cs="Times New Roman"/>
                <w:kern w:val="0"/>
                <w:sz w:val="21"/>
                <w:szCs w:val="21"/>
                <w14:ligatures w14:val="none"/>
              </w:rPr>
              <w:t>-20</w:t>
            </w:r>
            <w:r>
              <w:rPr>
                <w:rFonts w:cs="Times New Roman"/>
                <w:kern w:val="0"/>
                <w:sz w:val="21"/>
                <w:szCs w:val="21"/>
                <w14:ligatures w14:val="none"/>
              </w:rPr>
              <w:t>号柴油闪点不低于</w:t>
            </w:r>
            <w:r>
              <w:rPr>
                <w:rFonts w:cs="Times New Roman"/>
                <w:kern w:val="0"/>
                <w:sz w:val="21"/>
                <w:szCs w:val="21"/>
                <w14:ligatures w14:val="none"/>
              </w:rPr>
              <w:t>50℃</w:t>
            </w:r>
            <w:r>
              <w:rPr>
                <w:rFonts w:cs="Times New Roman"/>
                <w:kern w:val="0"/>
                <w:sz w:val="21"/>
                <w:szCs w:val="21"/>
                <w14:ligatures w14:val="none"/>
              </w:rPr>
              <w:t>；</w:t>
            </w:r>
            <w:r>
              <w:rPr>
                <w:rFonts w:cs="Times New Roman"/>
                <w:kern w:val="0"/>
                <w:sz w:val="21"/>
                <w:szCs w:val="21"/>
                <w14:ligatures w14:val="none"/>
              </w:rPr>
              <w:t>-35</w:t>
            </w:r>
            <w:r>
              <w:rPr>
                <w:rFonts w:cs="Times New Roman"/>
                <w:kern w:val="0"/>
                <w:sz w:val="21"/>
                <w:szCs w:val="21"/>
                <w14:ligatures w14:val="none"/>
              </w:rPr>
              <w:t>号、</w:t>
            </w:r>
            <w:r>
              <w:rPr>
                <w:rFonts w:cs="Times New Roman"/>
                <w:kern w:val="0"/>
                <w:sz w:val="21"/>
                <w:szCs w:val="21"/>
                <w14:ligatures w14:val="none"/>
              </w:rPr>
              <w:t>-50</w:t>
            </w:r>
            <w:r>
              <w:rPr>
                <w:rFonts w:cs="Times New Roman"/>
                <w:kern w:val="0"/>
                <w:sz w:val="21"/>
                <w:szCs w:val="21"/>
                <w14:ligatures w14:val="none"/>
              </w:rPr>
              <w:t>号柴油的闪点不低于</w:t>
            </w:r>
            <w:r>
              <w:rPr>
                <w:rFonts w:cs="Times New Roman"/>
                <w:kern w:val="0"/>
                <w:sz w:val="21"/>
                <w:szCs w:val="21"/>
                <w14:ligatures w14:val="none"/>
              </w:rPr>
              <w:t>45℃</w:t>
            </w:r>
            <w:r>
              <w:rPr>
                <w:rFonts w:cs="Times New Roman"/>
                <w:kern w:val="0"/>
                <w:sz w:val="21"/>
                <w:szCs w:val="21"/>
                <w14:ligatures w14:val="none"/>
              </w:rPr>
              <w:t>，沸点</w:t>
            </w:r>
            <w:r>
              <w:rPr>
                <w:rFonts w:cs="Times New Roman"/>
                <w:kern w:val="0"/>
                <w:sz w:val="21"/>
                <w:szCs w:val="21"/>
                <w14:ligatures w14:val="none"/>
              </w:rPr>
              <w:t>282-338℃</w:t>
            </w:r>
            <w:r>
              <w:rPr>
                <w:rFonts w:cs="Times New Roman"/>
                <w:kern w:val="0"/>
                <w:sz w:val="21"/>
                <w:szCs w:val="21"/>
                <w14:ligatures w14:val="none"/>
              </w:rPr>
              <w:t>，引燃温度</w:t>
            </w:r>
            <w:r>
              <w:rPr>
                <w:rFonts w:cs="Times New Roman"/>
                <w:kern w:val="0"/>
                <w:sz w:val="21"/>
                <w:szCs w:val="21"/>
                <w14:ligatures w14:val="none"/>
              </w:rPr>
              <w:t>257℃</w:t>
            </w:r>
            <w:r>
              <w:rPr>
                <w:rFonts w:cs="Times New Roman"/>
                <w:kern w:val="0"/>
                <w:sz w:val="21"/>
                <w:szCs w:val="21"/>
                <w14:ligatures w14:val="none"/>
              </w:rPr>
              <w:t>。</w:t>
            </w:r>
          </w:p>
          <w:p w14:paraId="7098D798"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主要用途：柴油主要用作柴油机的燃料。</w:t>
            </w:r>
          </w:p>
        </w:tc>
      </w:tr>
      <w:tr w:rsidR="00EF4562" w14:paraId="44EBF1EC" w14:textId="77777777">
        <w:tc>
          <w:tcPr>
            <w:tcW w:w="413" w:type="pct"/>
            <w:vAlign w:val="center"/>
          </w:tcPr>
          <w:p w14:paraId="6EBB370B"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危</w:t>
            </w:r>
          </w:p>
          <w:p w14:paraId="1F3BA206"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害</w:t>
            </w:r>
          </w:p>
          <w:p w14:paraId="4DC391ED"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信</w:t>
            </w:r>
          </w:p>
          <w:p w14:paraId="62C21174"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息</w:t>
            </w:r>
          </w:p>
        </w:tc>
        <w:tc>
          <w:tcPr>
            <w:tcW w:w="4587" w:type="pct"/>
          </w:tcPr>
          <w:p w14:paraId="4A247F9C" w14:textId="77777777" w:rsidR="00EF4562" w:rsidRDefault="00000000">
            <w:pPr>
              <w:widowControl/>
              <w:spacing w:line="240" w:lineRule="auto"/>
              <w:ind w:firstLineChars="0" w:firstLine="0"/>
              <w:rPr>
                <w:rFonts w:cs="Times New Roman"/>
                <w:b/>
                <w:kern w:val="0"/>
                <w:sz w:val="21"/>
                <w:szCs w:val="21"/>
                <w14:ligatures w14:val="none"/>
              </w:rPr>
            </w:pPr>
            <w:r>
              <w:rPr>
                <w:rFonts w:cs="Times New Roman"/>
                <w:kern w:val="0"/>
                <w:sz w:val="21"/>
                <w:szCs w:val="21"/>
                <w14:ligatures w14:val="none"/>
              </w:rPr>
              <w:t>【燃烧和爆炸危险性】</w:t>
            </w:r>
          </w:p>
          <w:p w14:paraId="75404FCC"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本品易燃，具刺激性。遇明火、高热或与氧化剂接触，有引起燃烧爆炸的危险。若遇高热，容器内压增大，有开裂和爆炸的危险。</w:t>
            </w:r>
          </w:p>
          <w:p w14:paraId="3F4233EE" w14:textId="77777777" w:rsidR="00EF4562" w:rsidRDefault="00000000">
            <w:pPr>
              <w:widowControl/>
              <w:spacing w:line="240" w:lineRule="auto"/>
              <w:ind w:firstLineChars="0" w:firstLine="0"/>
              <w:rPr>
                <w:rFonts w:cs="Times New Roman"/>
                <w:b/>
                <w:kern w:val="0"/>
                <w:sz w:val="21"/>
                <w:szCs w:val="21"/>
                <w14:ligatures w14:val="none"/>
              </w:rPr>
            </w:pPr>
            <w:r>
              <w:rPr>
                <w:rFonts w:cs="Times New Roman"/>
                <w:kern w:val="0"/>
                <w:sz w:val="21"/>
                <w:szCs w:val="21"/>
                <w14:ligatures w14:val="none"/>
              </w:rPr>
              <w:t>【健康危害】</w:t>
            </w:r>
          </w:p>
          <w:p w14:paraId="69CEFDD0"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皮肤接触可为主要吸收途径，可致急性肾脏损害。柴油可引起接触性皮炎、油性痤疮。吸入其雾滴或液体呛入可引起吸入性肺炎。能经胎盘进入胎儿血中。柴油废气可引起眼、鼻刺激症状，头晕及头痛。</w:t>
            </w:r>
          </w:p>
        </w:tc>
      </w:tr>
      <w:tr w:rsidR="00EF4562" w14:paraId="08281E0E" w14:textId="77777777">
        <w:tc>
          <w:tcPr>
            <w:tcW w:w="413" w:type="pct"/>
            <w:vAlign w:val="center"/>
          </w:tcPr>
          <w:p w14:paraId="2AACD103"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安</w:t>
            </w:r>
          </w:p>
          <w:p w14:paraId="42DB379B"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lastRenderedPageBreak/>
              <w:t>全</w:t>
            </w:r>
          </w:p>
          <w:p w14:paraId="6EF11524"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措</w:t>
            </w:r>
          </w:p>
          <w:p w14:paraId="31C4EC22"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施</w:t>
            </w:r>
          </w:p>
        </w:tc>
        <w:tc>
          <w:tcPr>
            <w:tcW w:w="4587" w:type="pct"/>
          </w:tcPr>
          <w:p w14:paraId="6AA3971C" w14:textId="77777777" w:rsidR="00EF4562" w:rsidRDefault="00000000">
            <w:pPr>
              <w:widowControl/>
              <w:spacing w:line="240" w:lineRule="auto"/>
              <w:ind w:firstLineChars="0" w:firstLine="0"/>
              <w:rPr>
                <w:rFonts w:cs="Times New Roman"/>
                <w:b/>
                <w:kern w:val="0"/>
                <w:sz w:val="21"/>
                <w:szCs w:val="21"/>
                <w14:ligatures w14:val="none"/>
              </w:rPr>
            </w:pPr>
            <w:r>
              <w:rPr>
                <w:rFonts w:cs="Times New Roman"/>
                <w:kern w:val="0"/>
                <w:sz w:val="21"/>
                <w:szCs w:val="21"/>
                <w14:ligatures w14:val="none"/>
              </w:rPr>
              <w:lastRenderedPageBreak/>
              <w:t>【一般要求】</w:t>
            </w:r>
          </w:p>
          <w:p w14:paraId="20E9074F" w14:textId="77777777" w:rsidR="00EF4562" w:rsidRDefault="00000000">
            <w:pPr>
              <w:widowControl/>
              <w:spacing w:line="240" w:lineRule="auto"/>
              <w:ind w:firstLineChars="0" w:firstLine="0"/>
              <w:rPr>
                <w:rFonts w:cs="Times New Roman"/>
                <w:b/>
                <w:kern w:val="0"/>
                <w:sz w:val="21"/>
                <w:szCs w:val="21"/>
                <w14:ligatures w14:val="none"/>
              </w:rPr>
            </w:pPr>
            <w:r>
              <w:rPr>
                <w:rFonts w:cs="Times New Roman"/>
                <w:kern w:val="0"/>
                <w:sz w:val="21"/>
                <w:szCs w:val="21"/>
                <w14:ligatures w14:val="none"/>
              </w:rPr>
              <w:lastRenderedPageBreak/>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26CA1806" w14:textId="77777777" w:rsidR="00EF4562" w:rsidRDefault="00000000">
            <w:pPr>
              <w:spacing w:line="240" w:lineRule="auto"/>
              <w:ind w:firstLineChars="0" w:firstLine="0"/>
              <w:rPr>
                <w:rFonts w:cs="Times New Roman"/>
                <w:b/>
                <w:kern w:val="0"/>
                <w:sz w:val="21"/>
                <w:szCs w:val="21"/>
                <w14:ligatures w14:val="none"/>
              </w:rPr>
            </w:pPr>
            <w:r>
              <w:rPr>
                <w:rFonts w:cs="Times New Roman"/>
                <w:kern w:val="0"/>
                <w:sz w:val="21"/>
                <w:szCs w:val="21"/>
                <w14:ligatures w14:val="none"/>
              </w:rPr>
              <w:t>【储存安全】</w:t>
            </w:r>
          </w:p>
          <w:p w14:paraId="32086C1B"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储存于阴凉、通风的库房。远离火种、热源。应与氧化剂、卤素分开存放，切忌混储。采用防爆型照明、通风设施。禁止使用易产生火花的机械设备和工具。储区应备有泄漏应急处理设备和合适的收容材料。</w:t>
            </w:r>
          </w:p>
        </w:tc>
      </w:tr>
      <w:tr w:rsidR="00EF4562" w14:paraId="4984CE46" w14:textId="77777777">
        <w:tc>
          <w:tcPr>
            <w:tcW w:w="413" w:type="pct"/>
            <w:vAlign w:val="center"/>
          </w:tcPr>
          <w:p w14:paraId="0615B530"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lastRenderedPageBreak/>
              <w:t>应</w:t>
            </w:r>
          </w:p>
          <w:p w14:paraId="09D4AB76"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急</w:t>
            </w:r>
          </w:p>
          <w:p w14:paraId="3EC28A1C"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处</w:t>
            </w:r>
          </w:p>
          <w:p w14:paraId="48392F82"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置</w:t>
            </w:r>
          </w:p>
          <w:p w14:paraId="54E0782D"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原</w:t>
            </w:r>
          </w:p>
          <w:p w14:paraId="426F2A0B" w14:textId="77777777" w:rsidR="00EF4562" w:rsidRDefault="00000000">
            <w:pPr>
              <w:spacing w:line="240" w:lineRule="auto"/>
              <w:ind w:firstLineChars="0" w:firstLine="0"/>
              <w:jc w:val="center"/>
              <w:rPr>
                <w:rFonts w:cs="Times New Roman"/>
                <w:bCs/>
                <w:kern w:val="0"/>
                <w:sz w:val="21"/>
                <w:szCs w:val="21"/>
                <w14:ligatures w14:val="none"/>
              </w:rPr>
            </w:pPr>
            <w:r>
              <w:rPr>
                <w:rFonts w:cs="Times New Roman"/>
                <w:bCs/>
                <w:kern w:val="0"/>
                <w:sz w:val="21"/>
                <w:szCs w:val="21"/>
                <w14:ligatures w14:val="none"/>
              </w:rPr>
              <w:t>则</w:t>
            </w:r>
          </w:p>
        </w:tc>
        <w:tc>
          <w:tcPr>
            <w:tcW w:w="4587" w:type="pct"/>
          </w:tcPr>
          <w:p w14:paraId="3DACBDB7" w14:textId="77777777" w:rsidR="00EF4562" w:rsidRDefault="00000000">
            <w:pPr>
              <w:adjustRightInd/>
              <w:snapToGrid/>
              <w:spacing w:line="240" w:lineRule="auto"/>
              <w:ind w:firstLineChars="0" w:firstLine="0"/>
              <w:rPr>
                <w:rFonts w:cs="Times New Roman"/>
                <w:b/>
                <w:kern w:val="0"/>
                <w:sz w:val="21"/>
                <w:szCs w:val="21"/>
                <w14:ligatures w14:val="none"/>
              </w:rPr>
            </w:pPr>
            <w:r>
              <w:rPr>
                <w:rFonts w:cs="Times New Roman"/>
                <w:kern w:val="0"/>
                <w:sz w:val="21"/>
                <w:szCs w:val="21"/>
                <w14:ligatures w14:val="none"/>
              </w:rPr>
              <w:t>【急救措施】</w:t>
            </w:r>
          </w:p>
          <w:p w14:paraId="26F6E787"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吸入：迅速脱离现场至空气新鲜处。保持呼吸道通畅。如呼吸困难，给输氧。如呼吸停止，立即进行人工呼吸。就医。</w:t>
            </w:r>
          </w:p>
          <w:p w14:paraId="691CFBE9"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食入：尽快彻底洗胃。就医。</w:t>
            </w:r>
          </w:p>
          <w:p w14:paraId="17F8F9A1"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皮肤接触：立即脱去污染的衣着，用肥皂水和清水彻底冲洗皮肤。就医。</w:t>
            </w:r>
          </w:p>
          <w:p w14:paraId="458D631D"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眼睛接触：提起眼睑，用流动清水或生理盐水冲洗。就医。</w:t>
            </w:r>
          </w:p>
          <w:p w14:paraId="5C203044" w14:textId="77777777" w:rsidR="00EF4562" w:rsidRDefault="00000000">
            <w:pPr>
              <w:adjustRightInd/>
              <w:snapToGrid/>
              <w:spacing w:line="240" w:lineRule="auto"/>
              <w:ind w:firstLineChars="0" w:firstLine="0"/>
              <w:rPr>
                <w:rFonts w:cs="Times New Roman"/>
                <w:b/>
                <w:kern w:val="0"/>
                <w:sz w:val="21"/>
                <w:szCs w:val="21"/>
                <w14:ligatures w14:val="none"/>
              </w:rPr>
            </w:pPr>
            <w:r>
              <w:rPr>
                <w:rFonts w:cs="Times New Roman"/>
                <w:kern w:val="0"/>
                <w:sz w:val="21"/>
                <w:szCs w:val="21"/>
                <w14:ligatures w14:val="none"/>
              </w:rPr>
              <w:t>【灭火方法】</w:t>
            </w:r>
          </w:p>
          <w:p w14:paraId="59E88DA6"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498EF731"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灭火剂：雾状水、泡沫、干粉、二氧化碳、砂土。</w:t>
            </w:r>
          </w:p>
          <w:p w14:paraId="0CADDD22" w14:textId="77777777" w:rsidR="00EF4562" w:rsidRDefault="00000000">
            <w:pPr>
              <w:adjustRightInd/>
              <w:snapToGrid/>
              <w:spacing w:line="240" w:lineRule="auto"/>
              <w:ind w:firstLineChars="0" w:firstLine="0"/>
              <w:rPr>
                <w:rFonts w:cs="Times New Roman"/>
                <w:b/>
                <w:kern w:val="0"/>
                <w:sz w:val="21"/>
                <w:szCs w:val="21"/>
                <w14:ligatures w14:val="none"/>
              </w:rPr>
            </w:pPr>
            <w:r>
              <w:rPr>
                <w:rFonts w:cs="Times New Roman"/>
                <w:kern w:val="0"/>
                <w:sz w:val="21"/>
                <w:szCs w:val="21"/>
                <w14:ligatures w14:val="none"/>
              </w:rPr>
              <w:t>【泄漏应急处置】</w:t>
            </w:r>
          </w:p>
          <w:p w14:paraId="05091C06" w14:textId="77777777" w:rsidR="00EF4562" w:rsidRDefault="00000000">
            <w:pPr>
              <w:widowControl/>
              <w:spacing w:line="240" w:lineRule="auto"/>
              <w:ind w:firstLineChars="0" w:firstLine="0"/>
              <w:rPr>
                <w:rFonts w:cs="Times New Roman"/>
                <w:kern w:val="0"/>
                <w:sz w:val="21"/>
                <w:szCs w:val="21"/>
                <w14:ligatures w14:val="none"/>
              </w:rPr>
            </w:pPr>
            <w:r>
              <w:rPr>
                <w:rFonts w:cs="Times New Roman"/>
                <w:kern w:val="0"/>
                <w:sz w:val="21"/>
                <w:szCs w:val="21"/>
                <w14:ligatures w14:val="none"/>
              </w:rPr>
              <w:t>迅速撤离泄漏污染区人员至安全区，并进行隔离，严格限制出入。切断火源。建议应急处理人员戴自给正压式呼吸器，穿一般作业工作服。尽可能切断泄漏源。防止流入下水道、排洪沟等限制性空间。小量泄漏：用活性炭或其它惰性材料吸收。大量泄漏：构筑围堤或挖坑收容。用泵转移至槽车或专用收集器内，回收并运至废物处理厂处置。</w:t>
            </w:r>
          </w:p>
        </w:tc>
      </w:tr>
    </w:tbl>
    <w:p w14:paraId="06EA20D6" w14:textId="77777777" w:rsidR="00EF4562" w:rsidRDefault="00000000">
      <w:pPr>
        <w:spacing w:beforeLines="100" w:before="381" w:afterLines="100" w:after="381"/>
        <w:ind w:firstLineChars="0" w:firstLine="0"/>
        <w:jc w:val="center"/>
        <w:outlineLvl w:val="1"/>
        <w:rPr>
          <w:rFonts w:ascii="楷体" w:eastAsia="楷体" w:hAnsi="楷体" w:hint="eastAsia"/>
          <w:b/>
          <w:bCs/>
          <w:sz w:val="32"/>
          <w:szCs w:val="32"/>
        </w:rPr>
      </w:pPr>
      <w:bookmarkStart w:id="77" w:name="_Toc207695667"/>
      <w:r>
        <w:rPr>
          <w:rFonts w:eastAsia="楷体" w:cs="Times New Roman"/>
          <w:b/>
          <w:bCs/>
          <w:sz w:val="32"/>
          <w:szCs w:val="32"/>
        </w:rPr>
        <w:t>C.2</w:t>
      </w:r>
      <w:r>
        <w:rPr>
          <w:rFonts w:ascii="楷体" w:eastAsia="楷体" w:hAnsi="楷体" w:cs="Times New Roman"/>
          <w:b/>
          <w:sz w:val="32"/>
          <w14:ligatures w14:val="none"/>
        </w:rPr>
        <w:t>储存</w:t>
      </w:r>
      <w:r>
        <w:rPr>
          <w:rFonts w:ascii="楷体" w:eastAsia="楷体" w:hAnsi="楷体" w:cs="Times New Roman" w:hint="eastAsia"/>
          <w:b/>
          <w:sz w:val="32"/>
          <w14:ligatures w14:val="none"/>
        </w:rPr>
        <w:t>、经营</w:t>
      </w:r>
      <w:r>
        <w:rPr>
          <w:rFonts w:ascii="楷体" w:eastAsia="楷体" w:hAnsi="楷体" w:cs="Times New Roman"/>
          <w:b/>
          <w:sz w:val="32"/>
          <w14:ligatures w14:val="none"/>
        </w:rPr>
        <w:t>过程中危险、有害因素分析</w:t>
      </w:r>
      <w:bookmarkEnd w:id="77"/>
    </w:p>
    <w:p w14:paraId="5EFA5734" w14:textId="77777777" w:rsidR="00EF4562" w:rsidRDefault="00000000">
      <w:pPr>
        <w:ind w:firstLine="560"/>
        <w:rPr>
          <w:rFonts w:cs="Times New Roman"/>
          <w:szCs w:val="28"/>
          <w:lang w:bidi="ar"/>
          <w14:ligatures w14:val="none"/>
        </w:rPr>
      </w:pPr>
      <w:bookmarkStart w:id="78" w:name="_Toc26112"/>
      <w:bookmarkStart w:id="79" w:name="_Toc5332"/>
      <w:bookmarkStart w:id="80" w:name="_Toc403984467"/>
      <w:r>
        <w:rPr>
          <w:rFonts w:cs="Times New Roman" w:hint="eastAsia"/>
          <w:szCs w:val="28"/>
          <w:lang w:bidi="ar"/>
          <w14:ligatures w14:val="none"/>
        </w:rPr>
        <w:t>根据《生产过程危险和有害因素分类与代码》和《企业职工伤亡事故分类》等的有关规定，该项目危险、有害因素分为：火灾、爆炸、中毒和窒息、触电、物体打击、车辆伤害、机械伤害、噪声、高处坠落等</w:t>
      </w:r>
      <w:r>
        <w:rPr>
          <w:rFonts w:cs="Times New Roman"/>
          <w:szCs w:val="28"/>
          <w:lang w:bidi="ar"/>
          <w14:ligatures w14:val="none"/>
        </w:rPr>
        <w:t>。</w:t>
      </w:r>
    </w:p>
    <w:bookmarkEnd w:id="78"/>
    <w:bookmarkEnd w:id="79"/>
    <w:bookmarkEnd w:id="80"/>
    <w:p w14:paraId="44F05F33"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C.2.1</w:t>
      </w:r>
      <w:r>
        <w:rPr>
          <w:rFonts w:ascii="黑体" w:eastAsia="黑体" w:hAnsi="黑体" w:hint="eastAsia"/>
          <w:b/>
          <w:bCs/>
        </w:rPr>
        <w:t>火灾、爆炸</w:t>
      </w:r>
    </w:p>
    <w:p w14:paraId="5481044A" w14:textId="77777777" w:rsidR="00EF4562" w:rsidRDefault="00000000">
      <w:pPr>
        <w:ind w:firstLine="560"/>
        <w:rPr>
          <w:rFonts w:cs="Times New Roman"/>
        </w:rPr>
      </w:pPr>
      <w:r>
        <w:rPr>
          <w:rFonts w:cs="Times New Roman" w:hint="eastAsia"/>
        </w:rPr>
        <w:t>（</w:t>
      </w:r>
      <w:r>
        <w:rPr>
          <w:rFonts w:cs="Times New Roman" w:hint="eastAsia"/>
        </w:rPr>
        <w:t>1</w:t>
      </w:r>
      <w:r>
        <w:rPr>
          <w:rFonts w:cs="Times New Roman" w:hint="eastAsia"/>
        </w:rPr>
        <w:t>）加油场地</w:t>
      </w:r>
    </w:p>
    <w:p w14:paraId="748E5FC6" w14:textId="77777777" w:rsidR="00EF4562" w:rsidRDefault="00000000">
      <w:pPr>
        <w:ind w:firstLine="560"/>
        <w:rPr>
          <w:rFonts w:cs="Times New Roman"/>
        </w:rPr>
      </w:pPr>
      <w:r>
        <w:rPr>
          <w:rFonts w:cs="Times New Roman" w:hint="eastAsia"/>
        </w:rPr>
        <w:t>加油场地是安装有不同种类加油机专为各种机动车辆加油的作业区域。由于人员、车辆流动频繁，不安全因素较多，是加油站事故多发高发的危险场所。譬如：未熄火加油、油箱漏油、加油过满溢出、加油机漏油、电气故障，加油作业过程中因修车或机械碰撞产生火花等原因，均容易引发火灾爆</w:t>
      </w:r>
      <w:r>
        <w:rPr>
          <w:rFonts w:cs="Times New Roman" w:hint="eastAsia"/>
        </w:rPr>
        <w:lastRenderedPageBreak/>
        <w:t>炸事故。未按操作规程给摩托车加油、违章用油枪往塑料桶（瓶）注汽、柴油等，也可能会引发爆炸与火灾事故的发生。此外，加油场地也可能因外来加油车辆违章驾驶、路面沉积油污、路面积雪积冰，以及加油作业区内照明不好等原因造成车辆及人员伤害或燃爆事故等。</w:t>
      </w:r>
    </w:p>
    <w:p w14:paraId="14FD276B" w14:textId="77777777" w:rsidR="00EF4562" w:rsidRDefault="00000000">
      <w:pPr>
        <w:ind w:firstLine="560"/>
        <w:rPr>
          <w:rFonts w:cs="Times New Roman"/>
        </w:rPr>
      </w:pPr>
      <w:r>
        <w:rPr>
          <w:rFonts w:cs="Times New Roman" w:hint="eastAsia"/>
        </w:rPr>
        <w:t>（</w:t>
      </w:r>
      <w:r>
        <w:rPr>
          <w:rFonts w:cs="Times New Roman" w:hint="eastAsia"/>
        </w:rPr>
        <w:t>2</w:t>
      </w:r>
      <w:r>
        <w:rPr>
          <w:rFonts w:cs="Times New Roman" w:hint="eastAsia"/>
        </w:rPr>
        <w:t>）其他</w:t>
      </w:r>
    </w:p>
    <w:p w14:paraId="4EDDEA58" w14:textId="77777777" w:rsidR="00EF4562" w:rsidRDefault="00000000">
      <w:pPr>
        <w:ind w:firstLine="560"/>
        <w:rPr>
          <w:rFonts w:cs="Times New Roman"/>
        </w:rPr>
      </w:pPr>
      <w:bookmarkStart w:id="81" w:name="_Hlk182927941"/>
      <w:r>
        <w:rPr>
          <w:rFonts w:cs="Times New Roman" w:hint="eastAsia"/>
        </w:rPr>
        <w:t>站内配电线路老化、乱接、超负荷过载、配电间进入小动物啃食电线等可能会引起电气火灾，导致加油站发生火灾、爆炸、设备损坏等事故。</w:t>
      </w:r>
    </w:p>
    <w:bookmarkEnd w:id="81"/>
    <w:p w14:paraId="32740DD5" w14:textId="77777777" w:rsidR="00EF4562" w:rsidRDefault="00000000">
      <w:pPr>
        <w:ind w:firstLine="560"/>
        <w:rPr>
          <w:rFonts w:cs="Times New Roman"/>
        </w:rPr>
      </w:pPr>
      <w:r>
        <w:rPr>
          <w:rFonts w:cs="Times New Roman" w:hint="eastAsia"/>
        </w:rPr>
        <w:t>（</w:t>
      </w:r>
      <w:r>
        <w:rPr>
          <w:rFonts w:cs="Times New Roman" w:hint="eastAsia"/>
        </w:rPr>
        <w:t>3</w:t>
      </w:r>
      <w:r>
        <w:rPr>
          <w:rFonts w:cs="Times New Roman" w:hint="eastAsia"/>
        </w:rPr>
        <w:t>）检维修</w:t>
      </w:r>
    </w:p>
    <w:p w14:paraId="29437262" w14:textId="77777777" w:rsidR="00EF4562" w:rsidRDefault="00000000">
      <w:pPr>
        <w:ind w:firstLine="560"/>
        <w:rPr>
          <w:rFonts w:cs="Times New Roman"/>
        </w:rPr>
      </w:pPr>
      <w:r>
        <w:rPr>
          <w:rFonts w:cs="Times New Roman"/>
        </w:rPr>
        <w:t>1</w:t>
      </w:r>
      <w:r>
        <w:rPr>
          <w:rFonts w:cs="Times New Roman"/>
        </w:rPr>
        <w:t>）</w:t>
      </w:r>
      <w:r>
        <w:rPr>
          <w:rFonts w:cs="Times New Roman" w:hint="eastAsia"/>
        </w:rPr>
        <w:t>在加油作业区修理加油机是加油站火灾隐患之一，因为在加油机的拆卸过程中难免会洒出一些油品，修理过程中使用工具对零部件进行敲打，容易引起火花，遇到混合性爆炸气体，容易引起火灾爆炸事故。</w:t>
      </w:r>
    </w:p>
    <w:p w14:paraId="1B87D074" w14:textId="77777777" w:rsidR="00EF4562" w:rsidRDefault="00000000">
      <w:pPr>
        <w:ind w:firstLine="560"/>
        <w:rPr>
          <w:rFonts w:cs="Times New Roman"/>
        </w:rPr>
      </w:pPr>
      <w:r>
        <w:rPr>
          <w:rFonts w:cs="Times New Roman"/>
        </w:rPr>
        <w:t>2</w:t>
      </w:r>
      <w:r>
        <w:rPr>
          <w:rFonts w:cs="Times New Roman"/>
        </w:rPr>
        <w:t>）</w:t>
      </w:r>
      <w:r>
        <w:rPr>
          <w:rFonts w:cs="Times New Roman" w:hint="eastAsia"/>
        </w:rPr>
        <w:t>进行管道施工时，违反动火作业制度，例如动火作业未有专人监护，作业前未清除动火现场及周围的易燃物品或采取其他有效安全防火措施，未配备消防器材；进行拆除管线进行动火作业时，未根据所要拆除管线的情况制定安全防护措施；动火点周围有可燃物、孔洞、地沟、水封设施、污水井等，未进行检查分析并采取清理或封盖等措施；在管道上进行动火作业时，未进行风险分析并采取有效的防范措施、未在动火点</w:t>
      </w:r>
      <w:r>
        <w:rPr>
          <w:rFonts w:cs="Times New Roman" w:hint="eastAsia"/>
        </w:rPr>
        <w:t>10m</w:t>
      </w:r>
      <w:r>
        <w:rPr>
          <w:rFonts w:cs="Times New Roman" w:hint="eastAsia"/>
        </w:rPr>
        <w:t>范围内进行气体分析，或未检测管道内气体含量；在管道外环境动火时，未在动火点</w:t>
      </w:r>
      <w:r>
        <w:rPr>
          <w:rFonts w:cs="Times New Roman" w:hint="eastAsia"/>
        </w:rPr>
        <w:t>10m</w:t>
      </w:r>
      <w:r>
        <w:rPr>
          <w:rFonts w:cs="Times New Roman" w:hint="eastAsia"/>
        </w:rPr>
        <w:t>范围内进行气体分析；气体分析取样时间与动火作业开始时间间隔超过</w:t>
      </w:r>
      <w:r>
        <w:rPr>
          <w:rFonts w:cs="Times New Roman" w:hint="eastAsia"/>
        </w:rPr>
        <w:t>30min</w:t>
      </w:r>
      <w:r>
        <w:rPr>
          <w:rFonts w:cs="Times New Roman" w:hint="eastAsia"/>
        </w:rPr>
        <w:t>等容易产生火灾爆炸事故。</w:t>
      </w:r>
    </w:p>
    <w:p w14:paraId="4454A41E" w14:textId="77777777" w:rsidR="00EF4562" w:rsidRDefault="00000000">
      <w:pPr>
        <w:ind w:firstLine="560"/>
        <w:rPr>
          <w:rFonts w:cs="Times New Roman"/>
        </w:rPr>
      </w:pPr>
      <w:r>
        <w:rPr>
          <w:rFonts w:cs="Times New Roman" w:hint="eastAsia"/>
        </w:rPr>
        <w:t>（</w:t>
      </w:r>
      <w:r>
        <w:rPr>
          <w:rFonts w:cs="Times New Roman" w:hint="eastAsia"/>
        </w:rPr>
        <w:t>4</w:t>
      </w:r>
      <w:r>
        <w:rPr>
          <w:rFonts w:cs="Times New Roman" w:hint="eastAsia"/>
        </w:rPr>
        <w:t>）加气部分</w:t>
      </w:r>
    </w:p>
    <w:p w14:paraId="7E28F2A7" w14:textId="77777777" w:rsidR="00EF4562" w:rsidRDefault="00000000">
      <w:pPr>
        <w:ind w:firstLine="560"/>
        <w:rPr>
          <w:rFonts w:cs="Times New Roman"/>
        </w:rPr>
      </w:pPr>
      <w:r>
        <w:rPr>
          <w:rFonts w:cs="Times New Roman" w:hint="eastAsia"/>
        </w:rPr>
        <w:t>该站为加油与</w:t>
      </w:r>
      <w:r>
        <w:rPr>
          <w:rFonts w:cs="Times New Roman" w:hint="eastAsia"/>
        </w:rPr>
        <w:t>LNG</w:t>
      </w:r>
      <w:r>
        <w:rPr>
          <w:rFonts w:cs="Times New Roman" w:hint="eastAsia"/>
        </w:rPr>
        <w:t>加气合建站，若</w:t>
      </w:r>
      <w:r>
        <w:rPr>
          <w:rFonts w:cs="Times New Roman" w:hint="eastAsia"/>
        </w:rPr>
        <w:t>LNG</w:t>
      </w:r>
      <w:r>
        <w:rPr>
          <w:rFonts w:cs="Times New Roman" w:hint="eastAsia"/>
        </w:rPr>
        <w:t>储罐、加气机、管道焊缝、阀门、法兰盘等加气设备、设施故障、损坏或人员误操作等原因，可能造成天然气泄漏，从而引发火灾、爆炸事故。</w:t>
      </w:r>
    </w:p>
    <w:p w14:paraId="03F1F61F" w14:textId="77777777" w:rsidR="00EF4562" w:rsidRDefault="00000000">
      <w:pPr>
        <w:ind w:firstLine="560"/>
        <w:rPr>
          <w:rFonts w:cs="Times New Roman"/>
        </w:rPr>
      </w:pPr>
      <w:r>
        <w:rPr>
          <w:rFonts w:cs="Times New Roman" w:hint="eastAsia"/>
        </w:rPr>
        <w:t>1</w:t>
      </w:r>
      <w:r>
        <w:rPr>
          <w:rFonts w:cs="Times New Roman" w:hint="eastAsia"/>
        </w:rPr>
        <w:t>）天然气的爆炸极限较宽，爆炸下限较低。泄漏到空气中能形成爆炸性混合物，遇明火、高热极易燃烧爆炸，燃烧分解产物为</w:t>
      </w:r>
      <w:r>
        <w:rPr>
          <w:rFonts w:cs="Times New Roman" w:hint="eastAsia"/>
        </w:rPr>
        <w:t>CO</w:t>
      </w:r>
      <w:r>
        <w:rPr>
          <w:rFonts w:cs="Times New Roman" w:hint="eastAsia"/>
        </w:rPr>
        <w:t>、</w:t>
      </w:r>
      <w:r>
        <w:rPr>
          <w:rFonts w:cs="Times New Roman" w:hint="eastAsia"/>
        </w:rPr>
        <w:t>CO</w:t>
      </w:r>
      <w:r>
        <w:rPr>
          <w:rFonts w:cs="Times New Roman" w:hint="eastAsia"/>
          <w:vertAlign w:val="subscript"/>
        </w:rPr>
        <w:t>2</w:t>
      </w:r>
      <w:r>
        <w:rPr>
          <w:rFonts w:cs="Times New Roman" w:hint="eastAsia"/>
        </w:rPr>
        <w:t>，在贮存过</w:t>
      </w:r>
      <w:r>
        <w:rPr>
          <w:rFonts w:cs="Times New Roman" w:hint="eastAsia"/>
        </w:rPr>
        <w:lastRenderedPageBreak/>
        <w:t>程中，若遇高热，容器内压增大，有开裂和爆炸的危险，天然气与空气组成气体混合物，其中天然气的体积占总体积的</w:t>
      </w:r>
      <w:r>
        <w:rPr>
          <w:rFonts w:cs="Times New Roman" w:hint="eastAsia"/>
        </w:rPr>
        <w:t>15%</w:t>
      </w:r>
      <w:r>
        <w:rPr>
          <w:rFonts w:cs="Times New Roman" w:hint="eastAsia"/>
        </w:rPr>
        <w:t>以上时，遇点火源也能着火正常燃烧，若在空间中天然气占</w:t>
      </w:r>
      <w:r>
        <w:rPr>
          <w:rFonts w:cs="Times New Roman" w:hint="eastAsia"/>
        </w:rPr>
        <w:t>5</w:t>
      </w:r>
      <w:r>
        <w:rPr>
          <w:rFonts w:cs="Times New Roman" w:hint="eastAsia"/>
        </w:rPr>
        <w:t>～</w:t>
      </w:r>
      <w:r>
        <w:rPr>
          <w:rFonts w:cs="Times New Roman" w:hint="eastAsia"/>
        </w:rPr>
        <w:t>16%</w:t>
      </w:r>
      <w:r>
        <w:rPr>
          <w:rFonts w:cs="Times New Roman" w:hint="eastAsia"/>
        </w:rPr>
        <w:t>时点火即爆炸，天然气的燃烧与爆炸是同一个序列的化学过程，但是在反应强度上爆炸比燃烧更为剧烈，天然气的爆炸是在一瞬间（数千分之一秒）产生高压、高温（</w:t>
      </w:r>
      <w:r>
        <w:rPr>
          <w:rFonts w:cs="Times New Roman" w:hint="eastAsia"/>
        </w:rPr>
        <w:t>2000</w:t>
      </w:r>
      <w:r>
        <w:rPr>
          <w:rFonts w:cs="Times New Roman" w:hint="eastAsia"/>
        </w:rPr>
        <w:t>～</w:t>
      </w:r>
      <w:r>
        <w:rPr>
          <w:rFonts w:cs="Times New Roman" w:hint="eastAsia"/>
        </w:rPr>
        <w:t>3000</w:t>
      </w:r>
      <w:r>
        <w:rPr>
          <w:rFonts w:cs="Times New Roman" w:hint="eastAsia"/>
        </w:rPr>
        <w:t>℃）的燃烧过程，爆炸波速可达</w:t>
      </w:r>
      <w:r>
        <w:rPr>
          <w:rFonts w:cs="Times New Roman" w:hint="eastAsia"/>
        </w:rPr>
        <w:t>3000m/s</w:t>
      </w:r>
      <w:r>
        <w:rPr>
          <w:rFonts w:cs="Times New Roman" w:hint="eastAsia"/>
        </w:rPr>
        <w:t>，造成很大破坏力。</w:t>
      </w:r>
    </w:p>
    <w:p w14:paraId="747BA3B4" w14:textId="77777777" w:rsidR="00EF4562" w:rsidRDefault="00000000">
      <w:pPr>
        <w:ind w:firstLine="560"/>
        <w:rPr>
          <w:rFonts w:cs="Times New Roman"/>
        </w:rPr>
      </w:pPr>
      <w:r>
        <w:rPr>
          <w:rFonts w:cs="Times New Roman" w:hint="eastAsia"/>
        </w:rPr>
        <w:t>2</w:t>
      </w:r>
      <w:r>
        <w:rPr>
          <w:rFonts w:cs="Times New Roman" w:hint="eastAsia"/>
        </w:rPr>
        <w:t>）天然气可能引发火灾、爆炸的危险分析如下：</w:t>
      </w:r>
    </w:p>
    <w:p w14:paraId="4644232E" w14:textId="77777777" w:rsidR="00EF4562" w:rsidRDefault="00000000">
      <w:pPr>
        <w:ind w:firstLine="560"/>
        <w:rPr>
          <w:rFonts w:cs="Times New Roman"/>
        </w:rPr>
      </w:pPr>
      <w:r>
        <w:rPr>
          <w:rFonts w:ascii="宋体" w:hAnsi="宋体" w:cs="Times New Roman" w:hint="eastAsia"/>
        </w:rPr>
        <w:t>①</w:t>
      </w:r>
      <w:r>
        <w:rPr>
          <w:rFonts w:cs="Times New Roman" w:hint="eastAsia"/>
        </w:rPr>
        <w:t>由于工艺过程处于压力状态，相关设备容易发生泄漏，天然气外泄可能发生的地点很多，加气机、</w:t>
      </w:r>
      <w:r>
        <w:rPr>
          <w:rFonts w:cs="Times New Roman" w:hint="eastAsia"/>
        </w:rPr>
        <w:t>LNG</w:t>
      </w:r>
      <w:r>
        <w:rPr>
          <w:rFonts w:cs="Times New Roman" w:hint="eastAsia"/>
        </w:rPr>
        <w:t>储罐、管道焊缝、阀门、法兰盘等处都有可能发生泄漏，泄漏气体一旦遇引火源，就会发生火灾和爆炸。</w:t>
      </w:r>
    </w:p>
    <w:p w14:paraId="3F06800A" w14:textId="77777777" w:rsidR="00EF4562" w:rsidRDefault="00000000">
      <w:pPr>
        <w:ind w:firstLine="560"/>
        <w:rPr>
          <w:rFonts w:cs="Times New Roman"/>
        </w:rPr>
      </w:pPr>
      <w:r>
        <w:rPr>
          <w:rFonts w:ascii="宋体" w:hAnsi="宋体" w:cs="Times New Roman" w:hint="eastAsia"/>
        </w:rPr>
        <w:t>②</w:t>
      </w:r>
      <w:r>
        <w:rPr>
          <w:rFonts w:cs="Times New Roman" w:hint="eastAsia"/>
        </w:rPr>
        <w:t>加气过程中由于操作人员操作不当、误操作或违章操作，极易导致加气过程中天然气泄漏，易产生静电，产生静电火花，或因天然气流速过快造成静电堆积、加气车辆存在安全隐患等，导致天然气发生燃烧爆炸事故。</w:t>
      </w:r>
    </w:p>
    <w:p w14:paraId="776AE1C9" w14:textId="77777777" w:rsidR="00EF4562" w:rsidRDefault="00000000">
      <w:pPr>
        <w:ind w:firstLine="560"/>
        <w:rPr>
          <w:rFonts w:cs="Times New Roman"/>
        </w:rPr>
      </w:pPr>
      <w:r>
        <w:rPr>
          <w:rFonts w:ascii="宋体" w:hAnsi="宋体" w:cs="Times New Roman" w:hint="eastAsia"/>
        </w:rPr>
        <w:t>③</w:t>
      </w:r>
      <w:r>
        <w:rPr>
          <w:rFonts w:cs="Times New Roman" w:hint="eastAsia"/>
        </w:rPr>
        <w:t>人为带入的烟火、打火机火焰等明火点，手机电磁火花，穿钉鞋摩擦、撞击火花，化纤服装穿脱产生的静电火花，天然气由泄漏处喷出产生的静电火花，雷击等均可成为火灾的点火源。</w:t>
      </w:r>
    </w:p>
    <w:p w14:paraId="5A64DA46" w14:textId="77777777" w:rsidR="00EF4562" w:rsidRDefault="00000000">
      <w:pPr>
        <w:ind w:firstLine="560"/>
        <w:rPr>
          <w:rFonts w:cs="Times New Roman"/>
        </w:rPr>
      </w:pPr>
      <w:r>
        <w:rPr>
          <w:rFonts w:ascii="宋体" w:hAnsi="宋体" w:cs="Times New Roman" w:hint="eastAsia"/>
        </w:rPr>
        <w:t>④</w:t>
      </w:r>
      <w:r>
        <w:rPr>
          <w:rFonts w:cs="Times New Roman" w:hint="eastAsia"/>
        </w:rPr>
        <w:t>如加气机的进气管道上未设置防撞事故自动切断阀，进站加气车辆如与加气机发生碰撞，极易使天然气发生泄漏，遇火源引发火灾、爆炸事故。</w:t>
      </w:r>
    </w:p>
    <w:p w14:paraId="6A168BD0" w14:textId="77777777" w:rsidR="00EF4562" w:rsidRDefault="00000000">
      <w:pPr>
        <w:ind w:firstLine="560"/>
        <w:rPr>
          <w:rFonts w:cs="Times New Roman"/>
        </w:rPr>
      </w:pPr>
      <w:r>
        <w:rPr>
          <w:rFonts w:ascii="宋体" w:hAnsi="宋体" w:cs="Times New Roman" w:hint="eastAsia"/>
        </w:rPr>
        <w:t>⑤</w:t>
      </w:r>
      <w:r>
        <w:rPr>
          <w:rFonts w:cs="Times New Roman" w:hint="eastAsia"/>
        </w:rPr>
        <w:t>容器或管道在维修过程中还有部分天然气余气，一旦在此处进行动火操作，也会发生容易或管道的爆炸。</w:t>
      </w:r>
    </w:p>
    <w:p w14:paraId="7DFEA956" w14:textId="77777777" w:rsidR="00EF4562" w:rsidRDefault="00000000">
      <w:pPr>
        <w:ind w:firstLine="560"/>
        <w:rPr>
          <w:rFonts w:cs="Times New Roman"/>
        </w:rPr>
      </w:pPr>
      <w:r>
        <w:rPr>
          <w:rFonts w:ascii="宋体" w:hAnsi="宋体" w:cs="Times New Roman" w:hint="eastAsia"/>
        </w:rPr>
        <w:t>⑥</w:t>
      </w:r>
      <w:r>
        <w:rPr>
          <w:rFonts w:cs="Times New Roman" w:hint="eastAsia"/>
        </w:rPr>
        <w:t>安全阀、紧急切断阀失灵。</w:t>
      </w:r>
    </w:p>
    <w:p w14:paraId="2DB35555" w14:textId="77777777" w:rsidR="00EF4562" w:rsidRDefault="00000000">
      <w:pPr>
        <w:ind w:firstLine="560"/>
        <w:rPr>
          <w:rFonts w:cs="Times New Roman"/>
        </w:rPr>
      </w:pPr>
      <w:r>
        <w:rPr>
          <w:rFonts w:ascii="宋体" w:hAnsi="宋体" w:cs="Times New Roman" w:hint="eastAsia"/>
        </w:rPr>
        <w:t>⑦</w:t>
      </w:r>
      <w:r>
        <w:rPr>
          <w:rFonts w:cs="Times New Roman" w:hint="eastAsia"/>
        </w:rPr>
        <w:t>站内各种电气设备、输配电线路、电气元件等由于过流、过载或出现故障时，可能引起火灾事故；电缆因绝缘不良可能引起火灾；电缆的外皮是一种可燃物，其在生产过程中受潮，接触不良，过负荷和短路等都可能引发火灾；任何电气方面的不安全因素都会引发火灾事故，对人员和企业造成重大伤害和损失。</w:t>
      </w:r>
    </w:p>
    <w:p w14:paraId="53DD78EA" w14:textId="77777777" w:rsidR="00EF4562" w:rsidRDefault="00000000">
      <w:pPr>
        <w:ind w:firstLine="560"/>
        <w:rPr>
          <w:rFonts w:cs="Times New Roman"/>
        </w:rPr>
      </w:pPr>
      <w:r>
        <w:rPr>
          <w:rFonts w:ascii="宋体" w:hAnsi="宋体" w:cs="Times New Roman" w:hint="eastAsia"/>
        </w:rPr>
        <w:lastRenderedPageBreak/>
        <w:t>⑧</w:t>
      </w:r>
      <w:r>
        <w:rPr>
          <w:rFonts w:cs="Times New Roman" w:hint="eastAsia"/>
        </w:rPr>
        <w:t>天然气管线若出现缺陷（腐蚀穿孔等），或由于管理不善，导致管线受到破坏，导致天然气泄漏，遇明火、火花等均有可能导致火灾爆炸事故。垫片在交变温度、高压下会迅速老化，无法很好的随法兰螺栓的伸缩变化，造成法兰密封不严而导致天然气泄漏，遇明火、火花等则可能导致火灾爆炸事故。</w:t>
      </w:r>
    </w:p>
    <w:p w14:paraId="72749D72" w14:textId="77777777" w:rsidR="00EF4562" w:rsidRDefault="00000000">
      <w:pPr>
        <w:ind w:firstLine="560"/>
        <w:rPr>
          <w:rFonts w:cs="Times New Roman"/>
        </w:rPr>
      </w:pPr>
      <w:r>
        <w:rPr>
          <w:rFonts w:ascii="宋体" w:hAnsi="宋体" w:cs="Times New Roman" w:hint="eastAsia"/>
        </w:rPr>
        <w:t>⑨</w:t>
      </w:r>
      <w:r>
        <w:rPr>
          <w:rFonts w:cs="Times New Roman" w:hint="eastAsia"/>
        </w:rPr>
        <w:t>检修过程中，如若设备、管道中残留有天然气，在检修过程中动用明火等点火源，在拆卸法兰、垫片等过程中天然气泄漏，并达到爆炸极限，遇点火源有可能发生火灾爆炸事故。</w:t>
      </w:r>
    </w:p>
    <w:p w14:paraId="7EC90297" w14:textId="77777777" w:rsidR="00EF4562" w:rsidRDefault="00000000">
      <w:pPr>
        <w:ind w:firstLine="560"/>
        <w:rPr>
          <w:rFonts w:cs="Times New Roman"/>
        </w:rPr>
      </w:pPr>
      <w:r>
        <w:rPr>
          <w:rFonts w:ascii="宋体" w:hAnsi="宋体" w:cs="Times New Roman" w:hint="eastAsia"/>
        </w:rPr>
        <w:t>⑩</w:t>
      </w:r>
      <w:r>
        <w:rPr>
          <w:rFonts w:cs="Times New Roman" w:hint="eastAsia"/>
        </w:rPr>
        <w:t>因长期运转使材料疲劳致强度降低，检修更换不及时等也能导致泄漏，容易发生爆炸。该项目运营过程中，如果违章操作或操作失误等使系统超温、超压，能导致储罐以及其他管线发生开裂、爆炸。</w:t>
      </w:r>
    </w:p>
    <w:p w14:paraId="00755584" w14:textId="77777777" w:rsidR="00EF4562" w:rsidRDefault="00000000">
      <w:pPr>
        <w:ind w:firstLine="560"/>
        <w:rPr>
          <w:rFonts w:cs="Times New Roman"/>
        </w:rPr>
      </w:pPr>
      <w:r>
        <w:rPr>
          <w:rFonts w:ascii="Cambria Math" w:hAnsi="Cambria Math" w:cs="Times New Roman"/>
        </w:rPr>
        <w:t>⑪</w:t>
      </w:r>
      <w:r>
        <w:rPr>
          <w:rFonts w:ascii="宋体" w:hAnsi="宋体" w:cs="宋体" w:hint="eastAsia"/>
        </w:rPr>
        <w:t>如果天然气脱水干燥度不达标，天然气中的高露点可凝组分，如水、重烃等就有可能从气体中析出，并继而凝结成固体，堵塞加气枪、管路，发生冰堵后，被送出的气体就会堵塞在管路中超压，引起严重的管路和设备损坏，造成天然气泄漏甚至爆炸事故。</w:t>
      </w:r>
    </w:p>
    <w:p w14:paraId="305E69C4" w14:textId="77777777" w:rsidR="00EF4562" w:rsidRDefault="00000000">
      <w:pPr>
        <w:ind w:firstLine="560"/>
        <w:rPr>
          <w:rFonts w:cs="Times New Roman"/>
        </w:rPr>
      </w:pPr>
      <w:r>
        <w:rPr>
          <w:rFonts w:ascii="Cambria Math" w:hAnsi="Cambria Math" w:cs="Cambria Math"/>
        </w:rPr>
        <w:t>⑫</w:t>
      </w:r>
      <w:r>
        <w:rPr>
          <w:rFonts w:ascii="宋体" w:hAnsi="宋体" w:cs="宋体" w:hint="eastAsia"/>
        </w:rPr>
        <w:t>未使用防爆电器，天然气泄漏后遇火花引起火灾、爆炸。</w:t>
      </w:r>
    </w:p>
    <w:p w14:paraId="310C629D" w14:textId="77777777" w:rsidR="00EF4562" w:rsidRDefault="00000000">
      <w:pPr>
        <w:ind w:firstLine="560"/>
        <w:rPr>
          <w:rFonts w:ascii="宋体" w:hAnsi="宋体" w:cs="宋体" w:hint="eastAsia"/>
        </w:rPr>
      </w:pPr>
      <w:r>
        <w:rPr>
          <w:rFonts w:ascii="Cambria Math" w:hAnsi="Cambria Math" w:cs="Cambria Math"/>
        </w:rPr>
        <w:t>⑬</w:t>
      </w:r>
      <w:r>
        <w:rPr>
          <w:rFonts w:ascii="宋体" w:hAnsi="宋体" w:cs="宋体" w:hint="eastAsia"/>
        </w:rPr>
        <w:t>压力管道内气体超压，引发爆炸危险。</w:t>
      </w:r>
    </w:p>
    <w:p w14:paraId="43300148" w14:textId="77777777" w:rsidR="00EF4562" w:rsidRDefault="00000000">
      <w:pPr>
        <w:ind w:firstLine="560"/>
        <w:rPr>
          <w:rFonts w:cs="Times New Roman"/>
        </w:rPr>
      </w:pPr>
      <w:r>
        <w:rPr>
          <w:rFonts w:cs="Times New Roman" w:hint="eastAsia"/>
        </w:rPr>
        <w:t>3</w:t>
      </w:r>
      <w:r>
        <w:rPr>
          <w:rFonts w:cs="Times New Roman" w:hint="eastAsia"/>
        </w:rPr>
        <w:t>）压力管道和压力容器火灾、爆炸危险性分析</w:t>
      </w:r>
    </w:p>
    <w:p w14:paraId="23ADF9FE" w14:textId="77777777" w:rsidR="00EF4562" w:rsidRDefault="00000000">
      <w:pPr>
        <w:ind w:firstLine="560"/>
        <w:rPr>
          <w:rFonts w:cs="Times New Roman"/>
        </w:rPr>
      </w:pPr>
      <w:r>
        <w:rPr>
          <w:rFonts w:cs="Times New Roman" w:hint="eastAsia"/>
        </w:rPr>
        <w:t>LNG</w:t>
      </w:r>
      <w:r>
        <w:rPr>
          <w:rFonts w:cs="Times New Roman" w:hint="eastAsia"/>
        </w:rPr>
        <w:t>储罐为密闭压力容器，在使用过程中可能由于安全附件失效，如安全阀起跳、液位计失效、压力表失灵，或过载运行，或由于金属材料疲劳、蠕变出现裂缝，发生储罐泄漏、阀门外漏、法兰面之间泄漏、罐体材质质量不合格、焊接质量较差而发生物理爆炸的危险。</w:t>
      </w:r>
    </w:p>
    <w:p w14:paraId="645C445C" w14:textId="77777777" w:rsidR="00EF4562" w:rsidRDefault="00000000">
      <w:pPr>
        <w:ind w:firstLine="560"/>
        <w:rPr>
          <w:rFonts w:cs="Times New Roman"/>
        </w:rPr>
      </w:pPr>
      <w:r>
        <w:rPr>
          <w:rFonts w:cs="Times New Roman" w:hint="eastAsia"/>
        </w:rPr>
        <w:t>由于</w:t>
      </w:r>
      <w:r>
        <w:rPr>
          <w:rFonts w:cs="Times New Roman" w:hint="eastAsia"/>
        </w:rPr>
        <w:t>LNG</w:t>
      </w:r>
      <w:r>
        <w:rPr>
          <w:rFonts w:cs="Times New Roman" w:hint="eastAsia"/>
        </w:rPr>
        <w:t>的膨胀系数很大，一般充装系数不超过</w:t>
      </w:r>
      <w:r>
        <w:rPr>
          <w:rFonts w:cs="Times New Roman" w:hint="eastAsia"/>
        </w:rPr>
        <w:t>0.8</w:t>
      </w:r>
      <w:r>
        <w:rPr>
          <w:rFonts w:cs="Times New Roman" w:hint="eastAsia"/>
        </w:rPr>
        <w:t>，一旦完全装满液体，没有气相空间，温度每升高</w:t>
      </w:r>
      <w:r>
        <w:rPr>
          <w:rFonts w:cs="Times New Roman" w:hint="eastAsia"/>
        </w:rPr>
        <w:t>1</w:t>
      </w:r>
      <w:r>
        <w:rPr>
          <w:rFonts w:cs="Times New Roman"/>
        </w:rPr>
        <w:t>℃</w:t>
      </w:r>
      <w:r>
        <w:rPr>
          <w:rFonts w:cs="Times New Roman" w:hint="eastAsia"/>
        </w:rPr>
        <w:t>，压力就会上升</w:t>
      </w:r>
      <w:r>
        <w:rPr>
          <w:rFonts w:cs="Times New Roman" w:hint="eastAsia"/>
        </w:rPr>
        <w:t>2</w:t>
      </w:r>
      <w:r>
        <w:rPr>
          <w:rFonts w:cs="Times New Roman" w:hint="eastAsia"/>
        </w:rPr>
        <w:t>～</w:t>
      </w:r>
      <w:r>
        <w:rPr>
          <w:rFonts w:cs="Times New Roman" w:hint="eastAsia"/>
        </w:rPr>
        <w:t>3MPa</w:t>
      </w:r>
      <w:r>
        <w:rPr>
          <w:rFonts w:cs="Times New Roman" w:hint="eastAsia"/>
        </w:rPr>
        <w:t>迅速达到容器的爆破压力，使罐体破裂，当承压设备爆炸时，内部的介质卸压膨胀，瞬时释放出较大的能量，这些能量除了可以将整个容器或其碎块以很高的速度抛</w:t>
      </w:r>
      <w:r>
        <w:rPr>
          <w:rFonts w:cs="Times New Roman" w:hint="eastAsia"/>
        </w:rPr>
        <w:lastRenderedPageBreak/>
        <w:t>散外，还会产生冲击波在大气中传播，从而造成更大的破坏。而装有可燃气体的压力容器，发生物理爆炸时，还会由于可燃气体的大量泄漏，而引发二次火灾及爆炸事故发生。影响承压设备发生事故的因素是多方面的，从技术角度分析，其主要原因有：</w:t>
      </w:r>
    </w:p>
    <w:p w14:paraId="42B77B60" w14:textId="77777777" w:rsidR="00EF4562" w:rsidRDefault="00000000">
      <w:pPr>
        <w:ind w:firstLine="560"/>
        <w:rPr>
          <w:rFonts w:cs="Times New Roman"/>
        </w:rPr>
      </w:pPr>
      <w:r>
        <w:rPr>
          <w:rFonts w:ascii="宋体" w:hAnsi="宋体" w:cs="Times New Roman" w:hint="eastAsia"/>
        </w:rPr>
        <w:t>①</w:t>
      </w:r>
      <w:r>
        <w:rPr>
          <w:rFonts w:cs="Times New Roman" w:hint="eastAsia"/>
        </w:rPr>
        <w:t>与设备本身的特性有关，压力容器结构一般比较简单，但受力情况一般比较复杂，既有一次应力又有二次应力，还有峰值、温度受力和残余应力等：此外还受到循环应力作用，产生低周期疲劳。</w:t>
      </w:r>
    </w:p>
    <w:p w14:paraId="1404F8AE" w14:textId="77777777" w:rsidR="00EF4562" w:rsidRDefault="00000000">
      <w:pPr>
        <w:ind w:firstLine="560"/>
        <w:rPr>
          <w:rFonts w:cs="Times New Roman"/>
        </w:rPr>
      </w:pPr>
      <w:r>
        <w:rPr>
          <w:rFonts w:ascii="宋体" w:hAnsi="宋体" w:cs="Times New Roman" w:hint="eastAsia"/>
        </w:rPr>
        <w:t>②</w:t>
      </w:r>
      <w:r>
        <w:rPr>
          <w:rFonts w:cs="Times New Roman" w:hint="eastAsia"/>
        </w:rPr>
        <w:t>工作条件多变，如操作压力波动大，制造或安装过程留下的任何微小缺陷，都可能迅速扩展而酿成事故。</w:t>
      </w:r>
    </w:p>
    <w:p w14:paraId="1DC4E6C8" w14:textId="77777777" w:rsidR="00EF4562" w:rsidRDefault="00000000">
      <w:pPr>
        <w:ind w:firstLine="560"/>
        <w:rPr>
          <w:rFonts w:cs="Times New Roman"/>
        </w:rPr>
      </w:pPr>
      <w:r>
        <w:rPr>
          <w:rFonts w:ascii="宋体" w:hAnsi="宋体" w:cs="Times New Roman" w:hint="eastAsia"/>
        </w:rPr>
        <w:t>③</w:t>
      </w:r>
      <w:r>
        <w:rPr>
          <w:rFonts w:cs="Times New Roman" w:hint="eastAsia"/>
        </w:rPr>
        <w:t>易受化学反应突变、仪表失灵影响而发生超载，设备一旦超载，且安全装置有故障或失效，就可能酿成事故。</w:t>
      </w:r>
    </w:p>
    <w:p w14:paraId="25D649A5" w14:textId="77777777" w:rsidR="00EF4562" w:rsidRDefault="00000000">
      <w:pPr>
        <w:ind w:firstLine="560"/>
        <w:rPr>
          <w:rFonts w:cs="Times New Roman"/>
        </w:rPr>
      </w:pPr>
      <w:r>
        <w:rPr>
          <w:rFonts w:ascii="宋体" w:hAnsi="宋体" w:cs="Times New Roman" w:hint="eastAsia"/>
        </w:rPr>
        <w:t>④</w:t>
      </w:r>
      <w:r>
        <w:rPr>
          <w:rFonts w:cs="Times New Roman" w:hint="eastAsia"/>
        </w:rPr>
        <w:t>易受工作介质的腐蚀使器壁由厚变薄和使材料变形，酿成事故。</w:t>
      </w:r>
    </w:p>
    <w:p w14:paraId="28D40141" w14:textId="77777777" w:rsidR="00EF4562" w:rsidRDefault="00000000">
      <w:pPr>
        <w:ind w:firstLine="560"/>
        <w:rPr>
          <w:rFonts w:cs="Times New Roman"/>
        </w:rPr>
      </w:pPr>
      <w:r>
        <w:rPr>
          <w:rFonts w:cs="Times New Roman" w:hint="eastAsia"/>
        </w:rPr>
        <w:t>LNG</w:t>
      </w:r>
      <w:r>
        <w:rPr>
          <w:rFonts w:cs="Times New Roman" w:hint="eastAsia"/>
        </w:rPr>
        <w:t>储罐随温度的降低，其罐壁材料由韧性向脆性转变，若发生脆性断裂，可能会引发容器爆炸事故。</w:t>
      </w:r>
    </w:p>
    <w:p w14:paraId="6840EAEF" w14:textId="77777777" w:rsidR="00EF4562" w:rsidRDefault="00000000">
      <w:pPr>
        <w:ind w:firstLine="560"/>
        <w:rPr>
          <w:rFonts w:cs="Times New Roman"/>
        </w:rPr>
      </w:pPr>
      <w:r>
        <w:rPr>
          <w:rFonts w:cs="Times New Roman" w:hint="eastAsia"/>
        </w:rPr>
        <w:t>在储罐检修时，如未按操作规程进行残液处理，在残液未处理干净时就进行气密试验等操作，可能造成爆炸。</w:t>
      </w:r>
    </w:p>
    <w:p w14:paraId="1D81C83D" w14:textId="77777777" w:rsidR="00EF4562" w:rsidRDefault="00000000">
      <w:pPr>
        <w:ind w:firstLine="560"/>
        <w:rPr>
          <w:rFonts w:cs="Times New Roman"/>
        </w:rPr>
      </w:pPr>
      <w:r>
        <w:rPr>
          <w:rFonts w:cs="Times New Roman" w:hint="eastAsia"/>
        </w:rPr>
        <w:t>加气站设有压力管道，压力管道事故的原因主要集中在压力管道设计失误、焊缝缺陷、材料缺陷、阀体和法兰缺陷，施工安装质量差、安全距离不足、操作人员安全意识和安全知识缺乏、违章操作及腐蚀等方面。</w:t>
      </w:r>
    </w:p>
    <w:p w14:paraId="16EB97D7"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C.2.2</w:t>
      </w:r>
      <w:r>
        <w:rPr>
          <w:rFonts w:ascii="黑体" w:eastAsia="黑体" w:hAnsi="黑体" w:hint="eastAsia"/>
          <w:b/>
          <w:bCs/>
        </w:rPr>
        <w:t>中毒和窒息</w:t>
      </w:r>
    </w:p>
    <w:p w14:paraId="672CD81D" w14:textId="77777777" w:rsidR="00EF4562" w:rsidRDefault="00000000">
      <w:pPr>
        <w:ind w:firstLine="560"/>
      </w:pPr>
      <w:r>
        <w:rPr>
          <w:rFonts w:hint="eastAsia"/>
        </w:rPr>
        <w:t>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E6BB58A" w14:textId="77777777" w:rsidR="00EF4562" w:rsidRDefault="00000000">
      <w:pPr>
        <w:ind w:firstLine="560"/>
      </w:pPr>
      <w:bookmarkStart w:id="82" w:name="_Hlk182929729"/>
      <w:r>
        <w:rPr>
          <w:rFonts w:hint="eastAsia"/>
        </w:rPr>
        <w:t>若不慎发生火灾事故，引发车用乙醇汽油、柴油燃烧会产生</w:t>
      </w:r>
      <w:r>
        <w:rPr>
          <w:rFonts w:hint="eastAsia"/>
        </w:rPr>
        <w:t>CO</w:t>
      </w:r>
      <w:r>
        <w:rPr>
          <w:rFonts w:hint="eastAsia"/>
        </w:rPr>
        <w:t>、</w:t>
      </w:r>
      <w:r>
        <w:rPr>
          <w:rFonts w:hint="eastAsia"/>
        </w:rPr>
        <w:t>CO</w:t>
      </w:r>
      <w:r>
        <w:rPr>
          <w:rFonts w:hint="eastAsia"/>
          <w:vertAlign w:val="subscript"/>
        </w:rPr>
        <w:t>2</w:t>
      </w:r>
      <w:r>
        <w:rPr>
          <w:rFonts w:hint="eastAsia"/>
        </w:rPr>
        <w:t>有</w:t>
      </w:r>
      <w:r>
        <w:rPr>
          <w:rFonts w:hint="eastAsia"/>
        </w:rPr>
        <w:lastRenderedPageBreak/>
        <w:t>毒气体，造成人员中毒窒息。</w:t>
      </w:r>
    </w:p>
    <w:p w14:paraId="45204347" w14:textId="77777777" w:rsidR="00EF4562" w:rsidRDefault="00000000">
      <w:pPr>
        <w:ind w:firstLine="560"/>
      </w:pPr>
      <w:r>
        <w:rPr>
          <w:rFonts w:hint="eastAsia"/>
        </w:rPr>
        <w:t>该站为加油与</w:t>
      </w:r>
      <w:r>
        <w:rPr>
          <w:rFonts w:hint="eastAsia"/>
        </w:rPr>
        <w:t>LNG</w:t>
      </w:r>
      <w:r>
        <w:rPr>
          <w:rFonts w:hint="eastAsia"/>
        </w:rPr>
        <w:t>加气合建站，天然气毒性较低，但长期接触也具有一定的毒性。轻度中毒症状有头晕、头痛、恶心、呕吐、步态不稳、共济失调等症状。高浓度吸入出现中毒性脑病。极高浓度吸入引起意识突然丧失、反射性呼吸停止。可伴有中毒性周围神经病及化学性肺炎。皮肤接触致急性接触性皮炎，甚至灼伤。吞咽引起急性胃肠炎，重者出现类似急性吸入中毒症状，并可引起肝、肾损害。</w:t>
      </w:r>
    </w:p>
    <w:bookmarkEnd w:id="82"/>
    <w:p w14:paraId="01C1D3F6"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C.2.3</w:t>
      </w:r>
      <w:r>
        <w:rPr>
          <w:rFonts w:ascii="黑体" w:eastAsia="黑体" w:hAnsi="黑体" w:hint="eastAsia"/>
          <w:b/>
          <w:bCs/>
        </w:rPr>
        <w:t>触电</w:t>
      </w:r>
    </w:p>
    <w:p w14:paraId="03ED3DB1" w14:textId="77777777" w:rsidR="00EF4562" w:rsidRDefault="00000000">
      <w:pPr>
        <w:ind w:firstLine="560"/>
        <w:rPr>
          <w:rFonts w:cs="Times New Roman"/>
        </w:rPr>
      </w:pPr>
      <w:r>
        <w:rPr>
          <w:rFonts w:cs="Times New Roman" w:hint="eastAsia"/>
        </w:rPr>
        <w:t>（</w:t>
      </w:r>
      <w:r>
        <w:rPr>
          <w:rFonts w:cs="Times New Roman" w:hint="eastAsia"/>
        </w:rPr>
        <w:t>1</w:t>
      </w:r>
      <w:r>
        <w:rPr>
          <w:rFonts w:cs="Times New Roman" w:hint="eastAsia"/>
        </w:rPr>
        <w:t>）触电伤害</w:t>
      </w:r>
    </w:p>
    <w:p w14:paraId="3F64610E" w14:textId="77777777" w:rsidR="00EF4562" w:rsidRDefault="00000000">
      <w:pPr>
        <w:ind w:firstLine="560"/>
        <w:rPr>
          <w:rFonts w:cs="Times New Roman"/>
        </w:rPr>
      </w:pPr>
      <w:r>
        <w:rPr>
          <w:rFonts w:cs="Times New Roman" w:hint="eastAsia"/>
        </w:rPr>
        <w:t>电流对人体的伤害有两种类型：电击和电伤。电击通常是指电流通过人体内部所造成的伤害，主要影响呼吸、心脏和神经系统，对人体内部组织造成破坏甚至死亡。电伤是指电流通过人体外部组织所造成的伤害，包括电弧烧伤、熔化的金属微粒渗入皮肤等，它通常分为灼伤、烙伤和皮肤金属化三种。</w:t>
      </w:r>
    </w:p>
    <w:p w14:paraId="08EC37F0" w14:textId="77777777" w:rsidR="00EF4562" w:rsidRDefault="00000000">
      <w:pPr>
        <w:ind w:firstLine="560"/>
        <w:rPr>
          <w:rFonts w:cs="Times New Roman"/>
        </w:rPr>
      </w:pPr>
      <w:r>
        <w:rPr>
          <w:rFonts w:cs="Times New Roman" w:hint="eastAsia"/>
        </w:rPr>
        <w:t>通常绝大部分的触电事故都属于电击，而电击伤害的严重程度与通过人体电流的大小，持续时间、部位、电流频率有关。通过人体的电流强度越大，允许持续时间越短；通过人体的电流频率越高，对人体的危害性越小。</w:t>
      </w:r>
    </w:p>
    <w:p w14:paraId="692A9EEB" w14:textId="77777777" w:rsidR="00EF4562" w:rsidRDefault="00000000">
      <w:pPr>
        <w:ind w:firstLine="560"/>
        <w:rPr>
          <w:rFonts w:cs="Times New Roman"/>
        </w:rPr>
      </w:pPr>
      <w:r>
        <w:rPr>
          <w:rFonts w:cs="Times New Roman" w:hint="eastAsia"/>
        </w:rPr>
        <w:t>该项目用电系统的电气设备、线路和正常不带电的金属部件等，在异常情况下均有可能对人体造成电击和电伤。</w:t>
      </w:r>
    </w:p>
    <w:p w14:paraId="231F8812" w14:textId="77777777" w:rsidR="00EF4562" w:rsidRDefault="00000000">
      <w:pPr>
        <w:ind w:firstLine="560"/>
        <w:rPr>
          <w:rFonts w:cs="Times New Roman"/>
        </w:rPr>
      </w:pPr>
      <w:r>
        <w:rPr>
          <w:rFonts w:cs="Times New Roman" w:hint="eastAsia"/>
        </w:rPr>
        <w:t>（</w:t>
      </w:r>
      <w:r>
        <w:rPr>
          <w:rFonts w:cs="Times New Roman" w:hint="eastAsia"/>
        </w:rPr>
        <w:t>2</w:t>
      </w:r>
      <w:r>
        <w:rPr>
          <w:rFonts w:cs="Times New Roman" w:hint="eastAsia"/>
        </w:rPr>
        <w:t>）静电伤害</w:t>
      </w:r>
    </w:p>
    <w:p w14:paraId="0BB3E732" w14:textId="77777777" w:rsidR="00EF4562" w:rsidRDefault="00000000">
      <w:pPr>
        <w:ind w:firstLine="560"/>
        <w:rPr>
          <w:rFonts w:cs="Times New Roman"/>
        </w:rPr>
      </w:pPr>
      <w:r>
        <w:rPr>
          <w:rFonts w:cs="Times New Roman" w:hint="eastAsia"/>
        </w:rPr>
        <w:t>汽、柴油在流动、充装等过程中不断地进行相对运动、摩擦、碰撞，会产生静电、积聚静电荷。当静电荷积聚到一定的程度时就可能发生火花放电，从而可能引起爆炸和着火。因此应严格对金属管道、设备、构架的金属构件，进行等电位连接并接地。</w:t>
      </w:r>
    </w:p>
    <w:p w14:paraId="0FB915AD" w14:textId="77777777" w:rsidR="00EF4562" w:rsidRDefault="00000000">
      <w:pPr>
        <w:ind w:left="560" w:firstLineChars="0" w:firstLine="0"/>
        <w:rPr>
          <w:rFonts w:cs="Times New Roman"/>
        </w:rPr>
      </w:pPr>
      <w:r>
        <w:rPr>
          <w:rFonts w:cs="Times New Roman" w:hint="eastAsia"/>
        </w:rPr>
        <w:t>（</w:t>
      </w:r>
      <w:r>
        <w:rPr>
          <w:rFonts w:cs="Times New Roman" w:hint="eastAsia"/>
        </w:rPr>
        <w:t>3</w:t>
      </w:r>
      <w:r>
        <w:rPr>
          <w:rFonts w:cs="Times New Roman" w:hint="eastAsia"/>
        </w:rPr>
        <w:t>）雷电伤害</w:t>
      </w:r>
    </w:p>
    <w:p w14:paraId="4A813D47" w14:textId="77777777" w:rsidR="00EF4562" w:rsidRDefault="00000000">
      <w:pPr>
        <w:ind w:firstLine="560"/>
        <w:rPr>
          <w:rFonts w:cs="Times New Roman"/>
        </w:rPr>
      </w:pPr>
      <w:r>
        <w:rPr>
          <w:rFonts w:cs="Times New Roman" w:hint="eastAsia"/>
        </w:rPr>
        <w:lastRenderedPageBreak/>
        <w:t>加油站工艺设施等建（构）筑物在雷雨天气存在着被雷击的危险。由于雷电具有电流很大、电压很高、冲击性很强的特点，一旦被雷电击中，不但有可能损坏生产设备和设施，造成停电，而且还会导致火灾和爆炸，造成人员伤亡事故。</w:t>
      </w:r>
    </w:p>
    <w:p w14:paraId="5B18A5CE" w14:textId="77777777" w:rsidR="00EF4562" w:rsidRDefault="00000000">
      <w:pPr>
        <w:ind w:firstLine="560"/>
        <w:rPr>
          <w:rFonts w:cs="Times New Roman"/>
        </w:rPr>
      </w:pPr>
      <w:r>
        <w:rPr>
          <w:rFonts w:cs="Times New Roman" w:hint="eastAsia"/>
        </w:rPr>
        <w:t>雷电伤害的方式：直接雷击放电、二次放电、雷电流的热量可能引起爆炸和火灾；雷击的直接击中、跨步电压的作用及火灾爆炸的间接作用会造成人员伤亡；直接损坏建（构）筑物，导致电气设备击穿或烧毁；变压器、电力线路等遭受雷击，可导致大规模停电事故。</w:t>
      </w:r>
    </w:p>
    <w:p w14:paraId="5B9DC7F2" w14:textId="77777777" w:rsidR="00EF4562" w:rsidRDefault="00000000">
      <w:pPr>
        <w:ind w:firstLine="560"/>
        <w:rPr>
          <w:rFonts w:cs="Times New Roman"/>
        </w:rPr>
      </w:pPr>
      <w:r>
        <w:rPr>
          <w:rFonts w:cs="Times New Roman" w:hint="eastAsia"/>
        </w:rPr>
        <w:t>伤害的途径：由直击雷、雷蜗居感应、雷电波的电性质、热性质、机械性质的破坏作用引起。</w:t>
      </w:r>
    </w:p>
    <w:p w14:paraId="4F0C6F45" w14:textId="77777777" w:rsidR="00EF4562" w:rsidRDefault="00000000">
      <w:pPr>
        <w:ind w:firstLine="560"/>
        <w:rPr>
          <w:rFonts w:cs="Times New Roman"/>
        </w:rPr>
      </w:pPr>
      <w:r>
        <w:rPr>
          <w:rFonts w:cs="Times New Roman" w:hint="eastAsia"/>
        </w:rPr>
        <w:t>从雷电防护的角度分析，雷电危险因素的产生原因主要有：</w:t>
      </w:r>
    </w:p>
    <w:p w14:paraId="2B159A89" w14:textId="77777777" w:rsidR="00EF4562" w:rsidRDefault="00000000">
      <w:pPr>
        <w:ind w:firstLine="560"/>
        <w:rPr>
          <w:rFonts w:cs="Times New Roman"/>
        </w:rPr>
      </w:pPr>
      <w:r>
        <w:rPr>
          <w:rFonts w:cs="Times New Roman" w:hint="eastAsia"/>
        </w:rPr>
        <w:t>1</w:t>
      </w:r>
      <w:r>
        <w:rPr>
          <w:rFonts w:cs="Times New Roman" w:hint="eastAsia"/>
        </w:rPr>
        <w:t>）防雷装置设计不合理；</w:t>
      </w:r>
    </w:p>
    <w:p w14:paraId="76D645E5" w14:textId="77777777" w:rsidR="00EF4562" w:rsidRDefault="00000000">
      <w:pPr>
        <w:ind w:firstLine="560"/>
        <w:rPr>
          <w:rFonts w:cs="Times New Roman"/>
        </w:rPr>
      </w:pPr>
      <w:r>
        <w:rPr>
          <w:rFonts w:cs="Times New Roman" w:hint="eastAsia"/>
        </w:rPr>
        <w:t>2</w:t>
      </w:r>
      <w:r>
        <w:rPr>
          <w:rFonts w:cs="Times New Roman" w:hint="eastAsia"/>
        </w:rPr>
        <w:t>）防雷装置安装存在缺陷；</w:t>
      </w:r>
    </w:p>
    <w:p w14:paraId="15445103" w14:textId="77777777" w:rsidR="00EF4562" w:rsidRDefault="00000000">
      <w:pPr>
        <w:ind w:firstLine="560"/>
        <w:rPr>
          <w:rFonts w:cs="Times New Roman"/>
        </w:rPr>
      </w:pPr>
      <w:r>
        <w:rPr>
          <w:rFonts w:cs="Times New Roman" w:hint="eastAsia"/>
        </w:rPr>
        <w:t>3</w:t>
      </w:r>
      <w:r>
        <w:rPr>
          <w:rFonts w:cs="Times New Roman" w:hint="eastAsia"/>
        </w:rPr>
        <w:t>）防雷装置失效，防雷接地体接地电阻不符合要求；</w:t>
      </w:r>
    </w:p>
    <w:p w14:paraId="78E4AC70" w14:textId="77777777" w:rsidR="00EF4562" w:rsidRDefault="00000000">
      <w:pPr>
        <w:ind w:firstLine="560"/>
        <w:rPr>
          <w:rFonts w:cs="Times New Roman"/>
        </w:rPr>
      </w:pPr>
      <w:r>
        <w:rPr>
          <w:rFonts w:cs="Times New Roman" w:hint="eastAsia"/>
        </w:rPr>
        <w:t>4</w:t>
      </w:r>
      <w:r>
        <w:rPr>
          <w:rFonts w:cs="Times New Roman" w:hint="eastAsia"/>
        </w:rPr>
        <w:t>）缺乏必要的人身防雷安全知识等。</w:t>
      </w:r>
    </w:p>
    <w:p w14:paraId="77B84869"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C.2.4</w:t>
      </w:r>
      <w:r>
        <w:rPr>
          <w:rFonts w:ascii="黑体" w:eastAsia="黑体" w:hAnsi="黑体" w:hint="eastAsia"/>
          <w:b/>
          <w:bCs/>
        </w:rPr>
        <w:t>物体打击</w:t>
      </w:r>
    </w:p>
    <w:p w14:paraId="73BECA92" w14:textId="77777777" w:rsidR="00EF4562" w:rsidRDefault="00000000">
      <w:pPr>
        <w:ind w:firstLine="560"/>
        <w:rPr>
          <w:rFonts w:cs="Times New Roman"/>
        </w:rPr>
      </w:pPr>
      <w:r>
        <w:rPr>
          <w:rFonts w:cs="Times New Roman" w:hint="eastAsia"/>
        </w:rPr>
        <w:t>在检修作业过程中工器具脱落飞出；或在检修作业过程中物体受到打击后边、角飞出。从而造成对作业人员或其周围人员的伤害。</w:t>
      </w:r>
    </w:p>
    <w:p w14:paraId="796E2890"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C.2.5</w:t>
      </w:r>
      <w:r>
        <w:rPr>
          <w:rFonts w:ascii="黑体" w:eastAsia="黑体" w:hAnsi="黑体" w:hint="eastAsia"/>
          <w:b/>
          <w:bCs/>
        </w:rPr>
        <w:t>车辆伤害</w:t>
      </w:r>
    </w:p>
    <w:p w14:paraId="12172150" w14:textId="77777777" w:rsidR="00EF4562" w:rsidRDefault="00000000">
      <w:pPr>
        <w:ind w:firstLine="560"/>
        <w:rPr>
          <w:rFonts w:cs="Times New Roman"/>
        </w:rPr>
      </w:pPr>
      <w:r>
        <w:rPr>
          <w:rFonts w:cs="Times New Roman" w:hint="eastAsia"/>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1C65BD6D" w14:textId="77777777" w:rsidR="00EF4562" w:rsidRDefault="00000000">
      <w:pPr>
        <w:ind w:firstLine="560"/>
        <w:rPr>
          <w:rFonts w:cs="Times New Roman"/>
        </w:rPr>
      </w:pPr>
      <w:r>
        <w:rPr>
          <w:rFonts w:cs="Times New Roman" w:hint="eastAsia"/>
        </w:rPr>
        <w:t>当汽车进站加油时，罩棚及罩棚支柱、加油机和作业人员可能受到车辆</w:t>
      </w:r>
      <w:r>
        <w:rPr>
          <w:rFonts w:cs="Times New Roman" w:hint="eastAsia"/>
        </w:rPr>
        <w:lastRenderedPageBreak/>
        <w:t>的碰撞，造成财产损失和人员伤害。</w:t>
      </w:r>
    </w:p>
    <w:p w14:paraId="0620BD64"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C.2.</w:t>
      </w:r>
      <w:r>
        <w:rPr>
          <w:rFonts w:eastAsia="黑体" w:cs="Times New Roman" w:hint="eastAsia"/>
          <w:b/>
          <w:bCs/>
        </w:rPr>
        <w:t>6</w:t>
      </w:r>
      <w:r>
        <w:rPr>
          <w:rFonts w:ascii="黑体" w:eastAsia="黑体" w:hAnsi="黑体" w:hint="eastAsia"/>
          <w:b/>
          <w:bCs/>
        </w:rPr>
        <w:t>机械伤害</w:t>
      </w:r>
    </w:p>
    <w:p w14:paraId="310E610C" w14:textId="77777777" w:rsidR="00EF4562" w:rsidRDefault="00000000">
      <w:pPr>
        <w:ind w:firstLine="560"/>
        <w:rPr>
          <w:rFonts w:cs="Times New Roman"/>
        </w:rPr>
      </w:pPr>
      <w:r>
        <w:rPr>
          <w:rFonts w:cs="Times New Roman" w:hint="eastAsia"/>
        </w:rPr>
        <w:t>机械伤害是指机械设备运动（静止）部件、工具、加工件直接与人体接触引起的夹击、碰撞、剪切、卷入、绞、碾、割、刺等伤害，不包括车辆、起重机械引起的机械伤害。如果出现设备故障、防护设施存在缺陷、违规操作；或在事故检修等特殊情况下都有可能出现机械伤害。</w:t>
      </w:r>
    </w:p>
    <w:p w14:paraId="0FADDA49" w14:textId="77777777" w:rsidR="00EF4562" w:rsidRDefault="00000000">
      <w:pPr>
        <w:ind w:firstLine="560"/>
        <w:rPr>
          <w:rFonts w:cs="Times New Roman"/>
        </w:rPr>
      </w:pPr>
      <w:r>
        <w:rPr>
          <w:rFonts w:cs="Times New Roman" w:hint="eastAsia"/>
        </w:rPr>
        <w:t>在加油机设备检修过程中可能会受到机械设备的传动部件、挤压部件以及外露突出部件或所使用工具的伤害。</w:t>
      </w:r>
    </w:p>
    <w:p w14:paraId="1B9BDC97"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C.2.</w:t>
      </w:r>
      <w:r>
        <w:rPr>
          <w:rFonts w:eastAsia="黑体" w:cs="Times New Roman" w:hint="eastAsia"/>
          <w:b/>
          <w:bCs/>
        </w:rPr>
        <w:t>7</w:t>
      </w:r>
      <w:r>
        <w:rPr>
          <w:rFonts w:ascii="黑体" w:eastAsia="黑体" w:hAnsi="黑体" w:hint="eastAsia"/>
          <w:b/>
          <w:bCs/>
        </w:rPr>
        <w:t>噪声</w:t>
      </w:r>
    </w:p>
    <w:p w14:paraId="456A5DEE" w14:textId="77777777" w:rsidR="00EF4562" w:rsidRDefault="00000000">
      <w:pPr>
        <w:ind w:firstLine="560"/>
        <w:rPr>
          <w:rFonts w:cs="Times New Roman"/>
        </w:rPr>
      </w:pPr>
      <w:r>
        <w:rPr>
          <w:rFonts w:cs="Times New Roman" w:hint="eastAsia"/>
        </w:rPr>
        <w:t>噪声主要损害人的听力，引起神经系统、心血管系统及消化系统功能的障碍。噪声还影响人们交谈与思考，可使人反应迟钝，判断或操作失误，从而增加事故发生频率。噪声干扰可导致报警信号失效，引起各种事故。</w:t>
      </w:r>
    </w:p>
    <w:p w14:paraId="1CA23B78" w14:textId="77777777" w:rsidR="00EF4562" w:rsidRDefault="00000000">
      <w:pPr>
        <w:ind w:firstLine="560"/>
        <w:rPr>
          <w:rFonts w:cs="Times New Roman"/>
        </w:rPr>
      </w:pPr>
      <w:r>
        <w:rPr>
          <w:rFonts w:cs="Times New Roman" w:hint="eastAsia"/>
        </w:rPr>
        <w:t>该项目中的噪声源主要为加油机及自吸泵产生的空气动力性噪声和机械性噪声。因此应尽量选用低噪声设备，同时应减少工作人员的连续接触噪声时间。</w:t>
      </w:r>
    </w:p>
    <w:p w14:paraId="16D0336D" w14:textId="77777777" w:rsidR="00EF4562" w:rsidRDefault="00000000">
      <w:pPr>
        <w:keepNext/>
        <w:spacing w:beforeLines="50" w:before="190" w:afterLines="50" w:after="190"/>
        <w:ind w:firstLine="562"/>
        <w:outlineLvl w:val="2"/>
        <w:rPr>
          <w:rFonts w:eastAsia="黑体" w:cs="Times New Roman"/>
          <w:b/>
          <w:bCs/>
        </w:rPr>
      </w:pPr>
      <w:r>
        <w:rPr>
          <w:rFonts w:eastAsia="黑体" w:cs="Times New Roman" w:hint="eastAsia"/>
          <w:b/>
          <w:bCs/>
        </w:rPr>
        <w:t>C.2.8</w:t>
      </w:r>
      <w:r>
        <w:rPr>
          <w:rFonts w:eastAsia="黑体" w:cs="Times New Roman" w:hint="eastAsia"/>
          <w:b/>
          <w:bCs/>
        </w:rPr>
        <w:t>高处坠落</w:t>
      </w:r>
    </w:p>
    <w:p w14:paraId="4C51A55A" w14:textId="77777777" w:rsidR="00EF4562" w:rsidRDefault="00000000">
      <w:pPr>
        <w:ind w:firstLine="560"/>
        <w:rPr>
          <w:rFonts w:cs="Times New Roman"/>
        </w:rPr>
      </w:pPr>
      <w:r>
        <w:rPr>
          <w:rFonts w:cs="Times New Roman" w:hint="eastAsia"/>
        </w:rPr>
        <w:t>高处坠落是指作业人员在坠落高度基准面</w:t>
      </w:r>
      <w:r>
        <w:rPr>
          <w:rFonts w:cs="Times New Roman" w:hint="eastAsia"/>
        </w:rPr>
        <w:t>2m</w:t>
      </w:r>
      <w:r>
        <w:rPr>
          <w:rFonts w:cs="Times New Roman" w:hint="eastAsia"/>
        </w:rPr>
        <w:t>以上（含</w:t>
      </w:r>
      <w:r>
        <w:rPr>
          <w:rFonts w:cs="Times New Roman" w:hint="eastAsia"/>
        </w:rPr>
        <w:t>2m</w:t>
      </w:r>
      <w:r>
        <w:rPr>
          <w:rFonts w:cs="Times New Roman" w:hint="eastAsia"/>
        </w:rPr>
        <w:t>）的可能坠落的高处进行作业时，因为未防护、防护不好或作业不当而发生人或物的坠落。</w:t>
      </w:r>
    </w:p>
    <w:p w14:paraId="734155D8" w14:textId="77777777" w:rsidR="00EF4562" w:rsidRDefault="00000000">
      <w:pPr>
        <w:ind w:firstLine="560"/>
        <w:rPr>
          <w:rFonts w:cs="Times New Roman"/>
        </w:rPr>
      </w:pPr>
      <w:r>
        <w:rPr>
          <w:rFonts w:cs="Times New Roman" w:hint="eastAsia"/>
        </w:rPr>
        <w:t>本项目新建加油机所在罩棚高度为</w:t>
      </w:r>
      <w:r>
        <w:rPr>
          <w:rFonts w:cs="Times New Roman" w:hint="eastAsia"/>
        </w:rPr>
        <w:t>6m</w:t>
      </w:r>
      <w:r>
        <w:rPr>
          <w:rFonts w:cs="Times New Roman" w:hint="eastAsia"/>
        </w:rPr>
        <w:t>，若在罩棚顶部进高处作业未进行防护或防护措施不到位等会发生高处坠落事故。</w:t>
      </w:r>
    </w:p>
    <w:p w14:paraId="2C872BBE" w14:textId="77777777" w:rsidR="00EF4562" w:rsidRDefault="00000000">
      <w:pPr>
        <w:spacing w:beforeLines="100" w:before="381" w:afterLines="100" w:after="381"/>
        <w:ind w:firstLineChars="0" w:firstLine="0"/>
        <w:jc w:val="center"/>
        <w:outlineLvl w:val="1"/>
        <w:rPr>
          <w:rFonts w:eastAsia="楷体" w:cs="Times New Roman"/>
          <w:b/>
          <w:kern w:val="0"/>
          <w:sz w:val="32"/>
          <w:szCs w:val="32"/>
          <w14:ligatures w14:val="none"/>
        </w:rPr>
      </w:pPr>
      <w:bookmarkStart w:id="83" w:name="_Toc195080283"/>
      <w:bookmarkStart w:id="84" w:name="_Toc207695668"/>
      <w:r>
        <w:rPr>
          <w:rFonts w:eastAsia="楷体" w:cs="Times New Roman" w:hint="eastAsia"/>
          <w:b/>
          <w:kern w:val="0"/>
          <w:sz w:val="32"/>
          <w:szCs w:val="32"/>
          <w14:ligatures w14:val="none"/>
        </w:rPr>
        <w:t>C.3</w:t>
      </w:r>
      <w:r>
        <w:rPr>
          <w:rFonts w:eastAsia="楷体" w:cs="Times New Roman" w:hint="eastAsia"/>
          <w:b/>
          <w:kern w:val="0"/>
          <w:sz w:val="32"/>
          <w:szCs w:val="32"/>
          <w14:ligatures w14:val="none"/>
        </w:rPr>
        <w:t>管道施工过程中的危险、有害因素分析</w:t>
      </w:r>
      <w:bookmarkEnd w:id="83"/>
      <w:bookmarkEnd w:id="84"/>
    </w:p>
    <w:p w14:paraId="58A5DDA1" w14:textId="77777777" w:rsidR="00EF4562" w:rsidRDefault="00000000">
      <w:pPr>
        <w:ind w:firstLine="560"/>
        <w:rPr>
          <w:rFonts w:cs="Times New Roman"/>
          <w:szCs w:val="28"/>
          <w:lang w:bidi="ar"/>
          <w14:ligatures w14:val="none"/>
        </w:rPr>
      </w:pPr>
      <w:r>
        <w:rPr>
          <w:rFonts w:cs="Times New Roman" w:hint="eastAsia"/>
          <w:szCs w:val="28"/>
          <w:lang w:bidi="ar"/>
          <w14:ligatures w14:val="none"/>
        </w:rPr>
        <w:t>依据《企业职工伤亡事故分类》（</w:t>
      </w:r>
      <w:r>
        <w:rPr>
          <w:rFonts w:cs="Times New Roman" w:hint="eastAsia"/>
          <w:szCs w:val="28"/>
          <w:lang w:bidi="ar"/>
          <w14:ligatures w14:val="none"/>
        </w:rPr>
        <w:t>GB6441-1986</w:t>
      </w:r>
      <w:r>
        <w:rPr>
          <w:rFonts w:cs="Times New Roman" w:hint="eastAsia"/>
          <w:szCs w:val="28"/>
          <w:lang w:bidi="ar"/>
          <w14:ligatures w14:val="none"/>
        </w:rPr>
        <w:t>）、《生产过程危险和有害</w:t>
      </w:r>
      <w:r>
        <w:rPr>
          <w:rFonts w:cs="Times New Roman" w:hint="eastAsia"/>
          <w:szCs w:val="28"/>
          <w:lang w:bidi="ar"/>
          <w14:ligatures w14:val="none"/>
        </w:rPr>
        <w:lastRenderedPageBreak/>
        <w:t>因素分类与代码》（</w:t>
      </w:r>
      <w:r>
        <w:rPr>
          <w:rFonts w:cs="Times New Roman" w:hint="eastAsia"/>
          <w:szCs w:val="28"/>
          <w:lang w:bidi="ar"/>
          <w14:ligatures w14:val="none"/>
        </w:rPr>
        <w:t>GB/T 13861-2022</w:t>
      </w:r>
      <w:r>
        <w:rPr>
          <w:rFonts w:cs="Times New Roman" w:hint="eastAsia"/>
          <w:szCs w:val="28"/>
          <w:lang w:bidi="ar"/>
          <w14:ligatures w14:val="none"/>
        </w:rPr>
        <w:t>），本项目在更换加油管线施工过程中存在的主要危险、有害因素有触电、机械伤害、物体打击、车辆伤害等。</w:t>
      </w:r>
    </w:p>
    <w:p w14:paraId="6E345FDF" w14:textId="77777777" w:rsidR="00EF4562" w:rsidRDefault="00000000">
      <w:pPr>
        <w:keepNext/>
        <w:spacing w:beforeLines="50" w:before="190" w:afterLines="50" w:after="190"/>
        <w:ind w:firstLine="562"/>
        <w:outlineLvl w:val="2"/>
        <w:rPr>
          <w:rFonts w:eastAsia="黑体" w:cs="Times New Roman"/>
          <w:b/>
          <w:kern w:val="0"/>
          <w:szCs w:val="28"/>
          <w14:ligatures w14:val="none"/>
        </w:rPr>
      </w:pPr>
      <w:r>
        <w:rPr>
          <w:rFonts w:eastAsia="黑体" w:cs="Times New Roman" w:hint="eastAsia"/>
          <w:b/>
          <w:kern w:val="0"/>
          <w:szCs w:val="28"/>
          <w14:ligatures w14:val="none"/>
        </w:rPr>
        <w:t>C.3.1</w:t>
      </w:r>
      <w:r>
        <w:rPr>
          <w:rFonts w:eastAsia="黑体" w:cs="Times New Roman" w:hint="eastAsia"/>
          <w:b/>
          <w:kern w:val="0"/>
          <w:szCs w:val="28"/>
          <w14:ligatures w14:val="none"/>
        </w:rPr>
        <w:t>触电</w:t>
      </w:r>
    </w:p>
    <w:p w14:paraId="6A4EEDE9" w14:textId="77777777" w:rsidR="00EF4562" w:rsidRDefault="00000000">
      <w:pPr>
        <w:ind w:firstLine="560"/>
        <w:rPr>
          <w:rFonts w:cs="Times New Roman"/>
          <w:szCs w:val="28"/>
          <w:lang w:bidi="ar"/>
          <w14:ligatures w14:val="none"/>
        </w:rPr>
      </w:pPr>
      <w:r>
        <w:rPr>
          <w:rFonts w:cs="Times New Roman" w:hint="eastAsia"/>
          <w:szCs w:val="28"/>
          <w:lang w:bidi="ar"/>
          <w14:ligatures w14:val="none"/>
        </w:rPr>
        <w:t>加油管道敷设时使用的机械设施、夜间施工照明等用电处可能由于设备漏电、人员误接触、漏电保护失效、检修违章合闸、接地或接零失效等原因造成触电事故发生。</w:t>
      </w:r>
    </w:p>
    <w:p w14:paraId="710A063E" w14:textId="77777777" w:rsidR="00EF4562" w:rsidRDefault="00000000">
      <w:pPr>
        <w:keepNext/>
        <w:spacing w:beforeLines="50" w:before="190" w:afterLines="50" w:after="190"/>
        <w:ind w:firstLine="562"/>
        <w:outlineLvl w:val="2"/>
        <w:rPr>
          <w:rFonts w:eastAsia="黑体" w:cs="Times New Roman"/>
          <w:b/>
          <w:kern w:val="0"/>
          <w:szCs w:val="28"/>
          <w14:ligatures w14:val="none"/>
        </w:rPr>
      </w:pPr>
      <w:r>
        <w:rPr>
          <w:rFonts w:eastAsia="黑体" w:cs="Times New Roman" w:hint="eastAsia"/>
          <w:b/>
          <w:kern w:val="0"/>
          <w:szCs w:val="28"/>
          <w14:ligatures w14:val="none"/>
        </w:rPr>
        <w:t>C.3.2</w:t>
      </w:r>
      <w:r>
        <w:rPr>
          <w:rFonts w:eastAsia="黑体" w:cs="Times New Roman" w:hint="eastAsia"/>
          <w:b/>
          <w:kern w:val="0"/>
          <w:szCs w:val="28"/>
          <w14:ligatures w14:val="none"/>
        </w:rPr>
        <w:t>机械伤害</w:t>
      </w:r>
    </w:p>
    <w:p w14:paraId="289E695E" w14:textId="77777777" w:rsidR="00EF4562" w:rsidRDefault="00000000">
      <w:pPr>
        <w:ind w:firstLine="560"/>
        <w:rPr>
          <w:rFonts w:cs="Times New Roman"/>
          <w:szCs w:val="28"/>
          <w:lang w:bidi="ar"/>
          <w14:ligatures w14:val="none"/>
        </w:rPr>
      </w:pPr>
      <w:r>
        <w:rPr>
          <w:rFonts w:cs="Times New Roman" w:hint="eastAsia"/>
          <w:szCs w:val="28"/>
          <w:lang w:bidi="ar"/>
          <w14:ligatures w14:val="none"/>
        </w:rPr>
        <w:t>加油管道施工需要用到的电焊机、钻孔机、打磨机等机械设备，其运动部件直接与人体接触可能会引起伤害，通常的表现形式有夹击、碰撞、剪切、卷入、绞、碾、割、剌等。若施工人员误接触、机械设备危险部位无防护或防护设施失效等原因均会造成机械伤害事故发生。</w:t>
      </w:r>
    </w:p>
    <w:p w14:paraId="603D03E7" w14:textId="77777777" w:rsidR="00EF4562" w:rsidRDefault="00000000">
      <w:pPr>
        <w:keepNext/>
        <w:spacing w:beforeLines="50" w:before="190" w:afterLines="50" w:after="190"/>
        <w:ind w:firstLine="562"/>
        <w:outlineLvl w:val="2"/>
        <w:rPr>
          <w:rFonts w:eastAsia="黑体" w:cs="Times New Roman"/>
          <w:b/>
          <w:kern w:val="0"/>
          <w:szCs w:val="28"/>
          <w14:ligatures w14:val="none"/>
        </w:rPr>
      </w:pPr>
      <w:r>
        <w:rPr>
          <w:rFonts w:eastAsia="黑体" w:cs="Times New Roman" w:hint="eastAsia"/>
          <w:b/>
          <w:kern w:val="0"/>
          <w:szCs w:val="28"/>
          <w14:ligatures w14:val="none"/>
        </w:rPr>
        <w:t>C.3.3</w:t>
      </w:r>
      <w:r>
        <w:rPr>
          <w:rFonts w:eastAsia="黑体" w:cs="Times New Roman" w:hint="eastAsia"/>
          <w:b/>
          <w:kern w:val="0"/>
          <w:szCs w:val="28"/>
          <w14:ligatures w14:val="none"/>
        </w:rPr>
        <w:t>物体打击</w:t>
      </w:r>
    </w:p>
    <w:p w14:paraId="1FCB9D12" w14:textId="77777777" w:rsidR="00EF4562" w:rsidRDefault="00000000">
      <w:pPr>
        <w:ind w:firstLine="560"/>
        <w:rPr>
          <w:rFonts w:cs="Times New Roman"/>
          <w:szCs w:val="28"/>
          <w:lang w:bidi="ar"/>
          <w14:ligatures w14:val="none"/>
        </w:rPr>
      </w:pPr>
      <w:r>
        <w:rPr>
          <w:rFonts w:cs="Times New Roman" w:hint="eastAsia"/>
          <w:szCs w:val="28"/>
          <w:lang w:bidi="ar"/>
          <w14:ligatures w14:val="none"/>
        </w:rPr>
        <w:t>人员在施工区域施工，如有高速运转机械部件脱落、重负荷部件嘣脱、高空物件固定不牢坠落、危险部件无护罩、人员无防护，可能发生物体打击事故。</w:t>
      </w:r>
    </w:p>
    <w:p w14:paraId="61558172" w14:textId="77777777" w:rsidR="00EF4562" w:rsidRDefault="00000000">
      <w:pPr>
        <w:keepNext/>
        <w:spacing w:beforeLines="50" w:before="190" w:afterLines="50" w:after="190"/>
        <w:ind w:firstLine="562"/>
        <w:outlineLvl w:val="2"/>
        <w:rPr>
          <w:rFonts w:eastAsia="黑体" w:cs="Times New Roman"/>
          <w:b/>
          <w:kern w:val="0"/>
          <w:szCs w:val="28"/>
          <w14:ligatures w14:val="none"/>
        </w:rPr>
      </w:pPr>
      <w:r>
        <w:rPr>
          <w:rFonts w:eastAsia="黑体" w:cs="Times New Roman" w:hint="eastAsia"/>
          <w:b/>
          <w:kern w:val="0"/>
          <w:szCs w:val="28"/>
          <w14:ligatures w14:val="none"/>
        </w:rPr>
        <w:t>C.3.4</w:t>
      </w:r>
      <w:r>
        <w:rPr>
          <w:rFonts w:eastAsia="黑体" w:cs="Times New Roman" w:hint="eastAsia"/>
          <w:b/>
          <w:kern w:val="0"/>
          <w:szCs w:val="28"/>
          <w14:ligatures w14:val="none"/>
        </w:rPr>
        <w:t>车辆伤害</w:t>
      </w:r>
    </w:p>
    <w:p w14:paraId="2853DE50" w14:textId="77777777" w:rsidR="00EF4562" w:rsidRDefault="00000000">
      <w:pPr>
        <w:ind w:firstLine="560"/>
        <w:rPr>
          <w:rFonts w:cs="Times New Roman"/>
          <w:szCs w:val="28"/>
          <w:lang w:bidi="ar"/>
          <w14:ligatures w14:val="none"/>
        </w:rPr>
      </w:pPr>
      <w:r>
        <w:rPr>
          <w:rFonts w:cs="Times New Roman" w:hint="eastAsia"/>
          <w:szCs w:val="28"/>
          <w:lang w:bidi="ar"/>
          <w14:ligatures w14:val="none"/>
        </w:rPr>
        <w:t>加油管道施工时，运输车辆机械制动故障、路面太窄，车辆重心失去平衡、路面滑车辆失控、路基软塌方、车辆超速，车辆急转弯，违章行驶，司机酒后驾车、车辆超出路面或桥梁载荷垮塌，路面坡度陡等均会造成车辆伤害事故的发生。</w:t>
      </w:r>
    </w:p>
    <w:p w14:paraId="34846C1E"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85" w:name="_Toc207695669"/>
      <w:r>
        <w:rPr>
          <w:rFonts w:eastAsia="楷体" w:cs="Times New Roman"/>
          <w:b/>
          <w:bCs/>
          <w:sz w:val="32"/>
          <w:szCs w:val="32"/>
        </w:rPr>
        <w:lastRenderedPageBreak/>
        <w:t>C.</w:t>
      </w:r>
      <w:r>
        <w:rPr>
          <w:rFonts w:eastAsia="楷体" w:cs="Times New Roman" w:hint="eastAsia"/>
          <w:b/>
          <w:bCs/>
          <w:sz w:val="32"/>
          <w:szCs w:val="32"/>
        </w:rPr>
        <w:t>4</w:t>
      </w:r>
      <w:r>
        <w:rPr>
          <w:rFonts w:ascii="楷体" w:eastAsia="楷体" w:hAnsi="楷体" w:hint="eastAsia"/>
          <w:b/>
          <w:bCs/>
          <w:sz w:val="32"/>
          <w:szCs w:val="32"/>
        </w:rPr>
        <w:t>检维修过程的危险、有害因素分析</w:t>
      </w:r>
      <w:bookmarkEnd w:id="85"/>
    </w:p>
    <w:p w14:paraId="5734988F" w14:textId="77777777" w:rsidR="00EF4562" w:rsidRDefault="00000000">
      <w:pPr>
        <w:ind w:firstLine="560"/>
      </w:pPr>
      <w:r>
        <w:rPr>
          <w:rFonts w:hint="eastAsia"/>
        </w:rPr>
        <w:t>设备检维修过程中经常发生的事故有火灾、爆炸、机械伤害、触电等，事故类型较多，危害较大。而违章检维修、安全知识欠缺、安全意识淡薄是造成事故发生的重要原因之一。</w:t>
      </w:r>
    </w:p>
    <w:p w14:paraId="17CD81BD" w14:textId="77777777" w:rsidR="00EF4562" w:rsidRDefault="00000000">
      <w:pPr>
        <w:ind w:firstLine="560"/>
      </w:pPr>
      <w:r>
        <w:rPr>
          <w:rFonts w:hint="eastAsia"/>
        </w:rPr>
        <w:t>（</w:t>
      </w:r>
      <w:r>
        <w:rPr>
          <w:rFonts w:hint="eastAsia"/>
        </w:rPr>
        <w:t>1</w:t>
      </w:r>
      <w:r>
        <w:rPr>
          <w:rFonts w:hint="eastAsia"/>
        </w:rPr>
        <w:t>）动火作业</w:t>
      </w:r>
    </w:p>
    <w:p w14:paraId="41F6F6B1" w14:textId="77777777" w:rsidR="00EF4562" w:rsidRDefault="00000000">
      <w:pPr>
        <w:ind w:firstLine="560"/>
      </w:pPr>
      <w:r>
        <w:rPr>
          <w:rFonts w:hint="eastAsia"/>
        </w:rPr>
        <w:t>在动火作业前，不严格按规定办理《动火安全作业证》；动火项目负责人不到现场检查动火安全措施和物资落实情况；焊接作业氧气瓶和乙炔瓶间距不够；动火监护人责任心不强，监护期间擅离职守；没按规定进行动火前的分析化验等都会埋下安全隐患，存在引发火灾事故的危险。</w:t>
      </w:r>
    </w:p>
    <w:p w14:paraId="3A62C5A2" w14:textId="77777777" w:rsidR="00EF4562" w:rsidRDefault="00000000">
      <w:pPr>
        <w:ind w:firstLine="560"/>
      </w:pPr>
      <w:r>
        <w:rPr>
          <w:rFonts w:hint="eastAsia"/>
        </w:rPr>
        <w:t>安全措施不完善、作业方法不合理、选用工具不正确等现象都会引发火灾、爆炸事故。检修中违章使用易燃品、违章动火、不严格执行安全规程和检修规程，是导致火灾、爆炸事故发生的主要原因；在有可燃气体存在的作业场所，使用产生火花的机械工具是产生火灾、爆炸事故的重要原因。</w:t>
      </w:r>
    </w:p>
    <w:p w14:paraId="7A44AFD0" w14:textId="77777777" w:rsidR="00EF4562" w:rsidRDefault="00000000">
      <w:pPr>
        <w:ind w:firstLine="560"/>
      </w:pPr>
      <w:r>
        <w:rPr>
          <w:rFonts w:hint="eastAsia"/>
        </w:rPr>
        <w:t>（</w:t>
      </w:r>
      <w:r>
        <w:rPr>
          <w:rFonts w:hint="eastAsia"/>
        </w:rPr>
        <w:t>2</w:t>
      </w:r>
      <w:r>
        <w:rPr>
          <w:rFonts w:hint="eastAsia"/>
        </w:rPr>
        <w:t>）临时用电</w:t>
      </w:r>
    </w:p>
    <w:p w14:paraId="3819C835" w14:textId="77777777" w:rsidR="00EF4562" w:rsidRDefault="00000000">
      <w:pPr>
        <w:ind w:firstLine="560"/>
      </w:pPr>
      <w:r>
        <w:rPr>
          <w:rFonts w:hint="eastAsia"/>
        </w:rPr>
        <w:t>在施工及检维修过程中临时用电，因设备绝缘不良、线路老化、短路、防护缺陷、接地不符合要求、未正确使用劳保用品、无证上岗、违章作业、雨天作业等都有可能引发触电或电气火灾事故。</w:t>
      </w:r>
    </w:p>
    <w:p w14:paraId="502266A7"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86" w:name="_Toc207695670"/>
      <w:r>
        <w:rPr>
          <w:rFonts w:eastAsia="楷体" w:cs="Times New Roman"/>
          <w:b/>
          <w:bCs/>
          <w:sz w:val="32"/>
          <w:szCs w:val="32"/>
        </w:rPr>
        <w:t>C.</w:t>
      </w:r>
      <w:r>
        <w:rPr>
          <w:rFonts w:eastAsia="楷体" w:cs="Times New Roman" w:hint="eastAsia"/>
          <w:b/>
          <w:bCs/>
          <w:sz w:val="32"/>
          <w:szCs w:val="32"/>
        </w:rPr>
        <w:t>5</w:t>
      </w:r>
      <w:r>
        <w:rPr>
          <w:rFonts w:ascii="楷体" w:eastAsia="楷体" w:hAnsi="楷体" w:hint="eastAsia"/>
          <w:b/>
          <w:bCs/>
          <w:sz w:val="32"/>
          <w:szCs w:val="32"/>
        </w:rPr>
        <w:t>自然灾害</w:t>
      </w:r>
      <w:bookmarkEnd w:id="86"/>
    </w:p>
    <w:p w14:paraId="52C906DC" w14:textId="77777777" w:rsidR="00EF4562" w:rsidRDefault="00000000">
      <w:pPr>
        <w:ind w:firstLine="560"/>
      </w:pPr>
      <w:r>
        <w:rPr>
          <w:rFonts w:hint="eastAsia"/>
        </w:rPr>
        <w:t>从加油站自身特点和其经营的成品油所具有的危险特性，乃至事故危害及影响等因素综合考虑，必须对诸如汛期、雷雨天气和地震等自然灾害极有可能造成管线断裂，阀门损坏，油品外溢，出油作业过程中的金属放电引燃油蒸气、雷电等引起的火灾爆炸等问题应予以充分重视。同时，在冬季和夏季，对从事室外加油作业的人员，应做好防寒及防暑降温工作。</w:t>
      </w:r>
    </w:p>
    <w:p w14:paraId="0518F8DF" w14:textId="77777777" w:rsidR="00EF4562" w:rsidRDefault="00000000">
      <w:pPr>
        <w:keepNext/>
        <w:spacing w:beforeLines="100" w:before="381" w:afterLines="100" w:after="381"/>
        <w:ind w:firstLineChars="0" w:firstLine="0"/>
        <w:jc w:val="center"/>
        <w:outlineLvl w:val="1"/>
        <w:rPr>
          <w:rFonts w:ascii="楷体" w:eastAsia="楷体" w:hAnsi="楷体" w:hint="eastAsia"/>
          <w:b/>
          <w:bCs/>
          <w:sz w:val="32"/>
          <w:szCs w:val="32"/>
        </w:rPr>
      </w:pPr>
      <w:bookmarkStart w:id="87" w:name="_Toc207695671"/>
      <w:r>
        <w:rPr>
          <w:rFonts w:eastAsia="楷体" w:cs="Times New Roman"/>
          <w:b/>
          <w:bCs/>
          <w:sz w:val="32"/>
          <w:szCs w:val="32"/>
        </w:rPr>
        <w:lastRenderedPageBreak/>
        <w:t>C.</w:t>
      </w:r>
      <w:r>
        <w:rPr>
          <w:rFonts w:eastAsia="楷体" w:cs="Times New Roman" w:hint="eastAsia"/>
          <w:b/>
          <w:bCs/>
          <w:sz w:val="32"/>
          <w:szCs w:val="32"/>
        </w:rPr>
        <w:t>6</w:t>
      </w:r>
      <w:r>
        <w:rPr>
          <w:rFonts w:ascii="楷体" w:eastAsia="楷体" w:hAnsi="楷体" w:hint="eastAsia"/>
          <w:b/>
          <w:bCs/>
          <w:sz w:val="32"/>
          <w:szCs w:val="32"/>
        </w:rPr>
        <w:t>重大危险源辨识</w:t>
      </w:r>
      <w:bookmarkEnd w:id="87"/>
    </w:p>
    <w:p w14:paraId="2A103969"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t>C.</w:t>
      </w:r>
      <w:r>
        <w:rPr>
          <w:rFonts w:eastAsia="黑体" w:cs="Times New Roman" w:hint="eastAsia"/>
          <w:b/>
          <w:bCs/>
        </w:rPr>
        <w:t>6</w:t>
      </w:r>
      <w:r>
        <w:rPr>
          <w:rFonts w:eastAsia="黑体" w:cs="Times New Roman"/>
          <w:b/>
          <w:bCs/>
        </w:rPr>
        <w:t>.1</w:t>
      </w:r>
      <w:r>
        <w:rPr>
          <w:rFonts w:ascii="黑体" w:eastAsia="黑体" w:hAnsi="黑体" w:hint="eastAsia"/>
          <w:b/>
          <w:bCs/>
        </w:rPr>
        <w:t>重大危险源定义</w:t>
      </w:r>
    </w:p>
    <w:p w14:paraId="4B77460A" w14:textId="77777777" w:rsidR="00EF4562" w:rsidRDefault="00000000">
      <w:pPr>
        <w:ind w:firstLine="560"/>
      </w:pPr>
      <w:r>
        <w:rPr>
          <w:rFonts w:hint="eastAsia"/>
        </w:rPr>
        <w:t>根据《危险化学品重大危险源辨识》</w:t>
      </w:r>
      <w:r>
        <w:rPr>
          <w:rFonts w:hint="eastAsia"/>
        </w:rPr>
        <w:t>GB18218-2018</w:t>
      </w:r>
      <w:r>
        <w:rPr>
          <w:rFonts w:hint="eastAsia"/>
        </w:rPr>
        <w:t>的规定，重大危险源的辨识指标如下：</w:t>
      </w:r>
    </w:p>
    <w:p w14:paraId="39C6BFC1" w14:textId="77777777" w:rsidR="00EF4562" w:rsidRDefault="00000000">
      <w:pPr>
        <w:ind w:firstLine="560"/>
      </w:pPr>
      <w:r>
        <w:rPr>
          <w:rFonts w:hint="eastAsia"/>
        </w:rPr>
        <w:t>长期地或临时地生产、储存、使用和经营危险化学品，且危险化学品的数量等于或者超过临界量的单元。</w:t>
      </w:r>
    </w:p>
    <w:p w14:paraId="18B72BF4" w14:textId="77777777" w:rsidR="00EF4562" w:rsidRDefault="00000000">
      <w:pPr>
        <w:ind w:firstLine="560"/>
      </w:pPr>
      <w:r>
        <w:rPr>
          <w:rFonts w:hint="eastAsia"/>
        </w:rPr>
        <w:t>生产单元：危险化学品的生产、加工及使用等的装置及设施，当装置与设施之间又有切断阀时，以切断阀作为分隔界限划分为独立的单元。</w:t>
      </w:r>
    </w:p>
    <w:p w14:paraId="461DE524" w14:textId="77777777" w:rsidR="00EF4562" w:rsidRDefault="00000000">
      <w:pPr>
        <w:ind w:firstLine="560"/>
      </w:pPr>
      <w:r>
        <w:rPr>
          <w:rFonts w:hint="eastAsia"/>
        </w:rPr>
        <w:t>储存单元：用于储存危险化学品的储罐或仓库组成的相对独立的区域，储罐区以罐区防火堤为界限划分为独立的单元，从仓库以独立库房（独立建筑物）为界限划分为的独立的单元。</w:t>
      </w:r>
    </w:p>
    <w:p w14:paraId="03EC6415" w14:textId="77777777" w:rsidR="00EF4562" w:rsidRDefault="00000000">
      <w:pPr>
        <w:ind w:firstLine="560"/>
      </w:pPr>
      <w:r>
        <w:rPr>
          <w:rFonts w:hint="eastAsia"/>
        </w:rPr>
        <w:t>生产单元、储存单元内存在危险化学品的数量等于或者出超过表</w:t>
      </w:r>
      <w:r>
        <w:rPr>
          <w:rFonts w:hint="eastAsia"/>
        </w:rPr>
        <w:t>1</w:t>
      </w:r>
      <w:r>
        <w:rPr>
          <w:rFonts w:hint="eastAsia"/>
        </w:rPr>
        <w:t>、表</w:t>
      </w:r>
      <w:r>
        <w:rPr>
          <w:rFonts w:hint="eastAsia"/>
        </w:rPr>
        <w:t>2</w:t>
      </w:r>
      <w:r>
        <w:rPr>
          <w:rFonts w:hint="eastAsia"/>
        </w:rPr>
        <w:t>规定地点临界量，即被定为重大危险源，单元内存在的危险化学品的数量根据危险化学品种类的多少区分为以下两种情况：</w:t>
      </w:r>
    </w:p>
    <w:p w14:paraId="1EC8307B" w14:textId="77777777" w:rsidR="00EF4562" w:rsidRDefault="00000000">
      <w:pPr>
        <w:ind w:firstLine="560"/>
      </w:pPr>
      <w:r>
        <w:rPr>
          <w:rFonts w:hint="eastAsia"/>
        </w:rPr>
        <w:t>（</w:t>
      </w:r>
      <w:r>
        <w:rPr>
          <w:rFonts w:hint="eastAsia"/>
        </w:rPr>
        <w:t>1</w:t>
      </w:r>
      <w:r>
        <w:rPr>
          <w:rFonts w:hint="eastAsia"/>
        </w:rPr>
        <w:t>）生产单元、储存单元内存在的危险化学品为单一品种，该危险化学品的数量即为单元内危险化学品的总量，若等于或超过相应的临界量，则定为重大危险源。</w:t>
      </w:r>
    </w:p>
    <w:p w14:paraId="00F890AA" w14:textId="77777777" w:rsidR="00EF4562" w:rsidRDefault="00000000">
      <w:pPr>
        <w:ind w:firstLine="560"/>
      </w:pPr>
      <w:r>
        <w:rPr>
          <w:rFonts w:hint="eastAsia"/>
        </w:rPr>
        <w:t>（</w:t>
      </w:r>
      <w:r>
        <w:rPr>
          <w:rFonts w:hint="eastAsia"/>
        </w:rPr>
        <w:t>2</w:t>
      </w:r>
      <w:r>
        <w:rPr>
          <w:rFonts w:hint="eastAsia"/>
        </w:rPr>
        <w:t>）生产单元、储存单元内存在的危险化学品为多品种时，则按下式计算，若满足下面公式，则定为重大危险源：</w:t>
      </w:r>
    </w:p>
    <w:p w14:paraId="5AD28327" w14:textId="77777777" w:rsidR="00EF4562" w:rsidRDefault="00000000">
      <w:pPr>
        <w:ind w:firstLine="560"/>
      </w:pPr>
      <m:oMathPara>
        <m:oMath>
          <m:r>
            <w:rPr>
              <w:rFonts w:ascii="Cambria Math" w:hAnsi="Cambria Math" w:hint="eastAsia"/>
            </w:rPr>
            <m:t>S</m:t>
          </m:r>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1</m:t>
                  </m:r>
                </m:sub>
              </m:sSub>
            </m:num>
            <m:den>
              <m:sSub>
                <m:sSubPr>
                  <m:ctrlPr>
                    <w:rPr>
                      <w:rFonts w:ascii="Cambria Math" w:hAnsi="Cambria Math"/>
                      <w:i/>
                    </w:rPr>
                  </m:ctrlPr>
                </m:sSubPr>
                <m:e>
                  <m:r>
                    <w:rPr>
                      <w:rFonts w:ascii="Cambria Math" w:hAnsi="Cambria Math"/>
                    </w:rPr>
                    <m:t>Q</m:t>
                  </m:r>
                </m:e>
                <m:sub>
                  <m:r>
                    <w:rPr>
                      <w:rFonts w:ascii="Cambria Math" w:hAnsi="Cambria Math"/>
                    </w:rPr>
                    <m:t>1</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2</m:t>
                  </m:r>
                </m:sub>
              </m:sSub>
            </m:num>
            <m:den>
              <m:sSub>
                <m:sSubPr>
                  <m:ctrlPr>
                    <w:rPr>
                      <w:rFonts w:ascii="Cambria Math" w:hAnsi="Cambria Math"/>
                      <w:i/>
                    </w:rPr>
                  </m:ctrlPr>
                </m:sSubPr>
                <m:e>
                  <m:r>
                    <w:rPr>
                      <w:rFonts w:ascii="Cambria Math" w:hAnsi="Cambria Math"/>
                    </w:rPr>
                    <m:t>Q</m:t>
                  </m:r>
                </m:e>
                <m:sub>
                  <m:r>
                    <w:rPr>
                      <w:rFonts w:ascii="Cambria Math" w:hAnsi="Cambria Math"/>
                    </w:rPr>
                    <m:t>2</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n</m:t>
                  </m:r>
                </m:sub>
              </m:sSub>
            </m:num>
            <m:den>
              <m:sSub>
                <m:sSubPr>
                  <m:ctrlPr>
                    <w:rPr>
                      <w:rFonts w:ascii="Cambria Math" w:hAnsi="Cambria Math"/>
                      <w:i/>
                    </w:rPr>
                  </m:ctrlPr>
                </m:sSubPr>
                <m:e>
                  <m:r>
                    <w:rPr>
                      <w:rFonts w:ascii="Cambria Math" w:hAnsi="Cambria Math"/>
                    </w:rPr>
                    <m:t>Q</m:t>
                  </m:r>
                </m:e>
                <m:sub>
                  <m:r>
                    <w:rPr>
                      <w:rFonts w:ascii="Cambria Math" w:hAnsi="Cambria Math"/>
                    </w:rPr>
                    <m:t>n</m:t>
                  </m:r>
                </m:sub>
              </m:sSub>
            </m:den>
          </m:f>
          <m:r>
            <w:rPr>
              <w:rFonts w:ascii="Cambria Math" w:hAnsi="Cambria Math"/>
            </w:rPr>
            <m:t>≥1</m:t>
          </m:r>
        </m:oMath>
      </m:oMathPara>
    </w:p>
    <w:p w14:paraId="58FE4E40" w14:textId="77777777" w:rsidR="00EF4562" w:rsidRDefault="00000000">
      <w:pPr>
        <w:ind w:firstLine="560"/>
      </w:pPr>
      <w:r>
        <w:rPr>
          <w:rFonts w:hint="eastAsia"/>
        </w:rPr>
        <w:t>式中：</w:t>
      </w:r>
      <w:r>
        <w:rPr>
          <w:rFonts w:hint="eastAsia"/>
        </w:rPr>
        <w:t>q</w:t>
      </w:r>
      <w:r>
        <w:rPr>
          <w:rFonts w:hint="eastAsia"/>
          <w:vertAlign w:val="subscript"/>
        </w:rPr>
        <w:t>1</w:t>
      </w:r>
      <w:r>
        <w:rPr>
          <w:rFonts w:hint="eastAsia"/>
        </w:rPr>
        <w:t>，</w:t>
      </w:r>
      <w:r>
        <w:rPr>
          <w:rFonts w:hint="eastAsia"/>
        </w:rPr>
        <w:t>q</w:t>
      </w:r>
      <w:r>
        <w:rPr>
          <w:rFonts w:hint="eastAsia"/>
          <w:vertAlign w:val="subscript"/>
        </w:rPr>
        <w:t>2</w:t>
      </w:r>
      <w:r>
        <w:rPr>
          <w:rFonts w:hint="eastAsia"/>
        </w:rPr>
        <w:t>，</w:t>
      </w:r>
      <w:r>
        <w:t>…</w:t>
      </w:r>
      <w:r>
        <w:rPr>
          <w:rFonts w:hint="eastAsia"/>
        </w:rPr>
        <w:t>，</w:t>
      </w:r>
      <w:r>
        <w:rPr>
          <w:rFonts w:hint="eastAsia"/>
        </w:rPr>
        <w:t>q</w:t>
      </w:r>
      <w:r>
        <w:rPr>
          <w:rFonts w:hint="eastAsia"/>
          <w:vertAlign w:val="subscript"/>
        </w:rPr>
        <w:t>n</w:t>
      </w:r>
      <w:r>
        <w:rPr>
          <w:rFonts w:hint="eastAsia"/>
        </w:rPr>
        <w:t>—每种危险物质实际存在的量，</w:t>
      </w:r>
      <w:r>
        <w:rPr>
          <w:rFonts w:hint="eastAsia"/>
        </w:rPr>
        <w:t>t</w:t>
      </w:r>
      <w:r>
        <w:rPr>
          <w:rFonts w:hint="eastAsia"/>
        </w:rPr>
        <w:t>。</w:t>
      </w:r>
    </w:p>
    <w:p w14:paraId="2F0CE5D0" w14:textId="77777777" w:rsidR="00EF4562" w:rsidRDefault="00000000">
      <w:pPr>
        <w:ind w:firstLineChars="500" w:firstLine="1400"/>
      </w:pPr>
      <w:r>
        <w:rPr>
          <w:rFonts w:hint="eastAsia"/>
        </w:rPr>
        <w:t>Q</w:t>
      </w:r>
      <w:r>
        <w:rPr>
          <w:rFonts w:hint="eastAsia"/>
          <w:vertAlign w:val="subscript"/>
        </w:rPr>
        <w:t>1</w:t>
      </w:r>
      <w:r>
        <w:rPr>
          <w:rFonts w:hint="eastAsia"/>
        </w:rPr>
        <w:t>，</w:t>
      </w:r>
      <w:r>
        <w:rPr>
          <w:rFonts w:hint="eastAsia"/>
        </w:rPr>
        <w:t>Q</w:t>
      </w:r>
      <w:r>
        <w:rPr>
          <w:rFonts w:hint="eastAsia"/>
          <w:vertAlign w:val="subscript"/>
        </w:rPr>
        <w:t>2</w:t>
      </w:r>
      <w:r>
        <w:rPr>
          <w:rFonts w:hint="eastAsia"/>
        </w:rPr>
        <w:t>，</w:t>
      </w:r>
      <w:r>
        <w:t>…</w:t>
      </w:r>
      <w:r>
        <w:rPr>
          <w:rFonts w:hint="eastAsia"/>
        </w:rPr>
        <w:t>，</w:t>
      </w:r>
      <w:r>
        <w:rPr>
          <w:rFonts w:hint="eastAsia"/>
        </w:rPr>
        <w:t>Q</w:t>
      </w:r>
      <w:r>
        <w:rPr>
          <w:rFonts w:hint="eastAsia"/>
          <w:vertAlign w:val="subscript"/>
        </w:rPr>
        <w:t>n</w:t>
      </w:r>
      <w:r>
        <w:rPr>
          <w:rFonts w:hint="eastAsia"/>
        </w:rPr>
        <w:t>—与各危险物质相对应的临界量，</w:t>
      </w:r>
      <w:r>
        <w:rPr>
          <w:rFonts w:hint="eastAsia"/>
        </w:rPr>
        <w:t>t</w:t>
      </w:r>
      <w:r>
        <w:rPr>
          <w:rFonts w:hint="eastAsia"/>
        </w:rPr>
        <w:t>。</w:t>
      </w:r>
    </w:p>
    <w:p w14:paraId="1CD91A02" w14:textId="77777777" w:rsidR="00EF4562" w:rsidRDefault="00000000">
      <w:pPr>
        <w:keepNext/>
        <w:spacing w:beforeLines="50" w:before="190" w:afterLines="50" w:after="190"/>
        <w:ind w:firstLine="562"/>
        <w:outlineLvl w:val="2"/>
        <w:rPr>
          <w:rFonts w:ascii="黑体" w:eastAsia="黑体" w:hAnsi="黑体" w:hint="eastAsia"/>
          <w:b/>
          <w:bCs/>
        </w:rPr>
      </w:pPr>
      <w:r>
        <w:rPr>
          <w:rFonts w:eastAsia="黑体" w:cs="Times New Roman"/>
          <w:b/>
          <w:bCs/>
        </w:rPr>
        <w:lastRenderedPageBreak/>
        <w:t>C.</w:t>
      </w:r>
      <w:r>
        <w:rPr>
          <w:rFonts w:eastAsia="黑体" w:cs="Times New Roman" w:hint="eastAsia"/>
          <w:b/>
          <w:bCs/>
        </w:rPr>
        <w:t>6</w:t>
      </w:r>
      <w:r>
        <w:rPr>
          <w:rFonts w:eastAsia="黑体" w:cs="Times New Roman"/>
          <w:b/>
          <w:bCs/>
        </w:rPr>
        <w:t>.2</w:t>
      </w:r>
      <w:r>
        <w:rPr>
          <w:rFonts w:ascii="黑体" w:eastAsia="黑体" w:hAnsi="黑体" w:hint="eastAsia"/>
          <w:b/>
          <w:bCs/>
        </w:rPr>
        <w:t>重大危险源辨识</w:t>
      </w:r>
    </w:p>
    <w:p w14:paraId="4FC7701B" w14:textId="77777777" w:rsidR="00EF4562" w:rsidRDefault="00000000">
      <w:pPr>
        <w:ind w:firstLine="560"/>
      </w:pPr>
      <w:r>
        <w:rPr>
          <w:rFonts w:hint="eastAsia"/>
        </w:rPr>
        <w:t>根据《危险化学品重大危险源辨识》（</w:t>
      </w:r>
      <w:r>
        <w:rPr>
          <w:rFonts w:hint="eastAsia"/>
        </w:rPr>
        <w:t>GB 18218-2018</w:t>
      </w:r>
      <w:r>
        <w:rPr>
          <w:rFonts w:hint="eastAsia"/>
        </w:rPr>
        <w:t>）的相关规定，危险化学品储罐以及其他容器、设备或仓储区的危险化学品的实际存在量按设计最大量确定。</w:t>
      </w:r>
    </w:p>
    <w:p w14:paraId="31248A2F" w14:textId="77777777" w:rsidR="00EF4562" w:rsidRDefault="00000000">
      <w:pPr>
        <w:ind w:firstLine="560"/>
      </w:pPr>
      <w:r>
        <w:rPr>
          <w:rFonts w:hint="eastAsia"/>
        </w:rPr>
        <w:t>对于危险化学品混合物，如果混合物与其纯物质属于相同危险类别，则视混合物为纯物质，按混合物整体进行计算。如果混合物与其纯物质不属于相同危险类别，则应按新危险类别考虑其临界量。</w:t>
      </w:r>
    </w:p>
    <w:p w14:paraId="61D606C3" w14:textId="77777777" w:rsidR="00EF4562" w:rsidRDefault="00000000">
      <w:pPr>
        <w:ind w:firstLine="560"/>
        <w:rPr>
          <w:rFonts w:cs="Times New Roman"/>
          <w:bCs/>
          <w:snapToGrid w:val="0"/>
          <w:kern w:val="0"/>
          <w:szCs w:val="28"/>
          <w:lang w:bidi="ar"/>
          <w14:ligatures w14:val="none"/>
        </w:rPr>
      </w:pPr>
      <w:r>
        <w:rPr>
          <w:rFonts w:cs="Times New Roman" w:hint="eastAsia"/>
          <w:bCs/>
          <w:snapToGrid w:val="0"/>
          <w:kern w:val="0"/>
          <w:szCs w:val="28"/>
          <w:lang w:bidi="ar"/>
          <w14:ligatures w14:val="none"/>
        </w:rPr>
        <w:t>本项目在经营、储存过程中，涉及构成危险化学品重大危险源的物质为车用乙醇汽油、柴油，其临界量分别为</w:t>
      </w:r>
      <w:r>
        <w:rPr>
          <w:rFonts w:cs="Times New Roman" w:hint="eastAsia"/>
          <w:bCs/>
          <w:snapToGrid w:val="0"/>
          <w:kern w:val="0"/>
          <w:szCs w:val="28"/>
          <w:lang w:bidi="ar"/>
          <w14:ligatures w14:val="none"/>
        </w:rPr>
        <w:t>200t</w:t>
      </w:r>
      <w:r>
        <w:rPr>
          <w:rFonts w:cs="Times New Roman" w:hint="eastAsia"/>
          <w:bCs/>
          <w:snapToGrid w:val="0"/>
          <w:kern w:val="0"/>
          <w:szCs w:val="28"/>
          <w:lang w:bidi="ar"/>
          <w14:ligatures w14:val="none"/>
        </w:rPr>
        <w:t>、</w:t>
      </w:r>
      <w:r>
        <w:rPr>
          <w:rFonts w:cs="Times New Roman" w:hint="eastAsia"/>
          <w:bCs/>
          <w:snapToGrid w:val="0"/>
          <w:kern w:val="0"/>
          <w:szCs w:val="28"/>
          <w:lang w:bidi="ar"/>
          <w14:ligatures w14:val="none"/>
        </w:rPr>
        <w:t>5000t</w:t>
      </w:r>
      <w:r>
        <w:rPr>
          <w:rFonts w:cs="Times New Roman" w:hint="eastAsia"/>
          <w:bCs/>
          <w:snapToGrid w:val="0"/>
          <w:kern w:val="0"/>
          <w:szCs w:val="28"/>
          <w:lang w:bidi="ar"/>
          <w14:ligatures w14:val="none"/>
        </w:rPr>
        <w:t>。</w:t>
      </w:r>
    </w:p>
    <w:p w14:paraId="6ACE50F0" w14:textId="77777777" w:rsidR="00EF4562" w:rsidRDefault="00000000">
      <w:pPr>
        <w:ind w:firstLine="560"/>
        <w:rPr>
          <w:rFonts w:cs="Times New Roman"/>
          <w:szCs w:val="28"/>
          <w:lang w:bidi="ar"/>
          <w14:ligatures w14:val="none"/>
        </w:rPr>
      </w:pPr>
      <w:r>
        <w:rPr>
          <w:rFonts w:cs="Times New Roman" w:hint="eastAsia"/>
          <w:szCs w:val="28"/>
          <w:lang w:bidi="ar"/>
          <w14:ligatures w14:val="none"/>
        </w:rPr>
        <w:t>储存单元不在本次评价范围内，该项目只涉及加油机以及管道部分，由于加油过程中加油机和管线内的油品来自储罐，加油机和管线内危险化学品的储油量远小于危险化学品重大危险源的临界量，因此，本项目未构成危险化学品重大危险源。</w:t>
      </w:r>
    </w:p>
    <w:p w14:paraId="0803E8D3" w14:textId="77777777" w:rsidR="00EF4562" w:rsidRDefault="00EF4562">
      <w:pPr>
        <w:ind w:firstLine="560"/>
        <w:sectPr w:rsidR="00EF4562">
          <w:pgSz w:w="11906" w:h="16838"/>
          <w:pgMar w:top="1418" w:right="1134" w:bottom="1134" w:left="1588" w:header="851" w:footer="992" w:gutter="0"/>
          <w:cols w:space="425"/>
          <w:docGrid w:type="linesAndChars" w:linePitch="381"/>
        </w:sectPr>
      </w:pPr>
    </w:p>
    <w:p w14:paraId="19078DD8" w14:textId="77777777" w:rsidR="00EF4562" w:rsidRDefault="00000000">
      <w:pPr>
        <w:spacing w:beforeLines="150" w:before="571" w:afterLines="150" w:after="571"/>
        <w:ind w:firstLineChars="0" w:firstLine="0"/>
        <w:jc w:val="center"/>
        <w:outlineLvl w:val="0"/>
        <w:rPr>
          <w:rFonts w:ascii="黑体" w:eastAsia="黑体" w:hAnsi="黑体" w:hint="eastAsia"/>
          <w:b/>
          <w:bCs/>
          <w:sz w:val="32"/>
          <w:szCs w:val="32"/>
        </w:rPr>
      </w:pPr>
      <w:bookmarkStart w:id="88" w:name="_Toc207695672"/>
      <w:r>
        <w:rPr>
          <w:rFonts w:ascii="黑体" w:eastAsia="黑体" w:hAnsi="黑体" w:hint="eastAsia"/>
          <w:b/>
          <w:bCs/>
          <w:sz w:val="32"/>
          <w:szCs w:val="32"/>
        </w:rPr>
        <w:lastRenderedPageBreak/>
        <w:t>附录</w:t>
      </w:r>
      <w:r>
        <w:rPr>
          <w:rFonts w:eastAsia="黑体" w:cs="Times New Roman"/>
          <w:b/>
          <w:bCs/>
          <w:sz w:val="32"/>
          <w:szCs w:val="32"/>
        </w:rPr>
        <w:t>D</w:t>
      </w:r>
      <w:r>
        <w:rPr>
          <w:rFonts w:ascii="黑体" w:eastAsia="黑体" w:hAnsi="黑体" w:hint="eastAsia"/>
          <w:b/>
          <w:bCs/>
          <w:sz w:val="32"/>
          <w:szCs w:val="32"/>
        </w:rPr>
        <w:t>定性、定量分析危险、有害程度的过程</w:t>
      </w:r>
      <w:bookmarkEnd w:id="88"/>
    </w:p>
    <w:p w14:paraId="51D94ADE" w14:textId="77777777" w:rsidR="00EF4562" w:rsidRDefault="00000000">
      <w:pPr>
        <w:spacing w:beforeLines="100" w:before="381" w:afterLines="100" w:after="381"/>
        <w:ind w:firstLineChars="0" w:firstLine="0"/>
        <w:jc w:val="center"/>
        <w:outlineLvl w:val="1"/>
        <w:rPr>
          <w:rFonts w:eastAsia="楷体" w:cs="Times New Roman"/>
          <w:b/>
          <w:bCs/>
          <w:sz w:val="32"/>
          <w:szCs w:val="32"/>
        </w:rPr>
      </w:pPr>
      <w:bookmarkStart w:id="89" w:name="_Toc207695673"/>
      <w:r>
        <w:rPr>
          <w:rFonts w:eastAsia="楷体" w:cs="Times New Roman"/>
          <w:b/>
          <w:bCs/>
          <w:sz w:val="32"/>
          <w:szCs w:val="32"/>
        </w:rPr>
        <w:t>D.1</w:t>
      </w:r>
      <w:r>
        <w:rPr>
          <w:rFonts w:eastAsia="楷体" w:cs="Times New Roman" w:hint="eastAsia"/>
          <w:b/>
          <w:bCs/>
          <w:sz w:val="32"/>
          <w:szCs w:val="32"/>
        </w:rPr>
        <w:t>安全检查表法</w:t>
      </w:r>
      <w:bookmarkEnd w:id="89"/>
    </w:p>
    <w:p w14:paraId="181A17B8" w14:textId="77777777" w:rsidR="00EF4562" w:rsidRDefault="00000000">
      <w:pPr>
        <w:ind w:firstLine="560"/>
      </w:pPr>
      <w:r>
        <w:rPr>
          <w:rFonts w:hint="eastAsia"/>
        </w:rPr>
        <w:t>根据《汽车加油加气加氢站技术标准》（</w:t>
      </w:r>
      <w:r>
        <w:rPr>
          <w:rFonts w:hint="eastAsia"/>
        </w:rPr>
        <w:t>GB 50156-2021</w:t>
      </w:r>
      <w:r>
        <w:rPr>
          <w:rFonts w:hint="eastAsia"/>
        </w:rPr>
        <w:t>）的有关要求采用安全检查表法对该项目的选址与总平面布置单元进行评价。检查结果见表</w:t>
      </w:r>
      <w:r>
        <w:rPr>
          <w:rFonts w:hint="eastAsia"/>
        </w:rPr>
        <w:t>D-1</w:t>
      </w:r>
      <w:r>
        <w:rPr>
          <w:rFonts w:hint="eastAsia"/>
        </w:rPr>
        <w:t>。</w:t>
      </w:r>
    </w:p>
    <w:p w14:paraId="3C0CA4FE"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t>表</w:t>
      </w:r>
      <w:r>
        <w:rPr>
          <w:rFonts w:eastAsia="黑体" w:cs="Times New Roman"/>
          <w:sz w:val="24"/>
        </w:rPr>
        <w:t>D-1</w:t>
      </w:r>
      <w:r>
        <w:rPr>
          <w:rFonts w:ascii="黑体" w:eastAsia="黑体" w:hAnsi="黑体" w:hint="eastAsia"/>
          <w:sz w:val="24"/>
        </w:rPr>
        <w:t xml:space="preserve">  选址与总平面布置单元安全检查表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2930"/>
        <w:gridCol w:w="2196"/>
        <w:gridCol w:w="2426"/>
        <w:gridCol w:w="886"/>
      </w:tblGrid>
      <w:tr w:rsidR="00EF4562" w14:paraId="02B430D3" w14:textId="77777777">
        <w:trPr>
          <w:cantSplit/>
          <w:trHeight w:val="454"/>
          <w:tblHeader/>
          <w:jc w:val="center"/>
        </w:trPr>
        <w:tc>
          <w:tcPr>
            <w:tcW w:w="401" w:type="pct"/>
            <w:vAlign w:val="center"/>
          </w:tcPr>
          <w:p w14:paraId="4C227220"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序号</w:t>
            </w:r>
          </w:p>
        </w:tc>
        <w:tc>
          <w:tcPr>
            <w:tcW w:w="1597" w:type="pct"/>
            <w:vAlign w:val="center"/>
          </w:tcPr>
          <w:p w14:paraId="608104E6"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检查内容</w:t>
            </w:r>
          </w:p>
        </w:tc>
        <w:tc>
          <w:tcPr>
            <w:tcW w:w="1197" w:type="pct"/>
            <w:vAlign w:val="center"/>
          </w:tcPr>
          <w:p w14:paraId="50A5CC23"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检查依据</w:t>
            </w:r>
          </w:p>
        </w:tc>
        <w:tc>
          <w:tcPr>
            <w:tcW w:w="1322" w:type="pct"/>
            <w:vAlign w:val="center"/>
          </w:tcPr>
          <w:p w14:paraId="039539BA"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检查记录</w:t>
            </w:r>
          </w:p>
        </w:tc>
        <w:tc>
          <w:tcPr>
            <w:tcW w:w="483" w:type="pct"/>
            <w:vAlign w:val="center"/>
          </w:tcPr>
          <w:p w14:paraId="0ED45456"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结果</w:t>
            </w:r>
          </w:p>
        </w:tc>
      </w:tr>
      <w:tr w:rsidR="00EF4562" w14:paraId="6CE7B118" w14:textId="77777777">
        <w:trPr>
          <w:cantSplit/>
          <w:trHeight w:val="454"/>
          <w:jc w:val="center"/>
        </w:trPr>
        <w:tc>
          <w:tcPr>
            <w:tcW w:w="401" w:type="pct"/>
            <w:vAlign w:val="center"/>
          </w:tcPr>
          <w:p w14:paraId="55C1D05D" w14:textId="77777777" w:rsidR="00EF4562" w:rsidRDefault="00EF4562">
            <w:pPr>
              <w:numPr>
                <w:ilvl w:val="0"/>
                <w:numId w:val="16"/>
              </w:numPr>
              <w:tabs>
                <w:tab w:val="left" w:pos="1200"/>
                <w:tab w:val="left" w:pos="1276"/>
              </w:tabs>
              <w:adjustRightInd/>
              <w:snapToGrid/>
              <w:spacing w:line="240" w:lineRule="auto"/>
              <w:ind w:left="0" w:firstLineChars="0" w:firstLine="0"/>
              <w:jc w:val="center"/>
              <w:rPr>
                <w:rFonts w:cs="Times New Roman"/>
                <w:kern w:val="0"/>
                <w:sz w:val="24"/>
                <w:lang w:eastAsia="en-US"/>
                <w14:ligatures w14:val="none"/>
              </w:rPr>
            </w:pPr>
          </w:p>
        </w:tc>
        <w:tc>
          <w:tcPr>
            <w:tcW w:w="1597" w:type="pct"/>
            <w:vAlign w:val="center"/>
          </w:tcPr>
          <w:p w14:paraId="07636518" w14:textId="77777777" w:rsidR="00EF4562" w:rsidRDefault="00000000">
            <w:pPr>
              <w:spacing w:line="240" w:lineRule="auto"/>
              <w:ind w:firstLineChars="0" w:firstLine="0"/>
              <w:jc w:val="left"/>
              <w:rPr>
                <w:rFonts w:cs="Times New Roman"/>
                <w:sz w:val="21"/>
                <w:szCs w:val="21"/>
                <w14:ligatures w14:val="none"/>
              </w:rPr>
            </w:pPr>
            <w:r>
              <w:rPr>
                <w:rFonts w:cs="Times New Roman"/>
                <w:kern w:val="28"/>
                <w:sz w:val="21"/>
                <w:szCs w:val="21"/>
                <w14:ligatures w14:val="none"/>
              </w:rPr>
              <w:t>汽车加油站的站址选择应符合有关规划、环境保护和防火安全的要求，并应选在交通便利、用户使用方便的地点</w:t>
            </w:r>
          </w:p>
        </w:tc>
        <w:tc>
          <w:tcPr>
            <w:tcW w:w="1197" w:type="pct"/>
            <w:vAlign w:val="center"/>
          </w:tcPr>
          <w:p w14:paraId="0B2A0404"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GB50156-2021</w:t>
            </w:r>
          </w:p>
          <w:p w14:paraId="65E8CD11"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第</w:t>
            </w:r>
            <w:r>
              <w:rPr>
                <w:rFonts w:cs="Times New Roman"/>
                <w:kern w:val="28"/>
                <w:sz w:val="21"/>
                <w:szCs w:val="21"/>
                <w14:ligatures w14:val="none"/>
              </w:rPr>
              <w:t>4.0.1</w:t>
            </w:r>
            <w:r>
              <w:rPr>
                <w:rFonts w:cs="Times New Roman"/>
                <w:kern w:val="28"/>
                <w:sz w:val="21"/>
                <w:szCs w:val="21"/>
                <w14:ligatures w14:val="none"/>
              </w:rPr>
              <w:t>条</w:t>
            </w:r>
          </w:p>
        </w:tc>
        <w:tc>
          <w:tcPr>
            <w:tcW w:w="1322" w:type="pct"/>
            <w:vAlign w:val="center"/>
          </w:tcPr>
          <w:p w14:paraId="2F0FE72F" w14:textId="77777777" w:rsidR="00EF4562" w:rsidRDefault="00000000">
            <w:pPr>
              <w:spacing w:line="240" w:lineRule="auto"/>
              <w:ind w:firstLineChars="0" w:firstLine="0"/>
              <w:jc w:val="left"/>
              <w:rPr>
                <w:rFonts w:cs="Times New Roman"/>
                <w:sz w:val="21"/>
                <w:szCs w:val="21"/>
                <w14:ligatures w14:val="none"/>
              </w:rPr>
            </w:pPr>
            <w:r>
              <w:rPr>
                <w:rFonts w:cs="Times New Roman" w:hint="eastAsia"/>
                <w:sz w:val="21"/>
                <w:szCs w:val="21"/>
                <w14:ligatures w14:val="none"/>
              </w:rPr>
              <w:t>该项目为改建项目，原站址符合有关规划、环境保护和防火安全的要求</w:t>
            </w:r>
          </w:p>
        </w:tc>
        <w:tc>
          <w:tcPr>
            <w:tcW w:w="483" w:type="pct"/>
            <w:vAlign w:val="center"/>
          </w:tcPr>
          <w:p w14:paraId="1024C008"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符合</w:t>
            </w:r>
          </w:p>
        </w:tc>
      </w:tr>
      <w:tr w:rsidR="00EF4562" w14:paraId="61E308A3" w14:textId="77777777">
        <w:trPr>
          <w:cantSplit/>
          <w:trHeight w:val="454"/>
          <w:jc w:val="center"/>
        </w:trPr>
        <w:tc>
          <w:tcPr>
            <w:tcW w:w="401" w:type="pct"/>
            <w:vAlign w:val="center"/>
          </w:tcPr>
          <w:p w14:paraId="0F81DCC8" w14:textId="77777777" w:rsidR="00EF4562" w:rsidRDefault="00EF4562">
            <w:pPr>
              <w:numPr>
                <w:ilvl w:val="0"/>
                <w:numId w:val="16"/>
              </w:numPr>
              <w:tabs>
                <w:tab w:val="left" w:pos="1200"/>
                <w:tab w:val="left" w:pos="1276"/>
              </w:tabs>
              <w:adjustRightInd/>
              <w:snapToGrid/>
              <w:spacing w:line="240" w:lineRule="auto"/>
              <w:ind w:left="0" w:firstLineChars="0" w:firstLine="0"/>
              <w:jc w:val="center"/>
              <w:rPr>
                <w:rFonts w:cs="Times New Roman"/>
                <w:kern w:val="0"/>
                <w:sz w:val="24"/>
                <w:lang w:eastAsia="en-US"/>
                <w14:ligatures w14:val="none"/>
              </w:rPr>
            </w:pPr>
          </w:p>
        </w:tc>
        <w:tc>
          <w:tcPr>
            <w:tcW w:w="1597" w:type="pct"/>
            <w:vAlign w:val="center"/>
          </w:tcPr>
          <w:p w14:paraId="03FFB043" w14:textId="77777777" w:rsidR="00EF4562" w:rsidRDefault="00000000">
            <w:pPr>
              <w:spacing w:line="240" w:lineRule="auto"/>
              <w:ind w:firstLineChars="0" w:firstLine="0"/>
              <w:jc w:val="left"/>
              <w:rPr>
                <w:rFonts w:cs="Times New Roman"/>
                <w:kern w:val="28"/>
                <w:sz w:val="21"/>
                <w:szCs w:val="21"/>
                <w14:ligatures w14:val="none"/>
              </w:rPr>
            </w:pPr>
            <w:r>
              <w:rPr>
                <w:rFonts w:cs="Times New Roman"/>
                <w:sz w:val="21"/>
                <w14:ligatures w14:val="none"/>
              </w:rPr>
              <w:t>在城市中心区不应建一级加油</w:t>
            </w:r>
            <w:r>
              <w:rPr>
                <w:rFonts w:cs="Times New Roman" w:hint="eastAsia"/>
                <w:sz w:val="21"/>
                <w14:ligatures w14:val="none"/>
              </w:rPr>
              <w:t>加气</w:t>
            </w:r>
            <w:r>
              <w:rPr>
                <w:rFonts w:cs="Times New Roman"/>
                <w:sz w:val="21"/>
                <w14:ligatures w14:val="none"/>
              </w:rPr>
              <w:t>站</w:t>
            </w:r>
          </w:p>
        </w:tc>
        <w:tc>
          <w:tcPr>
            <w:tcW w:w="1197" w:type="pct"/>
            <w:vAlign w:val="center"/>
          </w:tcPr>
          <w:p w14:paraId="0319B862"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GB50156-2021</w:t>
            </w:r>
          </w:p>
          <w:p w14:paraId="0CC34A5E"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第</w:t>
            </w:r>
            <w:r>
              <w:rPr>
                <w:rFonts w:cs="Times New Roman"/>
                <w:kern w:val="28"/>
                <w:sz w:val="21"/>
                <w:szCs w:val="21"/>
                <w14:ligatures w14:val="none"/>
              </w:rPr>
              <w:t>4.0.2</w:t>
            </w:r>
            <w:r>
              <w:rPr>
                <w:rFonts w:cs="Times New Roman"/>
                <w:kern w:val="28"/>
                <w:sz w:val="21"/>
                <w:szCs w:val="21"/>
                <w14:ligatures w14:val="none"/>
              </w:rPr>
              <w:t>条</w:t>
            </w:r>
          </w:p>
        </w:tc>
        <w:tc>
          <w:tcPr>
            <w:tcW w:w="1322" w:type="pct"/>
            <w:vAlign w:val="center"/>
          </w:tcPr>
          <w:p w14:paraId="3B08A58F" w14:textId="77777777" w:rsidR="00EF4562" w:rsidRDefault="00000000">
            <w:pPr>
              <w:spacing w:line="240" w:lineRule="auto"/>
              <w:ind w:firstLineChars="0" w:firstLine="0"/>
              <w:jc w:val="left"/>
              <w:rPr>
                <w:rFonts w:cs="Times New Roman"/>
                <w:kern w:val="28"/>
                <w:sz w:val="21"/>
                <w:szCs w:val="21"/>
                <w14:ligatures w14:val="none"/>
              </w:rPr>
            </w:pPr>
            <w:r>
              <w:rPr>
                <w:rFonts w:cs="Times New Roman"/>
                <w:sz w:val="21"/>
                <w14:ligatures w14:val="none"/>
              </w:rPr>
              <w:t>该站</w:t>
            </w:r>
            <w:r>
              <w:rPr>
                <w:rFonts w:cs="Times New Roman" w:hint="eastAsia"/>
                <w:sz w:val="21"/>
                <w14:ligatures w14:val="none"/>
              </w:rPr>
              <w:t>为一级加油与</w:t>
            </w:r>
            <w:r>
              <w:rPr>
                <w:rFonts w:cs="Times New Roman" w:hint="eastAsia"/>
                <w:sz w:val="21"/>
                <w14:ligatures w14:val="none"/>
              </w:rPr>
              <w:t>LNG</w:t>
            </w:r>
            <w:r>
              <w:rPr>
                <w:rFonts w:cs="Times New Roman" w:hint="eastAsia"/>
                <w:sz w:val="21"/>
                <w14:ligatures w14:val="none"/>
              </w:rPr>
              <w:t>加气站，未建在城市中心区</w:t>
            </w:r>
          </w:p>
        </w:tc>
        <w:tc>
          <w:tcPr>
            <w:tcW w:w="483" w:type="pct"/>
            <w:vAlign w:val="center"/>
          </w:tcPr>
          <w:p w14:paraId="55C42C44"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符合</w:t>
            </w:r>
          </w:p>
        </w:tc>
      </w:tr>
      <w:tr w:rsidR="00EF4562" w14:paraId="2ECB85A8" w14:textId="77777777">
        <w:trPr>
          <w:cantSplit/>
          <w:trHeight w:val="454"/>
          <w:jc w:val="center"/>
        </w:trPr>
        <w:tc>
          <w:tcPr>
            <w:tcW w:w="401" w:type="pct"/>
            <w:vAlign w:val="center"/>
          </w:tcPr>
          <w:p w14:paraId="5DCF508C" w14:textId="77777777" w:rsidR="00EF4562" w:rsidRDefault="00EF4562">
            <w:pPr>
              <w:numPr>
                <w:ilvl w:val="0"/>
                <w:numId w:val="16"/>
              </w:numPr>
              <w:tabs>
                <w:tab w:val="left" w:pos="1200"/>
                <w:tab w:val="left" w:pos="1276"/>
              </w:tabs>
              <w:adjustRightInd/>
              <w:snapToGrid/>
              <w:spacing w:line="240" w:lineRule="auto"/>
              <w:ind w:left="0" w:firstLineChars="0" w:firstLine="0"/>
              <w:jc w:val="center"/>
              <w:rPr>
                <w:rFonts w:cs="Times New Roman"/>
                <w:kern w:val="0"/>
                <w:sz w:val="24"/>
                <w:lang w:eastAsia="en-US"/>
                <w14:ligatures w14:val="none"/>
              </w:rPr>
            </w:pPr>
          </w:p>
        </w:tc>
        <w:tc>
          <w:tcPr>
            <w:tcW w:w="1597" w:type="pct"/>
            <w:vAlign w:val="center"/>
          </w:tcPr>
          <w:p w14:paraId="7551E3F2" w14:textId="77777777" w:rsidR="00EF4562" w:rsidRDefault="00000000">
            <w:pPr>
              <w:spacing w:line="240" w:lineRule="auto"/>
              <w:ind w:firstLineChars="0" w:firstLine="0"/>
              <w:jc w:val="left"/>
              <w:rPr>
                <w:rFonts w:cs="Times New Roman"/>
                <w:sz w:val="21"/>
                <w14:ligatures w14:val="none"/>
              </w:rPr>
            </w:pPr>
            <w:r>
              <w:rPr>
                <w:rFonts w:cs="Times New Roman"/>
                <w:kern w:val="28"/>
                <w:sz w:val="21"/>
                <w:szCs w:val="21"/>
                <w14:ligatures w14:val="none"/>
              </w:rPr>
              <w:t>架空电力线路不应跨越汽车加油</w:t>
            </w:r>
            <w:r>
              <w:rPr>
                <w:rFonts w:cs="Times New Roman" w:hint="eastAsia"/>
                <w:kern w:val="28"/>
                <w:sz w:val="21"/>
                <w:szCs w:val="21"/>
                <w14:ligatures w14:val="none"/>
              </w:rPr>
              <w:t>加气</w:t>
            </w:r>
            <w:r>
              <w:rPr>
                <w:rFonts w:cs="Times New Roman"/>
                <w:kern w:val="28"/>
                <w:sz w:val="21"/>
                <w:szCs w:val="21"/>
                <w14:ligatures w14:val="none"/>
              </w:rPr>
              <w:t>站的作业区</w:t>
            </w:r>
          </w:p>
        </w:tc>
        <w:tc>
          <w:tcPr>
            <w:tcW w:w="1197" w:type="pct"/>
            <w:vAlign w:val="center"/>
          </w:tcPr>
          <w:p w14:paraId="61A2B9FE"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GB50156-2021</w:t>
            </w:r>
          </w:p>
          <w:p w14:paraId="3AC62183"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第</w:t>
            </w:r>
            <w:r>
              <w:rPr>
                <w:rFonts w:cs="Times New Roman"/>
                <w:kern w:val="28"/>
                <w:sz w:val="21"/>
                <w:szCs w:val="21"/>
                <w14:ligatures w14:val="none"/>
              </w:rPr>
              <w:t>4.0.12</w:t>
            </w:r>
            <w:r>
              <w:rPr>
                <w:rFonts w:cs="Times New Roman"/>
                <w:kern w:val="28"/>
                <w:sz w:val="21"/>
                <w:szCs w:val="21"/>
                <w14:ligatures w14:val="none"/>
              </w:rPr>
              <w:t>条</w:t>
            </w:r>
          </w:p>
        </w:tc>
        <w:tc>
          <w:tcPr>
            <w:tcW w:w="1322" w:type="pct"/>
            <w:vAlign w:val="center"/>
          </w:tcPr>
          <w:p w14:paraId="5E006911" w14:textId="77777777" w:rsidR="00EF4562" w:rsidRDefault="00000000">
            <w:pPr>
              <w:spacing w:line="240" w:lineRule="auto"/>
              <w:ind w:firstLineChars="0" w:firstLine="0"/>
              <w:jc w:val="left"/>
              <w:rPr>
                <w:rFonts w:cs="Times New Roman"/>
                <w:sz w:val="21"/>
                <w:szCs w:val="20"/>
                <w14:ligatures w14:val="none"/>
              </w:rPr>
            </w:pPr>
            <w:r>
              <w:rPr>
                <w:rFonts w:cs="Times New Roman"/>
                <w:kern w:val="28"/>
                <w:sz w:val="21"/>
                <w:szCs w:val="21"/>
                <w14:ligatures w14:val="none"/>
              </w:rPr>
              <w:t>架空电力线路未跨越</w:t>
            </w:r>
            <w:r>
              <w:rPr>
                <w:rFonts w:cs="Times New Roman" w:hint="eastAsia"/>
                <w:kern w:val="28"/>
                <w:sz w:val="21"/>
                <w:szCs w:val="21"/>
                <w14:ligatures w14:val="none"/>
              </w:rPr>
              <w:t>加油站的</w:t>
            </w:r>
            <w:r>
              <w:rPr>
                <w:rFonts w:cs="Times New Roman"/>
                <w:kern w:val="28"/>
                <w:sz w:val="21"/>
                <w:szCs w:val="21"/>
                <w14:ligatures w14:val="none"/>
              </w:rPr>
              <w:t>作业区</w:t>
            </w:r>
          </w:p>
        </w:tc>
        <w:tc>
          <w:tcPr>
            <w:tcW w:w="483" w:type="pct"/>
            <w:vAlign w:val="center"/>
          </w:tcPr>
          <w:p w14:paraId="50CBA025"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符合</w:t>
            </w:r>
          </w:p>
        </w:tc>
      </w:tr>
      <w:tr w:rsidR="00EF4562" w14:paraId="2211B514" w14:textId="77777777">
        <w:trPr>
          <w:cantSplit/>
          <w:trHeight w:val="454"/>
          <w:jc w:val="center"/>
        </w:trPr>
        <w:tc>
          <w:tcPr>
            <w:tcW w:w="401" w:type="pct"/>
            <w:vAlign w:val="center"/>
          </w:tcPr>
          <w:p w14:paraId="50D34C2E" w14:textId="77777777" w:rsidR="00EF4562" w:rsidRDefault="00EF4562">
            <w:pPr>
              <w:numPr>
                <w:ilvl w:val="0"/>
                <w:numId w:val="16"/>
              </w:numPr>
              <w:tabs>
                <w:tab w:val="left" w:pos="1200"/>
                <w:tab w:val="left" w:pos="1276"/>
              </w:tabs>
              <w:adjustRightInd/>
              <w:snapToGrid/>
              <w:spacing w:line="240" w:lineRule="auto"/>
              <w:ind w:left="0" w:firstLineChars="0" w:firstLine="0"/>
              <w:jc w:val="center"/>
              <w:rPr>
                <w:rFonts w:cs="Times New Roman"/>
                <w:kern w:val="0"/>
                <w:sz w:val="24"/>
                <w:lang w:eastAsia="en-US"/>
                <w14:ligatures w14:val="none"/>
              </w:rPr>
            </w:pPr>
          </w:p>
        </w:tc>
        <w:tc>
          <w:tcPr>
            <w:tcW w:w="1597" w:type="pct"/>
            <w:vAlign w:val="center"/>
          </w:tcPr>
          <w:p w14:paraId="551E6BDC" w14:textId="77777777" w:rsidR="00EF4562" w:rsidRDefault="00000000">
            <w:pPr>
              <w:spacing w:line="240" w:lineRule="auto"/>
              <w:ind w:firstLineChars="0" w:firstLine="0"/>
              <w:jc w:val="left"/>
              <w:rPr>
                <w:rFonts w:cs="Times New Roman"/>
                <w:kern w:val="28"/>
                <w:sz w:val="21"/>
                <w:szCs w:val="21"/>
                <w14:ligatures w14:val="none"/>
              </w:rPr>
            </w:pPr>
            <w:r>
              <w:rPr>
                <w:rFonts w:cs="Times New Roman"/>
                <w:kern w:val="28"/>
                <w:sz w:val="21"/>
                <w:szCs w:val="21"/>
                <w14:ligatures w14:val="none"/>
              </w:rPr>
              <w:t>与汽车加油加气站无关的可燃介质管道不应穿越汽车加油加气站用地范围</w:t>
            </w:r>
          </w:p>
        </w:tc>
        <w:tc>
          <w:tcPr>
            <w:tcW w:w="1197" w:type="pct"/>
            <w:vAlign w:val="center"/>
          </w:tcPr>
          <w:p w14:paraId="0B1CA706"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GB50156-2021</w:t>
            </w:r>
          </w:p>
          <w:p w14:paraId="65404B52"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第</w:t>
            </w:r>
            <w:r>
              <w:rPr>
                <w:rFonts w:cs="Times New Roman"/>
                <w:kern w:val="28"/>
                <w:sz w:val="21"/>
                <w:szCs w:val="21"/>
                <w14:ligatures w14:val="none"/>
              </w:rPr>
              <w:t>4.0.13</w:t>
            </w:r>
            <w:r>
              <w:rPr>
                <w:rFonts w:cs="Times New Roman"/>
                <w:kern w:val="28"/>
                <w:sz w:val="21"/>
                <w:szCs w:val="21"/>
                <w14:ligatures w14:val="none"/>
              </w:rPr>
              <w:t>条</w:t>
            </w:r>
          </w:p>
        </w:tc>
        <w:tc>
          <w:tcPr>
            <w:tcW w:w="1322" w:type="pct"/>
            <w:vAlign w:val="center"/>
          </w:tcPr>
          <w:p w14:paraId="6E968731" w14:textId="77777777" w:rsidR="00EF4562" w:rsidRDefault="00000000">
            <w:pPr>
              <w:spacing w:line="240" w:lineRule="auto"/>
              <w:ind w:firstLineChars="0" w:firstLine="0"/>
              <w:jc w:val="left"/>
              <w:rPr>
                <w:rFonts w:cs="Times New Roman"/>
                <w:kern w:val="28"/>
                <w:sz w:val="21"/>
                <w:szCs w:val="21"/>
                <w14:ligatures w14:val="none"/>
              </w:rPr>
            </w:pPr>
            <w:r>
              <w:rPr>
                <w:rFonts w:cs="Times New Roman"/>
                <w:kern w:val="28"/>
                <w:sz w:val="21"/>
                <w:szCs w:val="21"/>
                <w14:ligatures w14:val="none"/>
              </w:rPr>
              <w:t>无上述情况</w:t>
            </w:r>
          </w:p>
        </w:tc>
        <w:tc>
          <w:tcPr>
            <w:tcW w:w="483" w:type="pct"/>
            <w:vAlign w:val="center"/>
          </w:tcPr>
          <w:p w14:paraId="1FCD4D0D"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符合</w:t>
            </w:r>
          </w:p>
        </w:tc>
      </w:tr>
      <w:tr w:rsidR="00EF4562" w14:paraId="77E43722" w14:textId="77777777">
        <w:trPr>
          <w:cantSplit/>
          <w:trHeight w:val="454"/>
          <w:jc w:val="center"/>
        </w:trPr>
        <w:tc>
          <w:tcPr>
            <w:tcW w:w="401" w:type="pct"/>
            <w:vAlign w:val="center"/>
          </w:tcPr>
          <w:p w14:paraId="1C5C9370" w14:textId="77777777" w:rsidR="00EF4562" w:rsidRDefault="00EF4562">
            <w:pPr>
              <w:numPr>
                <w:ilvl w:val="0"/>
                <w:numId w:val="16"/>
              </w:numPr>
              <w:tabs>
                <w:tab w:val="left" w:pos="1200"/>
                <w:tab w:val="left" w:pos="1276"/>
              </w:tabs>
              <w:adjustRightInd/>
              <w:snapToGrid/>
              <w:spacing w:line="240" w:lineRule="auto"/>
              <w:ind w:left="0" w:firstLineChars="0" w:firstLine="0"/>
              <w:jc w:val="center"/>
              <w:rPr>
                <w:rFonts w:cs="Times New Roman"/>
                <w:kern w:val="0"/>
                <w:sz w:val="24"/>
                <w:lang w:eastAsia="en-US"/>
                <w14:ligatures w14:val="none"/>
              </w:rPr>
            </w:pPr>
          </w:p>
        </w:tc>
        <w:tc>
          <w:tcPr>
            <w:tcW w:w="1597" w:type="pct"/>
            <w:vAlign w:val="center"/>
          </w:tcPr>
          <w:p w14:paraId="2690FAFE" w14:textId="77777777" w:rsidR="00EF4562" w:rsidRDefault="00000000">
            <w:pPr>
              <w:spacing w:line="240" w:lineRule="auto"/>
              <w:ind w:firstLineChars="0" w:firstLine="0"/>
              <w:jc w:val="left"/>
              <w:rPr>
                <w:rFonts w:cs="Times New Roman"/>
                <w:kern w:val="28"/>
                <w:sz w:val="21"/>
                <w:szCs w:val="21"/>
                <w14:ligatures w14:val="none"/>
              </w:rPr>
            </w:pPr>
            <w:r>
              <w:rPr>
                <w:rFonts w:cs="Times New Roman"/>
                <w:kern w:val="28"/>
                <w:sz w:val="21"/>
                <w:szCs w:val="21"/>
                <w14:ligatures w14:val="none"/>
              </w:rPr>
              <w:t>车辆入口和出口分开设置</w:t>
            </w:r>
          </w:p>
        </w:tc>
        <w:tc>
          <w:tcPr>
            <w:tcW w:w="1197" w:type="pct"/>
            <w:vAlign w:val="center"/>
          </w:tcPr>
          <w:p w14:paraId="22F9AACE"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GB50156-2021</w:t>
            </w:r>
          </w:p>
          <w:p w14:paraId="5F1A7414"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第</w:t>
            </w:r>
            <w:r>
              <w:rPr>
                <w:rFonts w:cs="Times New Roman"/>
                <w:kern w:val="28"/>
                <w:sz w:val="21"/>
                <w:szCs w:val="21"/>
                <w14:ligatures w14:val="none"/>
              </w:rPr>
              <w:t>5.0.1</w:t>
            </w:r>
            <w:r>
              <w:rPr>
                <w:rFonts w:cs="Times New Roman"/>
                <w:kern w:val="28"/>
                <w:sz w:val="21"/>
                <w:szCs w:val="21"/>
                <w14:ligatures w14:val="none"/>
              </w:rPr>
              <w:t>条</w:t>
            </w:r>
          </w:p>
        </w:tc>
        <w:tc>
          <w:tcPr>
            <w:tcW w:w="1322" w:type="pct"/>
            <w:vAlign w:val="center"/>
          </w:tcPr>
          <w:p w14:paraId="14E41BE7" w14:textId="77777777" w:rsidR="00EF4562" w:rsidRDefault="00000000">
            <w:pPr>
              <w:spacing w:line="240" w:lineRule="auto"/>
              <w:ind w:firstLineChars="0" w:firstLine="0"/>
              <w:jc w:val="left"/>
              <w:rPr>
                <w:rFonts w:cs="Times New Roman"/>
                <w:kern w:val="28"/>
                <w:sz w:val="21"/>
                <w:szCs w:val="21"/>
                <w14:ligatures w14:val="none"/>
              </w:rPr>
            </w:pPr>
            <w:r>
              <w:rPr>
                <w:rFonts w:cs="Times New Roman"/>
                <w:kern w:val="28"/>
                <w:sz w:val="21"/>
                <w:szCs w:val="21"/>
                <w14:ligatures w14:val="none"/>
              </w:rPr>
              <w:t>加油站进出口分开设置</w:t>
            </w:r>
          </w:p>
        </w:tc>
        <w:tc>
          <w:tcPr>
            <w:tcW w:w="483" w:type="pct"/>
            <w:vAlign w:val="center"/>
          </w:tcPr>
          <w:p w14:paraId="0E0F3155"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符合</w:t>
            </w:r>
          </w:p>
        </w:tc>
      </w:tr>
      <w:tr w:rsidR="00EF4562" w14:paraId="51697D29" w14:textId="77777777">
        <w:trPr>
          <w:cantSplit/>
          <w:trHeight w:val="454"/>
          <w:jc w:val="center"/>
        </w:trPr>
        <w:tc>
          <w:tcPr>
            <w:tcW w:w="401" w:type="pct"/>
            <w:vAlign w:val="center"/>
          </w:tcPr>
          <w:p w14:paraId="09240878" w14:textId="77777777" w:rsidR="00EF4562" w:rsidRDefault="00EF4562">
            <w:pPr>
              <w:numPr>
                <w:ilvl w:val="0"/>
                <w:numId w:val="16"/>
              </w:numPr>
              <w:tabs>
                <w:tab w:val="left" w:pos="1200"/>
                <w:tab w:val="left" w:pos="1276"/>
              </w:tabs>
              <w:adjustRightInd/>
              <w:snapToGrid/>
              <w:spacing w:line="240" w:lineRule="auto"/>
              <w:ind w:left="0" w:firstLineChars="0" w:firstLine="0"/>
              <w:jc w:val="center"/>
              <w:rPr>
                <w:rFonts w:cs="Times New Roman"/>
                <w:kern w:val="0"/>
                <w:sz w:val="24"/>
                <w:lang w:eastAsia="en-US"/>
                <w14:ligatures w14:val="none"/>
              </w:rPr>
            </w:pPr>
          </w:p>
        </w:tc>
        <w:tc>
          <w:tcPr>
            <w:tcW w:w="1597" w:type="pct"/>
            <w:vAlign w:val="center"/>
          </w:tcPr>
          <w:p w14:paraId="46659379" w14:textId="77777777" w:rsidR="00EF4562" w:rsidRDefault="00000000">
            <w:pPr>
              <w:spacing w:line="240" w:lineRule="auto"/>
              <w:ind w:firstLineChars="0" w:firstLine="0"/>
              <w:jc w:val="left"/>
              <w:rPr>
                <w:rFonts w:cs="Times New Roman"/>
                <w:kern w:val="28"/>
                <w:sz w:val="21"/>
                <w:szCs w:val="21"/>
                <w14:ligatures w14:val="none"/>
              </w:rPr>
            </w:pPr>
            <w:r>
              <w:rPr>
                <w:rFonts w:cs="Times New Roman"/>
                <w:kern w:val="28"/>
                <w:sz w:val="21"/>
                <w:szCs w:val="21"/>
                <w14:ligatures w14:val="none"/>
              </w:rPr>
              <w:t>作业区内的停车场和道路路面不应采用沥青路面</w:t>
            </w:r>
          </w:p>
        </w:tc>
        <w:tc>
          <w:tcPr>
            <w:tcW w:w="1197" w:type="pct"/>
            <w:vAlign w:val="center"/>
          </w:tcPr>
          <w:p w14:paraId="41D7656B"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GB50156-2021</w:t>
            </w:r>
          </w:p>
          <w:p w14:paraId="7F5A9940"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第</w:t>
            </w:r>
            <w:r>
              <w:rPr>
                <w:rFonts w:cs="Times New Roman"/>
                <w:kern w:val="28"/>
                <w:sz w:val="21"/>
                <w:szCs w:val="21"/>
                <w14:ligatures w14:val="none"/>
              </w:rPr>
              <w:t>5.0.2</w:t>
            </w:r>
            <w:r>
              <w:rPr>
                <w:rFonts w:cs="Times New Roman"/>
                <w:kern w:val="28"/>
                <w:sz w:val="21"/>
                <w:szCs w:val="21"/>
                <w14:ligatures w14:val="none"/>
              </w:rPr>
              <w:t>条</w:t>
            </w:r>
          </w:p>
        </w:tc>
        <w:tc>
          <w:tcPr>
            <w:tcW w:w="1322" w:type="pct"/>
            <w:vAlign w:val="center"/>
          </w:tcPr>
          <w:p w14:paraId="51B63538" w14:textId="77777777" w:rsidR="00EF4562" w:rsidRDefault="00000000">
            <w:pPr>
              <w:spacing w:line="240" w:lineRule="auto"/>
              <w:ind w:firstLineChars="0" w:firstLine="0"/>
              <w:jc w:val="left"/>
              <w:rPr>
                <w:rFonts w:cs="Times New Roman"/>
                <w:kern w:val="28"/>
                <w:sz w:val="21"/>
                <w:szCs w:val="21"/>
                <w14:ligatures w14:val="none"/>
              </w:rPr>
            </w:pPr>
            <w:r>
              <w:rPr>
                <w:rFonts w:cs="Times New Roman" w:hint="eastAsia"/>
                <w:kern w:val="28"/>
                <w:sz w:val="21"/>
                <w:szCs w:val="21"/>
                <w14:ligatures w14:val="none"/>
              </w:rPr>
              <w:t>作业区内的停车场和道路路面未采用沥青路面</w:t>
            </w:r>
          </w:p>
        </w:tc>
        <w:tc>
          <w:tcPr>
            <w:tcW w:w="483" w:type="pct"/>
            <w:vAlign w:val="center"/>
          </w:tcPr>
          <w:p w14:paraId="562480AE"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符合</w:t>
            </w:r>
          </w:p>
        </w:tc>
      </w:tr>
      <w:tr w:rsidR="00EF4562" w14:paraId="35EA3CD0" w14:textId="77777777">
        <w:trPr>
          <w:cantSplit/>
          <w:trHeight w:val="454"/>
          <w:jc w:val="center"/>
        </w:trPr>
        <w:tc>
          <w:tcPr>
            <w:tcW w:w="401" w:type="pct"/>
            <w:vAlign w:val="center"/>
          </w:tcPr>
          <w:p w14:paraId="56F36197" w14:textId="77777777" w:rsidR="00EF4562" w:rsidRDefault="00EF4562">
            <w:pPr>
              <w:numPr>
                <w:ilvl w:val="0"/>
                <w:numId w:val="16"/>
              </w:numPr>
              <w:tabs>
                <w:tab w:val="left" w:pos="1200"/>
                <w:tab w:val="left" w:pos="1276"/>
              </w:tabs>
              <w:adjustRightInd/>
              <w:snapToGrid/>
              <w:spacing w:line="240" w:lineRule="auto"/>
              <w:ind w:left="0" w:firstLineChars="0" w:firstLine="0"/>
              <w:jc w:val="center"/>
              <w:rPr>
                <w:rFonts w:cs="Times New Roman"/>
                <w:kern w:val="0"/>
                <w:sz w:val="24"/>
                <w:lang w:eastAsia="en-US"/>
                <w14:ligatures w14:val="none"/>
              </w:rPr>
            </w:pPr>
          </w:p>
        </w:tc>
        <w:tc>
          <w:tcPr>
            <w:tcW w:w="1597" w:type="pct"/>
            <w:vAlign w:val="center"/>
          </w:tcPr>
          <w:p w14:paraId="51F3B393" w14:textId="77777777" w:rsidR="00EF4562" w:rsidRDefault="00000000">
            <w:pPr>
              <w:spacing w:line="240" w:lineRule="auto"/>
              <w:ind w:firstLineChars="0" w:firstLine="0"/>
              <w:jc w:val="left"/>
              <w:rPr>
                <w:rFonts w:cs="Times New Roman"/>
                <w:kern w:val="28"/>
                <w:sz w:val="21"/>
                <w:szCs w:val="21"/>
                <w14:ligatures w14:val="none"/>
              </w:rPr>
            </w:pPr>
            <w:r>
              <w:rPr>
                <w:rFonts w:cs="Times New Roman" w:hint="eastAsia"/>
                <w:sz w:val="21"/>
                <w14:ligatures w14:val="none"/>
              </w:rPr>
              <w:t>各类合建站中</w:t>
            </w:r>
            <w:r>
              <w:rPr>
                <w:rFonts w:cs="Times New Roman"/>
                <w:sz w:val="21"/>
                <w14:ligatures w14:val="none"/>
              </w:rPr>
              <w:t>的</w:t>
            </w:r>
            <w:r>
              <w:rPr>
                <w:rFonts w:cs="Times New Roman" w:hint="eastAsia"/>
                <w:sz w:val="21"/>
                <w14:ligatures w14:val="none"/>
              </w:rPr>
              <w:t>车用乙醇</w:t>
            </w:r>
            <w:r>
              <w:rPr>
                <w:rFonts w:cs="Times New Roman"/>
                <w:sz w:val="21"/>
                <w14:ligatures w14:val="none"/>
              </w:rPr>
              <w:t>汽油、柴油工艺设备与站外建（构）筑物的安全间距不应小于表</w:t>
            </w:r>
            <w:r>
              <w:rPr>
                <w:rFonts w:cs="Times New Roman"/>
                <w:sz w:val="21"/>
                <w14:ligatures w14:val="none"/>
              </w:rPr>
              <w:t>4.0.4</w:t>
            </w:r>
            <w:r>
              <w:rPr>
                <w:rFonts w:cs="Times New Roman"/>
                <w:sz w:val="21"/>
                <w14:ligatures w14:val="none"/>
              </w:rPr>
              <w:t>的规定</w:t>
            </w:r>
          </w:p>
        </w:tc>
        <w:tc>
          <w:tcPr>
            <w:tcW w:w="1197" w:type="pct"/>
            <w:vAlign w:val="center"/>
          </w:tcPr>
          <w:p w14:paraId="0D3CE074"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GB50156-2021</w:t>
            </w:r>
          </w:p>
          <w:p w14:paraId="737B71A4"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第</w:t>
            </w:r>
            <w:r>
              <w:rPr>
                <w:rFonts w:cs="Times New Roman"/>
                <w:kern w:val="28"/>
                <w:sz w:val="21"/>
                <w:szCs w:val="21"/>
                <w14:ligatures w14:val="none"/>
              </w:rPr>
              <w:t>4.0.4</w:t>
            </w:r>
            <w:r>
              <w:rPr>
                <w:rFonts w:cs="Times New Roman"/>
                <w:kern w:val="28"/>
                <w:sz w:val="21"/>
                <w:szCs w:val="21"/>
                <w14:ligatures w14:val="none"/>
              </w:rPr>
              <w:t>条</w:t>
            </w:r>
          </w:p>
        </w:tc>
        <w:tc>
          <w:tcPr>
            <w:tcW w:w="1322" w:type="pct"/>
            <w:vAlign w:val="center"/>
          </w:tcPr>
          <w:p w14:paraId="61C3A6EC" w14:textId="77777777" w:rsidR="00EF4562" w:rsidRDefault="00000000">
            <w:pPr>
              <w:spacing w:line="240" w:lineRule="auto"/>
              <w:ind w:firstLineChars="0" w:firstLine="0"/>
              <w:jc w:val="left"/>
              <w:rPr>
                <w:rFonts w:cs="Times New Roman"/>
                <w:kern w:val="28"/>
                <w:sz w:val="21"/>
                <w:szCs w:val="21"/>
                <w14:ligatures w14:val="none"/>
              </w:rPr>
            </w:pPr>
            <w:r>
              <w:rPr>
                <w:rFonts w:cs="Times New Roman" w:hint="eastAsia"/>
                <w:sz w:val="21"/>
                <w:szCs w:val="20"/>
                <w14:ligatures w14:val="none"/>
              </w:rPr>
              <w:t>本项目涉及改造的加油设备、设施与站外建（构）筑物的安全间距符合规范要求，详见表</w:t>
            </w:r>
            <w:r>
              <w:rPr>
                <w:rFonts w:cs="Times New Roman" w:hint="eastAsia"/>
                <w:sz w:val="21"/>
                <w:szCs w:val="20"/>
                <w14:ligatures w14:val="none"/>
              </w:rPr>
              <w:t>D-3</w:t>
            </w:r>
          </w:p>
        </w:tc>
        <w:tc>
          <w:tcPr>
            <w:tcW w:w="483" w:type="pct"/>
            <w:vAlign w:val="center"/>
          </w:tcPr>
          <w:p w14:paraId="29E79FCD"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sz w:val="21"/>
                <w:szCs w:val="21"/>
                <w14:ligatures w14:val="none"/>
              </w:rPr>
              <w:t>符合</w:t>
            </w:r>
          </w:p>
        </w:tc>
      </w:tr>
      <w:tr w:rsidR="00EF4562" w14:paraId="3AB8A9DA" w14:textId="77777777">
        <w:trPr>
          <w:cantSplit/>
          <w:trHeight w:val="454"/>
          <w:jc w:val="center"/>
        </w:trPr>
        <w:tc>
          <w:tcPr>
            <w:tcW w:w="401" w:type="pct"/>
            <w:vAlign w:val="center"/>
          </w:tcPr>
          <w:p w14:paraId="762BBA05" w14:textId="77777777" w:rsidR="00EF4562" w:rsidRDefault="00EF4562">
            <w:pPr>
              <w:numPr>
                <w:ilvl w:val="0"/>
                <w:numId w:val="16"/>
              </w:numPr>
              <w:tabs>
                <w:tab w:val="left" w:pos="1200"/>
                <w:tab w:val="left" w:pos="1276"/>
              </w:tabs>
              <w:adjustRightInd/>
              <w:snapToGrid/>
              <w:spacing w:line="240" w:lineRule="auto"/>
              <w:ind w:left="0" w:firstLineChars="0" w:firstLine="0"/>
              <w:jc w:val="center"/>
              <w:rPr>
                <w:rFonts w:cs="Times New Roman"/>
                <w:kern w:val="0"/>
                <w:sz w:val="24"/>
                <w:lang w:eastAsia="en-US"/>
                <w14:ligatures w14:val="none"/>
              </w:rPr>
            </w:pPr>
          </w:p>
        </w:tc>
        <w:tc>
          <w:tcPr>
            <w:tcW w:w="1597" w:type="pct"/>
            <w:vAlign w:val="center"/>
          </w:tcPr>
          <w:p w14:paraId="068C5671" w14:textId="77777777" w:rsidR="00EF4562" w:rsidRDefault="00000000">
            <w:pPr>
              <w:spacing w:line="240" w:lineRule="auto"/>
              <w:ind w:firstLineChars="0" w:firstLine="0"/>
              <w:jc w:val="left"/>
              <w:rPr>
                <w:rFonts w:cs="Times New Roman"/>
                <w:kern w:val="28"/>
                <w:sz w:val="21"/>
                <w:szCs w:val="21"/>
                <w14:ligatures w14:val="none"/>
              </w:rPr>
            </w:pPr>
            <w:r>
              <w:rPr>
                <w:rFonts w:cs="Times New Roman"/>
                <w:kern w:val="28"/>
                <w:sz w:val="21"/>
                <w:szCs w:val="21"/>
                <w14:ligatures w14:val="none"/>
              </w:rPr>
              <w:t>加油</w:t>
            </w:r>
            <w:r>
              <w:rPr>
                <w:rFonts w:cs="Times New Roman" w:hint="eastAsia"/>
                <w:kern w:val="28"/>
                <w:sz w:val="21"/>
                <w:szCs w:val="21"/>
                <w14:ligatures w14:val="none"/>
              </w:rPr>
              <w:t>加气</w:t>
            </w:r>
            <w:r>
              <w:rPr>
                <w:rFonts w:cs="Times New Roman"/>
                <w:kern w:val="28"/>
                <w:sz w:val="21"/>
                <w:szCs w:val="21"/>
                <w14:ligatures w14:val="none"/>
              </w:rPr>
              <w:t>站内设施之间的防火距离，符合</w:t>
            </w:r>
            <w:r>
              <w:rPr>
                <w:rFonts w:cs="Times New Roman"/>
                <w:kern w:val="28"/>
                <w:sz w:val="21"/>
                <w:szCs w:val="21"/>
                <w14:ligatures w14:val="none"/>
              </w:rPr>
              <w:t>GB50156</w:t>
            </w:r>
            <w:r>
              <w:rPr>
                <w:rFonts w:cs="Times New Roman"/>
                <w:kern w:val="28"/>
                <w:sz w:val="21"/>
                <w:szCs w:val="21"/>
                <w14:ligatures w14:val="none"/>
              </w:rPr>
              <w:t>表</w:t>
            </w:r>
            <w:r>
              <w:rPr>
                <w:rFonts w:cs="Times New Roman"/>
                <w:kern w:val="28"/>
                <w:sz w:val="21"/>
                <w:szCs w:val="21"/>
                <w14:ligatures w14:val="none"/>
              </w:rPr>
              <w:t>5.0.13</w:t>
            </w:r>
            <w:r>
              <w:rPr>
                <w:rFonts w:cs="Times New Roman"/>
                <w:kern w:val="28"/>
                <w:sz w:val="21"/>
                <w:szCs w:val="21"/>
                <w14:ligatures w14:val="none"/>
              </w:rPr>
              <w:t>规定</w:t>
            </w:r>
          </w:p>
        </w:tc>
        <w:tc>
          <w:tcPr>
            <w:tcW w:w="1197" w:type="pct"/>
            <w:vAlign w:val="center"/>
          </w:tcPr>
          <w:p w14:paraId="50DCF402"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GB50156-2021</w:t>
            </w:r>
          </w:p>
          <w:p w14:paraId="4789CB17"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第</w:t>
            </w:r>
            <w:r>
              <w:rPr>
                <w:rFonts w:cs="Times New Roman"/>
                <w:kern w:val="28"/>
                <w:sz w:val="21"/>
                <w:szCs w:val="21"/>
                <w14:ligatures w14:val="none"/>
              </w:rPr>
              <w:t>5.0.13</w:t>
            </w:r>
            <w:r>
              <w:rPr>
                <w:rFonts w:cs="Times New Roman"/>
                <w:kern w:val="28"/>
                <w:sz w:val="21"/>
                <w:szCs w:val="21"/>
                <w14:ligatures w14:val="none"/>
              </w:rPr>
              <w:t>条</w:t>
            </w:r>
          </w:p>
        </w:tc>
        <w:tc>
          <w:tcPr>
            <w:tcW w:w="1322" w:type="pct"/>
            <w:vAlign w:val="center"/>
          </w:tcPr>
          <w:p w14:paraId="0C410D72" w14:textId="77777777" w:rsidR="00EF4562" w:rsidRDefault="00000000">
            <w:pPr>
              <w:spacing w:line="240" w:lineRule="auto"/>
              <w:ind w:firstLineChars="0" w:firstLine="0"/>
              <w:jc w:val="left"/>
              <w:rPr>
                <w:rFonts w:cs="Times New Roman"/>
                <w:kern w:val="28"/>
                <w:sz w:val="21"/>
                <w:szCs w:val="21"/>
                <w14:ligatures w14:val="none"/>
              </w:rPr>
            </w:pPr>
            <w:r>
              <w:rPr>
                <w:rFonts w:cs="Times New Roman" w:hint="eastAsia"/>
                <w:kern w:val="28"/>
                <w:sz w:val="21"/>
                <w:szCs w:val="21"/>
                <w14:ligatures w14:val="none"/>
              </w:rPr>
              <w:t>本项目涉及改造的加油设备、设施与站内其他设施的防火间距符合规范要求，</w:t>
            </w:r>
            <w:r>
              <w:rPr>
                <w:rFonts w:cs="Times New Roman"/>
                <w:sz w:val="21"/>
                <w:szCs w:val="20"/>
                <w14:ligatures w14:val="none"/>
              </w:rPr>
              <w:t>详见</w:t>
            </w:r>
            <w:r>
              <w:rPr>
                <w:rFonts w:cs="Times New Roman" w:hint="eastAsia"/>
                <w:sz w:val="21"/>
                <w:szCs w:val="20"/>
                <w14:ligatures w14:val="none"/>
              </w:rPr>
              <w:t>表</w:t>
            </w:r>
            <w:r>
              <w:rPr>
                <w:rFonts w:cs="Times New Roman" w:hint="eastAsia"/>
                <w:sz w:val="21"/>
                <w:szCs w:val="20"/>
                <w14:ligatures w14:val="none"/>
              </w:rPr>
              <w:t>D-4</w:t>
            </w:r>
          </w:p>
        </w:tc>
        <w:tc>
          <w:tcPr>
            <w:tcW w:w="483" w:type="pct"/>
            <w:vAlign w:val="center"/>
          </w:tcPr>
          <w:p w14:paraId="36AD8AF5" w14:textId="77777777" w:rsidR="00EF4562" w:rsidRDefault="00000000">
            <w:pPr>
              <w:spacing w:line="240" w:lineRule="auto"/>
              <w:ind w:firstLineChars="0" w:firstLine="0"/>
              <w:jc w:val="center"/>
              <w:rPr>
                <w:rFonts w:cs="Times New Roman"/>
                <w:kern w:val="28"/>
                <w:sz w:val="21"/>
                <w:szCs w:val="21"/>
                <w14:ligatures w14:val="none"/>
              </w:rPr>
            </w:pPr>
            <w:r>
              <w:rPr>
                <w:rFonts w:cs="Times New Roman"/>
                <w:kern w:val="28"/>
                <w:sz w:val="21"/>
                <w:szCs w:val="21"/>
                <w14:ligatures w14:val="none"/>
              </w:rPr>
              <w:t>符合</w:t>
            </w:r>
          </w:p>
        </w:tc>
      </w:tr>
    </w:tbl>
    <w:p w14:paraId="5958E9A9"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lastRenderedPageBreak/>
        <w:t>表</w:t>
      </w:r>
      <w:r>
        <w:rPr>
          <w:rFonts w:eastAsia="黑体" w:cs="Times New Roman"/>
          <w:sz w:val="24"/>
        </w:rPr>
        <w:t>D-</w:t>
      </w:r>
      <w:r>
        <w:rPr>
          <w:rFonts w:eastAsia="黑体" w:cs="Times New Roman" w:hint="eastAsia"/>
          <w:sz w:val="24"/>
        </w:rPr>
        <w:t>2</w:t>
      </w:r>
      <w:r>
        <w:rPr>
          <w:rFonts w:ascii="黑体" w:eastAsia="黑体" w:hAnsi="黑体" w:hint="eastAsia"/>
          <w:sz w:val="24"/>
        </w:rPr>
        <w:t xml:space="preserve">  安全管理单元安全检查表</w:t>
      </w:r>
    </w:p>
    <w:tbl>
      <w:tblPr>
        <w:tblpPr w:leftFromText="180" w:rightFromText="180"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2978"/>
        <w:gridCol w:w="1983"/>
        <w:gridCol w:w="2837"/>
        <w:gridCol w:w="672"/>
      </w:tblGrid>
      <w:tr w:rsidR="00EF4562" w14:paraId="7EEE7259" w14:textId="77777777">
        <w:trPr>
          <w:trHeight w:val="454"/>
          <w:tblHeader/>
        </w:trPr>
        <w:tc>
          <w:tcPr>
            <w:tcW w:w="384" w:type="pct"/>
            <w:tcBorders>
              <w:top w:val="single" w:sz="4" w:space="0" w:color="auto"/>
              <w:left w:val="single" w:sz="4" w:space="0" w:color="auto"/>
              <w:bottom w:val="single" w:sz="4" w:space="0" w:color="auto"/>
              <w:right w:val="single" w:sz="4" w:space="0" w:color="auto"/>
            </w:tcBorders>
            <w:vAlign w:val="center"/>
          </w:tcPr>
          <w:p w14:paraId="4308CD97" w14:textId="77777777" w:rsidR="00EF4562" w:rsidRDefault="00000000">
            <w:pPr>
              <w:spacing w:line="240" w:lineRule="auto"/>
              <w:ind w:firstLineChars="0" w:firstLine="0"/>
              <w:jc w:val="center"/>
              <w:rPr>
                <w:rFonts w:cs="Times New Roman"/>
                <w:sz w:val="21"/>
                <w:szCs w:val="21"/>
                <w14:ligatures w14:val="none"/>
              </w:rPr>
            </w:pPr>
            <w:r>
              <w:rPr>
                <w:rFonts w:cs="宋体" w:hint="eastAsia"/>
                <w:sz w:val="21"/>
                <w:szCs w:val="21"/>
                <w14:ligatures w14:val="none"/>
              </w:rPr>
              <w:t>序号</w:t>
            </w:r>
          </w:p>
        </w:tc>
        <w:tc>
          <w:tcPr>
            <w:tcW w:w="1623" w:type="pct"/>
            <w:tcBorders>
              <w:top w:val="single" w:sz="4" w:space="0" w:color="auto"/>
              <w:left w:val="single" w:sz="4" w:space="0" w:color="auto"/>
              <w:bottom w:val="single" w:sz="4" w:space="0" w:color="auto"/>
              <w:right w:val="single" w:sz="4" w:space="0" w:color="auto"/>
            </w:tcBorders>
            <w:vAlign w:val="center"/>
          </w:tcPr>
          <w:p w14:paraId="43C3E17D" w14:textId="77777777" w:rsidR="00EF4562" w:rsidRDefault="00000000">
            <w:pPr>
              <w:spacing w:line="240" w:lineRule="auto"/>
              <w:ind w:firstLineChars="0" w:firstLine="0"/>
              <w:jc w:val="center"/>
              <w:rPr>
                <w:rFonts w:cs="Times New Roman"/>
                <w:sz w:val="21"/>
                <w:szCs w:val="21"/>
                <w14:ligatures w14:val="none"/>
              </w:rPr>
            </w:pPr>
            <w:r>
              <w:rPr>
                <w:rFonts w:cs="宋体" w:hint="eastAsia"/>
                <w:sz w:val="21"/>
                <w:szCs w:val="21"/>
                <w14:ligatures w14:val="none"/>
              </w:rPr>
              <w:t>检查内容</w:t>
            </w:r>
          </w:p>
        </w:tc>
        <w:tc>
          <w:tcPr>
            <w:tcW w:w="1081" w:type="pct"/>
            <w:tcBorders>
              <w:top w:val="single" w:sz="4" w:space="0" w:color="auto"/>
              <w:left w:val="single" w:sz="4" w:space="0" w:color="auto"/>
              <w:bottom w:val="single" w:sz="4" w:space="0" w:color="auto"/>
              <w:right w:val="single" w:sz="4" w:space="0" w:color="auto"/>
            </w:tcBorders>
            <w:vAlign w:val="center"/>
          </w:tcPr>
          <w:p w14:paraId="4CAE44C3" w14:textId="77777777" w:rsidR="00EF4562" w:rsidRDefault="00000000">
            <w:pPr>
              <w:spacing w:line="240" w:lineRule="auto"/>
              <w:ind w:firstLineChars="0" w:firstLine="0"/>
              <w:jc w:val="center"/>
              <w:rPr>
                <w:rFonts w:cs="Times New Roman"/>
                <w:sz w:val="21"/>
                <w:szCs w:val="21"/>
                <w14:ligatures w14:val="none"/>
              </w:rPr>
            </w:pPr>
            <w:r>
              <w:rPr>
                <w:rFonts w:cs="宋体" w:hint="eastAsia"/>
                <w:sz w:val="21"/>
                <w:szCs w:val="21"/>
                <w14:ligatures w14:val="none"/>
              </w:rPr>
              <w:t>检查依据</w:t>
            </w:r>
          </w:p>
        </w:tc>
        <w:tc>
          <w:tcPr>
            <w:tcW w:w="1546" w:type="pct"/>
            <w:tcBorders>
              <w:top w:val="single" w:sz="4" w:space="0" w:color="auto"/>
              <w:left w:val="single" w:sz="4" w:space="0" w:color="auto"/>
              <w:bottom w:val="single" w:sz="4" w:space="0" w:color="auto"/>
              <w:right w:val="single" w:sz="4" w:space="0" w:color="auto"/>
            </w:tcBorders>
            <w:vAlign w:val="center"/>
          </w:tcPr>
          <w:p w14:paraId="5490CA33" w14:textId="77777777" w:rsidR="00EF4562" w:rsidRDefault="00000000">
            <w:pPr>
              <w:spacing w:line="240" w:lineRule="auto"/>
              <w:ind w:firstLineChars="0" w:firstLine="0"/>
              <w:jc w:val="center"/>
              <w:rPr>
                <w:rFonts w:cs="Times New Roman"/>
                <w:sz w:val="21"/>
                <w:szCs w:val="21"/>
                <w14:ligatures w14:val="none"/>
              </w:rPr>
            </w:pPr>
            <w:r>
              <w:rPr>
                <w:rFonts w:cs="宋体" w:hint="eastAsia"/>
                <w:sz w:val="21"/>
                <w:szCs w:val="21"/>
                <w14:ligatures w14:val="none"/>
              </w:rPr>
              <w:t>检查记录</w:t>
            </w:r>
          </w:p>
        </w:tc>
        <w:tc>
          <w:tcPr>
            <w:tcW w:w="367" w:type="pct"/>
            <w:tcBorders>
              <w:top w:val="single" w:sz="4" w:space="0" w:color="auto"/>
              <w:left w:val="single" w:sz="4" w:space="0" w:color="auto"/>
              <w:bottom w:val="single" w:sz="4" w:space="0" w:color="auto"/>
              <w:right w:val="single" w:sz="4" w:space="0" w:color="auto"/>
            </w:tcBorders>
            <w:vAlign w:val="center"/>
          </w:tcPr>
          <w:p w14:paraId="51A9ECCE" w14:textId="77777777" w:rsidR="00EF4562" w:rsidRDefault="00000000">
            <w:pPr>
              <w:spacing w:line="240" w:lineRule="auto"/>
              <w:ind w:firstLineChars="0" w:firstLine="0"/>
              <w:jc w:val="center"/>
              <w:rPr>
                <w:rFonts w:cs="Times New Roman"/>
                <w:sz w:val="21"/>
                <w:szCs w:val="21"/>
                <w14:ligatures w14:val="none"/>
              </w:rPr>
            </w:pPr>
            <w:r>
              <w:rPr>
                <w:rFonts w:cs="宋体" w:hint="eastAsia"/>
                <w:sz w:val="21"/>
                <w:szCs w:val="21"/>
                <w14:ligatures w14:val="none"/>
              </w:rPr>
              <w:t>结论</w:t>
            </w:r>
          </w:p>
        </w:tc>
      </w:tr>
      <w:tr w:rsidR="00EF4562" w14:paraId="68EA6FAA" w14:textId="77777777">
        <w:trPr>
          <w:trHeight w:val="454"/>
        </w:trPr>
        <w:tc>
          <w:tcPr>
            <w:tcW w:w="384" w:type="pct"/>
            <w:tcBorders>
              <w:top w:val="single" w:sz="4" w:space="0" w:color="auto"/>
              <w:left w:val="single" w:sz="4" w:space="0" w:color="auto"/>
              <w:bottom w:val="single" w:sz="4" w:space="0" w:color="auto"/>
              <w:right w:val="single" w:sz="4" w:space="0" w:color="auto"/>
            </w:tcBorders>
            <w:vAlign w:val="center"/>
          </w:tcPr>
          <w:p w14:paraId="1CA5C688" w14:textId="77777777" w:rsidR="00EF4562" w:rsidRDefault="00EF4562">
            <w:pPr>
              <w:numPr>
                <w:ilvl w:val="0"/>
                <w:numId w:val="17"/>
              </w:numPr>
              <w:tabs>
                <w:tab w:val="left" w:pos="420"/>
              </w:tabs>
              <w:spacing w:line="240" w:lineRule="auto"/>
              <w:ind w:left="0" w:firstLineChars="0" w:firstLine="0"/>
              <w:jc w:val="center"/>
              <w:rPr>
                <w:rFonts w:cs="Times New Roman"/>
                <w:sz w:val="21"/>
                <w:szCs w:val="21"/>
                <w14:ligatures w14:val="none"/>
              </w:rPr>
            </w:pPr>
          </w:p>
        </w:tc>
        <w:tc>
          <w:tcPr>
            <w:tcW w:w="1623" w:type="pct"/>
            <w:tcBorders>
              <w:top w:val="single" w:sz="4" w:space="0" w:color="auto"/>
              <w:left w:val="single" w:sz="4" w:space="0" w:color="auto"/>
              <w:bottom w:val="single" w:sz="4" w:space="0" w:color="auto"/>
              <w:right w:val="single" w:sz="4" w:space="0" w:color="auto"/>
            </w:tcBorders>
            <w:vAlign w:val="center"/>
          </w:tcPr>
          <w:p w14:paraId="1EBE0F2C" w14:textId="77777777" w:rsidR="00EF4562" w:rsidRDefault="00000000">
            <w:pPr>
              <w:spacing w:line="240" w:lineRule="auto"/>
              <w:ind w:firstLineChars="0" w:firstLine="0"/>
              <w:rPr>
                <w:rFonts w:cs="Times New Roman"/>
                <w:sz w:val="21"/>
                <w:szCs w:val="21"/>
                <w14:ligatures w14:val="none"/>
              </w:rPr>
            </w:pPr>
            <w:r>
              <w:rPr>
                <w:rFonts w:cs="宋体" w:hint="eastAsia"/>
                <w:sz w:val="21"/>
                <w:szCs w:val="21"/>
                <w14:ligatures w14:val="none"/>
              </w:rPr>
              <w:t>生产经营单位的主要负责人是本单位安全生产第一责任人，对本单位的安全生产工作全面负责。其他负责人对职责范围内的安全生产工作负责。</w:t>
            </w:r>
          </w:p>
        </w:tc>
        <w:tc>
          <w:tcPr>
            <w:tcW w:w="1081" w:type="pct"/>
            <w:tcBorders>
              <w:top w:val="single" w:sz="4" w:space="0" w:color="auto"/>
              <w:left w:val="single" w:sz="4" w:space="0" w:color="auto"/>
              <w:bottom w:val="single" w:sz="4" w:space="0" w:color="auto"/>
              <w:right w:val="single" w:sz="4" w:space="0" w:color="auto"/>
            </w:tcBorders>
            <w:vAlign w:val="center"/>
          </w:tcPr>
          <w:p w14:paraId="7C58D490" w14:textId="77777777" w:rsidR="00EF4562" w:rsidRDefault="00000000">
            <w:pPr>
              <w:spacing w:line="240" w:lineRule="auto"/>
              <w:ind w:firstLineChars="0" w:firstLine="0"/>
              <w:rPr>
                <w:rFonts w:cs="Times New Roman"/>
                <w:sz w:val="21"/>
                <w:szCs w:val="21"/>
                <w14:ligatures w14:val="none"/>
              </w:rPr>
            </w:pPr>
            <w:r>
              <w:rPr>
                <w:rFonts w:cs="宋体" w:hint="eastAsia"/>
                <w:sz w:val="21"/>
                <w:szCs w:val="21"/>
                <w14:ligatures w14:val="none"/>
              </w:rPr>
              <w:t>《中华人民共和国安全生产法》第五条</w:t>
            </w:r>
          </w:p>
        </w:tc>
        <w:tc>
          <w:tcPr>
            <w:tcW w:w="1546" w:type="pct"/>
            <w:tcBorders>
              <w:top w:val="single" w:sz="4" w:space="0" w:color="auto"/>
              <w:left w:val="single" w:sz="4" w:space="0" w:color="auto"/>
              <w:bottom w:val="single" w:sz="4" w:space="0" w:color="auto"/>
              <w:right w:val="single" w:sz="4" w:space="0" w:color="auto"/>
            </w:tcBorders>
            <w:vAlign w:val="center"/>
          </w:tcPr>
          <w:p w14:paraId="76DF8063" w14:textId="77777777" w:rsidR="00EF4562" w:rsidRDefault="00000000">
            <w:pPr>
              <w:spacing w:line="240" w:lineRule="auto"/>
              <w:ind w:firstLineChars="0" w:firstLine="0"/>
              <w:rPr>
                <w:rFonts w:cs="Times New Roman"/>
                <w:sz w:val="21"/>
                <w:szCs w:val="21"/>
                <w14:ligatures w14:val="none"/>
              </w:rPr>
            </w:pPr>
            <w:r>
              <w:rPr>
                <w:rFonts w:cs="宋体" w:hint="eastAsia"/>
                <w:sz w:val="21"/>
                <w:szCs w:val="21"/>
                <w14:ligatures w14:val="none"/>
              </w:rPr>
              <w:t>本单位的主要负责人是本项目安全生产第一责任人</w:t>
            </w:r>
          </w:p>
        </w:tc>
        <w:tc>
          <w:tcPr>
            <w:tcW w:w="367" w:type="pct"/>
            <w:tcBorders>
              <w:top w:val="single" w:sz="4" w:space="0" w:color="auto"/>
              <w:left w:val="single" w:sz="4" w:space="0" w:color="auto"/>
              <w:bottom w:val="single" w:sz="4" w:space="0" w:color="auto"/>
              <w:right w:val="single" w:sz="4" w:space="0" w:color="auto"/>
            </w:tcBorders>
            <w:vAlign w:val="center"/>
          </w:tcPr>
          <w:p w14:paraId="774D3B57" w14:textId="77777777" w:rsidR="00EF4562" w:rsidRDefault="00000000">
            <w:pPr>
              <w:spacing w:line="240" w:lineRule="auto"/>
              <w:ind w:firstLineChars="0" w:firstLine="0"/>
              <w:jc w:val="center"/>
              <w:rPr>
                <w:rFonts w:cs="Times New Roman"/>
                <w:sz w:val="21"/>
                <w:szCs w:val="21"/>
                <w14:ligatures w14:val="none"/>
              </w:rPr>
            </w:pPr>
            <w:r>
              <w:rPr>
                <w:rFonts w:cs="宋体" w:hint="eastAsia"/>
                <w:sz w:val="21"/>
                <w:szCs w:val="21"/>
                <w14:ligatures w14:val="none"/>
              </w:rPr>
              <w:t>符合</w:t>
            </w:r>
          </w:p>
        </w:tc>
      </w:tr>
      <w:tr w:rsidR="00EF4562" w14:paraId="33351E6A" w14:textId="77777777">
        <w:trPr>
          <w:trHeight w:val="454"/>
        </w:trPr>
        <w:tc>
          <w:tcPr>
            <w:tcW w:w="384" w:type="pct"/>
            <w:tcBorders>
              <w:top w:val="single" w:sz="4" w:space="0" w:color="auto"/>
              <w:left w:val="single" w:sz="4" w:space="0" w:color="auto"/>
              <w:bottom w:val="single" w:sz="4" w:space="0" w:color="auto"/>
              <w:right w:val="single" w:sz="4" w:space="0" w:color="auto"/>
            </w:tcBorders>
            <w:vAlign w:val="center"/>
          </w:tcPr>
          <w:p w14:paraId="04CABEBA" w14:textId="77777777" w:rsidR="00EF4562" w:rsidRDefault="00EF4562">
            <w:pPr>
              <w:numPr>
                <w:ilvl w:val="0"/>
                <w:numId w:val="17"/>
              </w:numPr>
              <w:tabs>
                <w:tab w:val="left" w:pos="420"/>
              </w:tabs>
              <w:spacing w:line="240" w:lineRule="auto"/>
              <w:ind w:left="0" w:firstLineChars="0" w:firstLine="0"/>
              <w:jc w:val="center"/>
              <w:rPr>
                <w:rFonts w:cs="Times New Roman"/>
                <w:sz w:val="21"/>
                <w:szCs w:val="21"/>
                <w14:ligatures w14:val="none"/>
              </w:rPr>
            </w:pPr>
          </w:p>
        </w:tc>
        <w:tc>
          <w:tcPr>
            <w:tcW w:w="1623" w:type="pct"/>
            <w:tcBorders>
              <w:top w:val="single" w:sz="4" w:space="0" w:color="auto"/>
              <w:left w:val="single" w:sz="4" w:space="0" w:color="auto"/>
              <w:bottom w:val="single" w:sz="4" w:space="0" w:color="auto"/>
              <w:right w:val="single" w:sz="4" w:space="0" w:color="auto"/>
            </w:tcBorders>
            <w:vAlign w:val="center"/>
          </w:tcPr>
          <w:p w14:paraId="7103A39C" w14:textId="77777777" w:rsidR="00EF4562" w:rsidRDefault="00000000">
            <w:pPr>
              <w:spacing w:line="240" w:lineRule="auto"/>
              <w:ind w:firstLineChars="0" w:firstLine="0"/>
              <w:rPr>
                <w:rFonts w:cs="Times New Roman"/>
                <w:sz w:val="21"/>
                <w:szCs w:val="21"/>
                <w14:ligatures w14:val="none"/>
              </w:rPr>
            </w:pPr>
            <w:r>
              <w:rPr>
                <w:rFonts w:cs="宋体" w:hint="eastAsia"/>
                <w:sz w:val="21"/>
                <w:szCs w:val="21"/>
                <w14:ligatures w14:val="none"/>
              </w:rPr>
              <w:t>生产经营单位应当具备本法和有关法律、行政法规和国家标准或者行业标准规定的安全生产条件；不具备安全生产条件的，不得从事生产经营活动。</w:t>
            </w:r>
          </w:p>
        </w:tc>
        <w:tc>
          <w:tcPr>
            <w:tcW w:w="1081" w:type="pct"/>
            <w:tcBorders>
              <w:top w:val="single" w:sz="4" w:space="0" w:color="auto"/>
              <w:left w:val="single" w:sz="4" w:space="0" w:color="auto"/>
              <w:bottom w:val="single" w:sz="4" w:space="0" w:color="auto"/>
              <w:right w:val="single" w:sz="4" w:space="0" w:color="auto"/>
            </w:tcBorders>
            <w:vAlign w:val="center"/>
          </w:tcPr>
          <w:p w14:paraId="33A880CC" w14:textId="77777777" w:rsidR="00EF4562" w:rsidRDefault="00000000">
            <w:pPr>
              <w:spacing w:line="240" w:lineRule="auto"/>
              <w:ind w:firstLineChars="0" w:firstLine="0"/>
              <w:rPr>
                <w:rFonts w:cs="Times New Roman"/>
                <w:sz w:val="21"/>
                <w:szCs w:val="21"/>
                <w14:ligatures w14:val="none"/>
              </w:rPr>
            </w:pPr>
            <w:r>
              <w:rPr>
                <w:rFonts w:cs="宋体" w:hint="eastAsia"/>
                <w:sz w:val="21"/>
                <w:szCs w:val="21"/>
                <w14:ligatures w14:val="none"/>
              </w:rPr>
              <w:t>《中华人民共和国安全生产法》第二十条</w:t>
            </w:r>
          </w:p>
        </w:tc>
        <w:tc>
          <w:tcPr>
            <w:tcW w:w="1546" w:type="pct"/>
            <w:tcBorders>
              <w:top w:val="single" w:sz="4" w:space="0" w:color="auto"/>
              <w:left w:val="single" w:sz="4" w:space="0" w:color="auto"/>
              <w:bottom w:val="single" w:sz="4" w:space="0" w:color="auto"/>
              <w:right w:val="single" w:sz="4" w:space="0" w:color="auto"/>
            </w:tcBorders>
            <w:vAlign w:val="center"/>
          </w:tcPr>
          <w:p w14:paraId="6261E5F4" w14:textId="77777777" w:rsidR="00EF4562" w:rsidRDefault="00000000">
            <w:pPr>
              <w:spacing w:line="240" w:lineRule="auto"/>
              <w:ind w:firstLineChars="0" w:firstLine="0"/>
              <w:rPr>
                <w:rFonts w:cs="Times New Roman"/>
                <w:sz w:val="21"/>
                <w:szCs w:val="21"/>
                <w14:ligatures w14:val="none"/>
              </w:rPr>
            </w:pPr>
            <w:r>
              <w:rPr>
                <w:rFonts w:cs="宋体" w:hint="eastAsia"/>
                <w:sz w:val="21"/>
                <w:szCs w:val="21"/>
                <w14:ligatures w14:val="none"/>
              </w:rPr>
              <w:t>本单位具备安全生产条件</w:t>
            </w:r>
          </w:p>
        </w:tc>
        <w:tc>
          <w:tcPr>
            <w:tcW w:w="367" w:type="pct"/>
            <w:tcBorders>
              <w:top w:val="single" w:sz="4" w:space="0" w:color="auto"/>
              <w:left w:val="single" w:sz="4" w:space="0" w:color="auto"/>
              <w:bottom w:val="single" w:sz="4" w:space="0" w:color="auto"/>
              <w:right w:val="single" w:sz="4" w:space="0" w:color="auto"/>
            </w:tcBorders>
            <w:vAlign w:val="center"/>
          </w:tcPr>
          <w:p w14:paraId="60BFA54B" w14:textId="77777777" w:rsidR="00EF4562" w:rsidRDefault="00000000">
            <w:pPr>
              <w:spacing w:line="240" w:lineRule="auto"/>
              <w:ind w:firstLineChars="0" w:firstLine="0"/>
              <w:jc w:val="center"/>
              <w:rPr>
                <w:rFonts w:cs="Times New Roman"/>
                <w:sz w:val="21"/>
                <w:szCs w:val="21"/>
                <w14:ligatures w14:val="none"/>
              </w:rPr>
            </w:pPr>
            <w:r>
              <w:rPr>
                <w:rFonts w:cs="宋体" w:hint="eastAsia"/>
                <w:sz w:val="21"/>
                <w:szCs w:val="21"/>
                <w14:ligatures w14:val="none"/>
              </w:rPr>
              <w:t>符合</w:t>
            </w:r>
          </w:p>
        </w:tc>
      </w:tr>
      <w:tr w:rsidR="00EF4562" w14:paraId="4428606C" w14:textId="77777777">
        <w:trPr>
          <w:trHeight w:val="454"/>
        </w:trPr>
        <w:tc>
          <w:tcPr>
            <w:tcW w:w="384" w:type="pct"/>
            <w:tcBorders>
              <w:top w:val="single" w:sz="4" w:space="0" w:color="auto"/>
              <w:left w:val="single" w:sz="4" w:space="0" w:color="auto"/>
              <w:bottom w:val="single" w:sz="4" w:space="0" w:color="auto"/>
              <w:right w:val="single" w:sz="4" w:space="0" w:color="auto"/>
            </w:tcBorders>
            <w:vAlign w:val="center"/>
          </w:tcPr>
          <w:p w14:paraId="17DC9F21" w14:textId="77777777" w:rsidR="00EF4562" w:rsidRDefault="00EF4562">
            <w:pPr>
              <w:numPr>
                <w:ilvl w:val="0"/>
                <w:numId w:val="17"/>
              </w:numPr>
              <w:tabs>
                <w:tab w:val="left" w:pos="420"/>
              </w:tabs>
              <w:spacing w:line="240" w:lineRule="auto"/>
              <w:ind w:left="0" w:firstLineChars="0" w:firstLine="0"/>
              <w:jc w:val="center"/>
              <w:rPr>
                <w:rFonts w:cs="Times New Roman"/>
                <w:sz w:val="21"/>
                <w:szCs w:val="21"/>
                <w14:ligatures w14:val="none"/>
              </w:rPr>
            </w:pPr>
          </w:p>
        </w:tc>
        <w:tc>
          <w:tcPr>
            <w:tcW w:w="1623" w:type="pct"/>
            <w:tcBorders>
              <w:top w:val="single" w:sz="4" w:space="0" w:color="auto"/>
              <w:left w:val="single" w:sz="4" w:space="0" w:color="auto"/>
              <w:bottom w:val="single" w:sz="4" w:space="0" w:color="auto"/>
              <w:right w:val="single" w:sz="4" w:space="0" w:color="auto"/>
            </w:tcBorders>
            <w:vAlign w:val="center"/>
          </w:tcPr>
          <w:p w14:paraId="05D16792" w14:textId="77777777" w:rsidR="00EF4562" w:rsidRDefault="00000000">
            <w:pPr>
              <w:spacing w:line="240" w:lineRule="auto"/>
              <w:ind w:firstLineChars="0" w:firstLine="0"/>
              <w:rPr>
                <w:rFonts w:cs="Times New Roman"/>
                <w:sz w:val="21"/>
                <w:szCs w:val="21"/>
                <w14:ligatures w14:val="none"/>
              </w:rPr>
            </w:pPr>
            <w:r>
              <w:rPr>
                <w:rFonts w:cs="宋体" w:hint="eastAsia"/>
                <w:sz w:val="21"/>
                <w:szCs w:val="21"/>
                <w14:ligatures w14:val="none"/>
              </w:rPr>
              <w:t>生产经营单位的主要负责人对本单位安全生产工作负有下列职责</w:t>
            </w:r>
            <w:r>
              <w:rPr>
                <w:rFonts w:cs="宋体" w:hint="eastAsia"/>
                <w:sz w:val="21"/>
                <w:szCs w:val="21"/>
                <w14:ligatures w14:val="none"/>
              </w:rPr>
              <w:t>:1</w:t>
            </w:r>
            <w:r>
              <w:rPr>
                <w:rFonts w:cs="宋体" w:hint="eastAsia"/>
                <w:sz w:val="21"/>
                <w:szCs w:val="21"/>
                <w14:ligatures w14:val="none"/>
              </w:rPr>
              <w:t>、建立健全并落实本单位全员安全生产责任制，加强安全生产标准化建设</w:t>
            </w:r>
          </w:p>
        </w:tc>
        <w:tc>
          <w:tcPr>
            <w:tcW w:w="1081" w:type="pct"/>
            <w:tcBorders>
              <w:top w:val="single" w:sz="4" w:space="0" w:color="auto"/>
              <w:left w:val="single" w:sz="4" w:space="0" w:color="auto"/>
              <w:bottom w:val="single" w:sz="4" w:space="0" w:color="auto"/>
              <w:right w:val="single" w:sz="4" w:space="0" w:color="auto"/>
            </w:tcBorders>
            <w:vAlign w:val="center"/>
          </w:tcPr>
          <w:p w14:paraId="4D7EF074" w14:textId="77777777" w:rsidR="00EF4562" w:rsidRDefault="00000000">
            <w:pPr>
              <w:spacing w:line="240" w:lineRule="auto"/>
              <w:ind w:firstLineChars="0" w:firstLine="0"/>
              <w:rPr>
                <w:rFonts w:cs="Times New Roman"/>
                <w:sz w:val="21"/>
                <w:szCs w:val="21"/>
                <w14:ligatures w14:val="none"/>
              </w:rPr>
            </w:pPr>
            <w:r>
              <w:rPr>
                <w:rFonts w:cs="宋体" w:hint="eastAsia"/>
                <w:sz w:val="21"/>
                <w:szCs w:val="21"/>
                <w14:ligatures w14:val="none"/>
              </w:rPr>
              <w:t>《中华人民共和国安全生产法》第二十一条第</w:t>
            </w:r>
            <w:r>
              <w:rPr>
                <w:rFonts w:cs="宋体" w:hint="eastAsia"/>
                <w:sz w:val="21"/>
                <w:szCs w:val="21"/>
                <w14:ligatures w14:val="none"/>
              </w:rPr>
              <w:t>1</w:t>
            </w:r>
            <w:r>
              <w:rPr>
                <w:rFonts w:cs="宋体" w:hint="eastAsia"/>
                <w:sz w:val="21"/>
                <w:szCs w:val="21"/>
                <w14:ligatures w14:val="none"/>
              </w:rPr>
              <w:t>款</w:t>
            </w:r>
          </w:p>
        </w:tc>
        <w:tc>
          <w:tcPr>
            <w:tcW w:w="1546" w:type="pct"/>
            <w:tcBorders>
              <w:top w:val="single" w:sz="4" w:space="0" w:color="auto"/>
              <w:left w:val="single" w:sz="4" w:space="0" w:color="auto"/>
              <w:bottom w:val="single" w:sz="4" w:space="0" w:color="auto"/>
              <w:right w:val="single" w:sz="4" w:space="0" w:color="auto"/>
            </w:tcBorders>
            <w:vAlign w:val="center"/>
          </w:tcPr>
          <w:p w14:paraId="19DB769F" w14:textId="77777777" w:rsidR="00EF4562" w:rsidRDefault="00000000">
            <w:pPr>
              <w:spacing w:line="240" w:lineRule="auto"/>
              <w:ind w:firstLineChars="0" w:firstLine="0"/>
              <w:rPr>
                <w:rFonts w:cs="Times New Roman"/>
                <w:sz w:val="21"/>
                <w:szCs w:val="21"/>
                <w14:ligatures w14:val="none"/>
              </w:rPr>
            </w:pPr>
            <w:r>
              <w:rPr>
                <w:rFonts w:cs="宋体" w:hint="eastAsia"/>
                <w:sz w:val="21"/>
                <w:szCs w:val="21"/>
                <w14:ligatures w14:val="none"/>
              </w:rPr>
              <w:t>本单位主要负责人建立健全并落实本单位全员安全生产责任制</w:t>
            </w:r>
          </w:p>
        </w:tc>
        <w:tc>
          <w:tcPr>
            <w:tcW w:w="367" w:type="pct"/>
            <w:tcBorders>
              <w:top w:val="single" w:sz="4" w:space="0" w:color="auto"/>
              <w:left w:val="single" w:sz="4" w:space="0" w:color="auto"/>
              <w:bottom w:val="single" w:sz="4" w:space="0" w:color="auto"/>
              <w:right w:val="single" w:sz="4" w:space="0" w:color="auto"/>
            </w:tcBorders>
            <w:vAlign w:val="center"/>
          </w:tcPr>
          <w:p w14:paraId="13627B7F" w14:textId="77777777" w:rsidR="00EF4562" w:rsidRDefault="00000000">
            <w:pPr>
              <w:spacing w:line="240" w:lineRule="auto"/>
              <w:ind w:firstLineChars="0" w:firstLine="0"/>
              <w:jc w:val="center"/>
              <w:rPr>
                <w:rFonts w:cs="Times New Roman"/>
                <w:sz w:val="21"/>
                <w:szCs w:val="21"/>
                <w14:ligatures w14:val="none"/>
              </w:rPr>
            </w:pPr>
            <w:r>
              <w:rPr>
                <w:rFonts w:cs="宋体" w:hint="eastAsia"/>
                <w:sz w:val="21"/>
                <w:szCs w:val="21"/>
                <w14:ligatures w14:val="none"/>
              </w:rPr>
              <w:t>符合</w:t>
            </w:r>
          </w:p>
        </w:tc>
      </w:tr>
      <w:tr w:rsidR="00EF4562" w14:paraId="46EFEC92" w14:textId="77777777">
        <w:trPr>
          <w:trHeight w:val="454"/>
        </w:trPr>
        <w:tc>
          <w:tcPr>
            <w:tcW w:w="384" w:type="pct"/>
            <w:tcBorders>
              <w:top w:val="single" w:sz="4" w:space="0" w:color="auto"/>
              <w:left w:val="single" w:sz="4" w:space="0" w:color="auto"/>
              <w:bottom w:val="single" w:sz="4" w:space="0" w:color="auto"/>
              <w:right w:val="single" w:sz="4" w:space="0" w:color="auto"/>
            </w:tcBorders>
            <w:vAlign w:val="center"/>
          </w:tcPr>
          <w:p w14:paraId="5C07EC4B" w14:textId="77777777" w:rsidR="00EF4562" w:rsidRDefault="00EF4562">
            <w:pPr>
              <w:numPr>
                <w:ilvl w:val="0"/>
                <w:numId w:val="17"/>
              </w:numPr>
              <w:tabs>
                <w:tab w:val="left" w:pos="420"/>
              </w:tabs>
              <w:spacing w:line="240" w:lineRule="auto"/>
              <w:ind w:left="0" w:firstLineChars="0" w:firstLine="0"/>
              <w:jc w:val="center"/>
              <w:rPr>
                <w:rFonts w:cs="Times New Roman"/>
                <w:sz w:val="21"/>
                <w:szCs w:val="21"/>
                <w14:ligatures w14:val="none"/>
              </w:rPr>
            </w:pPr>
          </w:p>
        </w:tc>
        <w:tc>
          <w:tcPr>
            <w:tcW w:w="1623" w:type="pct"/>
            <w:tcBorders>
              <w:top w:val="single" w:sz="4" w:space="0" w:color="auto"/>
              <w:left w:val="single" w:sz="4" w:space="0" w:color="auto"/>
              <w:bottom w:val="single" w:sz="4" w:space="0" w:color="auto"/>
              <w:right w:val="single" w:sz="4" w:space="0" w:color="auto"/>
            </w:tcBorders>
            <w:vAlign w:val="center"/>
          </w:tcPr>
          <w:p w14:paraId="3700EA04" w14:textId="77777777" w:rsidR="00EF4562" w:rsidRDefault="00000000">
            <w:pPr>
              <w:spacing w:line="240" w:lineRule="auto"/>
              <w:ind w:firstLineChars="0" w:firstLine="0"/>
              <w:rPr>
                <w:rFonts w:cs="宋体"/>
                <w:sz w:val="21"/>
                <w:szCs w:val="21"/>
                <w14:ligatures w14:val="none"/>
              </w:rPr>
            </w:pPr>
            <w:r>
              <w:rPr>
                <w:rFonts w:cs="Times New Roman" w:hint="eastAsia"/>
                <w:sz w:val="21"/>
                <w14:ligatures w14:val="none"/>
              </w:rPr>
              <w:t>生产经营单位的主要负责人应当组织制定并实施本单位安全生产规章制度和操作规程</w:t>
            </w:r>
          </w:p>
        </w:tc>
        <w:tc>
          <w:tcPr>
            <w:tcW w:w="1081" w:type="pct"/>
            <w:tcBorders>
              <w:top w:val="single" w:sz="4" w:space="0" w:color="auto"/>
              <w:left w:val="single" w:sz="4" w:space="0" w:color="auto"/>
              <w:bottom w:val="single" w:sz="4" w:space="0" w:color="auto"/>
              <w:right w:val="single" w:sz="4" w:space="0" w:color="auto"/>
            </w:tcBorders>
            <w:vAlign w:val="center"/>
          </w:tcPr>
          <w:p w14:paraId="391E5D17" w14:textId="77777777" w:rsidR="00EF4562" w:rsidRDefault="00000000">
            <w:pPr>
              <w:spacing w:line="240" w:lineRule="auto"/>
              <w:ind w:firstLineChars="0" w:firstLine="0"/>
              <w:rPr>
                <w:rFonts w:cs="宋体"/>
                <w:sz w:val="21"/>
                <w:szCs w:val="21"/>
                <w14:ligatures w14:val="none"/>
              </w:rPr>
            </w:pPr>
            <w:r>
              <w:rPr>
                <w:rFonts w:cs="Times New Roman" w:hint="eastAsia"/>
                <w:sz w:val="21"/>
                <w14:ligatures w14:val="none"/>
              </w:rPr>
              <w:t>《中华人民共和国安全生产法》第二十一条第</w:t>
            </w:r>
            <w:r>
              <w:rPr>
                <w:rFonts w:cs="Times New Roman" w:hint="eastAsia"/>
                <w:sz w:val="21"/>
                <w14:ligatures w14:val="none"/>
              </w:rPr>
              <w:t>2</w:t>
            </w:r>
            <w:r>
              <w:rPr>
                <w:rFonts w:cs="Times New Roman" w:hint="eastAsia"/>
                <w:sz w:val="21"/>
                <w14:ligatures w14:val="none"/>
              </w:rPr>
              <w:t>款</w:t>
            </w:r>
          </w:p>
        </w:tc>
        <w:tc>
          <w:tcPr>
            <w:tcW w:w="1546" w:type="pct"/>
            <w:tcBorders>
              <w:top w:val="single" w:sz="4" w:space="0" w:color="auto"/>
              <w:left w:val="single" w:sz="4" w:space="0" w:color="auto"/>
              <w:bottom w:val="single" w:sz="4" w:space="0" w:color="auto"/>
              <w:right w:val="single" w:sz="4" w:space="0" w:color="auto"/>
            </w:tcBorders>
            <w:vAlign w:val="center"/>
          </w:tcPr>
          <w:p w14:paraId="5CE619B0" w14:textId="77777777" w:rsidR="00EF4562" w:rsidRDefault="00000000">
            <w:pPr>
              <w:spacing w:line="240" w:lineRule="auto"/>
              <w:ind w:firstLineChars="0" w:firstLine="0"/>
              <w:rPr>
                <w:rFonts w:cs="宋体"/>
                <w:sz w:val="21"/>
                <w:szCs w:val="21"/>
                <w14:ligatures w14:val="none"/>
              </w:rPr>
            </w:pPr>
            <w:r>
              <w:rPr>
                <w:rFonts w:cs="宋体" w:hint="eastAsia"/>
                <w:sz w:val="21"/>
                <w:szCs w:val="21"/>
                <w14:ligatures w14:val="none"/>
              </w:rPr>
              <w:t>本单位主要负责人能够组织制定并实施本项目安全生产规章制度和操作规程</w:t>
            </w:r>
          </w:p>
        </w:tc>
        <w:tc>
          <w:tcPr>
            <w:tcW w:w="367" w:type="pct"/>
            <w:tcBorders>
              <w:top w:val="single" w:sz="4" w:space="0" w:color="auto"/>
              <w:left w:val="single" w:sz="4" w:space="0" w:color="auto"/>
              <w:bottom w:val="single" w:sz="4" w:space="0" w:color="auto"/>
              <w:right w:val="single" w:sz="4" w:space="0" w:color="auto"/>
            </w:tcBorders>
            <w:vAlign w:val="center"/>
          </w:tcPr>
          <w:p w14:paraId="02746915" w14:textId="77777777" w:rsidR="00EF4562" w:rsidRDefault="00000000">
            <w:pPr>
              <w:spacing w:line="240" w:lineRule="auto"/>
              <w:ind w:firstLineChars="0" w:firstLine="0"/>
              <w:jc w:val="center"/>
              <w:rPr>
                <w:rFonts w:cs="宋体"/>
                <w:sz w:val="21"/>
                <w:szCs w:val="21"/>
                <w14:ligatures w14:val="none"/>
              </w:rPr>
            </w:pPr>
            <w:r>
              <w:rPr>
                <w:rFonts w:cs="宋体" w:hint="eastAsia"/>
                <w:sz w:val="21"/>
                <w:szCs w:val="21"/>
                <w14:ligatures w14:val="none"/>
              </w:rPr>
              <w:t>符合</w:t>
            </w:r>
          </w:p>
        </w:tc>
      </w:tr>
      <w:tr w:rsidR="00EF4562" w14:paraId="1848CB2C" w14:textId="77777777">
        <w:trPr>
          <w:trHeight w:val="454"/>
        </w:trPr>
        <w:tc>
          <w:tcPr>
            <w:tcW w:w="384" w:type="pct"/>
            <w:tcBorders>
              <w:top w:val="single" w:sz="4" w:space="0" w:color="auto"/>
              <w:left w:val="single" w:sz="4" w:space="0" w:color="auto"/>
              <w:bottom w:val="single" w:sz="4" w:space="0" w:color="auto"/>
              <w:right w:val="single" w:sz="4" w:space="0" w:color="auto"/>
            </w:tcBorders>
            <w:vAlign w:val="center"/>
          </w:tcPr>
          <w:p w14:paraId="7D5381BE" w14:textId="77777777" w:rsidR="00EF4562" w:rsidRDefault="00EF4562">
            <w:pPr>
              <w:numPr>
                <w:ilvl w:val="0"/>
                <w:numId w:val="17"/>
              </w:numPr>
              <w:tabs>
                <w:tab w:val="left" w:pos="420"/>
              </w:tabs>
              <w:spacing w:line="240" w:lineRule="auto"/>
              <w:ind w:left="0" w:firstLineChars="0" w:firstLine="0"/>
              <w:jc w:val="center"/>
              <w:rPr>
                <w:rFonts w:cs="Times New Roman"/>
                <w:sz w:val="21"/>
                <w:szCs w:val="21"/>
                <w14:ligatures w14:val="none"/>
              </w:rPr>
            </w:pPr>
          </w:p>
        </w:tc>
        <w:tc>
          <w:tcPr>
            <w:tcW w:w="1623" w:type="pct"/>
            <w:tcBorders>
              <w:top w:val="single" w:sz="4" w:space="0" w:color="auto"/>
              <w:left w:val="single" w:sz="4" w:space="0" w:color="auto"/>
              <w:bottom w:val="single" w:sz="4" w:space="0" w:color="auto"/>
              <w:right w:val="single" w:sz="4" w:space="0" w:color="auto"/>
            </w:tcBorders>
            <w:vAlign w:val="center"/>
          </w:tcPr>
          <w:p w14:paraId="07A54BAA" w14:textId="77777777" w:rsidR="00EF4562" w:rsidRDefault="00000000">
            <w:pPr>
              <w:spacing w:line="240" w:lineRule="auto"/>
              <w:ind w:firstLineChars="0" w:firstLine="0"/>
              <w:rPr>
                <w:rFonts w:cs="宋体"/>
                <w:sz w:val="21"/>
                <w:szCs w:val="21"/>
                <w14:ligatures w14:val="none"/>
              </w:rPr>
            </w:pPr>
            <w:r>
              <w:rPr>
                <w:rFonts w:cs="宋体" w:hint="eastAsia"/>
                <w:sz w:val="21"/>
                <w:szCs w:val="21"/>
                <w14:ligatures w14:val="none"/>
              </w:rPr>
              <w:t>危险物品的储存单位，应当设置安全生产管理机构或者配备专职安全生产管理人员。</w:t>
            </w:r>
          </w:p>
        </w:tc>
        <w:tc>
          <w:tcPr>
            <w:tcW w:w="1081" w:type="pct"/>
            <w:tcBorders>
              <w:top w:val="single" w:sz="4" w:space="0" w:color="auto"/>
              <w:left w:val="single" w:sz="4" w:space="0" w:color="auto"/>
              <w:bottom w:val="single" w:sz="4" w:space="0" w:color="auto"/>
              <w:right w:val="single" w:sz="4" w:space="0" w:color="auto"/>
            </w:tcBorders>
            <w:vAlign w:val="center"/>
          </w:tcPr>
          <w:p w14:paraId="6B547320" w14:textId="77777777" w:rsidR="00EF4562" w:rsidRDefault="00000000">
            <w:pPr>
              <w:spacing w:line="240" w:lineRule="auto"/>
              <w:ind w:firstLineChars="0" w:firstLine="0"/>
              <w:rPr>
                <w:rFonts w:cs="宋体"/>
                <w:sz w:val="21"/>
                <w:szCs w:val="21"/>
                <w14:ligatures w14:val="none"/>
              </w:rPr>
            </w:pPr>
            <w:r>
              <w:rPr>
                <w:rFonts w:cs="宋体" w:hint="eastAsia"/>
                <w:sz w:val="21"/>
                <w:szCs w:val="21"/>
                <w14:ligatures w14:val="none"/>
              </w:rPr>
              <w:t>《中华人民共和国安全生产法》第二十四条</w:t>
            </w:r>
          </w:p>
        </w:tc>
        <w:tc>
          <w:tcPr>
            <w:tcW w:w="1546" w:type="pct"/>
            <w:tcBorders>
              <w:top w:val="single" w:sz="4" w:space="0" w:color="auto"/>
              <w:left w:val="single" w:sz="4" w:space="0" w:color="auto"/>
              <w:bottom w:val="single" w:sz="4" w:space="0" w:color="auto"/>
              <w:right w:val="single" w:sz="4" w:space="0" w:color="auto"/>
            </w:tcBorders>
            <w:vAlign w:val="center"/>
          </w:tcPr>
          <w:p w14:paraId="21D17F93" w14:textId="77777777" w:rsidR="00EF4562" w:rsidRDefault="00000000">
            <w:pPr>
              <w:spacing w:line="240" w:lineRule="auto"/>
              <w:ind w:firstLineChars="0" w:firstLine="0"/>
              <w:rPr>
                <w:rFonts w:cs="Times New Roman"/>
                <w:sz w:val="21"/>
                <w:szCs w:val="21"/>
                <w14:ligatures w14:val="none"/>
              </w:rPr>
            </w:pPr>
            <w:r>
              <w:rPr>
                <w:rFonts w:cs="宋体" w:hint="eastAsia"/>
                <w:sz w:val="21"/>
                <w:szCs w:val="21"/>
                <w14:ligatures w14:val="none"/>
              </w:rPr>
              <w:t>本单位配备专职安全生产管理人员</w:t>
            </w:r>
          </w:p>
        </w:tc>
        <w:tc>
          <w:tcPr>
            <w:tcW w:w="367" w:type="pct"/>
            <w:tcBorders>
              <w:top w:val="single" w:sz="4" w:space="0" w:color="auto"/>
              <w:left w:val="single" w:sz="4" w:space="0" w:color="auto"/>
              <w:bottom w:val="single" w:sz="4" w:space="0" w:color="auto"/>
              <w:right w:val="single" w:sz="4" w:space="0" w:color="auto"/>
            </w:tcBorders>
            <w:vAlign w:val="center"/>
          </w:tcPr>
          <w:p w14:paraId="7D17E212" w14:textId="77777777" w:rsidR="00EF4562" w:rsidRDefault="00000000">
            <w:pPr>
              <w:spacing w:line="240" w:lineRule="auto"/>
              <w:ind w:firstLineChars="0" w:firstLine="0"/>
              <w:jc w:val="center"/>
              <w:rPr>
                <w:rFonts w:cs="宋体"/>
                <w:sz w:val="21"/>
                <w:szCs w:val="21"/>
                <w14:ligatures w14:val="none"/>
              </w:rPr>
            </w:pPr>
            <w:r>
              <w:rPr>
                <w:rFonts w:cs="宋体" w:hint="eastAsia"/>
                <w:sz w:val="21"/>
                <w:szCs w:val="21"/>
                <w14:ligatures w14:val="none"/>
              </w:rPr>
              <w:t>符合</w:t>
            </w:r>
          </w:p>
        </w:tc>
      </w:tr>
      <w:tr w:rsidR="00EF4562" w14:paraId="7018295E" w14:textId="77777777">
        <w:trPr>
          <w:trHeight w:val="454"/>
        </w:trPr>
        <w:tc>
          <w:tcPr>
            <w:tcW w:w="384" w:type="pct"/>
            <w:tcBorders>
              <w:top w:val="single" w:sz="4" w:space="0" w:color="auto"/>
              <w:left w:val="single" w:sz="4" w:space="0" w:color="auto"/>
              <w:bottom w:val="single" w:sz="4" w:space="0" w:color="auto"/>
              <w:right w:val="single" w:sz="4" w:space="0" w:color="auto"/>
            </w:tcBorders>
            <w:vAlign w:val="center"/>
          </w:tcPr>
          <w:p w14:paraId="3BA70990" w14:textId="77777777" w:rsidR="00EF4562" w:rsidRDefault="00EF4562">
            <w:pPr>
              <w:numPr>
                <w:ilvl w:val="0"/>
                <w:numId w:val="17"/>
              </w:numPr>
              <w:tabs>
                <w:tab w:val="left" w:pos="420"/>
              </w:tabs>
              <w:spacing w:line="240" w:lineRule="auto"/>
              <w:ind w:left="0" w:firstLineChars="0" w:firstLine="0"/>
              <w:jc w:val="center"/>
              <w:rPr>
                <w:rFonts w:cs="Times New Roman"/>
                <w:sz w:val="21"/>
                <w:szCs w:val="21"/>
                <w14:ligatures w14:val="none"/>
              </w:rPr>
            </w:pPr>
          </w:p>
        </w:tc>
        <w:tc>
          <w:tcPr>
            <w:tcW w:w="1623" w:type="pct"/>
            <w:tcBorders>
              <w:top w:val="single" w:sz="4" w:space="0" w:color="auto"/>
              <w:left w:val="single" w:sz="4" w:space="0" w:color="auto"/>
              <w:bottom w:val="single" w:sz="4" w:space="0" w:color="auto"/>
              <w:right w:val="single" w:sz="4" w:space="0" w:color="auto"/>
            </w:tcBorders>
            <w:vAlign w:val="center"/>
          </w:tcPr>
          <w:p w14:paraId="1226A418" w14:textId="77777777" w:rsidR="00EF4562" w:rsidRDefault="00000000">
            <w:pPr>
              <w:spacing w:line="240" w:lineRule="auto"/>
              <w:ind w:firstLineChars="0" w:firstLine="0"/>
              <w:rPr>
                <w:rFonts w:cs="宋体"/>
                <w:sz w:val="21"/>
                <w:szCs w:val="21"/>
                <w14:ligatures w14:val="none"/>
              </w:rPr>
            </w:pPr>
            <w:r>
              <w:rPr>
                <w:rFonts w:cs="Times New Roman" w:hint="eastAsia"/>
                <w:sz w:val="21"/>
                <w14:ligatures w14:val="none"/>
              </w:rPr>
              <w:t>生产经营单位的主要负责人和安全生产管理人员必须具备与本单位所从事的生产经营活动相应的安全生产知识和管理能力</w:t>
            </w:r>
          </w:p>
        </w:tc>
        <w:tc>
          <w:tcPr>
            <w:tcW w:w="1081" w:type="pct"/>
            <w:tcBorders>
              <w:top w:val="single" w:sz="4" w:space="0" w:color="auto"/>
              <w:left w:val="single" w:sz="4" w:space="0" w:color="auto"/>
              <w:bottom w:val="single" w:sz="4" w:space="0" w:color="auto"/>
              <w:right w:val="single" w:sz="4" w:space="0" w:color="auto"/>
            </w:tcBorders>
            <w:vAlign w:val="center"/>
          </w:tcPr>
          <w:p w14:paraId="6F71EAD5" w14:textId="77777777" w:rsidR="00EF4562" w:rsidRDefault="00000000">
            <w:pPr>
              <w:spacing w:line="240" w:lineRule="auto"/>
              <w:ind w:firstLineChars="0" w:firstLine="0"/>
              <w:rPr>
                <w:rFonts w:cs="宋体"/>
                <w:sz w:val="21"/>
                <w:szCs w:val="21"/>
                <w14:ligatures w14:val="none"/>
              </w:rPr>
            </w:pPr>
            <w:r>
              <w:rPr>
                <w:rFonts w:cs="Times New Roman" w:hint="eastAsia"/>
                <w:sz w:val="21"/>
                <w14:ligatures w14:val="none"/>
              </w:rPr>
              <w:t>《中华人民共和国安全生产法》第二十四条</w:t>
            </w:r>
          </w:p>
        </w:tc>
        <w:tc>
          <w:tcPr>
            <w:tcW w:w="1546" w:type="pct"/>
            <w:tcBorders>
              <w:top w:val="single" w:sz="4" w:space="0" w:color="auto"/>
              <w:left w:val="single" w:sz="4" w:space="0" w:color="auto"/>
              <w:bottom w:val="single" w:sz="4" w:space="0" w:color="auto"/>
              <w:right w:val="single" w:sz="4" w:space="0" w:color="auto"/>
            </w:tcBorders>
            <w:vAlign w:val="center"/>
          </w:tcPr>
          <w:p w14:paraId="004ADD7A" w14:textId="77777777" w:rsidR="00EF4562" w:rsidRDefault="00000000">
            <w:pPr>
              <w:spacing w:line="240" w:lineRule="auto"/>
              <w:ind w:firstLineChars="0" w:firstLine="0"/>
              <w:rPr>
                <w:rFonts w:cs="宋体"/>
                <w:sz w:val="21"/>
                <w:szCs w:val="21"/>
                <w14:ligatures w14:val="none"/>
              </w:rPr>
            </w:pPr>
            <w:r>
              <w:rPr>
                <w:rFonts w:cs="宋体" w:hint="eastAsia"/>
                <w:sz w:val="21"/>
                <w:szCs w:val="21"/>
                <w14:ligatures w14:val="none"/>
              </w:rPr>
              <w:t>本单位的主要负责人和安全生产管理人员具备与本项目所从事的生产经营活动相应的安全生产知识和管理能力</w:t>
            </w:r>
          </w:p>
        </w:tc>
        <w:tc>
          <w:tcPr>
            <w:tcW w:w="367" w:type="pct"/>
            <w:tcBorders>
              <w:top w:val="single" w:sz="4" w:space="0" w:color="auto"/>
              <w:left w:val="single" w:sz="4" w:space="0" w:color="auto"/>
              <w:bottom w:val="single" w:sz="4" w:space="0" w:color="auto"/>
              <w:right w:val="single" w:sz="4" w:space="0" w:color="auto"/>
            </w:tcBorders>
            <w:vAlign w:val="center"/>
          </w:tcPr>
          <w:p w14:paraId="531F3A9B" w14:textId="77777777" w:rsidR="00EF4562" w:rsidRDefault="00000000">
            <w:pPr>
              <w:spacing w:line="240" w:lineRule="auto"/>
              <w:ind w:firstLineChars="0" w:firstLine="0"/>
              <w:jc w:val="center"/>
              <w:rPr>
                <w:rFonts w:cs="宋体"/>
                <w:sz w:val="21"/>
                <w:szCs w:val="21"/>
                <w14:ligatures w14:val="none"/>
              </w:rPr>
            </w:pPr>
            <w:r>
              <w:rPr>
                <w:rFonts w:cs="宋体" w:hint="eastAsia"/>
                <w:sz w:val="21"/>
                <w:szCs w:val="21"/>
                <w14:ligatures w14:val="none"/>
              </w:rPr>
              <w:t>符合</w:t>
            </w:r>
          </w:p>
        </w:tc>
      </w:tr>
      <w:tr w:rsidR="00EF4562" w14:paraId="56BAEE01" w14:textId="77777777">
        <w:trPr>
          <w:trHeight w:val="454"/>
        </w:trPr>
        <w:tc>
          <w:tcPr>
            <w:tcW w:w="384" w:type="pct"/>
            <w:tcBorders>
              <w:top w:val="single" w:sz="4" w:space="0" w:color="auto"/>
              <w:left w:val="single" w:sz="4" w:space="0" w:color="auto"/>
              <w:bottom w:val="single" w:sz="4" w:space="0" w:color="auto"/>
              <w:right w:val="single" w:sz="4" w:space="0" w:color="auto"/>
            </w:tcBorders>
            <w:vAlign w:val="center"/>
          </w:tcPr>
          <w:p w14:paraId="69F7FA4D" w14:textId="77777777" w:rsidR="00EF4562" w:rsidRDefault="00EF4562">
            <w:pPr>
              <w:numPr>
                <w:ilvl w:val="0"/>
                <w:numId w:val="17"/>
              </w:numPr>
              <w:tabs>
                <w:tab w:val="left" w:pos="420"/>
              </w:tabs>
              <w:spacing w:line="240" w:lineRule="auto"/>
              <w:ind w:left="0" w:firstLineChars="0" w:firstLine="0"/>
              <w:jc w:val="center"/>
              <w:rPr>
                <w:rFonts w:cs="Times New Roman"/>
                <w:sz w:val="21"/>
                <w:szCs w:val="21"/>
                <w14:ligatures w14:val="none"/>
              </w:rPr>
            </w:pPr>
          </w:p>
        </w:tc>
        <w:tc>
          <w:tcPr>
            <w:tcW w:w="1623" w:type="pct"/>
            <w:tcBorders>
              <w:top w:val="single" w:sz="4" w:space="0" w:color="auto"/>
              <w:left w:val="single" w:sz="4" w:space="0" w:color="auto"/>
              <w:bottom w:val="single" w:sz="4" w:space="0" w:color="auto"/>
              <w:right w:val="single" w:sz="4" w:space="0" w:color="auto"/>
            </w:tcBorders>
            <w:vAlign w:val="center"/>
          </w:tcPr>
          <w:p w14:paraId="694A3F40" w14:textId="77777777" w:rsidR="00EF4562" w:rsidRDefault="00000000">
            <w:pPr>
              <w:spacing w:line="240" w:lineRule="auto"/>
              <w:ind w:firstLineChars="0" w:firstLine="0"/>
              <w:rPr>
                <w:rFonts w:cs="宋体"/>
                <w:sz w:val="21"/>
                <w:szCs w:val="21"/>
                <w14:ligatures w14:val="none"/>
              </w:rPr>
            </w:pPr>
            <w:r>
              <w:rPr>
                <w:rFonts w:cs="宋体" w:hint="eastAsia"/>
                <w:sz w:val="21"/>
                <w:szCs w:val="21"/>
                <w14:ligatures w14:val="none"/>
              </w:rPr>
              <w:t>生产经营单位不得使用应当淘汰的危及生产安全的工艺、设备。</w:t>
            </w:r>
          </w:p>
        </w:tc>
        <w:tc>
          <w:tcPr>
            <w:tcW w:w="1081" w:type="pct"/>
            <w:tcBorders>
              <w:top w:val="single" w:sz="4" w:space="0" w:color="auto"/>
              <w:left w:val="single" w:sz="4" w:space="0" w:color="auto"/>
              <w:bottom w:val="single" w:sz="4" w:space="0" w:color="auto"/>
              <w:right w:val="single" w:sz="4" w:space="0" w:color="auto"/>
            </w:tcBorders>
            <w:vAlign w:val="center"/>
          </w:tcPr>
          <w:p w14:paraId="60696DF0" w14:textId="77777777" w:rsidR="00EF4562" w:rsidRDefault="00000000">
            <w:pPr>
              <w:spacing w:line="240" w:lineRule="auto"/>
              <w:ind w:firstLineChars="0" w:firstLine="0"/>
              <w:rPr>
                <w:rFonts w:cs="宋体"/>
                <w:sz w:val="21"/>
                <w:szCs w:val="21"/>
                <w14:ligatures w14:val="none"/>
              </w:rPr>
            </w:pPr>
            <w:r>
              <w:rPr>
                <w:rFonts w:cs="宋体" w:hint="eastAsia"/>
                <w:sz w:val="21"/>
                <w:szCs w:val="21"/>
                <w14:ligatures w14:val="none"/>
              </w:rPr>
              <w:t>《中华人民共和国安全生产法》第三十八条</w:t>
            </w:r>
          </w:p>
        </w:tc>
        <w:tc>
          <w:tcPr>
            <w:tcW w:w="1546" w:type="pct"/>
            <w:tcBorders>
              <w:top w:val="single" w:sz="4" w:space="0" w:color="auto"/>
              <w:left w:val="single" w:sz="4" w:space="0" w:color="auto"/>
              <w:bottom w:val="single" w:sz="4" w:space="0" w:color="auto"/>
              <w:right w:val="single" w:sz="4" w:space="0" w:color="auto"/>
            </w:tcBorders>
            <w:vAlign w:val="center"/>
          </w:tcPr>
          <w:p w14:paraId="47AB7B69" w14:textId="77777777" w:rsidR="00EF4562" w:rsidRDefault="00000000">
            <w:pPr>
              <w:spacing w:line="240" w:lineRule="auto"/>
              <w:ind w:firstLineChars="0" w:firstLine="0"/>
              <w:rPr>
                <w:rFonts w:cs="宋体"/>
                <w:sz w:val="21"/>
                <w:szCs w:val="21"/>
                <w14:ligatures w14:val="none"/>
              </w:rPr>
            </w:pPr>
            <w:r>
              <w:rPr>
                <w:rFonts w:cs="宋体" w:hint="eastAsia"/>
                <w:sz w:val="21"/>
                <w:szCs w:val="21"/>
                <w14:ligatures w14:val="none"/>
              </w:rPr>
              <w:t>本单位未使用应当淘汰的危及生产安全的工艺、设备</w:t>
            </w:r>
          </w:p>
        </w:tc>
        <w:tc>
          <w:tcPr>
            <w:tcW w:w="367" w:type="pct"/>
            <w:tcBorders>
              <w:top w:val="single" w:sz="4" w:space="0" w:color="auto"/>
              <w:left w:val="single" w:sz="4" w:space="0" w:color="auto"/>
              <w:bottom w:val="single" w:sz="4" w:space="0" w:color="auto"/>
              <w:right w:val="single" w:sz="4" w:space="0" w:color="auto"/>
            </w:tcBorders>
            <w:vAlign w:val="center"/>
          </w:tcPr>
          <w:p w14:paraId="18AA4237" w14:textId="77777777" w:rsidR="00EF4562" w:rsidRDefault="00000000">
            <w:pPr>
              <w:spacing w:line="240" w:lineRule="auto"/>
              <w:ind w:firstLineChars="0" w:firstLine="0"/>
              <w:jc w:val="center"/>
              <w:rPr>
                <w:rFonts w:cs="宋体"/>
                <w:sz w:val="21"/>
                <w:szCs w:val="21"/>
                <w14:ligatures w14:val="none"/>
              </w:rPr>
            </w:pPr>
            <w:r>
              <w:rPr>
                <w:rFonts w:cs="宋体" w:hint="eastAsia"/>
                <w:sz w:val="21"/>
                <w:szCs w:val="21"/>
                <w14:ligatures w14:val="none"/>
              </w:rPr>
              <w:t>符合</w:t>
            </w:r>
          </w:p>
        </w:tc>
      </w:tr>
    </w:tbl>
    <w:p w14:paraId="5C4974C7"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br w:type="page"/>
      </w:r>
    </w:p>
    <w:p w14:paraId="0911DD06" w14:textId="77777777" w:rsidR="00EF4562" w:rsidRDefault="00000000">
      <w:pPr>
        <w:keepNext/>
        <w:keepLines/>
        <w:spacing w:beforeLines="50" w:before="190" w:afterLines="50" w:after="190" w:line="240" w:lineRule="auto"/>
        <w:ind w:firstLineChars="0" w:firstLine="0"/>
        <w:jc w:val="center"/>
        <w:rPr>
          <w:rFonts w:eastAsia="黑体" w:cs="Times New Roman"/>
          <w:sz w:val="24"/>
        </w:rPr>
      </w:pPr>
      <w:r>
        <w:rPr>
          <w:rFonts w:ascii="黑体" w:eastAsia="黑体" w:hAnsi="黑体" w:hint="eastAsia"/>
          <w:sz w:val="24"/>
        </w:rPr>
        <w:lastRenderedPageBreak/>
        <w:t>表</w:t>
      </w:r>
      <w:r>
        <w:rPr>
          <w:rFonts w:eastAsia="黑体" w:cs="Times New Roman"/>
          <w:sz w:val="24"/>
        </w:rPr>
        <w:t>D-</w:t>
      </w:r>
      <w:r>
        <w:rPr>
          <w:rFonts w:eastAsia="黑体" w:cs="Times New Roman" w:hint="eastAsia"/>
          <w:sz w:val="24"/>
        </w:rPr>
        <w:t>3</w:t>
      </w:r>
      <w:r>
        <w:rPr>
          <w:rFonts w:ascii="黑体" w:eastAsia="黑体" w:hAnsi="黑体" w:hint="eastAsia"/>
          <w:sz w:val="24"/>
        </w:rPr>
        <w:t xml:space="preserve">  本项目涉及改造的加油设备、设施与站外周边建（构）筑物之间安全间距表</w:t>
      </w:r>
      <w:r>
        <w:rPr>
          <w:rFonts w:eastAsia="黑体" w:cs="Times New Roman"/>
          <w:sz w:val="24"/>
        </w:rPr>
        <w:t>（</w:t>
      </w:r>
      <w:r>
        <w:rPr>
          <w:rFonts w:eastAsia="黑体" w:cs="Times New Roman" w:hint="eastAsia"/>
          <w:sz w:val="24"/>
        </w:rPr>
        <w:t>一级</w:t>
      </w:r>
      <w:r>
        <w:rPr>
          <w:rFonts w:eastAsia="黑体" w:cs="Times New Roman"/>
          <w:sz w:val="24"/>
        </w:rPr>
        <w:t>加油</w:t>
      </w:r>
      <w:r>
        <w:rPr>
          <w:rFonts w:eastAsia="黑体" w:cs="Times New Roman" w:hint="eastAsia"/>
          <w:sz w:val="24"/>
        </w:rPr>
        <w:t>与</w:t>
      </w:r>
      <w:r>
        <w:rPr>
          <w:rFonts w:eastAsia="黑体" w:cs="Times New Roman" w:hint="eastAsia"/>
          <w:sz w:val="24"/>
        </w:rPr>
        <w:t>LNG</w:t>
      </w:r>
      <w:r>
        <w:rPr>
          <w:rFonts w:eastAsia="黑体" w:cs="Times New Roman" w:hint="eastAsia"/>
          <w:sz w:val="24"/>
        </w:rPr>
        <w:t>加气合建</w:t>
      </w:r>
      <w:r>
        <w:rPr>
          <w:rFonts w:eastAsia="黑体" w:cs="Times New Roman"/>
          <w:sz w:val="24"/>
        </w:rPr>
        <w:t>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5"/>
        <w:gridCol w:w="728"/>
        <w:gridCol w:w="1840"/>
        <w:gridCol w:w="1134"/>
        <w:gridCol w:w="1275"/>
        <w:gridCol w:w="1277"/>
        <w:gridCol w:w="875"/>
        <w:gridCol w:w="650"/>
      </w:tblGrid>
      <w:tr w:rsidR="00EF4562" w14:paraId="20003E5C" w14:textId="77777777">
        <w:trPr>
          <w:trHeight w:val="441"/>
          <w:tblHeader/>
          <w:jc w:val="center"/>
        </w:trPr>
        <w:tc>
          <w:tcPr>
            <w:tcW w:w="760" w:type="pct"/>
            <w:vAlign w:val="center"/>
          </w:tcPr>
          <w:p w14:paraId="0D58E3C8" w14:textId="77777777" w:rsidR="00EF4562" w:rsidRDefault="00000000">
            <w:pPr>
              <w:spacing w:line="240" w:lineRule="auto"/>
              <w:ind w:firstLineChars="0" w:firstLine="0"/>
              <w:jc w:val="center"/>
              <w:rPr>
                <w:rFonts w:cs="Times New Roman"/>
                <w:bCs/>
                <w:sz w:val="21"/>
                <w:szCs w:val="21"/>
                <w14:ligatures w14:val="none"/>
              </w:rPr>
            </w:pPr>
            <w:bookmarkStart w:id="90" w:name="_Hlk176521996"/>
            <w:r>
              <w:rPr>
                <w:rFonts w:cs="Times New Roman"/>
                <w:bCs/>
                <w:sz w:val="21"/>
                <w:szCs w:val="21"/>
                <w14:ligatures w14:val="none"/>
              </w:rPr>
              <w:t>站内建（构）</w:t>
            </w:r>
          </w:p>
          <w:p w14:paraId="262736C4"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筑物名称</w:t>
            </w:r>
          </w:p>
        </w:tc>
        <w:tc>
          <w:tcPr>
            <w:tcW w:w="397" w:type="pct"/>
            <w:vAlign w:val="center"/>
          </w:tcPr>
          <w:p w14:paraId="496CBF24"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方位</w:t>
            </w:r>
          </w:p>
        </w:tc>
        <w:tc>
          <w:tcPr>
            <w:tcW w:w="1003" w:type="pct"/>
            <w:vAlign w:val="center"/>
          </w:tcPr>
          <w:p w14:paraId="6BED9BEC"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周边建（构）筑物名称</w:t>
            </w:r>
          </w:p>
        </w:tc>
        <w:tc>
          <w:tcPr>
            <w:tcW w:w="618" w:type="pct"/>
            <w:vAlign w:val="center"/>
          </w:tcPr>
          <w:p w14:paraId="15839064"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类别</w:t>
            </w:r>
          </w:p>
        </w:tc>
        <w:tc>
          <w:tcPr>
            <w:tcW w:w="695" w:type="pct"/>
            <w:vAlign w:val="center"/>
          </w:tcPr>
          <w:p w14:paraId="73471648"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规范要求（</w:t>
            </w:r>
            <w:r>
              <w:rPr>
                <w:rFonts w:cs="Times New Roman"/>
                <w:bCs/>
                <w:sz w:val="21"/>
                <w:szCs w:val="21"/>
                <w14:ligatures w14:val="none"/>
              </w:rPr>
              <w:t>m</w:t>
            </w:r>
            <w:r>
              <w:rPr>
                <w:rFonts w:cs="Times New Roman"/>
                <w:bCs/>
                <w:sz w:val="21"/>
                <w:szCs w:val="21"/>
                <w14:ligatures w14:val="none"/>
              </w:rPr>
              <w:t>）</w:t>
            </w:r>
          </w:p>
        </w:tc>
        <w:tc>
          <w:tcPr>
            <w:tcW w:w="696" w:type="pct"/>
            <w:vAlign w:val="center"/>
          </w:tcPr>
          <w:p w14:paraId="092EACB7" w14:textId="77777777" w:rsidR="00EF4562" w:rsidRDefault="00000000">
            <w:pPr>
              <w:spacing w:line="240" w:lineRule="auto"/>
              <w:ind w:firstLineChars="0" w:firstLine="0"/>
              <w:jc w:val="center"/>
              <w:rPr>
                <w:rFonts w:cs="Times New Roman"/>
                <w:bCs/>
                <w:sz w:val="21"/>
                <w:szCs w:val="21"/>
                <w14:ligatures w14:val="none"/>
              </w:rPr>
            </w:pPr>
            <w:r>
              <w:rPr>
                <w:rFonts w:cs="Times New Roman" w:hint="eastAsia"/>
                <w:bCs/>
                <w:sz w:val="21"/>
                <w:szCs w:val="21"/>
                <w14:ligatures w14:val="none"/>
              </w:rPr>
              <w:t>设计</w:t>
            </w:r>
            <w:r>
              <w:rPr>
                <w:rFonts w:cs="Times New Roman"/>
                <w:bCs/>
                <w:sz w:val="21"/>
                <w:szCs w:val="21"/>
                <w14:ligatures w14:val="none"/>
              </w:rPr>
              <w:t>距离（</w:t>
            </w:r>
            <w:r>
              <w:rPr>
                <w:rFonts w:cs="Times New Roman"/>
                <w:bCs/>
                <w:sz w:val="21"/>
                <w:szCs w:val="21"/>
                <w14:ligatures w14:val="none"/>
              </w:rPr>
              <w:t>m</w:t>
            </w:r>
            <w:r>
              <w:rPr>
                <w:rFonts w:cs="Times New Roman"/>
                <w:bCs/>
                <w:sz w:val="21"/>
                <w:szCs w:val="21"/>
                <w14:ligatures w14:val="none"/>
              </w:rPr>
              <w:t>）</w:t>
            </w:r>
          </w:p>
        </w:tc>
        <w:tc>
          <w:tcPr>
            <w:tcW w:w="477" w:type="pct"/>
            <w:vAlign w:val="center"/>
          </w:tcPr>
          <w:p w14:paraId="5EA492F7"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依据</w:t>
            </w:r>
          </w:p>
        </w:tc>
        <w:tc>
          <w:tcPr>
            <w:tcW w:w="353" w:type="pct"/>
            <w:vAlign w:val="center"/>
          </w:tcPr>
          <w:p w14:paraId="6AA6E731"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结论</w:t>
            </w:r>
          </w:p>
        </w:tc>
      </w:tr>
      <w:tr w:rsidR="00EF4562" w14:paraId="20AA0E65" w14:textId="77777777">
        <w:trPr>
          <w:trHeight w:val="441"/>
          <w:jc w:val="center"/>
        </w:trPr>
        <w:tc>
          <w:tcPr>
            <w:tcW w:w="760" w:type="pct"/>
            <w:vMerge w:val="restart"/>
            <w:vAlign w:val="center"/>
          </w:tcPr>
          <w:p w14:paraId="4465170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柴油加油机（新建）</w:t>
            </w:r>
          </w:p>
        </w:tc>
        <w:tc>
          <w:tcPr>
            <w:tcW w:w="397" w:type="pct"/>
            <w:vAlign w:val="center"/>
          </w:tcPr>
          <w:p w14:paraId="7532406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东</w:t>
            </w:r>
          </w:p>
        </w:tc>
        <w:tc>
          <w:tcPr>
            <w:tcW w:w="1003" w:type="pct"/>
            <w:vAlign w:val="center"/>
          </w:tcPr>
          <w:p w14:paraId="23DEE60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锦州吉尔运输有限公司废弃车棚</w:t>
            </w:r>
          </w:p>
        </w:tc>
        <w:tc>
          <w:tcPr>
            <w:tcW w:w="618" w:type="pct"/>
            <w:vAlign w:val="center"/>
          </w:tcPr>
          <w:p w14:paraId="392C40C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三类保护物</w:t>
            </w:r>
          </w:p>
        </w:tc>
        <w:tc>
          <w:tcPr>
            <w:tcW w:w="695" w:type="pct"/>
            <w:vAlign w:val="center"/>
          </w:tcPr>
          <w:p w14:paraId="71BE447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96" w:type="pct"/>
            <w:vAlign w:val="center"/>
          </w:tcPr>
          <w:p w14:paraId="2B55AD8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57.8</w:t>
            </w:r>
          </w:p>
        </w:tc>
        <w:tc>
          <w:tcPr>
            <w:tcW w:w="477" w:type="pct"/>
            <w:vAlign w:val="center"/>
          </w:tcPr>
          <w:p w14:paraId="10EFBAB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353" w:type="pct"/>
            <w:vAlign w:val="center"/>
          </w:tcPr>
          <w:p w14:paraId="57DBA732"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符合</w:t>
            </w:r>
          </w:p>
        </w:tc>
      </w:tr>
      <w:tr w:rsidR="00EF4562" w14:paraId="7836CC6C" w14:textId="77777777">
        <w:trPr>
          <w:trHeight w:val="441"/>
          <w:jc w:val="center"/>
        </w:trPr>
        <w:tc>
          <w:tcPr>
            <w:tcW w:w="760" w:type="pct"/>
            <w:vMerge/>
            <w:vAlign w:val="center"/>
          </w:tcPr>
          <w:p w14:paraId="36F6FB61"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3C16850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东</w:t>
            </w:r>
          </w:p>
        </w:tc>
        <w:tc>
          <w:tcPr>
            <w:tcW w:w="1003" w:type="pct"/>
            <w:vAlign w:val="center"/>
          </w:tcPr>
          <w:p w14:paraId="46FAB17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锦州吉尔运输有限公司办公楼</w:t>
            </w:r>
          </w:p>
        </w:tc>
        <w:tc>
          <w:tcPr>
            <w:tcW w:w="618" w:type="pct"/>
            <w:vAlign w:val="center"/>
          </w:tcPr>
          <w:p w14:paraId="1A76099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三类保护物</w:t>
            </w:r>
          </w:p>
        </w:tc>
        <w:tc>
          <w:tcPr>
            <w:tcW w:w="695" w:type="pct"/>
            <w:vAlign w:val="center"/>
          </w:tcPr>
          <w:p w14:paraId="3D5B32B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696" w:type="pct"/>
            <w:vAlign w:val="center"/>
          </w:tcPr>
          <w:p w14:paraId="6EB53AD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66</w:t>
            </w:r>
          </w:p>
        </w:tc>
        <w:tc>
          <w:tcPr>
            <w:tcW w:w="477" w:type="pct"/>
            <w:vAlign w:val="center"/>
          </w:tcPr>
          <w:p w14:paraId="399E67CD"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353" w:type="pct"/>
            <w:vAlign w:val="center"/>
          </w:tcPr>
          <w:p w14:paraId="0D00F15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04F62C98" w14:textId="77777777">
        <w:trPr>
          <w:trHeight w:val="441"/>
          <w:jc w:val="center"/>
        </w:trPr>
        <w:tc>
          <w:tcPr>
            <w:tcW w:w="760" w:type="pct"/>
            <w:vMerge/>
            <w:vAlign w:val="center"/>
          </w:tcPr>
          <w:p w14:paraId="694D522E"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56568DC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南</w:t>
            </w:r>
          </w:p>
        </w:tc>
        <w:tc>
          <w:tcPr>
            <w:tcW w:w="1003" w:type="pct"/>
            <w:vAlign w:val="center"/>
          </w:tcPr>
          <w:p w14:paraId="518A91D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锦大线</w:t>
            </w:r>
          </w:p>
        </w:tc>
        <w:tc>
          <w:tcPr>
            <w:tcW w:w="618" w:type="pct"/>
            <w:vAlign w:val="center"/>
          </w:tcPr>
          <w:p w14:paraId="4C09D0E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主干路</w:t>
            </w:r>
          </w:p>
        </w:tc>
        <w:tc>
          <w:tcPr>
            <w:tcW w:w="695" w:type="pct"/>
            <w:vAlign w:val="center"/>
          </w:tcPr>
          <w:p w14:paraId="2FA0FC8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w:t>
            </w:r>
          </w:p>
        </w:tc>
        <w:tc>
          <w:tcPr>
            <w:tcW w:w="696" w:type="pct"/>
            <w:vAlign w:val="center"/>
          </w:tcPr>
          <w:p w14:paraId="4E0568A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25</w:t>
            </w:r>
          </w:p>
        </w:tc>
        <w:tc>
          <w:tcPr>
            <w:tcW w:w="477" w:type="pct"/>
            <w:vAlign w:val="center"/>
          </w:tcPr>
          <w:p w14:paraId="408C36FE"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353" w:type="pct"/>
            <w:vAlign w:val="center"/>
          </w:tcPr>
          <w:p w14:paraId="5E2678D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0FE6081E" w14:textId="77777777">
        <w:trPr>
          <w:trHeight w:val="441"/>
          <w:jc w:val="center"/>
        </w:trPr>
        <w:tc>
          <w:tcPr>
            <w:tcW w:w="760" w:type="pct"/>
            <w:vMerge/>
            <w:vAlign w:val="center"/>
          </w:tcPr>
          <w:p w14:paraId="731972F2"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325BA2C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w:t>
            </w:r>
          </w:p>
        </w:tc>
        <w:tc>
          <w:tcPr>
            <w:tcW w:w="1003" w:type="pct"/>
            <w:vAlign w:val="center"/>
          </w:tcPr>
          <w:p w14:paraId="00817A1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架空电力线</w:t>
            </w:r>
            <w:r>
              <w:rPr>
                <w:rFonts w:cs="Times New Roman" w:hint="eastAsia"/>
                <w:sz w:val="21"/>
                <w:szCs w:val="21"/>
                <w14:ligatures w14:val="none"/>
              </w:rPr>
              <w:t>1</w:t>
            </w:r>
            <w:r>
              <w:rPr>
                <w:rFonts w:cs="Times New Roman" w:hint="eastAsia"/>
                <w:sz w:val="21"/>
                <w:szCs w:val="21"/>
                <w14:ligatures w14:val="none"/>
              </w:rPr>
              <w:t>（</w:t>
            </w:r>
            <w:r>
              <w:rPr>
                <w:rFonts w:cs="Times New Roman" w:hint="eastAsia"/>
                <w:sz w:val="21"/>
                <w:szCs w:val="21"/>
                <w14:ligatures w14:val="none"/>
              </w:rPr>
              <w:t>H=8m</w:t>
            </w:r>
            <w:r>
              <w:rPr>
                <w:rFonts w:cs="Times New Roman" w:hint="eastAsia"/>
                <w:sz w:val="21"/>
                <w:szCs w:val="21"/>
                <w14:ligatures w14:val="none"/>
              </w:rPr>
              <w:t>）</w:t>
            </w:r>
          </w:p>
        </w:tc>
        <w:tc>
          <w:tcPr>
            <w:tcW w:w="618" w:type="pct"/>
            <w:vAlign w:val="center"/>
          </w:tcPr>
          <w:p w14:paraId="0235F2F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架空电力线（有绝缘层）</w:t>
            </w:r>
          </w:p>
        </w:tc>
        <w:tc>
          <w:tcPr>
            <w:tcW w:w="695" w:type="pct"/>
            <w:vAlign w:val="center"/>
          </w:tcPr>
          <w:p w14:paraId="6AB5C39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w:t>
            </w:r>
          </w:p>
        </w:tc>
        <w:tc>
          <w:tcPr>
            <w:tcW w:w="696" w:type="pct"/>
            <w:vAlign w:val="center"/>
          </w:tcPr>
          <w:p w14:paraId="5A1C89F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28.2</w:t>
            </w:r>
          </w:p>
        </w:tc>
        <w:tc>
          <w:tcPr>
            <w:tcW w:w="477" w:type="pct"/>
            <w:vAlign w:val="center"/>
          </w:tcPr>
          <w:p w14:paraId="13E5DD17"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353" w:type="pct"/>
            <w:vAlign w:val="center"/>
          </w:tcPr>
          <w:p w14:paraId="745F87B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46C528D6" w14:textId="77777777">
        <w:trPr>
          <w:trHeight w:val="441"/>
          <w:jc w:val="center"/>
        </w:trPr>
        <w:tc>
          <w:tcPr>
            <w:tcW w:w="760" w:type="pct"/>
            <w:vMerge/>
            <w:vAlign w:val="center"/>
          </w:tcPr>
          <w:p w14:paraId="06D226F7"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472D90D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w:t>
            </w:r>
          </w:p>
        </w:tc>
        <w:tc>
          <w:tcPr>
            <w:tcW w:w="1003" w:type="pct"/>
            <w:vAlign w:val="center"/>
          </w:tcPr>
          <w:p w14:paraId="3A199FE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土路</w:t>
            </w:r>
          </w:p>
        </w:tc>
        <w:tc>
          <w:tcPr>
            <w:tcW w:w="618" w:type="pct"/>
            <w:vAlign w:val="center"/>
          </w:tcPr>
          <w:p w14:paraId="0417618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支路</w:t>
            </w:r>
          </w:p>
        </w:tc>
        <w:tc>
          <w:tcPr>
            <w:tcW w:w="695" w:type="pct"/>
            <w:vAlign w:val="center"/>
          </w:tcPr>
          <w:p w14:paraId="1005CD1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w:t>
            </w:r>
          </w:p>
        </w:tc>
        <w:tc>
          <w:tcPr>
            <w:tcW w:w="696" w:type="pct"/>
            <w:vAlign w:val="center"/>
          </w:tcPr>
          <w:p w14:paraId="4998C82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33.3</w:t>
            </w:r>
          </w:p>
        </w:tc>
        <w:tc>
          <w:tcPr>
            <w:tcW w:w="477" w:type="pct"/>
            <w:vAlign w:val="center"/>
          </w:tcPr>
          <w:p w14:paraId="0543B593"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353" w:type="pct"/>
            <w:vAlign w:val="center"/>
          </w:tcPr>
          <w:p w14:paraId="1199725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3DED5CB6" w14:textId="77777777">
        <w:trPr>
          <w:trHeight w:val="441"/>
          <w:jc w:val="center"/>
        </w:trPr>
        <w:tc>
          <w:tcPr>
            <w:tcW w:w="760" w:type="pct"/>
            <w:vMerge/>
            <w:vAlign w:val="center"/>
          </w:tcPr>
          <w:p w14:paraId="14BC656C"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1A8BA53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w:t>
            </w:r>
          </w:p>
        </w:tc>
        <w:tc>
          <w:tcPr>
            <w:tcW w:w="1003" w:type="pct"/>
            <w:vAlign w:val="center"/>
          </w:tcPr>
          <w:p w14:paraId="7A4F208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民用建筑</w:t>
            </w:r>
          </w:p>
        </w:tc>
        <w:tc>
          <w:tcPr>
            <w:tcW w:w="618" w:type="pct"/>
            <w:vAlign w:val="center"/>
          </w:tcPr>
          <w:p w14:paraId="489FAF3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三类保护物</w:t>
            </w:r>
          </w:p>
        </w:tc>
        <w:tc>
          <w:tcPr>
            <w:tcW w:w="695" w:type="pct"/>
            <w:vAlign w:val="center"/>
          </w:tcPr>
          <w:p w14:paraId="31109DA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696" w:type="pct"/>
            <w:vAlign w:val="center"/>
          </w:tcPr>
          <w:p w14:paraId="657DDC7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40.4</w:t>
            </w:r>
          </w:p>
        </w:tc>
        <w:tc>
          <w:tcPr>
            <w:tcW w:w="477" w:type="pct"/>
            <w:vAlign w:val="center"/>
          </w:tcPr>
          <w:p w14:paraId="2880EE7F"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①</w:t>
            </w:r>
          </w:p>
        </w:tc>
        <w:tc>
          <w:tcPr>
            <w:tcW w:w="353" w:type="pct"/>
            <w:vAlign w:val="center"/>
          </w:tcPr>
          <w:p w14:paraId="754A495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00BFCAA1" w14:textId="77777777">
        <w:trPr>
          <w:trHeight w:val="441"/>
          <w:jc w:val="center"/>
        </w:trPr>
        <w:tc>
          <w:tcPr>
            <w:tcW w:w="760" w:type="pct"/>
            <w:vMerge/>
            <w:vAlign w:val="center"/>
          </w:tcPr>
          <w:p w14:paraId="560A898F"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6D4C0BD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w:t>
            </w:r>
          </w:p>
        </w:tc>
        <w:tc>
          <w:tcPr>
            <w:tcW w:w="1003" w:type="pct"/>
            <w:vAlign w:val="center"/>
          </w:tcPr>
          <w:p w14:paraId="196E14B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温室</w:t>
            </w:r>
          </w:p>
        </w:tc>
        <w:tc>
          <w:tcPr>
            <w:tcW w:w="618" w:type="pct"/>
            <w:vAlign w:val="center"/>
          </w:tcPr>
          <w:p w14:paraId="2F1E58F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三类保护物</w:t>
            </w:r>
          </w:p>
        </w:tc>
        <w:tc>
          <w:tcPr>
            <w:tcW w:w="695" w:type="pct"/>
            <w:vAlign w:val="center"/>
          </w:tcPr>
          <w:p w14:paraId="3A4818C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696" w:type="pct"/>
            <w:vAlign w:val="center"/>
          </w:tcPr>
          <w:p w14:paraId="7AEB7FB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48.6</w:t>
            </w:r>
          </w:p>
        </w:tc>
        <w:tc>
          <w:tcPr>
            <w:tcW w:w="477" w:type="pct"/>
            <w:vAlign w:val="center"/>
          </w:tcPr>
          <w:p w14:paraId="378F0E6F"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①</w:t>
            </w:r>
          </w:p>
        </w:tc>
        <w:tc>
          <w:tcPr>
            <w:tcW w:w="353" w:type="pct"/>
            <w:vAlign w:val="center"/>
          </w:tcPr>
          <w:p w14:paraId="06297D7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7468FE12" w14:textId="77777777">
        <w:trPr>
          <w:trHeight w:val="441"/>
          <w:jc w:val="center"/>
        </w:trPr>
        <w:tc>
          <w:tcPr>
            <w:tcW w:w="760" w:type="pct"/>
            <w:vMerge/>
            <w:vAlign w:val="center"/>
          </w:tcPr>
          <w:p w14:paraId="58CD2807"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51856E75"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北</w:t>
            </w:r>
          </w:p>
        </w:tc>
        <w:tc>
          <w:tcPr>
            <w:tcW w:w="1003" w:type="pct"/>
            <w:vAlign w:val="center"/>
          </w:tcPr>
          <w:p w14:paraId="06EB629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架空电力线</w:t>
            </w:r>
            <w:r>
              <w:rPr>
                <w:rFonts w:cs="Times New Roman" w:hint="eastAsia"/>
                <w:sz w:val="21"/>
                <w:szCs w:val="21"/>
                <w14:ligatures w14:val="none"/>
              </w:rPr>
              <w:t>2</w:t>
            </w:r>
            <w:r>
              <w:rPr>
                <w:rFonts w:cs="Times New Roman" w:hint="eastAsia"/>
                <w:sz w:val="21"/>
                <w:szCs w:val="21"/>
                <w14:ligatures w14:val="none"/>
              </w:rPr>
              <w:t>（</w:t>
            </w:r>
            <w:r>
              <w:rPr>
                <w:rFonts w:cs="Times New Roman" w:hint="eastAsia"/>
                <w:sz w:val="21"/>
                <w:szCs w:val="21"/>
                <w14:ligatures w14:val="none"/>
              </w:rPr>
              <w:t>H=8m</w:t>
            </w:r>
            <w:r>
              <w:rPr>
                <w:rFonts w:cs="Times New Roman" w:hint="eastAsia"/>
                <w:sz w:val="21"/>
                <w:szCs w:val="21"/>
                <w14:ligatures w14:val="none"/>
              </w:rPr>
              <w:t>）</w:t>
            </w:r>
          </w:p>
        </w:tc>
        <w:tc>
          <w:tcPr>
            <w:tcW w:w="618" w:type="pct"/>
            <w:vAlign w:val="center"/>
          </w:tcPr>
          <w:p w14:paraId="0F32C7E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架空电力线（有绝缘层）</w:t>
            </w:r>
          </w:p>
        </w:tc>
        <w:tc>
          <w:tcPr>
            <w:tcW w:w="695" w:type="pct"/>
            <w:vAlign w:val="center"/>
          </w:tcPr>
          <w:p w14:paraId="2A2C8CF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w:t>
            </w:r>
          </w:p>
        </w:tc>
        <w:tc>
          <w:tcPr>
            <w:tcW w:w="696" w:type="pct"/>
            <w:vAlign w:val="center"/>
          </w:tcPr>
          <w:p w14:paraId="0A29A11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58.8</w:t>
            </w:r>
          </w:p>
        </w:tc>
        <w:tc>
          <w:tcPr>
            <w:tcW w:w="477" w:type="pct"/>
            <w:vAlign w:val="center"/>
          </w:tcPr>
          <w:p w14:paraId="7A161817"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①</w:t>
            </w:r>
          </w:p>
        </w:tc>
        <w:tc>
          <w:tcPr>
            <w:tcW w:w="353" w:type="pct"/>
            <w:vAlign w:val="center"/>
          </w:tcPr>
          <w:p w14:paraId="3CA72CA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672F1F23" w14:textId="77777777">
        <w:trPr>
          <w:trHeight w:val="441"/>
          <w:jc w:val="center"/>
        </w:trPr>
        <w:tc>
          <w:tcPr>
            <w:tcW w:w="760" w:type="pct"/>
            <w:vMerge w:val="restart"/>
            <w:vAlign w:val="center"/>
          </w:tcPr>
          <w:p w14:paraId="7AE7FEF5"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车用乙醇汽油加油机（新建）</w:t>
            </w:r>
          </w:p>
        </w:tc>
        <w:tc>
          <w:tcPr>
            <w:tcW w:w="397" w:type="pct"/>
            <w:vAlign w:val="center"/>
          </w:tcPr>
          <w:p w14:paraId="312CF81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东</w:t>
            </w:r>
          </w:p>
        </w:tc>
        <w:tc>
          <w:tcPr>
            <w:tcW w:w="1003" w:type="pct"/>
            <w:vAlign w:val="center"/>
          </w:tcPr>
          <w:p w14:paraId="253734CC"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锦州吉尔运输有限公司废弃车棚</w:t>
            </w:r>
          </w:p>
        </w:tc>
        <w:tc>
          <w:tcPr>
            <w:tcW w:w="618" w:type="pct"/>
            <w:vAlign w:val="center"/>
          </w:tcPr>
          <w:p w14:paraId="51F13BC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三类保护物</w:t>
            </w:r>
          </w:p>
        </w:tc>
        <w:tc>
          <w:tcPr>
            <w:tcW w:w="695" w:type="pct"/>
            <w:vAlign w:val="center"/>
          </w:tcPr>
          <w:p w14:paraId="2E8FB1B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w:t>
            </w:r>
          </w:p>
        </w:tc>
        <w:tc>
          <w:tcPr>
            <w:tcW w:w="696" w:type="pct"/>
            <w:vAlign w:val="center"/>
          </w:tcPr>
          <w:p w14:paraId="59A2751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42.8</w:t>
            </w:r>
          </w:p>
        </w:tc>
        <w:tc>
          <w:tcPr>
            <w:tcW w:w="477" w:type="pct"/>
            <w:vAlign w:val="center"/>
          </w:tcPr>
          <w:p w14:paraId="48725CCD"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w:t>
            </w:r>
          </w:p>
        </w:tc>
        <w:tc>
          <w:tcPr>
            <w:tcW w:w="353" w:type="pct"/>
            <w:vAlign w:val="center"/>
          </w:tcPr>
          <w:p w14:paraId="665F0AD3"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符合</w:t>
            </w:r>
          </w:p>
        </w:tc>
      </w:tr>
      <w:tr w:rsidR="00EF4562" w14:paraId="4704597E" w14:textId="77777777">
        <w:trPr>
          <w:trHeight w:val="441"/>
          <w:jc w:val="center"/>
        </w:trPr>
        <w:tc>
          <w:tcPr>
            <w:tcW w:w="760" w:type="pct"/>
            <w:vMerge/>
            <w:vAlign w:val="center"/>
          </w:tcPr>
          <w:p w14:paraId="15CA5D6E"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0F6F050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东</w:t>
            </w:r>
          </w:p>
        </w:tc>
        <w:tc>
          <w:tcPr>
            <w:tcW w:w="1003" w:type="pct"/>
            <w:vAlign w:val="center"/>
          </w:tcPr>
          <w:p w14:paraId="31209CA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锦州吉尔运输有限公司办公楼</w:t>
            </w:r>
          </w:p>
        </w:tc>
        <w:tc>
          <w:tcPr>
            <w:tcW w:w="618" w:type="pct"/>
            <w:vAlign w:val="center"/>
          </w:tcPr>
          <w:p w14:paraId="4B25CA7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三类保护物</w:t>
            </w:r>
          </w:p>
        </w:tc>
        <w:tc>
          <w:tcPr>
            <w:tcW w:w="695" w:type="pct"/>
            <w:vAlign w:val="center"/>
          </w:tcPr>
          <w:p w14:paraId="03D437D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7</w:t>
            </w:r>
          </w:p>
        </w:tc>
        <w:tc>
          <w:tcPr>
            <w:tcW w:w="696" w:type="pct"/>
            <w:vAlign w:val="center"/>
          </w:tcPr>
          <w:p w14:paraId="7F6F881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46</w:t>
            </w:r>
          </w:p>
        </w:tc>
        <w:tc>
          <w:tcPr>
            <w:tcW w:w="477" w:type="pct"/>
            <w:vAlign w:val="center"/>
          </w:tcPr>
          <w:p w14:paraId="74C61CF9"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353" w:type="pct"/>
            <w:vAlign w:val="center"/>
          </w:tcPr>
          <w:p w14:paraId="6F52654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1E155FCA" w14:textId="77777777">
        <w:trPr>
          <w:trHeight w:val="441"/>
          <w:jc w:val="center"/>
        </w:trPr>
        <w:tc>
          <w:tcPr>
            <w:tcW w:w="760" w:type="pct"/>
            <w:vMerge/>
            <w:vAlign w:val="center"/>
          </w:tcPr>
          <w:p w14:paraId="0CEA04A1"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08C03D6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南</w:t>
            </w:r>
          </w:p>
        </w:tc>
        <w:tc>
          <w:tcPr>
            <w:tcW w:w="1003" w:type="pct"/>
            <w:vAlign w:val="center"/>
          </w:tcPr>
          <w:p w14:paraId="520052A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锦大线</w:t>
            </w:r>
          </w:p>
        </w:tc>
        <w:tc>
          <w:tcPr>
            <w:tcW w:w="618" w:type="pct"/>
            <w:vAlign w:val="center"/>
          </w:tcPr>
          <w:p w14:paraId="716F163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主干路</w:t>
            </w:r>
          </w:p>
        </w:tc>
        <w:tc>
          <w:tcPr>
            <w:tcW w:w="695" w:type="pct"/>
            <w:vAlign w:val="center"/>
          </w:tcPr>
          <w:p w14:paraId="4DB46ED5"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w:t>
            </w:r>
          </w:p>
        </w:tc>
        <w:tc>
          <w:tcPr>
            <w:tcW w:w="696" w:type="pct"/>
            <w:vAlign w:val="center"/>
          </w:tcPr>
          <w:p w14:paraId="1E0CD16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25</w:t>
            </w:r>
          </w:p>
        </w:tc>
        <w:tc>
          <w:tcPr>
            <w:tcW w:w="477" w:type="pct"/>
            <w:vAlign w:val="center"/>
          </w:tcPr>
          <w:p w14:paraId="6CC9FEBC"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353" w:type="pct"/>
            <w:vAlign w:val="center"/>
          </w:tcPr>
          <w:p w14:paraId="1C3E537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73C19D44" w14:textId="77777777">
        <w:trPr>
          <w:trHeight w:val="441"/>
          <w:jc w:val="center"/>
        </w:trPr>
        <w:tc>
          <w:tcPr>
            <w:tcW w:w="760" w:type="pct"/>
            <w:vMerge/>
            <w:vAlign w:val="center"/>
          </w:tcPr>
          <w:p w14:paraId="35089483"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25362E0C"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w:t>
            </w:r>
          </w:p>
        </w:tc>
        <w:tc>
          <w:tcPr>
            <w:tcW w:w="1003" w:type="pct"/>
            <w:vAlign w:val="center"/>
          </w:tcPr>
          <w:p w14:paraId="2A914EA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架空电力线</w:t>
            </w:r>
            <w:r>
              <w:rPr>
                <w:rFonts w:cs="Times New Roman" w:hint="eastAsia"/>
                <w:sz w:val="21"/>
                <w:szCs w:val="21"/>
                <w14:ligatures w14:val="none"/>
              </w:rPr>
              <w:t>1</w:t>
            </w:r>
            <w:r>
              <w:rPr>
                <w:rFonts w:cs="Times New Roman" w:hint="eastAsia"/>
                <w:sz w:val="21"/>
                <w:szCs w:val="21"/>
                <w14:ligatures w14:val="none"/>
              </w:rPr>
              <w:t>（</w:t>
            </w:r>
            <w:r>
              <w:rPr>
                <w:rFonts w:cs="Times New Roman" w:hint="eastAsia"/>
                <w:sz w:val="21"/>
                <w:szCs w:val="21"/>
                <w14:ligatures w14:val="none"/>
              </w:rPr>
              <w:t>H=8m</w:t>
            </w:r>
            <w:r>
              <w:rPr>
                <w:rFonts w:cs="Times New Roman" w:hint="eastAsia"/>
                <w:sz w:val="21"/>
                <w:szCs w:val="21"/>
                <w14:ligatures w14:val="none"/>
              </w:rPr>
              <w:t>）</w:t>
            </w:r>
          </w:p>
        </w:tc>
        <w:tc>
          <w:tcPr>
            <w:tcW w:w="618" w:type="pct"/>
            <w:vAlign w:val="center"/>
          </w:tcPr>
          <w:p w14:paraId="2382999C"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架空电力线（有绝缘层）</w:t>
            </w:r>
          </w:p>
        </w:tc>
        <w:tc>
          <w:tcPr>
            <w:tcW w:w="695" w:type="pct"/>
            <w:vAlign w:val="center"/>
          </w:tcPr>
          <w:p w14:paraId="644BB9B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w:t>
            </w:r>
          </w:p>
        </w:tc>
        <w:tc>
          <w:tcPr>
            <w:tcW w:w="696" w:type="pct"/>
            <w:vAlign w:val="center"/>
          </w:tcPr>
          <w:p w14:paraId="48202BE5"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47.4</w:t>
            </w:r>
          </w:p>
        </w:tc>
        <w:tc>
          <w:tcPr>
            <w:tcW w:w="477" w:type="pct"/>
            <w:vAlign w:val="center"/>
          </w:tcPr>
          <w:p w14:paraId="1540D38D"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353" w:type="pct"/>
            <w:vAlign w:val="center"/>
          </w:tcPr>
          <w:p w14:paraId="7300762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5AC0E2B9" w14:textId="77777777">
        <w:trPr>
          <w:trHeight w:val="441"/>
          <w:jc w:val="center"/>
        </w:trPr>
        <w:tc>
          <w:tcPr>
            <w:tcW w:w="760" w:type="pct"/>
            <w:vMerge/>
            <w:vAlign w:val="center"/>
          </w:tcPr>
          <w:p w14:paraId="65BB3781"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5A4D4F2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w:t>
            </w:r>
          </w:p>
        </w:tc>
        <w:tc>
          <w:tcPr>
            <w:tcW w:w="1003" w:type="pct"/>
            <w:vAlign w:val="center"/>
          </w:tcPr>
          <w:p w14:paraId="62E2EF6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土路</w:t>
            </w:r>
          </w:p>
        </w:tc>
        <w:tc>
          <w:tcPr>
            <w:tcW w:w="618" w:type="pct"/>
            <w:vAlign w:val="center"/>
          </w:tcPr>
          <w:p w14:paraId="3707008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支路</w:t>
            </w:r>
          </w:p>
        </w:tc>
        <w:tc>
          <w:tcPr>
            <w:tcW w:w="695" w:type="pct"/>
            <w:vAlign w:val="center"/>
          </w:tcPr>
          <w:p w14:paraId="22AC518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w:t>
            </w:r>
          </w:p>
        </w:tc>
        <w:tc>
          <w:tcPr>
            <w:tcW w:w="696" w:type="pct"/>
            <w:vAlign w:val="center"/>
          </w:tcPr>
          <w:p w14:paraId="47BF6B2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52.6</w:t>
            </w:r>
          </w:p>
        </w:tc>
        <w:tc>
          <w:tcPr>
            <w:tcW w:w="477" w:type="pct"/>
            <w:vAlign w:val="center"/>
          </w:tcPr>
          <w:p w14:paraId="157E6DDE"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353" w:type="pct"/>
            <w:vAlign w:val="center"/>
          </w:tcPr>
          <w:p w14:paraId="2E49A80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707E689F" w14:textId="77777777">
        <w:trPr>
          <w:trHeight w:val="441"/>
          <w:jc w:val="center"/>
        </w:trPr>
        <w:tc>
          <w:tcPr>
            <w:tcW w:w="760" w:type="pct"/>
            <w:vMerge/>
            <w:vAlign w:val="center"/>
          </w:tcPr>
          <w:p w14:paraId="34C6B18B"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4595EF4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w:t>
            </w:r>
          </w:p>
        </w:tc>
        <w:tc>
          <w:tcPr>
            <w:tcW w:w="1003" w:type="pct"/>
            <w:vAlign w:val="center"/>
          </w:tcPr>
          <w:p w14:paraId="240918B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民用建筑</w:t>
            </w:r>
          </w:p>
        </w:tc>
        <w:tc>
          <w:tcPr>
            <w:tcW w:w="618" w:type="pct"/>
            <w:vAlign w:val="center"/>
          </w:tcPr>
          <w:p w14:paraId="0C06C90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三类保护物</w:t>
            </w:r>
          </w:p>
        </w:tc>
        <w:tc>
          <w:tcPr>
            <w:tcW w:w="695" w:type="pct"/>
            <w:vAlign w:val="center"/>
          </w:tcPr>
          <w:p w14:paraId="7B59E3A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7</w:t>
            </w:r>
          </w:p>
        </w:tc>
        <w:tc>
          <w:tcPr>
            <w:tcW w:w="696" w:type="pct"/>
            <w:vAlign w:val="center"/>
          </w:tcPr>
          <w:p w14:paraId="427EA78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61</w:t>
            </w:r>
          </w:p>
        </w:tc>
        <w:tc>
          <w:tcPr>
            <w:tcW w:w="477" w:type="pct"/>
            <w:vAlign w:val="center"/>
          </w:tcPr>
          <w:p w14:paraId="0FECB7D7"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353" w:type="pct"/>
            <w:vAlign w:val="center"/>
          </w:tcPr>
          <w:p w14:paraId="07555A8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3336D309" w14:textId="77777777">
        <w:trPr>
          <w:trHeight w:val="441"/>
          <w:jc w:val="center"/>
        </w:trPr>
        <w:tc>
          <w:tcPr>
            <w:tcW w:w="760" w:type="pct"/>
            <w:vMerge/>
            <w:vAlign w:val="center"/>
          </w:tcPr>
          <w:p w14:paraId="3C808077"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28CD33D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w:t>
            </w:r>
          </w:p>
        </w:tc>
        <w:tc>
          <w:tcPr>
            <w:tcW w:w="1003" w:type="pct"/>
            <w:vAlign w:val="center"/>
          </w:tcPr>
          <w:p w14:paraId="634B8EE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温室</w:t>
            </w:r>
          </w:p>
        </w:tc>
        <w:tc>
          <w:tcPr>
            <w:tcW w:w="618" w:type="pct"/>
            <w:vAlign w:val="center"/>
          </w:tcPr>
          <w:p w14:paraId="64B7450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三类保护物</w:t>
            </w:r>
          </w:p>
        </w:tc>
        <w:tc>
          <w:tcPr>
            <w:tcW w:w="695" w:type="pct"/>
            <w:vAlign w:val="center"/>
          </w:tcPr>
          <w:p w14:paraId="65DF43E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7</w:t>
            </w:r>
          </w:p>
        </w:tc>
        <w:tc>
          <w:tcPr>
            <w:tcW w:w="696" w:type="pct"/>
            <w:vAlign w:val="center"/>
          </w:tcPr>
          <w:p w14:paraId="413DD20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68.8</w:t>
            </w:r>
          </w:p>
        </w:tc>
        <w:tc>
          <w:tcPr>
            <w:tcW w:w="477" w:type="pct"/>
            <w:vAlign w:val="center"/>
          </w:tcPr>
          <w:p w14:paraId="7BAE7AAD"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353" w:type="pct"/>
            <w:vAlign w:val="center"/>
          </w:tcPr>
          <w:p w14:paraId="6FA54AE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3B731E5B" w14:textId="77777777">
        <w:trPr>
          <w:trHeight w:val="441"/>
          <w:jc w:val="center"/>
        </w:trPr>
        <w:tc>
          <w:tcPr>
            <w:tcW w:w="760" w:type="pct"/>
            <w:vMerge/>
            <w:vAlign w:val="center"/>
          </w:tcPr>
          <w:p w14:paraId="594AE1C0" w14:textId="77777777" w:rsidR="00EF4562" w:rsidRDefault="00EF4562">
            <w:pPr>
              <w:spacing w:line="240" w:lineRule="auto"/>
              <w:ind w:firstLineChars="0" w:firstLine="0"/>
              <w:jc w:val="center"/>
              <w:rPr>
                <w:rFonts w:cs="Times New Roman"/>
                <w:sz w:val="21"/>
                <w:szCs w:val="21"/>
                <w14:ligatures w14:val="none"/>
              </w:rPr>
            </w:pPr>
          </w:p>
        </w:tc>
        <w:tc>
          <w:tcPr>
            <w:tcW w:w="397" w:type="pct"/>
            <w:vAlign w:val="center"/>
          </w:tcPr>
          <w:p w14:paraId="28C368A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北</w:t>
            </w:r>
          </w:p>
        </w:tc>
        <w:tc>
          <w:tcPr>
            <w:tcW w:w="1003" w:type="pct"/>
            <w:vAlign w:val="center"/>
          </w:tcPr>
          <w:p w14:paraId="6B92A9B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架空电力线</w:t>
            </w:r>
            <w:r>
              <w:rPr>
                <w:rFonts w:cs="Times New Roman" w:hint="eastAsia"/>
                <w:sz w:val="21"/>
                <w:szCs w:val="21"/>
                <w14:ligatures w14:val="none"/>
              </w:rPr>
              <w:t>2</w:t>
            </w:r>
            <w:r>
              <w:rPr>
                <w:rFonts w:cs="Times New Roman" w:hint="eastAsia"/>
                <w:sz w:val="21"/>
                <w:szCs w:val="21"/>
                <w14:ligatures w14:val="none"/>
              </w:rPr>
              <w:t>（</w:t>
            </w:r>
            <w:r>
              <w:rPr>
                <w:rFonts w:cs="Times New Roman" w:hint="eastAsia"/>
                <w:sz w:val="21"/>
                <w:szCs w:val="21"/>
                <w14:ligatures w14:val="none"/>
              </w:rPr>
              <w:t>H=8m</w:t>
            </w:r>
            <w:r>
              <w:rPr>
                <w:rFonts w:cs="Times New Roman" w:hint="eastAsia"/>
                <w:sz w:val="21"/>
                <w:szCs w:val="21"/>
                <w14:ligatures w14:val="none"/>
              </w:rPr>
              <w:t>）</w:t>
            </w:r>
          </w:p>
        </w:tc>
        <w:tc>
          <w:tcPr>
            <w:tcW w:w="618" w:type="pct"/>
            <w:vAlign w:val="center"/>
          </w:tcPr>
          <w:p w14:paraId="748552D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架空电力线（有绝缘层）</w:t>
            </w:r>
          </w:p>
        </w:tc>
        <w:tc>
          <w:tcPr>
            <w:tcW w:w="695" w:type="pct"/>
            <w:vAlign w:val="center"/>
          </w:tcPr>
          <w:p w14:paraId="39C7735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w:t>
            </w:r>
          </w:p>
        </w:tc>
        <w:tc>
          <w:tcPr>
            <w:tcW w:w="696" w:type="pct"/>
            <w:vAlign w:val="center"/>
          </w:tcPr>
          <w:p w14:paraId="33A0D93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53.8</w:t>
            </w:r>
          </w:p>
        </w:tc>
        <w:tc>
          <w:tcPr>
            <w:tcW w:w="477" w:type="pct"/>
            <w:vAlign w:val="center"/>
          </w:tcPr>
          <w:p w14:paraId="3CB95863"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353" w:type="pct"/>
            <w:vAlign w:val="center"/>
          </w:tcPr>
          <w:p w14:paraId="2D80A62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6B048E29" w14:textId="77777777">
        <w:trPr>
          <w:trHeight w:val="441"/>
          <w:jc w:val="center"/>
        </w:trPr>
        <w:tc>
          <w:tcPr>
            <w:tcW w:w="5000" w:type="pct"/>
            <w:gridSpan w:val="8"/>
            <w:vAlign w:val="center"/>
          </w:tcPr>
          <w:p w14:paraId="4A604A05"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注：</w:t>
            </w:r>
            <w:r>
              <w:rPr>
                <w:rFonts w:ascii="宋体" w:hAnsi="宋体" w:cs="Times New Roman" w:hint="eastAsia"/>
                <w:sz w:val="21"/>
                <w:szCs w:val="21"/>
                <w14:ligatures w14:val="none"/>
              </w:rPr>
              <w:t>①</w:t>
            </w:r>
            <w:r>
              <w:rPr>
                <w:rFonts w:cs="Times New Roman" w:hint="eastAsia"/>
                <w:bCs/>
                <w:sz w:val="21"/>
                <w:szCs w:val="21"/>
                <w14:ligatures w14:val="none"/>
              </w:rPr>
              <w:t>根据《汽车加油加气加氢站技术标准》（</w:t>
            </w:r>
            <w:r>
              <w:rPr>
                <w:rFonts w:cs="Times New Roman" w:hint="eastAsia"/>
                <w:bCs/>
                <w:sz w:val="21"/>
                <w:szCs w:val="21"/>
                <w14:ligatures w14:val="none"/>
              </w:rPr>
              <w:t>G</w:t>
            </w:r>
            <w:r>
              <w:rPr>
                <w:rFonts w:cs="Times New Roman"/>
                <w:bCs/>
                <w:sz w:val="21"/>
                <w:szCs w:val="21"/>
                <w14:ligatures w14:val="none"/>
              </w:rPr>
              <w:t>B 50156-2021</w:t>
            </w:r>
            <w:r>
              <w:rPr>
                <w:rFonts w:cs="Times New Roman" w:hint="eastAsia"/>
                <w:bCs/>
                <w:sz w:val="21"/>
                <w:szCs w:val="21"/>
                <w14:ligatures w14:val="none"/>
              </w:rPr>
              <w:t>）表</w:t>
            </w:r>
            <w:r>
              <w:rPr>
                <w:rFonts w:cs="Times New Roman" w:hint="eastAsia"/>
                <w:bCs/>
                <w:sz w:val="21"/>
                <w:szCs w:val="21"/>
                <w14:ligatures w14:val="none"/>
              </w:rPr>
              <w:t>4</w:t>
            </w:r>
            <w:r>
              <w:rPr>
                <w:rFonts w:cs="Times New Roman"/>
                <w:bCs/>
                <w:sz w:val="21"/>
                <w:szCs w:val="21"/>
                <w14:ligatures w14:val="none"/>
              </w:rPr>
              <w:t>.0.4</w:t>
            </w:r>
            <w:r>
              <w:rPr>
                <w:rFonts w:cs="Times New Roman" w:hint="eastAsia"/>
                <w:bCs/>
                <w:sz w:val="21"/>
                <w:szCs w:val="21"/>
                <w14:ligatures w14:val="none"/>
              </w:rPr>
              <w:t>。</w:t>
            </w:r>
          </w:p>
        </w:tc>
      </w:tr>
      <w:bookmarkEnd w:id="90"/>
    </w:tbl>
    <w:p w14:paraId="28CEADC3" w14:textId="77777777" w:rsidR="00EF4562" w:rsidRDefault="00000000">
      <w:pPr>
        <w:keepNext/>
        <w:keepLines/>
        <w:spacing w:line="240" w:lineRule="auto"/>
        <w:ind w:firstLineChars="0" w:firstLine="0"/>
        <w:jc w:val="center"/>
        <w:rPr>
          <w:rFonts w:eastAsia="黑体"/>
          <w:sz w:val="24"/>
        </w:rPr>
      </w:pPr>
      <w:r>
        <w:rPr>
          <w:rFonts w:eastAsia="黑体"/>
          <w:sz w:val="24"/>
        </w:rPr>
        <w:br w:type="page"/>
      </w:r>
    </w:p>
    <w:p w14:paraId="1BECD6DA" w14:textId="77777777" w:rsidR="00EF4562" w:rsidRDefault="00000000">
      <w:pPr>
        <w:keepNext/>
        <w:keepLines/>
        <w:spacing w:line="240" w:lineRule="auto"/>
        <w:ind w:firstLineChars="0" w:firstLine="0"/>
        <w:jc w:val="center"/>
        <w:rPr>
          <w:rFonts w:eastAsia="黑体"/>
          <w:sz w:val="24"/>
        </w:rPr>
      </w:pPr>
      <w:r>
        <w:rPr>
          <w:rFonts w:eastAsia="黑体" w:hint="eastAsia"/>
          <w:sz w:val="24"/>
        </w:rPr>
        <w:lastRenderedPageBreak/>
        <w:t>表</w:t>
      </w:r>
      <w:r>
        <w:rPr>
          <w:rFonts w:eastAsia="黑体" w:cs="Times New Roman"/>
          <w:sz w:val="24"/>
        </w:rPr>
        <w:t>D-</w:t>
      </w:r>
      <w:r>
        <w:rPr>
          <w:rFonts w:eastAsia="黑体" w:cs="Times New Roman" w:hint="eastAsia"/>
          <w:sz w:val="24"/>
        </w:rPr>
        <w:t>4</w:t>
      </w:r>
      <w:r>
        <w:rPr>
          <w:rFonts w:eastAsia="黑体" w:hint="eastAsia"/>
          <w:sz w:val="24"/>
        </w:rPr>
        <w:t xml:space="preserve">  </w:t>
      </w:r>
      <w:r>
        <w:rPr>
          <w:rFonts w:eastAsia="黑体" w:hint="eastAsia"/>
          <w:sz w:val="24"/>
        </w:rPr>
        <w:t>本项目涉及改造的加油设备、设施与站内其他设施的防火间距表</w:t>
      </w:r>
    </w:p>
    <w:p w14:paraId="67FB27D5" w14:textId="77777777" w:rsidR="00EF4562" w:rsidRDefault="00000000">
      <w:pPr>
        <w:keepNext/>
        <w:keepLines/>
        <w:spacing w:line="240" w:lineRule="auto"/>
        <w:ind w:firstLineChars="0" w:firstLine="0"/>
        <w:jc w:val="center"/>
        <w:rPr>
          <w:rFonts w:eastAsia="黑体"/>
          <w:sz w:val="24"/>
        </w:rPr>
      </w:pPr>
      <w:r>
        <w:rPr>
          <w:rFonts w:eastAsia="黑体" w:hint="eastAsia"/>
          <w:sz w:val="24"/>
        </w:rPr>
        <w:t>（一级加油与</w:t>
      </w:r>
      <w:r>
        <w:rPr>
          <w:rFonts w:eastAsia="黑体" w:hint="eastAsia"/>
          <w:sz w:val="24"/>
        </w:rPr>
        <w:t>LNG</w:t>
      </w:r>
      <w:r>
        <w:rPr>
          <w:rFonts w:eastAsia="黑体" w:hint="eastAsia"/>
          <w:sz w:val="24"/>
        </w:rPr>
        <w:t>加气合建站）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850"/>
        <w:gridCol w:w="1842"/>
        <w:gridCol w:w="1418"/>
        <w:gridCol w:w="1369"/>
        <w:gridCol w:w="1103"/>
        <w:gridCol w:w="754"/>
      </w:tblGrid>
      <w:tr w:rsidR="00EF4562" w14:paraId="77658783" w14:textId="77777777">
        <w:trPr>
          <w:trHeight w:val="441"/>
          <w:tblHeader/>
          <w:jc w:val="center"/>
        </w:trPr>
        <w:tc>
          <w:tcPr>
            <w:tcW w:w="1002" w:type="pct"/>
            <w:vAlign w:val="center"/>
          </w:tcPr>
          <w:p w14:paraId="293410E3" w14:textId="77777777" w:rsidR="00EF4562" w:rsidRDefault="00000000">
            <w:pPr>
              <w:spacing w:line="240" w:lineRule="auto"/>
              <w:ind w:firstLineChars="0" w:firstLine="0"/>
              <w:jc w:val="center"/>
              <w:rPr>
                <w:rFonts w:cs="Times New Roman"/>
                <w:bCs/>
                <w:sz w:val="21"/>
                <w:szCs w:val="21"/>
                <w14:ligatures w14:val="none"/>
              </w:rPr>
            </w:pPr>
            <w:r>
              <w:rPr>
                <w:rFonts w:cs="Times New Roman" w:hint="eastAsia"/>
                <w:bCs/>
                <w:sz w:val="21"/>
                <w:szCs w:val="21"/>
                <w14:ligatures w14:val="none"/>
              </w:rPr>
              <w:t>站</w:t>
            </w:r>
            <w:r>
              <w:rPr>
                <w:rFonts w:cs="Times New Roman"/>
                <w:bCs/>
                <w:sz w:val="21"/>
                <w:szCs w:val="21"/>
                <w14:ligatures w14:val="none"/>
              </w:rPr>
              <w:t>内建（构）</w:t>
            </w:r>
          </w:p>
          <w:p w14:paraId="4D78ADA1"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筑物名称</w:t>
            </w:r>
          </w:p>
        </w:tc>
        <w:tc>
          <w:tcPr>
            <w:tcW w:w="463" w:type="pct"/>
            <w:vAlign w:val="center"/>
          </w:tcPr>
          <w:p w14:paraId="29A9D92C"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方位</w:t>
            </w:r>
          </w:p>
        </w:tc>
        <w:tc>
          <w:tcPr>
            <w:tcW w:w="1004" w:type="pct"/>
            <w:vAlign w:val="center"/>
          </w:tcPr>
          <w:p w14:paraId="73FD4519"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周边建（构）筑物名称</w:t>
            </w:r>
          </w:p>
        </w:tc>
        <w:tc>
          <w:tcPr>
            <w:tcW w:w="773" w:type="pct"/>
            <w:vAlign w:val="center"/>
          </w:tcPr>
          <w:p w14:paraId="5650C14C"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规范要求</w:t>
            </w:r>
            <w:r>
              <w:rPr>
                <w:rFonts w:cs="Times New Roman" w:hint="eastAsia"/>
                <w:bCs/>
                <w:sz w:val="21"/>
                <w:szCs w:val="21"/>
                <w14:ligatures w14:val="none"/>
              </w:rPr>
              <w:t>（</w:t>
            </w:r>
            <w:r>
              <w:rPr>
                <w:rFonts w:cs="Times New Roman" w:hint="eastAsia"/>
                <w:bCs/>
                <w:sz w:val="21"/>
                <w:szCs w:val="21"/>
                <w14:ligatures w14:val="none"/>
              </w:rPr>
              <w:t>m</w:t>
            </w:r>
            <w:r>
              <w:rPr>
                <w:rFonts w:cs="Times New Roman" w:hint="eastAsia"/>
                <w:bCs/>
                <w:sz w:val="21"/>
                <w:szCs w:val="21"/>
                <w14:ligatures w14:val="none"/>
              </w:rPr>
              <w:t>）</w:t>
            </w:r>
          </w:p>
        </w:tc>
        <w:tc>
          <w:tcPr>
            <w:tcW w:w="746" w:type="pct"/>
            <w:vAlign w:val="center"/>
          </w:tcPr>
          <w:p w14:paraId="73146C21"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设计距离</w:t>
            </w:r>
            <w:r>
              <w:rPr>
                <w:rFonts w:cs="Times New Roman" w:hint="eastAsia"/>
                <w:bCs/>
                <w:sz w:val="21"/>
                <w:szCs w:val="21"/>
                <w14:ligatures w14:val="none"/>
              </w:rPr>
              <w:t>（</w:t>
            </w:r>
            <w:r>
              <w:rPr>
                <w:rFonts w:cs="Times New Roman" w:hint="eastAsia"/>
                <w:bCs/>
                <w:sz w:val="21"/>
                <w:szCs w:val="21"/>
                <w14:ligatures w14:val="none"/>
              </w:rPr>
              <w:t>m</w:t>
            </w:r>
            <w:r>
              <w:rPr>
                <w:rFonts w:cs="Times New Roman" w:hint="eastAsia"/>
                <w:bCs/>
                <w:sz w:val="21"/>
                <w:szCs w:val="21"/>
                <w14:ligatures w14:val="none"/>
              </w:rPr>
              <w:t>）</w:t>
            </w:r>
          </w:p>
        </w:tc>
        <w:tc>
          <w:tcPr>
            <w:tcW w:w="601" w:type="pct"/>
            <w:vAlign w:val="center"/>
          </w:tcPr>
          <w:p w14:paraId="718520ED"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依据</w:t>
            </w:r>
          </w:p>
        </w:tc>
        <w:tc>
          <w:tcPr>
            <w:tcW w:w="411" w:type="pct"/>
            <w:vAlign w:val="center"/>
          </w:tcPr>
          <w:p w14:paraId="1B4D1684"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结论</w:t>
            </w:r>
          </w:p>
        </w:tc>
      </w:tr>
      <w:tr w:rsidR="00EF4562" w14:paraId="06F1350F" w14:textId="77777777">
        <w:trPr>
          <w:trHeight w:val="441"/>
          <w:jc w:val="center"/>
        </w:trPr>
        <w:tc>
          <w:tcPr>
            <w:tcW w:w="1002" w:type="pct"/>
            <w:vMerge w:val="restart"/>
            <w:vAlign w:val="center"/>
          </w:tcPr>
          <w:p w14:paraId="0D0CAA5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柴油加油机（新建）</w:t>
            </w:r>
          </w:p>
        </w:tc>
        <w:tc>
          <w:tcPr>
            <w:tcW w:w="463" w:type="pct"/>
            <w:vAlign w:val="center"/>
          </w:tcPr>
          <w:p w14:paraId="39EEDDD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北</w:t>
            </w:r>
          </w:p>
        </w:tc>
        <w:tc>
          <w:tcPr>
            <w:tcW w:w="1004" w:type="pct"/>
            <w:vAlign w:val="center"/>
          </w:tcPr>
          <w:p w14:paraId="1BC1309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站房</w:t>
            </w:r>
            <w:r>
              <w:rPr>
                <w:rFonts w:cs="Times New Roman" w:hint="eastAsia"/>
                <w:sz w:val="21"/>
                <w:szCs w:val="21"/>
                <w14:ligatures w14:val="none"/>
              </w:rPr>
              <w:t>1</w:t>
            </w:r>
          </w:p>
        </w:tc>
        <w:tc>
          <w:tcPr>
            <w:tcW w:w="773" w:type="pct"/>
            <w:vAlign w:val="center"/>
          </w:tcPr>
          <w:p w14:paraId="5D72B0A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w:t>
            </w:r>
          </w:p>
        </w:tc>
        <w:tc>
          <w:tcPr>
            <w:tcW w:w="746" w:type="pct"/>
            <w:vAlign w:val="center"/>
          </w:tcPr>
          <w:p w14:paraId="13EFEAA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18.2</w:t>
            </w:r>
          </w:p>
        </w:tc>
        <w:tc>
          <w:tcPr>
            <w:tcW w:w="601" w:type="pct"/>
            <w:vAlign w:val="center"/>
          </w:tcPr>
          <w:p w14:paraId="760A0FC3"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①</w:t>
            </w:r>
          </w:p>
        </w:tc>
        <w:tc>
          <w:tcPr>
            <w:tcW w:w="411" w:type="pct"/>
            <w:vAlign w:val="center"/>
          </w:tcPr>
          <w:p w14:paraId="7B0B98C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0BE50018" w14:textId="77777777">
        <w:trPr>
          <w:trHeight w:val="441"/>
          <w:jc w:val="center"/>
        </w:trPr>
        <w:tc>
          <w:tcPr>
            <w:tcW w:w="1002" w:type="pct"/>
            <w:vMerge/>
            <w:vAlign w:val="center"/>
          </w:tcPr>
          <w:p w14:paraId="6E8D326D"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39D45F5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北</w:t>
            </w:r>
          </w:p>
        </w:tc>
        <w:tc>
          <w:tcPr>
            <w:tcW w:w="1004" w:type="pct"/>
            <w:vAlign w:val="center"/>
          </w:tcPr>
          <w:p w14:paraId="235B054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站房</w:t>
            </w:r>
            <w:r>
              <w:rPr>
                <w:rFonts w:cs="Times New Roman" w:hint="eastAsia"/>
                <w:sz w:val="21"/>
                <w:szCs w:val="21"/>
                <w14:ligatures w14:val="none"/>
              </w:rPr>
              <w:t>2</w:t>
            </w:r>
          </w:p>
        </w:tc>
        <w:tc>
          <w:tcPr>
            <w:tcW w:w="773" w:type="pct"/>
            <w:vAlign w:val="center"/>
          </w:tcPr>
          <w:p w14:paraId="75E6E2E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w:t>
            </w:r>
          </w:p>
        </w:tc>
        <w:tc>
          <w:tcPr>
            <w:tcW w:w="746" w:type="pct"/>
            <w:vAlign w:val="center"/>
          </w:tcPr>
          <w:p w14:paraId="359C0E9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43.3</w:t>
            </w:r>
          </w:p>
        </w:tc>
        <w:tc>
          <w:tcPr>
            <w:tcW w:w="601" w:type="pct"/>
            <w:vAlign w:val="center"/>
          </w:tcPr>
          <w:p w14:paraId="3EE879C4"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①</w:t>
            </w:r>
          </w:p>
        </w:tc>
        <w:tc>
          <w:tcPr>
            <w:tcW w:w="411" w:type="pct"/>
            <w:vAlign w:val="center"/>
          </w:tcPr>
          <w:p w14:paraId="779435E8"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符合</w:t>
            </w:r>
          </w:p>
        </w:tc>
      </w:tr>
      <w:tr w:rsidR="00EF4562" w14:paraId="138B68B4" w14:textId="77777777">
        <w:trPr>
          <w:trHeight w:val="441"/>
          <w:jc w:val="center"/>
        </w:trPr>
        <w:tc>
          <w:tcPr>
            <w:tcW w:w="1002" w:type="pct"/>
            <w:vMerge/>
            <w:vAlign w:val="center"/>
          </w:tcPr>
          <w:p w14:paraId="6B41411A"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416B7EF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53F3127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LNG</w:t>
            </w:r>
            <w:r>
              <w:rPr>
                <w:rFonts w:cs="Times New Roman" w:hint="eastAsia"/>
                <w:sz w:val="21"/>
                <w:szCs w:val="21"/>
                <w14:ligatures w14:val="none"/>
              </w:rPr>
              <w:t>储罐潜液泵一体撬</w:t>
            </w:r>
          </w:p>
        </w:tc>
        <w:tc>
          <w:tcPr>
            <w:tcW w:w="773" w:type="pct"/>
            <w:vAlign w:val="center"/>
          </w:tcPr>
          <w:p w14:paraId="2F182A4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746" w:type="pct"/>
            <w:vAlign w:val="center"/>
          </w:tcPr>
          <w:p w14:paraId="4D1BF2B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24.9</w:t>
            </w:r>
          </w:p>
        </w:tc>
        <w:tc>
          <w:tcPr>
            <w:tcW w:w="601" w:type="pct"/>
            <w:vAlign w:val="center"/>
          </w:tcPr>
          <w:p w14:paraId="443A298C"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②</w:t>
            </w:r>
          </w:p>
        </w:tc>
        <w:tc>
          <w:tcPr>
            <w:tcW w:w="411" w:type="pct"/>
            <w:vAlign w:val="center"/>
          </w:tcPr>
          <w:p w14:paraId="0658B10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520BA1EE" w14:textId="77777777">
        <w:trPr>
          <w:trHeight w:val="441"/>
          <w:jc w:val="center"/>
        </w:trPr>
        <w:tc>
          <w:tcPr>
            <w:tcW w:w="1002" w:type="pct"/>
            <w:vMerge/>
            <w:vAlign w:val="center"/>
          </w:tcPr>
          <w:p w14:paraId="663C8619"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3AF15C9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5879580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LNG</w:t>
            </w:r>
            <w:r>
              <w:rPr>
                <w:rFonts w:cs="Times New Roman" w:hint="eastAsia"/>
                <w:sz w:val="21"/>
                <w:szCs w:val="21"/>
                <w14:ligatures w14:val="none"/>
              </w:rPr>
              <w:t>放空管管口</w:t>
            </w:r>
          </w:p>
        </w:tc>
        <w:tc>
          <w:tcPr>
            <w:tcW w:w="773" w:type="pct"/>
            <w:vAlign w:val="center"/>
          </w:tcPr>
          <w:p w14:paraId="4233029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746" w:type="pct"/>
            <w:vAlign w:val="center"/>
          </w:tcPr>
          <w:p w14:paraId="39F688C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28.9</w:t>
            </w:r>
          </w:p>
        </w:tc>
        <w:tc>
          <w:tcPr>
            <w:tcW w:w="601" w:type="pct"/>
            <w:vAlign w:val="center"/>
          </w:tcPr>
          <w:p w14:paraId="41EB4B02"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②</w:t>
            </w:r>
          </w:p>
        </w:tc>
        <w:tc>
          <w:tcPr>
            <w:tcW w:w="411" w:type="pct"/>
            <w:vAlign w:val="center"/>
          </w:tcPr>
          <w:p w14:paraId="7AA9757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4242B32F" w14:textId="77777777">
        <w:trPr>
          <w:trHeight w:val="441"/>
          <w:jc w:val="center"/>
        </w:trPr>
        <w:tc>
          <w:tcPr>
            <w:tcW w:w="1002" w:type="pct"/>
            <w:vMerge/>
            <w:vAlign w:val="center"/>
          </w:tcPr>
          <w:p w14:paraId="235009B2"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5090AA2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58DCBF15"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支架版卸车撬</w:t>
            </w:r>
          </w:p>
        </w:tc>
        <w:tc>
          <w:tcPr>
            <w:tcW w:w="773" w:type="pct"/>
            <w:vAlign w:val="center"/>
          </w:tcPr>
          <w:p w14:paraId="279B80D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746" w:type="pct"/>
            <w:vAlign w:val="center"/>
          </w:tcPr>
          <w:p w14:paraId="13A992E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26.7</w:t>
            </w:r>
          </w:p>
        </w:tc>
        <w:tc>
          <w:tcPr>
            <w:tcW w:w="601" w:type="pct"/>
            <w:vAlign w:val="center"/>
          </w:tcPr>
          <w:p w14:paraId="6B74FACF"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②</w:t>
            </w:r>
          </w:p>
        </w:tc>
        <w:tc>
          <w:tcPr>
            <w:tcW w:w="411" w:type="pct"/>
            <w:vAlign w:val="center"/>
          </w:tcPr>
          <w:p w14:paraId="01C6CA1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1D32D290" w14:textId="77777777">
        <w:trPr>
          <w:trHeight w:val="441"/>
          <w:jc w:val="center"/>
        </w:trPr>
        <w:tc>
          <w:tcPr>
            <w:tcW w:w="1002" w:type="pct"/>
            <w:vMerge/>
            <w:vAlign w:val="center"/>
          </w:tcPr>
          <w:p w14:paraId="13E0F715"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3873A56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479DA39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LNG</w:t>
            </w:r>
            <w:r>
              <w:rPr>
                <w:rFonts w:cs="Times New Roman" w:hint="eastAsia"/>
                <w:sz w:val="21"/>
                <w:szCs w:val="21"/>
                <w14:ligatures w14:val="none"/>
              </w:rPr>
              <w:t>加气机</w:t>
            </w:r>
          </w:p>
        </w:tc>
        <w:tc>
          <w:tcPr>
            <w:tcW w:w="773" w:type="pct"/>
            <w:vAlign w:val="center"/>
          </w:tcPr>
          <w:p w14:paraId="059A51D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w:t>
            </w:r>
          </w:p>
        </w:tc>
        <w:tc>
          <w:tcPr>
            <w:tcW w:w="746" w:type="pct"/>
            <w:vAlign w:val="center"/>
          </w:tcPr>
          <w:p w14:paraId="0C4196F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12</w:t>
            </w:r>
          </w:p>
        </w:tc>
        <w:tc>
          <w:tcPr>
            <w:tcW w:w="601" w:type="pct"/>
            <w:vAlign w:val="center"/>
          </w:tcPr>
          <w:p w14:paraId="4B496BFA" w14:textId="77777777" w:rsidR="00EF4562" w:rsidRDefault="00000000">
            <w:pPr>
              <w:spacing w:line="240" w:lineRule="auto"/>
              <w:ind w:firstLineChars="0" w:firstLine="0"/>
              <w:jc w:val="center"/>
              <w:rPr>
                <w:rFonts w:cs="Times New Roman"/>
                <w:sz w:val="24"/>
                <w14:ligatures w14:val="none"/>
              </w:rPr>
            </w:pPr>
            <w:r>
              <w:rPr>
                <w:rFonts w:ascii="宋体" w:hAnsi="宋体" w:cs="Times New Roman" w:hint="eastAsia"/>
                <w:sz w:val="24"/>
                <w14:ligatures w14:val="none"/>
              </w:rPr>
              <w:t>②</w:t>
            </w:r>
          </w:p>
        </w:tc>
        <w:tc>
          <w:tcPr>
            <w:tcW w:w="411" w:type="pct"/>
            <w:vAlign w:val="center"/>
          </w:tcPr>
          <w:p w14:paraId="5AC04563"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符合</w:t>
            </w:r>
          </w:p>
        </w:tc>
      </w:tr>
      <w:tr w:rsidR="00EF4562" w14:paraId="25429411" w14:textId="77777777">
        <w:trPr>
          <w:trHeight w:val="441"/>
          <w:jc w:val="center"/>
        </w:trPr>
        <w:tc>
          <w:tcPr>
            <w:tcW w:w="1002" w:type="pct"/>
            <w:vMerge/>
            <w:vAlign w:val="center"/>
          </w:tcPr>
          <w:p w14:paraId="41C4B1DC"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31E80CB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2E3C2FA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变压器</w:t>
            </w:r>
          </w:p>
        </w:tc>
        <w:tc>
          <w:tcPr>
            <w:tcW w:w="773" w:type="pct"/>
            <w:vAlign w:val="center"/>
          </w:tcPr>
          <w:p w14:paraId="55FDFB5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w:t>
            </w:r>
          </w:p>
        </w:tc>
        <w:tc>
          <w:tcPr>
            <w:tcW w:w="746" w:type="pct"/>
            <w:vAlign w:val="center"/>
          </w:tcPr>
          <w:p w14:paraId="0B9FAC8C"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58.2</w:t>
            </w:r>
          </w:p>
        </w:tc>
        <w:tc>
          <w:tcPr>
            <w:tcW w:w="601" w:type="pct"/>
            <w:vAlign w:val="center"/>
          </w:tcPr>
          <w:p w14:paraId="07AB20F9" w14:textId="77777777" w:rsidR="00EF4562" w:rsidRDefault="00000000">
            <w:pPr>
              <w:spacing w:line="240" w:lineRule="auto"/>
              <w:ind w:firstLineChars="0" w:firstLine="0"/>
              <w:jc w:val="center"/>
              <w:rPr>
                <w:rFonts w:cs="Times New Roman"/>
                <w:sz w:val="21"/>
                <w:szCs w:val="21"/>
                <w14:ligatures w14:val="none"/>
              </w:rPr>
            </w:pPr>
            <w:r>
              <w:rPr>
                <w:rFonts w:ascii="宋体" w:hAnsi="宋体" w:cs="Times New Roman" w:hint="eastAsia"/>
                <w:sz w:val="21"/>
                <w:szCs w:val="21"/>
                <w14:ligatures w14:val="none"/>
              </w:rPr>
              <w:t>③</w:t>
            </w:r>
          </w:p>
        </w:tc>
        <w:tc>
          <w:tcPr>
            <w:tcW w:w="411" w:type="pct"/>
            <w:vAlign w:val="center"/>
          </w:tcPr>
          <w:p w14:paraId="4B1CA714" w14:textId="77777777" w:rsidR="00EF4562" w:rsidRDefault="00000000">
            <w:pPr>
              <w:spacing w:line="240" w:lineRule="auto"/>
              <w:ind w:firstLineChars="0" w:firstLine="0"/>
              <w:jc w:val="center"/>
              <w:rPr>
                <w:rFonts w:cs="Times New Roman"/>
                <w:sz w:val="24"/>
                <w14:ligatures w14:val="none"/>
              </w:rPr>
            </w:pPr>
            <w:r>
              <w:rPr>
                <w:rFonts w:cs="Times New Roman" w:hint="eastAsia"/>
                <w:sz w:val="21"/>
                <w:szCs w:val="21"/>
                <w14:ligatures w14:val="none"/>
              </w:rPr>
              <w:t>符合</w:t>
            </w:r>
          </w:p>
        </w:tc>
      </w:tr>
      <w:tr w:rsidR="00EF4562" w14:paraId="624B3E3B" w14:textId="77777777">
        <w:trPr>
          <w:trHeight w:val="441"/>
          <w:jc w:val="center"/>
        </w:trPr>
        <w:tc>
          <w:tcPr>
            <w:tcW w:w="1002" w:type="pct"/>
            <w:vMerge/>
            <w:vAlign w:val="center"/>
          </w:tcPr>
          <w:p w14:paraId="063715F0"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0A514FC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北</w:t>
            </w:r>
          </w:p>
        </w:tc>
        <w:tc>
          <w:tcPr>
            <w:tcW w:w="1004" w:type="pct"/>
            <w:vAlign w:val="center"/>
          </w:tcPr>
          <w:p w14:paraId="6C6EA35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柴油发电机</w:t>
            </w:r>
          </w:p>
        </w:tc>
        <w:tc>
          <w:tcPr>
            <w:tcW w:w="773" w:type="pct"/>
            <w:vAlign w:val="center"/>
          </w:tcPr>
          <w:p w14:paraId="6B7C375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746" w:type="pct"/>
            <w:vAlign w:val="center"/>
          </w:tcPr>
          <w:p w14:paraId="1763C11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43.9</w:t>
            </w:r>
          </w:p>
        </w:tc>
        <w:tc>
          <w:tcPr>
            <w:tcW w:w="601" w:type="pct"/>
            <w:vAlign w:val="center"/>
          </w:tcPr>
          <w:p w14:paraId="68F2BFDB"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①</w:t>
            </w:r>
          </w:p>
        </w:tc>
        <w:tc>
          <w:tcPr>
            <w:tcW w:w="411" w:type="pct"/>
            <w:vAlign w:val="center"/>
          </w:tcPr>
          <w:p w14:paraId="43B7191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601C675E" w14:textId="77777777">
        <w:trPr>
          <w:trHeight w:val="441"/>
          <w:jc w:val="center"/>
        </w:trPr>
        <w:tc>
          <w:tcPr>
            <w:tcW w:w="1002" w:type="pct"/>
            <w:vMerge w:val="restart"/>
            <w:vAlign w:val="center"/>
          </w:tcPr>
          <w:p w14:paraId="7B9F4F5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车用乙醇汽油加油机（新建）</w:t>
            </w:r>
          </w:p>
        </w:tc>
        <w:tc>
          <w:tcPr>
            <w:tcW w:w="463" w:type="pct"/>
            <w:vAlign w:val="center"/>
          </w:tcPr>
          <w:p w14:paraId="29B3009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532A67D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站房</w:t>
            </w:r>
            <w:r>
              <w:rPr>
                <w:rFonts w:cs="Times New Roman" w:hint="eastAsia"/>
                <w:sz w:val="21"/>
                <w:szCs w:val="21"/>
                <w14:ligatures w14:val="none"/>
              </w:rPr>
              <w:t>1</w:t>
            </w:r>
          </w:p>
        </w:tc>
        <w:tc>
          <w:tcPr>
            <w:tcW w:w="773" w:type="pct"/>
            <w:vAlign w:val="center"/>
          </w:tcPr>
          <w:p w14:paraId="1CDD70E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w:t>
            </w:r>
          </w:p>
        </w:tc>
        <w:tc>
          <w:tcPr>
            <w:tcW w:w="746" w:type="pct"/>
            <w:vAlign w:val="center"/>
          </w:tcPr>
          <w:p w14:paraId="7642102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18.4</w:t>
            </w:r>
          </w:p>
        </w:tc>
        <w:tc>
          <w:tcPr>
            <w:tcW w:w="601" w:type="pct"/>
            <w:vAlign w:val="center"/>
          </w:tcPr>
          <w:p w14:paraId="5F73BDFA" w14:textId="77777777" w:rsidR="00EF4562" w:rsidRDefault="00000000">
            <w:pPr>
              <w:spacing w:line="240" w:lineRule="auto"/>
              <w:ind w:firstLineChars="0" w:firstLine="0"/>
              <w:jc w:val="center"/>
              <w:rPr>
                <w:rFonts w:cs="Times New Roman"/>
                <w:sz w:val="24"/>
                <w14:ligatures w14:val="none"/>
              </w:rPr>
            </w:pPr>
            <w:r>
              <w:rPr>
                <w:rFonts w:ascii="宋体" w:hAnsi="宋体" w:cs="Times New Roman" w:hint="eastAsia"/>
                <w:sz w:val="21"/>
                <w:szCs w:val="21"/>
                <w14:ligatures w14:val="none"/>
              </w:rPr>
              <w:t>①</w:t>
            </w:r>
          </w:p>
        </w:tc>
        <w:tc>
          <w:tcPr>
            <w:tcW w:w="411" w:type="pct"/>
            <w:vAlign w:val="center"/>
          </w:tcPr>
          <w:p w14:paraId="764C1707" w14:textId="77777777" w:rsidR="00EF4562" w:rsidRDefault="00000000">
            <w:pPr>
              <w:spacing w:line="240" w:lineRule="auto"/>
              <w:ind w:firstLineChars="0" w:firstLine="0"/>
              <w:jc w:val="center"/>
              <w:rPr>
                <w:rFonts w:cs="Times New Roman"/>
                <w:sz w:val="24"/>
                <w14:ligatures w14:val="none"/>
              </w:rPr>
            </w:pPr>
            <w:r>
              <w:rPr>
                <w:rFonts w:cs="Times New Roman" w:hint="eastAsia"/>
                <w:sz w:val="21"/>
                <w:szCs w:val="21"/>
                <w14:ligatures w14:val="none"/>
              </w:rPr>
              <w:t>符合</w:t>
            </w:r>
          </w:p>
        </w:tc>
      </w:tr>
      <w:tr w:rsidR="00EF4562" w14:paraId="26270868" w14:textId="77777777">
        <w:trPr>
          <w:trHeight w:val="441"/>
          <w:jc w:val="center"/>
        </w:trPr>
        <w:tc>
          <w:tcPr>
            <w:tcW w:w="1002" w:type="pct"/>
            <w:vMerge/>
            <w:vAlign w:val="center"/>
          </w:tcPr>
          <w:p w14:paraId="3CB67CDB"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3FE0B32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2A44BD1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站房</w:t>
            </w:r>
            <w:r>
              <w:rPr>
                <w:rFonts w:cs="Times New Roman" w:hint="eastAsia"/>
                <w:sz w:val="21"/>
                <w:szCs w:val="21"/>
                <w14:ligatures w14:val="none"/>
              </w:rPr>
              <w:t>2</w:t>
            </w:r>
          </w:p>
        </w:tc>
        <w:tc>
          <w:tcPr>
            <w:tcW w:w="773" w:type="pct"/>
            <w:vAlign w:val="center"/>
          </w:tcPr>
          <w:p w14:paraId="2A17463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w:t>
            </w:r>
          </w:p>
        </w:tc>
        <w:tc>
          <w:tcPr>
            <w:tcW w:w="746" w:type="pct"/>
            <w:vAlign w:val="center"/>
          </w:tcPr>
          <w:p w14:paraId="59ECA50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39.7</w:t>
            </w:r>
          </w:p>
        </w:tc>
        <w:tc>
          <w:tcPr>
            <w:tcW w:w="601" w:type="pct"/>
            <w:vAlign w:val="center"/>
          </w:tcPr>
          <w:p w14:paraId="66841EF0" w14:textId="77777777" w:rsidR="00EF4562" w:rsidRDefault="00000000">
            <w:pPr>
              <w:spacing w:line="240" w:lineRule="auto"/>
              <w:ind w:firstLineChars="0" w:firstLine="0"/>
              <w:jc w:val="center"/>
              <w:rPr>
                <w:rFonts w:cs="Times New Roman"/>
                <w:sz w:val="24"/>
                <w14:ligatures w14:val="none"/>
              </w:rPr>
            </w:pPr>
            <w:r>
              <w:rPr>
                <w:rFonts w:ascii="宋体" w:hAnsi="宋体" w:cs="Times New Roman" w:hint="eastAsia"/>
                <w:sz w:val="21"/>
                <w:szCs w:val="21"/>
                <w14:ligatures w14:val="none"/>
              </w:rPr>
              <w:t>①</w:t>
            </w:r>
          </w:p>
        </w:tc>
        <w:tc>
          <w:tcPr>
            <w:tcW w:w="411" w:type="pct"/>
            <w:vAlign w:val="center"/>
          </w:tcPr>
          <w:p w14:paraId="75A3C0C4" w14:textId="77777777" w:rsidR="00EF4562" w:rsidRDefault="00000000">
            <w:pPr>
              <w:spacing w:line="240" w:lineRule="auto"/>
              <w:ind w:firstLineChars="0" w:firstLine="0"/>
              <w:jc w:val="center"/>
              <w:rPr>
                <w:rFonts w:cs="Times New Roman"/>
                <w:sz w:val="24"/>
                <w14:ligatures w14:val="none"/>
              </w:rPr>
            </w:pPr>
            <w:r>
              <w:rPr>
                <w:rFonts w:cs="Times New Roman" w:hint="eastAsia"/>
                <w:sz w:val="21"/>
                <w:szCs w:val="21"/>
                <w14:ligatures w14:val="none"/>
              </w:rPr>
              <w:t>符合</w:t>
            </w:r>
          </w:p>
        </w:tc>
      </w:tr>
      <w:tr w:rsidR="00EF4562" w14:paraId="292C1ACA" w14:textId="77777777">
        <w:trPr>
          <w:trHeight w:val="441"/>
          <w:jc w:val="center"/>
        </w:trPr>
        <w:tc>
          <w:tcPr>
            <w:tcW w:w="1002" w:type="pct"/>
            <w:vMerge/>
            <w:vAlign w:val="center"/>
          </w:tcPr>
          <w:p w14:paraId="427A3228"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64E3011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73ADEA6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LNG</w:t>
            </w:r>
            <w:r>
              <w:rPr>
                <w:rFonts w:cs="Times New Roman" w:hint="eastAsia"/>
                <w:sz w:val="21"/>
                <w:szCs w:val="21"/>
                <w14:ligatures w14:val="none"/>
              </w:rPr>
              <w:t>储罐潜液泵一体撬</w:t>
            </w:r>
          </w:p>
        </w:tc>
        <w:tc>
          <w:tcPr>
            <w:tcW w:w="773" w:type="pct"/>
            <w:vAlign w:val="center"/>
          </w:tcPr>
          <w:p w14:paraId="7205845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746" w:type="pct"/>
            <w:vAlign w:val="center"/>
          </w:tcPr>
          <w:p w14:paraId="58B22C0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39.4</w:t>
            </w:r>
          </w:p>
        </w:tc>
        <w:tc>
          <w:tcPr>
            <w:tcW w:w="601" w:type="pct"/>
            <w:vAlign w:val="center"/>
          </w:tcPr>
          <w:p w14:paraId="464F2A0F"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②</w:t>
            </w:r>
          </w:p>
        </w:tc>
        <w:tc>
          <w:tcPr>
            <w:tcW w:w="411" w:type="pct"/>
            <w:vAlign w:val="center"/>
          </w:tcPr>
          <w:p w14:paraId="660D596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4E0EDFED" w14:textId="77777777">
        <w:trPr>
          <w:trHeight w:val="441"/>
          <w:jc w:val="center"/>
        </w:trPr>
        <w:tc>
          <w:tcPr>
            <w:tcW w:w="1002" w:type="pct"/>
            <w:vMerge/>
            <w:vAlign w:val="center"/>
          </w:tcPr>
          <w:p w14:paraId="1C0C84B6"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274BFEF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298193E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LNG</w:t>
            </w:r>
            <w:r>
              <w:rPr>
                <w:rFonts w:cs="Times New Roman" w:hint="eastAsia"/>
                <w:sz w:val="21"/>
                <w:szCs w:val="21"/>
                <w14:ligatures w14:val="none"/>
              </w:rPr>
              <w:t>放空管管口</w:t>
            </w:r>
          </w:p>
        </w:tc>
        <w:tc>
          <w:tcPr>
            <w:tcW w:w="773" w:type="pct"/>
            <w:vAlign w:val="center"/>
          </w:tcPr>
          <w:p w14:paraId="6B1347D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746" w:type="pct"/>
            <w:vAlign w:val="center"/>
          </w:tcPr>
          <w:p w14:paraId="5DB84E9C"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42.8</w:t>
            </w:r>
          </w:p>
        </w:tc>
        <w:tc>
          <w:tcPr>
            <w:tcW w:w="601" w:type="pct"/>
            <w:vAlign w:val="center"/>
          </w:tcPr>
          <w:p w14:paraId="02AC9D67"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②</w:t>
            </w:r>
          </w:p>
        </w:tc>
        <w:tc>
          <w:tcPr>
            <w:tcW w:w="411" w:type="pct"/>
            <w:vAlign w:val="center"/>
          </w:tcPr>
          <w:p w14:paraId="331F2D05"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0FB0D5C3" w14:textId="77777777">
        <w:trPr>
          <w:trHeight w:val="441"/>
          <w:jc w:val="center"/>
        </w:trPr>
        <w:tc>
          <w:tcPr>
            <w:tcW w:w="1002" w:type="pct"/>
            <w:vMerge/>
            <w:vAlign w:val="center"/>
          </w:tcPr>
          <w:p w14:paraId="2BB1600A"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4EBE2A69"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706DE29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支架版卸车撬</w:t>
            </w:r>
          </w:p>
        </w:tc>
        <w:tc>
          <w:tcPr>
            <w:tcW w:w="773" w:type="pct"/>
            <w:vAlign w:val="center"/>
          </w:tcPr>
          <w:p w14:paraId="429BDDD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w:t>
            </w:r>
          </w:p>
        </w:tc>
        <w:tc>
          <w:tcPr>
            <w:tcW w:w="746" w:type="pct"/>
            <w:vAlign w:val="center"/>
          </w:tcPr>
          <w:p w14:paraId="709AEA3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42.9</w:t>
            </w:r>
          </w:p>
        </w:tc>
        <w:tc>
          <w:tcPr>
            <w:tcW w:w="601" w:type="pct"/>
            <w:vAlign w:val="center"/>
          </w:tcPr>
          <w:p w14:paraId="0217D052"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②</w:t>
            </w:r>
          </w:p>
        </w:tc>
        <w:tc>
          <w:tcPr>
            <w:tcW w:w="411" w:type="pct"/>
            <w:vAlign w:val="center"/>
          </w:tcPr>
          <w:p w14:paraId="669F7DFA"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2CB9CC07" w14:textId="77777777">
        <w:trPr>
          <w:trHeight w:val="441"/>
          <w:jc w:val="center"/>
        </w:trPr>
        <w:tc>
          <w:tcPr>
            <w:tcW w:w="1002" w:type="pct"/>
            <w:vMerge/>
            <w:vAlign w:val="center"/>
          </w:tcPr>
          <w:p w14:paraId="0E056093"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7F56ACD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北</w:t>
            </w:r>
          </w:p>
        </w:tc>
        <w:tc>
          <w:tcPr>
            <w:tcW w:w="1004" w:type="pct"/>
            <w:vAlign w:val="center"/>
          </w:tcPr>
          <w:p w14:paraId="3B325C5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LNG</w:t>
            </w:r>
            <w:r>
              <w:rPr>
                <w:rFonts w:cs="Times New Roman" w:hint="eastAsia"/>
                <w:sz w:val="21"/>
                <w:szCs w:val="21"/>
                <w14:ligatures w14:val="none"/>
              </w:rPr>
              <w:t>加气机</w:t>
            </w:r>
          </w:p>
        </w:tc>
        <w:tc>
          <w:tcPr>
            <w:tcW w:w="773" w:type="pct"/>
            <w:vAlign w:val="center"/>
          </w:tcPr>
          <w:p w14:paraId="160E8A7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2</w:t>
            </w:r>
          </w:p>
        </w:tc>
        <w:tc>
          <w:tcPr>
            <w:tcW w:w="746" w:type="pct"/>
            <w:vAlign w:val="center"/>
          </w:tcPr>
          <w:p w14:paraId="46E1FA6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12</w:t>
            </w:r>
          </w:p>
        </w:tc>
        <w:tc>
          <w:tcPr>
            <w:tcW w:w="601" w:type="pct"/>
            <w:vAlign w:val="center"/>
          </w:tcPr>
          <w:p w14:paraId="665003BA"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4"/>
                <w14:ligatures w14:val="none"/>
              </w:rPr>
              <w:t>②</w:t>
            </w:r>
          </w:p>
        </w:tc>
        <w:tc>
          <w:tcPr>
            <w:tcW w:w="411" w:type="pct"/>
            <w:vAlign w:val="center"/>
          </w:tcPr>
          <w:p w14:paraId="26ABED42"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749A0D40" w14:textId="77777777">
        <w:trPr>
          <w:trHeight w:val="441"/>
          <w:jc w:val="center"/>
        </w:trPr>
        <w:tc>
          <w:tcPr>
            <w:tcW w:w="1002" w:type="pct"/>
            <w:vMerge/>
            <w:vAlign w:val="center"/>
          </w:tcPr>
          <w:p w14:paraId="6ED4F438"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7AA9F3B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64F7988F"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变压器</w:t>
            </w:r>
          </w:p>
        </w:tc>
        <w:tc>
          <w:tcPr>
            <w:tcW w:w="773" w:type="pct"/>
            <w:vAlign w:val="center"/>
          </w:tcPr>
          <w:p w14:paraId="09A48124"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7.5</w:t>
            </w:r>
          </w:p>
        </w:tc>
        <w:tc>
          <w:tcPr>
            <w:tcW w:w="746" w:type="pct"/>
            <w:vAlign w:val="center"/>
          </w:tcPr>
          <w:p w14:paraId="06FAF7B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62</w:t>
            </w:r>
          </w:p>
        </w:tc>
        <w:tc>
          <w:tcPr>
            <w:tcW w:w="601" w:type="pct"/>
            <w:vAlign w:val="center"/>
          </w:tcPr>
          <w:p w14:paraId="64FE7681"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③</w:t>
            </w:r>
          </w:p>
        </w:tc>
        <w:tc>
          <w:tcPr>
            <w:tcW w:w="411" w:type="pct"/>
            <w:vAlign w:val="center"/>
          </w:tcPr>
          <w:p w14:paraId="11152E3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4BC2C15A" w14:textId="77777777">
        <w:trPr>
          <w:trHeight w:val="441"/>
          <w:jc w:val="center"/>
        </w:trPr>
        <w:tc>
          <w:tcPr>
            <w:tcW w:w="1002" w:type="pct"/>
            <w:vMerge/>
            <w:vAlign w:val="center"/>
          </w:tcPr>
          <w:p w14:paraId="54FB4F54" w14:textId="77777777" w:rsidR="00EF4562" w:rsidRDefault="00EF4562">
            <w:pPr>
              <w:spacing w:line="240" w:lineRule="auto"/>
              <w:ind w:firstLineChars="0" w:firstLine="0"/>
              <w:jc w:val="center"/>
              <w:rPr>
                <w:rFonts w:cs="Times New Roman"/>
                <w:sz w:val="21"/>
                <w:szCs w:val="21"/>
                <w14:ligatures w14:val="none"/>
              </w:rPr>
            </w:pPr>
          </w:p>
        </w:tc>
        <w:tc>
          <w:tcPr>
            <w:tcW w:w="463" w:type="pct"/>
            <w:vAlign w:val="center"/>
          </w:tcPr>
          <w:p w14:paraId="481F25C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西北</w:t>
            </w:r>
          </w:p>
        </w:tc>
        <w:tc>
          <w:tcPr>
            <w:tcW w:w="1004" w:type="pct"/>
            <w:vAlign w:val="center"/>
          </w:tcPr>
          <w:p w14:paraId="6DF82797"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柴油发电机</w:t>
            </w:r>
          </w:p>
        </w:tc>
        <w:tc>
          <w:tcPr>
            <w:tcW w:w="773" w:type="pct"/>
            <w:vAlign w:val="center"/>
          </w:tcPr>
          <w:p w14:paraId="6413BAD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8</w:t>
            </w:r>
          </w:p>
        </w:tc>
        <w:tc>
          <w:tcPr>
            <w:tcW w:w="746" w:type="pct"/>
            <w:vAlign w:val="center"/>
          </w:tcPr>
          <w:p w14:paraId="63F30AF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50.3</w:t>
            </w:r>
          </w:p>
        </w:tc>
        <w:tc>
          <w:tcPr>
            <w:tcW w:w="601" w:type="pct"/>
            <w:vAlign w:val="center"/>
          </w:tcPr>
          <w:p w14:paraId="7DF794AA" w14:textId="77777777" w:rsidR="00EF4562" w:rsidRDefault="00000000">
            <w:pPr>
              <w:spacing w:line="240" w:lineRule="auto"/>
              <w:ind w:firstLineChars="0" w:firstLine="0"/>
              <w:jc w:val="center"/>
              <w:rPr>
                <w:rFonts w:ascii="宋体" w:hAnsi="宋体" w:cs="Times New Roman" w:hint="eastAsia"/>
                <w:sz w:val="21"/>
                <w:szCs w:val="21"/>
                <w14:ligatures w14:val="none"/>
              </w:rPr>
            </w:pPr>
            <w:r>
              <w:rPr>
                <w:rFonts w:ascii="宋体" w:hAnsi="宋体" w:cs="Times New Roman" w:hint="eastAsia"/>
                <w:sz w:val="21"/>
                <w:szCs w:val="21"/>
                <w14:ligatures w14:val="none"/>
              </w:rPr>
              <w:t>①</w:t>
            </w:r>
          </w:p>
        </w:tc>
        <w:tc>
          <w:tcPr>
            <w:tcW w:w="411" w:type="pct"/>
            <w:vAlign w:val="center"/>
          </w:tcPr>
          <w:p w14:paraId="1E0F4B2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符合</w:t>
            </w:r>
          </w:p>
        </w:tc>
      </w:tr>
      <w:tr w:rsidR="00EF4562" w14:paraId="431BD0A6" w14:textId="77777777">
        <w:trPr>
          <w:trHeight w:val="441"/>
          <w:jc w:val="center"/>
        </w:trPr>
        <w:tc>
          <w:tcPr>
            <w:tcW w:w="5000" w:type="pct"/>
            <w:gridSpan w:val="7"/>
            <w:vAlign w:val="center"/>
          </w:tcPr>
          <w:p w14:paraId="09807DA7"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注：</w:t>
            </w:r>
            <w:r>
              <w:rPr>
                <w:rFonts w:ascii="宋体" w:hAnsi="宋体" w:cs="Cambria Math"/>
                <w:sz w:val="21"/>
                <w:szCs w:val="21"/>
                <w14:ligatures w14:val="none"/>
              </w:rPr>
              <w:t>①</w:t>
            </w:r>
            <w:r>
              <w:rPr>
                <w:rFonts w:cs="Times New Roman" w:hint="eastAsia"/>
                <w:bCs/>
                <w:sz w:val="21"/>
                <w:szCs w:val="21"/>
                <w14:ligatures w14:val="none"/>
              </w:rPr>
              <w:t>根据《汽车加油加气加氢站技术标准》（</w:t>
            </w:r>
            <w:r>
              <w:rPr>
                <w:rFonts w:cs="Times New Roman" w:hint="eastAsia"/>
                <w:bCs/>
                <w:sz w:val="21"/>
                <w:szCs w:val="21"/>
                <w14:ligatures w14:val="none"/>
              </w:rPr>
              <w:t>GB 50156-2021</w:t>
            </w:r>
            <w:r>
              <w:rPr>
                <w:rFonts w:cs="Times New Roman" w:hint="eastAsia"/>
                <w:bCs/>
                <w:sz w:val="21"/>
                <w:szCs w:val="21"/>
                <w14:ligatures w14:val="none"/>
              </w:rPr>
              <w:t>）表</w:t>
            </w:r>
            <w:r>
              <w:rPr>
                <w:rFonts w:cs="Times New Roman" w:hint="eastAsia"/>
                <w:bCs/>
                <w:sz w:val="21"/>
                <w:szCs w:val="21"/>
                <w14:ligatures w14:val="none"/>
              </w:rPr>
              <w:t>5.0.13-1</w:t>
            </w:r>
            <w:r>
              <w:rPr>
                <w:rFonts w:cs="Times New Roman" w:hint="eastAsia"/>
                <w:bCs/>
                <w:sz w:val="21"/>
                <w:szCs w:val="21"/>
                <w14:ligatures w14:val="none"/>
              </w:rPr>
              <w:t>；</w:t>
            </w:r>
          </w:p>
          <w:p w14:paraId="21612EFC" w14:textId="77777777" w:rsidR="00EF4562" w:rsidRDefault="00000000">
            <w:pPr>
              <w:spacing w:line="240" w:lineRule="auto"/>
              <w:ind w:firstLineChars="0" w:firstLine="0"/>
              <w:rPr>
                <w:rFonts w:cs="Times New Roman"/>
                <w:sz w:val="21"/>
                <w:szCs w:val="21"/>
                <w14:ligatures w14:val="none"/>
              </w:rPr>
            </w:pPr>
            <w:r>
              <w:rPr>
                <w:rFonts w:ascii="宋体" w:hAnsi="宋体" w:cs="Times New Roman" w:hint="eastAsia"/>
                <w:sz w:val="21"/>
                <w:szCs w:val="21"/>
                <w14:ligatures w14:val="none"/>
              </w:rPr>
              <w:t>②</w:t>
            </w:r>
            <w:r>
              <w:rPr>
                <w:rFonts w:cs="Times New Roman" w:hint="eastAsia"/>
                <w:bCs/>
                <w:sz w:val="21"/>
                <w:szCs w:val="21"/>
                <w14:ligatures w14:val="none"/>
              </w:rPr>
              <w:t>根据《汽车加油加气加氢站技术标准》（</w:t>
            </w:r>
            <w:r>
              <w:rPr>
                <w:rFonts w:cs="Times New Roman" w:hint="eastAsia"/>
                <w:bCs/>
                <w:sz w:val="21"/>
                <w:szCs w:val="21"/>
                <w14:ligatures w14:val="none"/>
              </w:rPr>
              <w:t>GB 50156-2021</w:t>
            </w:r>
            <w:r>
              <w:rPr>
                <w:rFonts w:cs="Times New Roman" w:hint="eastAsia"/>
                <w:bCs/>
                <w:sz w:val="21"/>
                <w:szCs w:val="21"/>
                <w14:ligatures w14:val="none"/>
              </w:rPr>
              <w:t>）表</w:t>
            </w:r>
            <w:r>
              <w:rPr>
                <w:rFonts w:cs="Times New Roman" w:hint="eastAsia"/>
                <w:bCs/>
                <w:sz w:val="21"/>
                <w:szCs w:val="21"/>
                <w14:ligatures w14:val="none"/>
              </w:rPr>
              <w:t>5.0.13-2</w:t>
            </w:r>
            <w:r>
              <w:rPr>
                <w:rFonts w:cs="Times New Roman" w:hint="eastAsia"/>
                <w:bCs/>
                <w:sz w:val="21"/>
                <w:szCs w:val="21"/>
                <w14:ligatures w14:val="none"/>
              </w:rPr>
              <w:t>；</w:t>
            </w:r>
          </w:p>
          <w:p w14:paraId="28543FAE" w14:textId="77777777" w:rsidR="00EF4562" w:rsidRDefault="00000000">
            <w:pPr>
              <w:spacing w:line="240" w:lineRule="auto"/>
              <w:ind w:firstLineChars="0" w:firstLine="0"/>
              <w:rPr>
                <w:rFonts w:cs="Times New Roman"/>
                <w:bCs/>
                <w:sz w:val="21"/>
                <w:szCs w:val="21"/>
                <w14:ligatures w14:val="none"/>
              </w:rPr>
            </w:pPr>
            <w:r>
              <w:rPr>
                <w:rFonts w:ascii="宋体" w:hAnsi="宋体" w:cs="Cambria Math"/>
                <w:sz w:val="21"/>
                <w:szCs w:val="21"/>
                <w14:ligatures w14:val="none"/>
              </w:rPr>
              <w:t>③</w:t>
            </w:r>
            <w:r>
              <w:rPr>
                <w:rFonts w:cs="Times New Roman" w:hint="eastAsia"/>
                <w:bCs/>
                <w:sz w:val="21"/>
                <w:szCs w:val="21"/>
                <w14:ligatures w14:val="none"/>
              </w:rPr>
              <w:t>根据《汽车加油加气加氢站技术标准》（</w:t>
            </w:r>
            <w:r>
              <w:rPr>
                <w:rFonts w:cs="Times New Roman" w:hint="eastAsia"/>
                <w:bCs/>
                <w:sz w:val="21"/>
                <w:szCs w:val="21"/>
                <w14:ligatures w14:val="none"/>
              </w:rPr>
              <w:t>GB 50156-2021</w:t>
            </w:r>
            <w:r>
              <w:rPr>
                <w:rFonts w:cs="Times New Roman" w:hint="eastAsia"/>
                <w:bCs/>
                <w:sz w:val="21"/>
                <w:szCs w:val="21"/>
                <w14:ligatures w14:val="none"/>
              </w:rPr>
              <w:t>）第</w:t>
            </w:r>
            <w:r>
              <w:rPr>
                <w:rFonts w:cs="Times New Roman" w:hint="eastAsia"/>
                <w:bCs/>
                <w:sz w:val="21"/>
                <w:szCs w:val="21"/>
                <w14:ligatures w14:val="none"/>
              </w:rPr>
              <w:t>5.0.8</w:t>
            </w:r>
            <w:r>
              <w:rPr>
                <w:rFonts w:cs="Times New Roman" w:hint="eastAsia"/>
                <w:bCs/>
                <w:sz w:val="21"/>
                <w:szCs w:val="21"/>
                <w14:ligatures w14:val="none"/>
              </w:rPr>
              <w:t>条。</w:t>
            </w:r>
          </w:p>
        </w:tc>
      </w:tr>
    </w:tbl>
    <w:p w14:paraId="1D20535D" w14:textId="77777777" w:rsidR="00EF4562" w:rsidRDefault="00000000">
      <w:pPr>
        <w:ind w:firstLine="560"/>
      </w:pPr>
      <w:r>
        <w:br w:type="page"/>
      </w:r>
    </w:p>
    <w:p w14:paraId="7C2ACF34" w14:textId="77777777" w:rsidR="00EF4562" w:rsidRDefault="00000000">
      <w:pPr>
        <w:spacing w:beforeLines="100" w:before="381" w:afterLines="100" w:after="381"/>
        <w:ind w:firstLineChars="0" w:firstLine="0"/>
        <w:jc w:val="center"/>
        <w:outlineLvl w:val="1"/>
        <w:rPr>
          <w:rFonts w:eastAsia="楷体" w:cs="Times New Roman"/>
          <w:b/>
          <w:bCs/>
          <w:sz w:val="32"/>
          <w:szCs w:val="32"/>
        </w:rPr>
      </w:pPr>
      <w:bookmarkStart w:id="91" w:name="_Toc207695674"/>
      <w:r>
        <w:rPr>
          <w:rFonts w:eastAsia="楷体" w:cs="Times New Roman"/>
          <w:b/>
          <w:bCs/>
          <w:sz w:val="32"/>
          <w:szCs w:val="32"/>
        </w:rPr>
        <w:lastRenderedPageBreak/>
        <w:t>D.2</w:t>
      </w:r>
      <w:r>
        <w:rPr>
          <w:rFonts w:eastAsia="楷体" w:cs="Times New Roman" w:hint="eastAsia"/>
          <w:b/>
          <w:bCs/>
          <w:sz w:val="32"/>
          <w:szCs w:val="32"/>
        </w:rPr>
        <w:t>预先危险性分析</w:t>
      </w:r>
      <w:bookmarkEnd w:id="91"/>
    </w:p>
    <w:p w14:paraId="115BF57B" w14:textId="77777777" w:rsidR="00EF4562" w:rsidRDefault="00000000">
      <w:pPr>
        <w:ind w:firstLine="560"/>
      </w:pPr>
      <w:r>
        <w:rPr>
          <w:rFonts w:hint="eastAsia"/>
        </w:rPr>
        <w:t>为衡量系统危险性的大小及对系统的破坏程度，将各类危险性划分为</w:t>
      </w:r>
      <w:r>
        <w:rPr>
          <w:rFonts w:hint="eastAsia"/>
        </w:rPr>
        <w:t>4</w:t>
      </w:r>
      <w:r>
        <w:rPr>
          <w:rFonts w:hint="eastAsia"/>
        </w:rPr>
        <w:t>个等级，见表</w:t>
      </w:r>
      <w:r>
        <w:rPr>
          <w:rFonts w:hint="eastAsia"/>
        </w:rPr>
        <w:t>D-5</w:t>
      </w:r>
      <w:r>
        <w:rPr>
          <w:rFonts w:hint="eastAsia"/>
        </w:rPr>
        <w:t>；以下对该项目存在的主要危险因素进行分析，结果如表</w:t>
      </w:r>
      <w:r>
        <w:rPr>
          <w:rFonts w:hint="eastAsia"/>
        </w:rPr>
        <w:t>D-6</w:t>
      </w:r>
      <w:r>
        <w:rPr>
          <w:rFonts w:hint="eastAsia"/>
        </w:rPr>
        <w:t>、</w:t>
      </w:r>
      <w:r>
        <w:rPr>
          <w:rFonts w:hint="eastAsia"/>
        </w:rPr>
        <w:t>D-7</w:t>
      </w:r>
      <w:r>
        <w:rPr>
          <w:rFonts w:hint="eastAsia"/>
        </w:rPr>
        <w:t>所示。</w:t>
      </w:r>
    </w:p>
    <w:p w14:paraId="0FE51F44"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eastAsia="黑体" w:cs="Times New Roman"/>
          <w:sz w:val="24"/>
        </w:rPr>
        <w:t>表</w:t>
      </w:r>
      <w:r>
        <w:rPr>
          <w:rFonts w:eastAsia="黑体" w:cs="Times New Roman"/>
          <w:sz w:val="24"/>
        </w:rPr>
        <w:t>D-</w:t>
      </w:r>
      <w:r>
        <w:rPr>
          <w:rFonts w:eastAsia="黑体" w:cs="Times New Roman" w:hint="eastAsia"/>
          <w:sz w:val="24"/>
        </w:rPr>
        <w:t>5</w:t>
      </w:r>
      <w:r>
        <w:rPr>
          <w:rFonts w:ascii="黑体" w:eastAsia="黑体" w:hAnsi="黑体" w:hint="eastAsia"/>
          <w:sz w:val="24"/>
        </w:rPr>
        <w:t xml:space="preserve">  预先危险性分析危险级别划分表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1886"/>
        <w:gridCol w:w="6231"/>
      </w:tblGrid>
      <w:tr w:rsidR="00EF4562" w14:paraId="447FC2FC" w14:textId="77777777">
        <w:trPr>
          <w:trHeight w:hRule="exact" w:val="421"/>
          <w:tblHeader/>
          <w:jc w:val="center"/>
        </w:trPr>
        <w:tc>
          <w:tcPr>
            <w:tcW w:w="576" w:type="pct"/>
            <w:vAlign w:val="center"/>
          </w:tcPr>
          <w:p w14:paraId="63ED344A"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级别</w:t>
            </w:r>
          </w:p>
        </w:tc>
        <w:tc>
          <w:tcPr>
            <w:tcW w:w="1028" w:type="pct"/>
            <w:vAlign w:val="center"/>
          </w:tcPr>
          <w:p w14:paraId="1DFBEAC1"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危险程度</w:t>
            </w:r>
          </w:p>
        </w:tc>
        <w:tc>
          <w:tcPr>
            <w:tcW w:w="3395" w:type="pct"/>
            <w:vAlign w:val="center"/>
          </w:tcPr>
          <w:p w14:paraId="6469A8DB" w14:textId="77777777" w:rsidR="00EF4562" w:rsidRDefault="00000000">
            <w:pPr>
              <w:spacing w:line="240" w:lineRule="auto"/>
              <w:ind w:firstLineChars="0" w:firstLine="0"/>
              <w:jc w:val="center"/>
              <w:rPr>
                <w:rFonts w:cs="Times New Roman"/>
                <w:bCs/>
                <w:sz w:val="21"/>
                <w:szCs w:val="21"/>
                <w14:ligatures w14:val="none"/>
              </w:rPr>
            </w:pPr>
            <w:r>
              <w:rPr>
                <w:rFonts w:cs="Times New Roman"/>
                <w:bCs/>
                <w:sz w:val="21"/>
                <w:szCs w:val="21"/>
                <w14:ligatures w14:val="none"/>
              </w:rPr>
              <w:t>可能导致的后果</w:t>
            </w:r>
          </w:p>
        </w:tc>
      </w:tr>
      <w:tr w:rsidR="00EF4562" w14:paraId="0035AB99" w14:textId="77777777">
        <w:trPr>
          <w:trHeight w:hRule="exact" w:val="394"/>
          <w:jc w:val="center"/>
        </w:trPr>
        <w:tc>
          <w:tcPr>
            <w:tcW w:w="576" w:type="pct"/>
            <w:vAlign w:val="center"/>
          </w:tcPr>
          <w:p w14:paraId="746806D3" w14:textId="77777777" w:rsidR="00EF4562" w:rsidRDefault="00000000">
            <w:pPr>
              <w:spacing w:line="240" w:lineRule="auto"/>
              <w:ind w:firstLineChars="0" w:firstLine="0"/>
              <w:jc w:val="center"/>
              <w:rPr>
                <w:rFonts w:cs="Times New Roman"/>
                <w:snapToGrid w:val="0"/>
                <w:sz w:val="21"/>
                <w:szCs w:val="21"/>
                <w14:ligatures w14:val="none"/>
              </w:rPr>
            </w:pPr>
            <w:r>
              <w:rPr>
                <w:rFonts w:cs="Times New Roman"/>
                <w:snapToGrid w:val="0"/>
                <w:sz w:val="21"/>
                <w:szCs w:val="21"/>
                <w14:ligatures w14:val="none"/>
              </w:rPr>
              <w:t>Ⅰ</w:t>
            </w:r>
          </w:p>
        </w:tc>
        <w:tc>
          <w:tcPr>
            <w:tcW w:w="1028" w:type="pct"/>
            <w:vAlign w:val="center"/>
          </w:tcPr>
          <w:p w14:paraId="55DABF37" w14:textId="77777777" w:rsidR="00EF4562" w:rsidRDefault="00000000">
            <w:pPr>
              <w:spacing w:line="240" w:lineRule="auto"/>
              <w:ind w:firstLineChars="0" w:firstLine="0"/>
              <w:jc w:val="center"/>
              <w:rPr>
                <w:rFonts w:cs="Times New Roman"/>
                <w:snapToGrid w:val="0"/>
                <w:sz w:val="21"/>
                <w:szCs w:val="21"/>
                <w14:ligatures w14:val="none"/>
              </w:rPr>
            </w:pPr>
            <w:r>
              <w:rPr>
                <w:rFonts w:cs="Times New Roman"/>
                <w:snapToGrid w:val="0"/>
                <w:sz w:val="21"/>
                <w:szCs w:val="21"/>
                <w14:ligatures w14:val="none"/>
              </w:rPr>
              <w:t>安全的</w:t>
            </w:r>
          </w:p>
        </w:tc>
        <w:tc>
          <w:tcPr>
            <w:tcW w:w="3395" w:type="pct"/>
            <w:vAlign w:val="center"/>
          </w:tcPr>
          <w:p w14:paraId="43E696D8" w14:textId="77777777" w:rsidR="00EF4562" w:rsidRDefault="00000000">
            <w:pPr>
              <w:spacing w:line="240" w:lineRule="auto"/>
              <w:ind w:firstLineChars="0" w:firstLine="0"/>
              <w:rPr>
                <w:rFonts w:cs="Times New Roman"/>
                <w:snapToGrid w:val="0"/>
                <w:sz w:val="21"/>
                <w:szCs w:val="21"/>
                <w14:ligatures w14:val="none"/>
              </w:rPr>
            </w:pPr>
            <w:r>
              <w:rPr>
                <w:rFonts w:cs="Times New Roman"/>
                <w:snapToGrid w:val="0"/>
                <w:sz w:val="21"/>
                <w:szCs w:val="21"/>
                <w14:ligatures w14:val="none"/>
              </w:rPr>
              <w:t>不会造成人员伤亡和系统损坏</w:t>
            </w:r>
          </w:p>
        </w:tc>
      </w:tr>
      <w:tr w:rsidR="00EF4562" w14:paraId="1037879A" w14:textId="77777777">
        <w:trPr>
          <w:trHeight w:hRule="exact" w:val="821"/>
          <w:jc w:val="center"/>
        </w:trPr>
        <w:tc>
          <w:tcPr>
            <w:tcW w:w="576" w:type="pct"/>
            <w:vAlign w:val="center"/>
          </w:tcPr>
          <w:p w14:paraId="2604B8DE" w14:textId="77777777" w:rsidR="00EF4562" w:rsidRDefault="00000000">
            <w:pPr>
              <w:spacing w:line="240" w:lineRule="auto"/>
              <w:ind w:firstLineChars="0" w:firstLine="0"/>
              <w:jc w:val="center"/>
              <w:rPr>
                <w:rFonts w:cs="Times New Roman"/>
                <w:snapToGrid w:val="0"/>
                <w:sz w:val="21"/>
                <w:szCs w:val="21"/>
                <w14:ligatures w14:val="none"/>
              </w:rPr>
            </w:pPr>
            <w:r>
              <w:rPr>
                <w:rFonts w:cs="Times New Roman"/>
                <w:snapToGrid w:val="0"/>
                <w:sz w:val="21"/>
                <w:szCs w:val="21"/>
                <w14:ligatures w14:val="none"/>
              </w:rPr>
              <w:t>Ⅱ</w:t>
            </w:r>
          </w:p>
        </w:tc>
        <w:tc>
          <w:tcPr>
            <w:tcW w:w="1028" w:type="pct"/>
            <w:vAlign w:val="center"/>
          </w:tcPr>
          <w:p w14:paraId="1E34DD8A" w14:textId="77777777" w:rsidR="00EF4562" w:rsidRDefault="00000000">
            <w:pPr>
              <w:spacing w:line="240" w:lineRule="auto"/>
              <w:ind w:firstLineChars="0" w:firstLine="0"/>
              <w:jc w:val="center"/>
              <w:rPr>
                <w:rFonts w:cs="Times New Roman"/>
                <w:snapToGrid w:val="0"/>
                <w:sz w:val="21"/>
                <w:szCs w:val="21"/>
                <w14:ligatures w14:val="none"/>
              </w:rPr>
            </w:pPr>
            <w:r>
              <w:rPr>
                <w:rFonts w:cs="Times New Roman"/>
                <w:snapToGrid w:val="0"/>
                <w:sz w:val="21"/>
                <w:szCs w:val="21"/>
                <w14:ligatures w14:val="none"/>
              </w:rPr>
              <w:t>临界的</w:t>
            </w:r>
          </w:p>
        </w:tc>
        <w:tc>
          <w:tcPr>
            <w:tcW w:w="3395" w:type="pct"/>
            <w:vAlign w:val="center"/>
          </w:tcPr>
          <w:p w14:paraId="6D23C488" w14:textId="77777777" w:rsidR="00EF4562" w:rsidRDefault="00000000">
            <w:pPr>
              <w:spacing w:line="240" w:lineRule="auto"/>
              <w:ind w:firstLineChars="0" w:firstLine="0"/>
              <w:rPr>
                <w:rFonts w:cs="Times New Roman"/>
                <w:snapToGrid w:val="0"/>
                <w:sz w:val="21"/>
                <w:szCs w:val="21"/>
                <w14:ligatures w14:val="none"/>
              </w:rPr>
            </w:pPr>
            <w:r>
              <w:rPr>
                <w:rFonts w:cs="Times New Roman"/>
                <w:snapToGrid w:val="0"/>
                <w:sz w:val="21"/>
                <w:szCs w:val="21"/>
                <w14:ligatures w14:val="none"/>
              </w:rPr>
              <w:t>处于事故边缘，暂时不会造成人员伤亡、系统损坏或降低性能，但应予以排除或采取控制措施</w:t>
            </w:r>
          </w:p>
        </w:tc>
      </w:tr>
      <w:tr w:rsidR="00EF4562" w14:paraId="04E9E50F" w14:textId="77777777">
        <w:trPr>
          <w:trHeight w:hRule="exact" w:val="511"/>
          <w:jc w:val="center"/>
        </w:trPr>
        <w:tc>
          <w:tcPr>
            <w:tcW w:w="576" w:type="pct"/>
            <w:vAlign w:val="center"/>
          </w:tcPr>
          <w:p w14:paraId="3D59CB87" w14:textId="77777777" w:rsidR="00EF4562" w:rsidRDefault="00000000">
            <w:pPr>
              <w:spacing w:line="240" w:lineRule="auto"/>
              <w:ind w:firstLineChars="0" w:firstLine="0"/>
              <w:jc w:val="center"/>
              <w:rPr>
                <w:rFonts w:cs="Times New Roman"/>
                <w:snapToGrid w:val="0"/>
                <w:sz w:val="21"/>
                <w:szCs w:val="21"/>
                <w14:ligatures w14:val="none"/>
              </w:rPr>
            </w:pPr>
            <w:r>
              <w:rPr>
                <w:rFonts w:cs="Times New Roman"/>
                <w:snapToGrid w:val="0"/>
                <w:sz w:val="21"/>
                <w:szCs w:val="21"/>
                <w14:ligatures w14:val="none"/>
              </w:rPr>
              <w:t>Ⅲ</w:t>
            </w:r>
          </w:p>
        </w:tc>
        <w:tc>
          <w:tcPr>
            <w:tcW w:w="1028" w:type="pct"/>
            <w:vAlign w:val="center"/>
          </w:tcPr>
          <w:p w14:paraId="38E1D6CE" w14:textId="77777777" w:rsidR="00EF4562" w:rsidRDefault="00000000">
            <w:pPr>
              <w:spacing w:line="240" w:lineRule="auto"/>
              <w:ind w:firstLineChars="0" w:firstLine="0"/>
              <w:jc w:val="center"/>
              <w:rPr>
                <w:rFonts w:cs="Times New Roman"/>
                <w:snapToGrid w:val="0"/>
                <w:sz w:val="21"/>
                <w:szCs w:val="21"/>
                <w14:ligatures w14:val="none"/>
              </w:rPr>
            </w:pPr>
            <w:r>
              <w:rPr>
                <w:rFonts w:cs="Times New Roman"/>
                <w:snapToGrid w:val="0"/>
                <w:sz w:val="21"/>
                <w:szCs w:val="21"/>
                <w14:ligatures w14:val="none"/>
              </w:rPr>
              <w:t>危险的</w:t>
            </w:r>
          </w:p>
        </w:tc>
        <w:tc>
          <w:tcPr>
            <w:tcW w:w="3395" w:type="pct"/>
            <w:vAlign w:val="center"/>
          </w:tcPr>
          <w:p w14:paraId="4AFA71BB" w14:textId="77777777" w:rsidR="00EF4562" w:rsidRDefault="00000000">
            <w:pPr>
              <w:spacing w:line="240" w:lineRule="auto"/>
              <w:ind w:firstLineChars="0" w:firstLine="0"/>
              <w:rPr>
                <w:rFonts w:cs="Times New Roman"/>
                <w:snapToGrid w:val="0"/>
                <w:sz w:val="21"/>
                <w:szCs w:val="21"/>
                <w14:ligatures w14:val="none"/>
              </w:rPr>
            </w:pPr>
            <w:r>
              <w:rPr>
                <w:rFonts w:cs="Times New Roman"/>
                <w:snapToGrid w:val="0"/>
                <w:sz w:val="21"/>
                <w:szCs w:val="21"/>
                <w14:ligatures w14:val="none"/>
              </w:rPr>
              <w:t>会造成人员伤亡和系统损坏，要立即采取防范对策措施</w:t>
            </w:r>
          </w:p>
        </w:tc>
      </w:tr>
      <w:tr w:rsidR="00EF4562" w14:paraId="229B9F58" w14:textId="77777777">
        <w:trPr>
          <w:trHeight w:hRule="exact" w:val="795"/>
          <w:jc w:val="center"/>
        </w:trPr>
        <w:tc>
          <w:tcPr>
            <w:tcW w:w="576" w:type="pct"/>
            <w:vAlign w:val="center"/>
          </w:tcPr>
          <w:p w14:paraId="1C0526ED" w14:textId="77777777" w:rsidR="00EF4562" w:rsidRDefault="00000000">
            <w:pPr>
              <w:spacing w:line="240" w:lineRule="auto"/>
              <w:ind w:firstLineChars="0" w:firstLine="0"/>
              <w:jc w:val="center"/>
              <w:rPr>
                <w:rFonts w:cs="Times New Roman"/>
                <w:snapToGrid w:val="0"/>
                <w:sz w:val="21"/>
                <w:szCs w:val="21"/>
                <w14:ligatures w14:val="none"/>
              </w:rPr>
            </w:pPr>
            <w:r>
              <w:rPr>
                <w:rFonts w:cs="Times New Roman"/>
                <w:snapToGrid w:val="0"/>
                <w:sz w:val="21"/>
                <w:szCs w:val="21"/>
                <w14:ligatures w14:val="none"/>
              </w:rPr>
              <w:t>Ⅳ</w:t>
            </w:r>
          </w:p>
        </w:tc>
        <w:tc>
          <w:tcPr>
            <w:tcW w:w="1028" w:type="pct"/>
            <w:vAlign w:val="center"/>
          </w:tcPr>
          <w:p w14:paraId="0CB3079A" w14:textId="77777777" w:rsidR="00EF4562" w:rsidRDefault="00000000">
            <w:pPr>
              <w:spacing w:line="240" w:lineRule="auto"/>
              <w:ind w:firstLineChars="0" w:firstLine="0"/>
              <w:jc w:val="center"/>
              <w:rPr>
                <w:rFonts w:cs="Times New Roman"/>
                <w:snapToGrid w:val="0"/>
                <w:sz w:val="21"/>
                <w:szCs w:val="21"/>
                <w14:ligatures w14:val="none"/>
              </w:rPr>
            </w:pPr>
            <w:r>
              <w:rPr>
                <w:rFonts w:cs="Times New Roman"/>
                <w:snapToGrid w:val="0"/>
                <w:sz w:val="21"/>
                <w:szCs w:val="21"/>
                <w14:ligatures w14:val="none"/>
              </w:rPr>
              <w:t>灾难性的</w:t>
            </w:r>
          </w:p>
        </w:tc>
        <w:tc>
          <w:tcPr>
            <w:tcW w:w="3395" w:type="pct"/>
            <w:vAlign w:val="center"/>
          </w:tcPr>
          <w:p w14:paraId="4B374695" w14:textId="77777777" w:rsidR="00EF4562" w:rsidRDefault="00000000">
            <w:pPr>
              <w:spacing w:line="240" w:lineRule="auto"/>
              <w:ind w:firstLineChars="0" w:firstLine="0"/>
              <w:rPr>
                <w:rFonts w:cs="Times New Roman"/>
                <w:snapToGrid w:val="0"/>
                <w:sz w:val="21"/>
                <w:szCs w:val="21"/>
                <w14:ligatures w14:val="none"/>
              </w:rPr>
            </w:pPr>
            <w:r>
              <w:rPr>
                <w:rFonts w:cs="Times New Roman"/>
                <w:snapToGrid w:val="0"/>
                <w:sz w:val="21"/>
                <w:szCs w:val="21"/>
                <w14:ligatures w14:val="none"/>
              </w:rPr>
              <w:t>造成重大伤亡及系统严重破坏的灾难性事故，必须予以果断排除并进行重点防范</w:t>
            </w:r>
          </w:p>
        </w:tc>
      </w:tr>
    </w:tbl>
    <w:p w14:paraId="473CA4F2" w14:textId="77777777" w:rsidR="00EF4562" w:rsidRDefault="00EF4562">
      <w:pPr>
        <w:ind w:firstLine="560"/>
        <w:sectPr w:rsidR="00EF4562">
          <w:pgSz w:w="11906" w:h="16838"/>
          <w:pgMar w:top="1418" w:right="1134" w:bottom="1134" w:left="1588" w:header="851" w:footer="992" w:gutter="0"/>
          <w:cols w:space="425"/>
          <w:docGrid w:type="linesAndChars" w:linePitch="381"/>
        </w:sectPr>
      </w:pPr>
    </w:p>
    <w:p w14:paraId="7C90B7AB"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lastRenderedPageBreak/>
        <w:t>表</w:t>
      </w:r>
      <w:r>
        <w:rPr>
          <w:rFonts w:eastAsia="黑体" w:cs="Times New Roman"/>
          <w:sz w:val="24"/>
        </w:rPr>
        <w:t>D-</w:t>
      </w:r>
      <w:r>
        <w:rPr>
          <w:rFonts w:eastAsia="黑体" w:cs="Times New Roman" w:hint="eastAsia"/>
          <w:sz w:val="24"/>
        </w:rPr>
        <w:t>6</w:t>
      </w:r>
      <w:r>
        <w:rPr>
          <w:rFonts w:ascii="黑体" w:eastAsia="黑体" w:hAnsi="黑体" w:hint="eastAsia"/>
          <w:sz w:val="24"/>
        </w:rPr>
        <w:t xml:space="preserve">  建设项目加油工艺设施、设备单元危险因素评价（预先危险性分析方法）</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188"/>
        <w:gridCol w:w="2268"/>
        <w:gridCol w:w="898"/>
        <w:gridCol w:w="2646"/>
        <w:gridCol w:w="709"/>
        <w:gridCol w:w="709"/>
        <w:gridCol w:w="4783"/>
      </w:tblGrid>
      <w:tr w:rsidR="00EF4562" w14:paraId="333E7E78" w14:textId="77777777">
        <w:trPr>
          <w:trHeight w:val="90"/>
          <w:tblHeader/>
          <w:jc w:val="center"/>
        </w:trPr>
        <w:tc>
          <w:tcPr>
            <w:tcW w:w="1075" w:type="dxa"/>
            <w:vAlign w:val="center"/>
          </w:tcPr>
          <w:p w14:paraId="56E32091" w14:textId="77777777" w:rsidR="00EF4562" w:rsidRDefault="00000000">
            <w:pPr>
              <w:adjustRightInd/>
              <w:snapToGrid/>
              <w:spacing w:line="240" w:lineRule="atLeast"/>
              <w:ind w:firstLineChars="0" w:firstLine="0"/>
              <w:jc w:val="center"/>
              <w:rPr>
                <w:rFonts w:cs="Times New Roman"/>
                <w:sz w:val="21"/>
                <w:szCs w:val="21"/>
                <w14:ligatures w14:val="none"/>
              </w:rPr>
            </w:pPr>
            <w:r>
              <w:rPr>
                <w:rFonts w:cs="Times New Roman"/>
                <w:sz w:val="21"/>
                <w:szCs w:val="21"/>
                <w14:ligatures w14:val="none"/>
              </w:rPr>
              <w:t>潜在事故</w:t>
            </w:r>
          </w:p>
        </w:tc>
        <w:tc>
          <w:tcPr>
            <w:tcW w:w="1188" w:type="dxa"/>
            <w:vAlign w:val="center"/>
          </w:tcPr>
          <w:p w14:paraId="626547D8" w14:textId="77777777" w:rsidR="00EF4562" w:rsidRDefault="00000000">
            <w:pPr>
              <w:adjustRightInd/>
              <w:snapToGrid/>
              <w:spacing w:line="240" w:lineRule="atLeast"/>
              <w:ind w:firstLineChars="0" w:firstLine="0"/>
              <w:jc w:val="center"/>
              <w:rPr>
                <w:rFonts w:cs="Times New Roman"/>
                <w:sz w:val="21"/>
                <w:szCs w:val="21"/>
                <w14:ligatures w14:val="none"/>
              </w:rPr>
            </w:pPr>
            <w:r>
              <w:rPr>
                <w:rFonts w:cs="Times New Roman"/>
                <w:sz w:val="21"/>
                <w:szCs w:val="21"/>
                <w14:ligatures w14:val="none"/>
              </w:rPr>
              <w:t>危险危害因素</w:t>
            </w:r>
          </w:p>
        </w:tc>
        <w:tc>
          <w:tcPr>
            <w:tcW w:w="2268" w:type="dxa"/>
            <w:vAlign w:val="center"/>
          </w:tcPr>
          <w:p w14:paraId="62821C42" w14:textId="77777777" w:rsidR="00EF4562" w:rsidRDefault="00000000">
            <w:pPr>
              <w:adjustRightInd/>
              <w:snapToGrid/>
              <w:spacing w:line="240" w:lineRule="atLeast"/>
              <w:ind w:firstLineChars="0" w:firstLine="0"/>
              <w:jc w:val="center"/>
              <w:rPr>
                <w:rFonts w:cs="Times New Roman"/>
                <w:sz w:val="21"/>
                <w:szCs w:val="21"/>
                <w14:ligatures w14:val="none"/>
              </w:rPr>
            </w:pPr>
            <w:r>
              <w:rPr>
                <w:rFonts w:cs="Times New Roman"/>
                <w:sz w:val="21"/>
                <w:szCs w:val="21"/>
                <w14:ligatures w14:val="none"/>
              </w:rPr>
              <w:t>触发事件</w:t>
            </w:r>
          </w:p>
        </w:tc>
        <w:tc>
          <w:tcPr>
            <w:tcW w:w="898" w:type="dxa"/>
            <w:vAlign w:val="center"/>
          </w:tcPr>
          <w:p w14:paraId="3482F44E" w14:textId="77777777" w:rsidR="00EF4562" w:rsidRDefault="00000000">
            <w:pPr>
              <w:adjustRightInd/>
              <w:snapToGrid/>
              <w:spacing w:line="240" w:lineRule="atLeast"/>
              <w:ind w:firstLineChars="0" w:firstLine="0"/>
              <w:jc w:val="center"/>
              <w:rPr>
                <w:rFonts w:cs="Times New Roman"/>
                <w:sz w:val="21"/>
                <w:szCs w:val="21"/>
                <w14:ligatures w14:val="none"/>
              </w:rPr>
            </w:pPr>
            <w:r>
              <w:rPr>
                <w:rFonts w:cs="Times New Roman"/>
                <w:sz w:val="21"/>
                <w:szCs w:val="21"/>
                <w14:ligatures w14:val="none"/>
              </w:rPr>
              <w:t>现象</w:t>
            </w:r>
          </w:p>
        </w:tc>
        <w:tc>
          <w:tcPr>
            <w:tcW w:w="2646" w:type="dxa"/>
            <w:vAlign w:val="center"/>
          </w:tcPr>
          <w:p w14:paraId="1EE3367F" w14:textId="77777777" w:rsidR="00EF4562" w:rsidRDefault="00000000">
            <w:pPr>
              <w:adjustRightInd/>
              <w:snapToGrid/>
              <w:spacing w:line="240" w:lineRule="atLeast"/>
              <w:ind w:firstLineChars="0" w:firstLine="0"/>
              <w:jc w:val="center"/>
              <w:rPr>
                <w:rFonts w:cs="Times New Roman"/>
                <w:sz w:val="21"/>
                <w:szCs w:val="21"/>
                <w14:ligatures w14:val="none"/>
              </w:rPr>
            </w:pPr>
            <w:r>
              <w:rPr>
                <w:rFonts w:cs="Times New Roman"/>
                <w:sz w:val="21"/>
                <w:szCs w:val="21"/>
                <w14:ligatures w14:val="none"/>
              </w:rPr>
              <w:t>形成事故原因事件</w:t>
            </w:r>
          </w:p>
        </w:tc>
        <w:tc>
          <w:tcPr>
            <w:tcW w:w="709" w:type="dxa"/>
            <w:vAlign w:val="center"/>
          </w:tcPr>
          <w:p w14:paraId="0DAE57AB" w14:textId="77777777" w:rsidR="00EF4562" w:rsidRDefault="00000000">
            <w:pPr>
              <w:adjustRightInd/>
              <w:snapToGrid/>
              <w:spacing w:line="240" w:lineRule="atLeast"/>
              <w:ind w:firstLineChars="0" w:firstLine="0"/>
              <w:jc w:val="center"/>
              <w:rPr>
                <w:rFonts w:cs="Times New Roman"/>
                <w:sz w:val="21"/>
                <w:szCs w:val="21"/>
                <w14:ligatures w14:val="none"/>
              </w:rPr>
            </w:pPr>
            <w:r>
              <w:rPr>
                <w:rFonts w:cs="Times New Roman"/>
                <w:sz w:val="21"/>
                <w:szCs w:val="21"/>
                <w14:ligatures w14:val="none"/>
              </w:rPr>
              <w:t>事故后果</w:t>
            </w:r>
          </w:p>
        </w:tc>
        <w:tc>
          <w:tcPr>
            <w:tcW w:w="709" w:type="dxa"/>
            <w:vAlign w:val="center"/>
          </w:tcPr>
          <w:p w14:paraId="7465F111" w14:textId="77777777" w:rsidR="00EF4562" w:rsidRDefault="00000000">
            <w:pPr>
              <w:adjustRightInd/>
              <w:snapToGrid/>
              <w:spacing w:line="240" w:lineRule="atLeast"/>
              <w:ind w:firstLineChars="0" w:firstLine="0"/>
              <w:jc w:val="center"/>
              <w:rPr>
                <w:rFonts w:cs="Times New Roman"/>
                <w:sz w:val="21"/>
                <w:szCs w:val="21"/>
                <w14:ligatures w14:val="none"/>
              </w:rPr>
            </w:pPr>
            <w:r>
              <w:rPr>
                <w:rFonts w:cs="Times New Roman"/>
                <w:sz w:val="21"/>
                <w:szCs w:val="21"/>
                <w14:ligatures w14:val="none"/>
              </w:rPr>
              <w:t>危险等级</w:t>
            </w:r>
          </w:p>
        </w:tc>
        <w:tc>
          <w:tcPr>
            <w:tcW w:w="4783" w:type="dxa"/>
            <w:vAlign w:val="center"/>
          </w:tcPr>
          <w:p w14:paraId="05DE10FD" w14:textId="77777777" w:rsidR="00EF4562" w:rsidRDefault="00000000">
            <w:pPr>
              <w:adjustRightInd/>
              <w:snapToGrid/>
              <w:spacing w:line="240" w:lineRule="atLeast"/>
              <w:ind w:firstLineChars="0" w:firstLine="0"/>
              <w:jc w:val="center"/>
              <w:rPr>
                <w:rFonts w:cs="Times New Roman"/>
                <w:sz w:val="21"/>
                <w:szCs w:val="21"/>
                <w14:ligatures w14:val="none"/>
              </w:rPr>
            </w:pPr>
            <w:r>
              <w:rPr>
                <w:rFonts w:cs="Times New Roman"/>
                <w:sz w:val="21"/>
                <w:szCs w:val="21"/>
                <w14:ligatures w14:val="none"/>
              </w:rPr>
              <w:t>措施</w:t>
            </w:r>
          </w:p>
        </w:tc>
      </w:tr>
      <w:tr w:rsidR="00EF4562" w14:paraId="29816202" w14:textId="77777777">
        <w:trPr>
          <w:trHeight w:val="90"/>
          <w:jc w:val="center"/>
        </w:trPr>
        <w:tc>
          <w:tcPr>
            <w:tcW w:w="1075" w:type="dxa"/>
            <w:vAlign w:val="center"/>
          </w:tcPr>
          <w:p w14:paraId="7F86A326"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火灾</w:t>
            </w:r>
          </w:p>
          <w:p w14:paraId="6B2DD5AC"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爆炸</w:t>
            </w:r>
          </w:p>
        </w:tc>
        <w:tc>
          <w:tcPr>
            <w:tcW w:w="1188" w:type="dxa"/>
            <w:vAlign w:val="center"/>
          </w:tcPr>
          <w:p w14:paraId="586B24D7"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油品泄漏；油气与空气形成爆炸性混合物</w:t>
            </w:r>
          </w:p>
        </w:tc>
        <w:tc>
          <w:tcPr>
            <w:tcW w:w="2268" w:type="dxa"/>
            <w:vAlign w:val="center"/>
          </w:tcPr>
          <w:p w14:paraId="2171219A"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、管线等破裂泄漏；</w:t>
            </w:r>
          </w:p>
          <w:p w14:paraId="0C22CE17"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sz w:val="21"/>
                <w:szCs w:val="21"/>
                <w14:ligatures w14:val="none"/>
              </w:rPr>
              <w:t>、阀门、管道连接处泄漏；</w:t>
            </w:r>
          </w:p>
          <w:p w14:paraId="2E490439"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3</w:t>
            </w:r>
            <w:r>
              <w:rPr>
                <w:rFonts w:cs="Times New Roman"/>
                <w:sz w:val="21"/>
                <w:szCs w:val="21"/>
                <w14:ligatures w14:val="none"/>
              </w:rPr>
              <w:t>、设备、阀门、管道等因质量或安装不当泄漏；</w:t>
            </w:r>
          </w:p>
          <w:p w14:paraId="4233DD91"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4</w:t>
            </w:r>
            <w:r>
              <w:rPr>
                <w:rFonts w:cs="Times New Roman"/>
                <w:sz w:val="21"/>
                <w:szCs w:val="21"/>
                <w14:ligatures w14:val="none"/>
              </w:rPr>
              <w:t>、撞击、人为破坏或自然灾害等造成管道等破裂而泄漏。</w:t>
            </w:r>
          </w:p>
        </w:tc>
        <w:tc>
          <w:tcPr>
            <w:tcW w:w="898" w:type="dxa"/>
            <w:vAlign w:val="center"/>
          </w:tcPr>
          <w:p w14:paraId="5AC7DBDD"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遇高热、明火燃烧甚至爆炸</w:t>
            </w:r>
          </w:p>
        </w:tc>
        <w:tc>
          <w:tcPr>
            <w:tcW w:w="2646" w:type="dxa"/>
            <w:vAlign w:val="center"/>
          </w:tcPr>
          <w:p w14:paraId="404AA578"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点火吸烟；</w:t>
            </w:r>
          </w:p>
          <w:p w14:paraId="0ABAD3EC"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sz w:val="21"/>
                <w:szCs w:val="21"/>
                <w14:ligatures w14:val="none"/>
              </w:rPr>
              <w:t>抢修、检修时违章动火、焊接时未按有关规定动火；</w:t>
            </w:r>
          </w:p>
          <w:p w14:paraId="3C60CAB8"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sz w:val="21"/>
                <w:szCs w:val="21"/>
                <w14:ligatures w14:val="none"/>
              </w:rPr>
              <w:t>其他火源，电</w:t>
            </w:r>
            <w:r>
              <w:rPr>
                <w:rFonts w:cs="Times New Roman" w:hint="eastAsia"/>
                <w:sz w:val="21"/>
                <w:szCs w:val="21"/>
                <w14:ligatures w14:val="none"/>
              </w:rPr>
              <w:t>气</w:t>
            </w:r>
            <w:r>
              <w:rPr>
                <w:rFonts w:cs="Times New Roman"/>
                <w:sz w:val="21"/>
                <w:szCs w:val="21"/>
                <w14:ligatures w14:val="none"/>
              </w:rPr>
              <w:t>短路；</w:t>
            </w:r>
          </w:p>
          <w:p w14:paraId="684DC158"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4.</w:t>
            </w:r>
            <w:r>
              <w:rPr>
                <w:rFonts w:cs="Times New Roman"/>
                <w:sz w:val="21"/>
                <w:szCs w:val="21"/>
                <w14:ligatures w14:val="none"/>
              </w:rPr>
              <w:t>电气线路陈旧老化或受到损坏产生短路火花；</w:t>
            </w:r>
          </w:p>
          <w:p w14:paraId="09FF3845"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5.</w:t>
            </w:r>
            <w:r>
              <w:rPr>
                <w:rFonts w:cs="Times New Roman"/>
                <w:sz w:val="21"/>
                <w:szCs w:val="21"/>
                <w14:ligatures w14:val="none"/>
              </w:rPr>
              <w:t>静电放电；</w:t>
            </w:r>
          </w:p>
          <w:p w14:paraId="1F1E66BE"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6.</w:t>
            </w:r>
            <w:r>
              <w:rPr>
                <w:rFonts w:cs="Times New Roman"/>
                <w:sz w:val="21"/>
                <w:szCs w:val="21"/>
                <w14:ligatures w14:val="none"/>
              </w:rPr>
              <w:t>雷击（直接雷击、雷电二次作用、沿着电气线路、金属管道侵入）；</w:t>
            </w:r>
          </w:p>
          <w:p w14:paraId="6C5838EC"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7.</w:t>
            </w:r>
            <w:r>
              <w:rPr>
                <w:rFonts w:cs="Times New Roman"/>
                <w:sz w:val="21"/>
                <w:szCs w:val="21"/>
                <w14:ligatures w14:val="none"/>
              </w:rPr>
              <w:t>防爆电器失去防爆作用；</w:t>
            </w:r>
          </w:p>
          <w:p w14:paraId="0F8CB4E4"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8.</w:t>
            </w:r>
            <w:r>
              <w:rPr>
                <w:rFonts w:cs="Times New Roman"/>
                <w:sz w:val="21"/>
                <w:szCs w:val="21"/>
                <w14:ligatures w14:val="none"/>
              </w:rPr>
              <w:t>管道沟未填沙，形成限制性空间。</w:t>
            </w:r>
          </w:p>
        </w:tc>
        <w:tc>
          <w:tcPr>
            <w:tcW w:w="709" w:type="dxa"/>
            <w:vAlign w:val="center"/>
          </w:tcPr>
          <w:p w14:paraId="24044BBF"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财产损失、人员伤亡、物料跑损</w:t>
            </w:r>
          </w:p>
        </w:tc>
        <w:tc>
          <w:tcPr>
            <w:tcW w:w="709" w:type="dxa"/>
            <w:vAlign w:val="center"/>
          </w:tcPr>
          <w:p w14:paraId="53DAABB6"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III</w:t>
            </w:r>
          </w:p>
        </w:tc>
        <w:tc>
          <w:tcPr>
            <w:tcW w:w="4783" w:type="dxa"/>
            <w:vAlign w:val="center"/>
          </w:tcPr>
          <w:p w14:paraId="06FA5058"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、站内严禁烟火、严禁吸烟；</w:t>
            </w:r>
          </w:p>
          <w:p w14:paraId="4BE8F0AC"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sz w:val="21"/>
                <w:szCs w:val="21"/>
                <w14:ligatures w14:val="none"/>
              </w:rPr>
              <w:t>、动火时必须严格按动火手续办理动火证，并采取有效防范措施；</w:t>
            </w:r>
          </w:p>
          <w:p w14:paraId="4265D2DF"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sz w:val="21"/>
                <w:szCs w:val="21"/>
                <w14:ligatures w14:val="none"/>
              </w:rPr>
              <w:t>、机动车辆加强管理；</w:t>
            </w:r>
          </w:p>
          <w:p w14:paraId="57578D6D"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4</w:t>
            </w:r>
            <w:r>
              <w:rPr>
                <w:rFonts w:cs="Times New Roman"/>
                <w:sz w:val="21"/>
                <w:szCs w:val="21"/>
                <w14:ligatures w14:val="none"/>
              </w:rPr>
              <w:t>、明火源安全距离符合规定要求；</w:t>
            </w:r>
          </w:p>
          <w:p w14:paraId="54D97553"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5</w:t>
            </w:r>
            <w:r>
              <w:rPr>
                <w:rFonts w:cs="Times New Roman"/>
                <w:sz w:val="21"/>
                <w:szCs w:val="21"/>
                <w14:ligatures w14:val="none"/>
              </w:rPr>
              <w:t>、防爆设备的定期检查、鉴定；</w:t>
            </w:r>
          </w:p>
          <w:p w14:paraId="3576CC1E"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6</w:t>
            </w:r>
            <w:r>
              <w:rPr>
                <w:rFonts w:cs="Times New Roman"/>
                <w:sz w:val="21"/>
                <w:szCs w:val="21"/>
                <w14:ligatures w14:val="none"/>
              </w:rPr>
              <w:t>、管道沟应填沙充实。</w:t>
            </w:r>
          </w:p>
        </w:tc>
      </w:tr>
      <w:tr w:rsidR="00EF4562" w14:paraId="6ED3A76A" w14:textId="77777777">
        <w:trPr>
          <w:trHeight w:val="90"/>
          <w:jc w:val="center"/>
        </w:trPr>
        <w:tc>
          <w:tcPr>
            <w:tcW w:w="1075" w:type="dxa"/>
            <w:vAlign w:val="center"/>
          </w:tcPr>
          <w:p w14:paraId="6399A8A9"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中毒</w:t>
            </w:r>
            <w:r>
              <w:rPr>
                <w:rFonts w:cs="Times New Roman" w:hint="eastAsia"/>
                <w:sz w:val="21"/>
                <w:szCs w:val="21"/>
                <w14:ligatures w14:val="none"/>
              </w:rPr>
              <w:t>和</w:t>
            </w:r>
            <w:r>
              <w:rPr>
                <w:rFonts w:cs="Times New Roman"/>
                <w:sz w:val="21"/>
                <w:szCs w:val="21"/>
                <w14:ligatures w14:val="none"/>
              </w:rPr>
              <w:t>窒息</w:t>
            </w:r>
          </w:p>
        </w:tc>
        <w:tc>
          <w:tcPr>
            <w:tcW w:w="1188" w:type="dxa"/>
            <w:vAlign w:val="center"/>
          </w:tcPr>
          <w:p w14:paraId="18E8559B"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w:t>
            </w:r>
            <w:r>
              <w:rPr>
                <w:rFonts w:cs="Times New Roman" w:hint="eastAsia"/>
                <w:sz w:val="21"/>
                <w:szCs w:val="21"/>
                <w14:ligatures w14:val="none"/>
              </w:rPr>
              <w:t>车用乙醇</w:t>
            </w:r>
            <w:r>
              <w:rPr>
                <w:rFonts w:cs="Times New Roman"/>
                <w:sz w:val="21"/>
                <w:szCs w:val="21"/>
                <w14:ligatures w14:val="none"/>
              </w:rPr>
              <w:t>汽油、柴油大量泄漏。</w:t>
            </w:r>
          </w:p>
          <w:p w14:paraId="2428D89A"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sz w:val="21"/>
                <w:szCs w:val="21"/>
                <w14:ligatures w14:val="none"/>
              </w:rPr>
              <w:t>、检修、抢修设备设施等作业时空气中氧含量低</w:t>
            </w:r>
          </w:p>
        </w:tc>
        <w:tc>
          <w:tcPr>
            <w:tcW w:w="2268" w:type="dxa"/>
            <w:vAlign w:val="center"/>
          </w:tcPr>
          <w:p w14:paraId="4E0A55C0"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sz w:val="21"/>
                <w:szCs w:val="21"/>
                <w14:ligatures w14:val="none"/>
              </w:rPr>
              <w:t>、检修、抢修（设备、管线、阀门等）时，有毒物料未彻底清洗干净</w:t>
            </w:r>
            <w:r>
              <w:rPr>
                <w:rFonts w:cs="Times New Roman" w:hint="eastAsia"/>
                <w:sz w:val="21"/>
                <w:szCs w:val="21"/>
                <w14:ligatures w14:val="none"/>
              </w:rPr>
              <w:t>；</w:t>
            </w:r>
          </w:p>
          <w:p w14:paraId="7D887D5D"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sz w:val="21"/>
                <w:szCs w:val="21"/>
                <w14:ligatures w14:val="none"/>
              </w:rPr>
              <w:t>、缺乏泄漏物料的危险、危害特性的知识及其应急预防方法</w:t>
            </w:r>
            <w:r>
              <w:rPr>
                <w:rFonts w:cs="Times New Roman" w:hint="eastAsia"/>
                <w:sz w:val="21"/>
                <w:szCs w:val="21"/>
                <w14:ligatures w14:val="none"/>
              </w:rPr>
              <w:t>；</w:t>
            </w:r>
          </w:p>
          <w:p w14:paraId="783E5816"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3</w:t>
            </w:r>
            <w:r>
              <w:rPr>
                <w:rFonts w:cs="Times New Roman"/>
                <w:sz w:val="21"/>
                <w:szCs w:val="21"/>
                <w14:ligatures w14:val="none"/>
              </w:rPr>
              <w:t>、应急不当、救护不当</w:t>
            </w:r>
            <w:r>
              <w:rPr>
                <w:rFonts w:cs="Times New Roman" w:hint="eastAsia"/>
                <w:sz w:val="21"/>
                <w:szCs w:val="21"/>
                <w14:ligatures w14:val="none"/>
              </w:rPr>
              <w:t>。</w:t>
            </w:r>
          </w:p>
        </w:tc>
        <w:tc>
          <w:tcPr>
            <w:tcW w:w="898" w:type="dxa"/>
            <w:vAlign w:val="center"/>
          </w:tcPr>
          <w:p w14:paraId="0AC63536"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人员中毒、窒息</w:t>
            </w:r>
          </w:p>
        </w:tc>
        <w:tc>
          <w:tcPr>
            <w:tcW w:w="2646" w:type="dxa"/>
            <w:vAlign w:val="center"/>
          </w:tcPr>
          <w:p w14:paraId="70F41DC6"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、窒息性气体泄漏，超过容许浓度。</w:t>
            </w:r>
          </w:p>
          <w:p w14:paraId="602727DE"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sz w:val="21"/>
                <w:szCs w:val="21"/>
                <w14:ligatures w14:val="none"/>
              </w:rPr>
              <w:t>、有毒气体存在。</w:t>
            </w:r>
          </w:p>
        </w:tc>
        <w:tc>
          <w:tcPr>
            <w:tcW w:w="709" w:type="dxa"/>
            <w:vAlign w:val="center"/>
          </w:tcPr>
          <w:p w14:paraId="59316210"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人员伤亡</w:t>
            </w:r>
          </w:p>
        </w:tc>
        <w:tc>
          <w:tcPr>
            <w:tcW w:w="709" w:type="dxa"/>
            <w:vAlign w:val="center"/>
          </w:tcPr>
          <w:p w14:paraId="568BE7A9"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Ⅱ</w:t>
            </w:r>
          </w:p>
        </w:tc>
        <w:tc>
          <w:tcPr>
            <w:tcW w:w="4783" w:type="dxa"/>
            <w:vAlign w:val="center"/>
          </w:tcPr>
          <w:p w14:paraId="50433528"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、严格控制设备及安装质量，消除泄漏的可能性。</w:t>
            </w:r>
          </w:p>
          <w:p w14:paraId="3D5B158D"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sz w:val="21"/>
                <w:szCs w:val="21"/>
                <w14:ligatures w14:val="none"/>
              </w:rPr>
              <w:t>、一旦发生泄漏，应立即采取措施：</w:t>
            </w:r>
          </w:p>
          <w:p w14:paraId="6A5689C7" w14:textId="77777777" w:rsidR="00EF4562" w:rsidRDefault="00000000">
            <w:pPr>
              <w:spacing w:line="240" w:lineRule="auto"/>
              <w:ind w:firstLineChars="0" w:firstLine="0"/>
              <w:rPr>
                <w:rFonts w:cs="Times New Roman"/>
                <w:sz w:val="21"/>
                <w:szCs w:val="21"/>
                <w14:ligatures w14:val="none"/>
              </w:rPr>
            </w:pPr>
            <w:r>
              <w:rPr>
                <w:rFonts w:cs="Cambria Math" w:hint="eastAsia"/>
                <w:sz w:val="21"/>
                <w:szCs w:val="21"/>
                <w14:ligatures w14:val="none"/>
              </w:rPr>
              <w:t>①</w:t>
            </w:r>
            <w:r>
              <w:rPr>
                <w:rFonts w:cs="Times New Roman"/>
                <w:sz w:val="21"/>
                <w:szCs w:val="21"/>
                <w14:ligatures w14:val="none"/>
              </w:rPr>
              <w:t>查明泄漏点，切断相关阀门，消除泄漏源，及时报告；</w:t>
            </w:r>
          </w:p>
          <w:p w14:paraId="14F0830B" w14:textId="77777777" w:rsidR="00EF4562" w:rsidRDefault="00000000">
            <w:pPr>
              <w:spacing w:line="240" w:lineRule="auto"/>
              <w:ind w:firstLineChars="0" w:firstLine="0"/>
              <w:rPr>
                <w:rFonts w:cs="Times New Roman"/>
                <w:sz w:val="21"/>
                <w:szCs w:val="21"/>
                <w14:ligatures w14:val="none"/>
              </w:rPr>
            </w:pPr>
            <w:r>
              <w:rPr>
                <w:rFonts w:cs="Cambria Math" w:hint="eastAsia"/>
                <w:sz w:val="21"/>
                <w:szCs w:val="21"/>
                <w14:ligatures w14:val="none"/>
              </w:rPr>
              <w:t>②</w:t>
            </w:r>
            <w:r>
              <w:rPr>
                <w:rFonts w:cs="Times New Roman"/>
                <w:sz w:val="21"/>
                <w:szCs w:val="21"/>
                <w14:ligatures w14:val="none"/>
              </w:rPr>
              <w:t>如泄漏量大，应疏散相关人员至安全处。</w:t>
            </w:r>
          </w:p>
          <w:p w14:paraId="69DFF81D"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sz w:val="21"/>
                <w:szCs w:val="21"/>
                <w14:ligatures w14:val="none"/>
              </w:rPr>
              <w:t>、定期检修、维护保养，保持设备的完好状态。检修时，要彻底清洗干净，作业时要有人监护及抢救后备措施，作业人员要穿戴好防护用品。</w:t>
            </w:r>
          </w:p>
          <w:p w14:paraId="503E5670"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4</w:t>
            </w:r>
            <w:r>
              <w:rPr>
                <w:rFonts w:cs="Times New Roman"/>
                <w:sz w:val="21"/>
                <w:szCs w:val="21"/>
                <w14:ligatures w14:val="none"/>
              </w:rPr>
              <w:t>、组织管理措施。</w:t>
            </w:r>
          </w:p>
          <w:p w14:paraId="0286E1BB" w14:textId="77777777" w:rsidR="00EF4562" w:rsidRDefault="00000000">
            <w:pPr>
              <w:spacing w:line="240" w:lineRule="auto"/>
              <w:ind w:firstLineChars="0" w:firstLine="0"/>
              <w:rPr>
                <w:rFonts w:cs="Times New Roman"/>
                <w:sz w:val="21"/>
                <w:szCs w:val="21"/>
                <w14:ligatures w14:val="none"/>
              </w:rPr>
            </w:pPr>
            <w:r>
              <w:rPr>
                <w:rFonts w:cs="Cambria Math" w:hint="eastAsia"/>
                <w:sz w:val="21"/>
                <w:szCs w:val="21"/>
                <w14:ligatures w14:val="none"/>
              </w:rPr>
              <w:t>①</w:t>
            </w:r>
            <w:r>
              <w:rPr>
                <w:rFonts w:cs="Times New Roman"/>
                <w:sz w:val="21"/>
                <w:szCs w:val="21"/>
                <w14:ligatures w14:val="none"/>
              </w:rPr>
              <w:t>加强检测，杜绝泄漏；</w:t>
            </w:r>
          </w:p>
          <w:p w14:paraId="0B8E6AA6" w14:textId="77777777" w:rsidR="00EF4562" w:rsidRDefault="00000000">
            <w:pPr>
              <w:spacing w:line="240" w:lineRule="auto"/>
              <w:ind w:firstLineChars="0" w:firstLine="0"/>
              <w:rPr>
                <w:rFonts w:cs="Times New Roman"/>
                <w:sz w:val="21"/>
                <w:szCs w:val="21"/>
                <w14:ligatures w14:val="none"/>
              </w:rPr>
            </w:pPr>
            <w:r>
              <w:rPr>
                <w:rFonts w:cs="Cambria Math" w:hint="eastAsia"/>
                <w:sz w:val="21"/>
                <w:szCs w:val="21"/>
                <w14:ligatures w14:val="none"/>
              </w:rPr>
              <w:t>②</w:t>
            </w:r>
            <w:r>
              <w:rPr>
                <w:rFonts w:cs="Times New Roman"/>
                <w:sz w:val="21"/>
                <w:szCs w:val="21"/>
                <w14:ligatures w14:val="none"/>
              </w:rPr>
              <w:t>教育、培训职工掌握有关预防窒息的方法及其急救法；</w:t>
            </w:r>
          </w:p>
          <w:p w14:paraId="719E201F" w14:textId="77777777" w:rsidR="00EF4562" w:rsidRDefault="00000000">
            <w:pPr>
              <w:spacing w:line="240" w:lineRule="auto"/>
              <w:ind w:firstLineChars="0" w:firstLine="0"/>
              <w:rPr>
                <w:rFonts w:cs="Times New Roman"/>
                <w:sz w:val="21"/>
                <w:szCs w:val="21"/>
                <w14:ligatures w14:val="none"/>
              </w:rPr>
            </w:pPr>
            <w:r>
              <w:rPr>
                <w:rFonts w:cs="Cambria Math" w:hint="eastAsia"/>
                <w:sz w:val="21"/>
                <w:szCs w:val="21"/>
                <w14:ligatures w14:val="none"/>
              </w:rPr>
              <w:t>③</w:t>
            </w:r>
            <w:r>
              <w:rPr>
                <w:rFonts w:cs="Times New Roman"/>
                <w:sz w:val="21"/>
                <w:szCs w:val="21"/>
                <w14:ligatures w14:val="none"/>
              </w:rPr>
              <w:t>要求职工严格遵守各种规章制度、操作规程；</w:t>
            </w:r>
          </w:p>
          <w:p w14:paraId="5A433079" w14:textId="77777777" w:rsidR="00EF4562" w:rsidRDefault="00000000">
            <w:pPr>
              <w:spacing w:line="240" w:lineRule="auto"/>
              <w:ind w:firstLineChars="0" w:firstLine="0"/>
              <w:rPr>
                <w:rFonts w:cs="Times New Roman"/>
                <w:sz w:val="21"/>
                <w:szCs w:val="21"/>
                <w14:ligatures w14:val="none"/>
              </w:rPr>
            </w:pPr>
            <w:r>
              <w:rPr>
                <w:rFonts w:cs="Cambria Math" w:hint="eastAsia"/>
                <w:sz w:val="21"/>
                <w:szCs w:val="21"/>
                <w14:ligatures w14:val="none"/>
              </w:rPr>
              <w:t>④</w:t>
            </w:r>
            <w:r>
              <w:rPr>
                <w:rFonts w:cs="Times New Roman"/>
                <w:sz w:val="21"/>
                <w:szCs w:val="21"/>
                <w14:ligatures w14:val="none"/>
              </w:rPr>
              <w:t>培训人员提高对窒息等急救处理能力。</w:t>
            </w:r>
          </w:p>
          <w:p w14:paraId="5EA7802D"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lastRenderedPageBreak/>
              <w:t>5</w:t>
            </w:r>
            <w:r>
              <w:rPr>
                <w:rFonts w:cs="Times New Roman"/>
                <w:sz w:val="21"/>
                <w:szCs w:val="21"/>
                <w14:ligatures w14:val="none"/>
              </w:rPr>
              <w:t>、防止车辆行驶过程中撞坏设备、管线，造成窒息性物料泄漏。</w:t>
            </w:r>
          </w:p>
          <w:p w14:paraId="5AED1F9A"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6</w:t>
            </w:r>
            <w:r>
              <w:rPr>
                <w:rFonts w:cs="Times New Roman"/>
                <w:sz w:val="21"/>
                <w:szCs w:val="21"/>
                <w14:ligatures w14:val="none"/>
              </w:rPr>
              <w:t>、合理发放、正确穿戴劳动保护用品。</w:t>
            </w:r>
          </w:p>
          <w:p w14:paraId="55E24E4E"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7</w:t>
            </w:r>
            <w:r>
              <w:rPr>
                <w:rFonts w:cs="Times New Roman"/>
                <w:sz w:val="21"/>
                <w:szCs w:val="21"/>
                <w14:ligatures w14:val="none"/>
              </w:rPr>
              <w:t>、严格执行安全操作规程及各种规章制度。</w:t>
            </w:r>
          </w:p>
          <w:p w14:paraId="65E2EDBC"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8</w:t>
            </w:r>
            <w:r>
              <w:rPr>
                <w:rFonts w:cs="Times New Roman"/>
                <w:sz w:val="21"/>
                <w:szCs w:val="21"/>
                <w14:ligatures w14:val="none"/>
              </w:rPr>
              <w:t>、设立安全标志和风向标，作业场所要通风良好。</w:t>
            </w:r>
          </w:p>
          <w:p w14:paraId="4DC7389C"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9</w:t>
            </w:r>
            <w:r>
              <w:rPr>
                <w:rFonts w:cs="Times New Roman"/>
                <w:sz w:val="21"/>
                <w:szCs w:val="21"/>
                <w14:ligatures w14:val="none"/>
              </w:rPr>
              <w:t>、制定事故应急救援预案，并报有关部门备案，并定期组织演练。</w:t>
            </w:r>
          </w:p>
        </w:tc>
      </w:tr>
      <w:tr w:rsidR="00EF4562" w14:paraId="30005FAF" w14:textId="77777777">
        <w:trPr>
          <w:trHeight w:val="90"/>
          <w:jc w:val="center"/>
        </w:trPr>
        <w:tc>
          <w:tcPr>
            <w:tcW w:w="1075" w:type="dxa"/>
            <w:vAlign w:val="center"/>
          </w:tcPr>
          <w:p w14:paraId="48CA792E"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lastRenderedPageBreak/>
              <w:t>触电</w:t>
            </w:r>
          </w:p>
        </w:tc>
        <w:tc>
          <w:tcPr>
            <w:tcW w:w="1188" w:type="dxa"/>
            <w:vAlign w:val="center"/>
          </w:tcPr>
          <w:p w14:paraId="1A97B44D"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电气线路、设备照明、变压器等</w:t>
            </w:r>
          </w:p>
          <w:p w14:paraId="48ECB89A"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临时用电电源</w:t>
            </w:r>
          </w:p>
        </w:tc>
        <w:tc>
          <w:tcPr>
            <w:tcW w:w="2268" w:type="dxa"/>
            <w:vAlign w:val="center"/>
          </w:tcPr>
          <w:p w14:paraId="3C72C27D"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电气线路等出现绝缘破损、老化漏电，电气设备没有接零、接地装置或接零、接地不良；</w:t>
            </w:r>
          </w:p>
          <w:p w14:paraId="199C0762"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手及人体其他部位、手持金属物体触带电体，或因安全击穿；</w:t>
            </w:r>
          </w:p>
          <w:p w14:paraId="11D40981"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3.</w:t>
            </w:r>
            <w:r>
              <w:rPr>
                <w:rFonts w:cs="Times New Roman" w:hint="eastAsia"/>
                <w:sz w:val="21"/>
                <w:szCs w:val="21"/>
                <w14:ligatures w14:val="none"/>
              </w:rPr>
              <w:t>管道施工时设备漏电、人员误接触</w:t>
            </w:r>
          </w:p>
        </w:tc>
        <w:tc>
          <w:tcPr>
            <w:tcW w:w="898" w:type="dxa"/>
            <w:vAlign w:val="center"/>
          </w:tcPr>
          <w:p w14:paraId="0E7D579C"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人员触电；受到电击</w:t>
            </w:r>
          </w:p>
        </w:tc>
        <w:tc>
          <w:tcPr>
            <w:tcW w:w="2646" w:type="dxa"/>
            <w:vAlign w:val="center"/>
          </w:tcPr>
          <w:p w14:paraId="7996A28E"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误操作或违章作业；</w:t>
            </w:r>
          </w:p>
          <w:p w14:paraId="22E72C35"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安全距离不够，空气击穿；</w:t>
            </w:r>
          </w:p>
          <w:p w14:paraId="1997A23B"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3</w:t>
            </w:r>
            <w:r>
              <w:rPr>
                <w:rFonts w:cs="Times New Roman" w:hint="eastAsia"/>
                <w:sz w:val="21"/>
                <w:szCs w:val="21"/>
                <w14:ligatures w14:val="none"/>
              </w:rPr>
              <w:t>绝缘手套、绝缘靴等防护器具失效；</w:t>
            </w:r>
          </w:p>
          <w:p w14:paraId="69377504"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4.</w:t>
            </w:r>
            <w:r>
              <w:rPr>
                <w:rFonts w:cs="Times New Roman" w:hint="eastAsia"/>
                <w:sz w:val="21"/>
                <w:szCs w:val="21"/>
                <w14:ligatures w14:val="none"/>
              </w:rPr>
              <w:t>漏电保护失效、接地或接零失效。</w:t>
            </w:r>
          </w:p>
        </w:tc>
        <w:tc>
          <w:tcPr>
            <w:tcW w:w="709" w:type="dxa"/>
            <w:vAlign w:val="center"/>
          </w:tcPr>
          <w:p w14:paraId="0F911484"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人员触电伤亡</w:t>
            </w:r>
          </w:p>
        </w:tc>
        <w:tc>
          <w:tcPr>
            <w:tcW w:w="709" w:type="dxa"/>
            <w:vAlign w:val="center"/>
          </w:tcPr>
          <w:p w14:paraId="4BCCBB4F"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Ⅱ</w:t>
            </w:r>
          </w:p>
        </w:tc>
        <w:tc>
          <w:tcPr>
            <w:tcW w:w="4783" w:type="dxa"/>
            <w:vAlign w:val="center"/>
          </w:tcPr>
          <w:p w14:paraId="083A97C0" w14:textId="77777777" w:rsidR="00EF4562" w:rsidRDefault="00000000">
            <w:pPr>
              <w:numPr>
                <w:ilvl w:val="0"/>
                <w:numId w:val="18"/>
              </w:numPr>
              <w:adjustRightInd/>
              <w:snapToGrid/>
              <w:spacing w:line="240" w:lineRule="auto"/>
              <w:ind w:firstLineChars="0"/>
              <w:rPr>
                <w:rFonts w:cs="Times New Roman"/>
                <w:spacing w:val="2"/>
                <w:kern w:val="0"/>
                <w:sz w:val="21"/>
                <w:szCs w:val="21"/>
                <w14:ligatures w14:val="none"/>
              </w:rPr>
            </w:pPr>
            <w:r>
              <w:rPr>
                <w:rFonts w:cs="Times New Roman" w:hint="eastAsia"/>
                <w:spacing w:val="2"/>
                <w:kern w:val="0"/>
                <w:sz w:val="21"/>
                <w:szCs w:val="21"/>
                <w14:ligatures w14:val="none"/>
              </w:rPr>
              <w:t>选用符合规范电气设施；</w:t>
            </w:r>
          </w:p>
          <w:p w14:paraId="4ADC5041" w14:textId="77777777" w:rsidR="00EF4562" w:rsidRDefault="00000000">
            <w:pPr>
              <w:numPr>
                <w:ilvl w:val="0"/>
                <w:numId w:val="18"/>
              </w:numPr>
              <w:adjustRightInd/>
              <w:snapToGrid/>
              <w:spacing w:line="240" w:lineRule="auto"/>
              <w:ind w:firstLineChars="0"/>
              <w:rPr>
                <w:rFonts w:cs="Times New Roman"/>
                <w:spacing w:val="2"/>
                <w:kern w:val="0"/>
                <w:sz w:val="21"/>
                <w:szCs w:val="21"/>
                <w14:ligatures w14:val="none"/>
              </w:rPr>
            </w:pPr>
            <w:r>
              <w:rPr>
                <w:rFonts w:cs="Times New Roman"/>
                <w:spacing w:val="2"/>
                <w:kern w:val="0"/>
                <w:sz w:val="21"/>
                <w:szCs w:val="21"/>
                <w14:ligatures w14:val="none"/>
              </w:rPr>
              <w:t>对静电接地、防雷装置定期进行检查、检测，并保持完好状态，使之有可靠的保护作用；</w:t>
            </w:r>
          </w:p>
          <w:p w14:paraId="00FFAD9A" w14:textId="77777777" w:rsidR="00EF4562" w:rsidRDefault="00000000">
            <w:pPr>
              <w:numPr>
                <w:ilvl w:val="0"/>
                <w:numId w:val="18"/>
              </w:numPr>
              <w:adjustRightInd/>
              <w:snapToGrid/>
              <w:spacing w:line="240" w:lineRule="auto"/>
              <w:ind w:firstLineChars="0"/>
              <w:rPr>
                <w:rFonts w:cs="Times New Roman"/>
                <w:spacing w:val="2"/>
                <w:kern w:val="0"/>
                <w:sz w:val="21"/>
                <w:szCs w:val="21"/>
                <w14:ligatures w14:val="none"/>
              </w:rPr>
            </w:pPr>
            <w:r>
              <w:rPr>
                <w:rFonts w:cs="Times New Roman"/>
                <w:spacing w:val="2"/>
                <w:kern w:val="0"/>
                <w:sz w:val="21"/>
                <w:szCs w:val="21"/>
                <w14:ligatures w14:val="none"/>
              </w:rPr>
              <w:t>按规定对设备、线路采用与电压相符、与使用环境和运行条件相适应的绝缘，并定期检查、维修，保持完好状态；</w:t>
            </w:r>
          </w:p>
          <w:p w14:paraId="6BB39435" w14:textId="77777777" w:rsidR="00EF4562" w:rsidRDefault="00000000">
            <w:pPr>
              <w:numPr>
                <w:ilvl w:val="0"/>
                <w:numId w:val="18"/>
              </w:numPr>
              <w:adjustRightInd/>
              <w:snapToGrid/>
              <w:spacing w:line="240" w:lineRule="auto"/>
              <w:ind w:firstLineChars="0"/>
              <w:rPr>
                <w:rFonts w:cs="Times New Roman"/>
                <w:spacing w:val="2"/>
                <w:kern w:val="0"/>
                <w:sz w:val="21"/>
                <w:szCs w:val="21"/>
                <w14:ligatures w14:val="none"/>
              </w:rPr>
            </w:pPr>
            <w:r>
              <w:rPr>
                <w:rFonts w:cs="Times New Roman"/>
                <w:spacing w:val="2"/>
                <w:kern w:val="0"/>
                <w:sz w:val="21"/>
                <w:szCs w:val="21"/>
                <w14:ligatures w14:val="none"/>
              </w:rPr>
              <w:t>对职工进行电气安全教育，掌握触电急救方法；</w:t>
            </w:r>
          </w:p>
          <w:p w14:paraId="634995FC" w14:textId="77777777" w:rsidR="00EF4562" w:rsidRDefault="00000000">
            <w:pPr>
              <w:numPr>
                <w:ilvl w:val="0"/>
                <w:numId w:val="18"/>
              </w:numPr>
              <w:adjustRightInd/>
              <w:snapToGrid/>
              <w:spacing w:line="240" w:lineRule="auto"/>
              <w:ind w:firstLineChars="0"/>
              <w:rPr>
                <w:rFonts w:cs="Times New Roman"/>
                <w:spacing w:val="2"/>
                <w:kern w:val="0"/>
                <w:sz w:val="21"/>
                <w:szCs w:val="21"/>
                <w14:ligatures w14:val="none"/>
              </w:rPr>
            </w:pPr>
            <w:r>
              <w:rPr>
                <w:rFonts w:cs="Times New Roman"/>
                <w:spacing w:val="2"/>
                <w:kern w:val="0"/>
                <w:sz w:val="21"/>
                <w:szCs w:val="21"/>
                <w14:ligatures w14:val="none"/>
              </w:rPr>
              <w:t>室内线路、配电设备、用电设备、检修作业，应按规定要有一定安全距离；</w:t>
            </w:r>
          </w:p>
          <w:p w14:paraId="190BDD1C" w14:textId="77777777" w:rsidR="00EF4562" w:rsidRDefault="00000000">
            <w:pPr>
              <w:numPr>
                <w:ilvl w:val="0"/>
                <w:numId w:val="18"/>
              </w:numPr>
              <w:adjustRightInd/>
              <w:snapToGrid/>
              <w:spacing w:line="240" w:lineRule="auto"/>
              <w:ind w:firstLineChars="0"/>
              <w:rPr>
                <w:rFonts w:cs="Times New Roman"/>
                <w:spacing w:val="2"/>
                <w:kern w:val="0"/>
                <w:sz w:val="21"/>
                <w:szCs w:val="21"/>
                <w14:ligatures w14:val="none"/>
              </w:rPr>
            </w:pPr>
            <w:r>
              <w:rPr>
                <w:rFonts w:cs="Times New Roman"/>
                <w:spacing w:val="2"/>
                <w:kern w:val="0"/>
                <w:sz w:val="21"/>
                <w:szCs w:val="21"/>
                <w14:ligatures w14:val="none"/>
              </w:rPr>
              <w:t>使用有足够机械强度和耐火性能的材料，采用遮栏、护罩（盖）、箱匣等防护装置以及安全间距，将带电体同外界隔绝，防止人体接近或触及带电体</w:t>
            </w:r>
            <w:r>
              <w:rPr>
                <w:rFonts w:cs="Times New Roman" w:hint="eastAsia"/>
                <w:spacing w:val="2"/>
                <w:kern w:val="0"/>
                <w:sz w:val="21"/>
                <w:szCs w:val="21"/>
                <w14:ligatures w14:val="none"/>
              </w:rPr>
              <w:t>；</w:t>
            </w:r>
          </w:p>
          <w:p w14:paraId="772E389C" w14:textId="77777777" w:rsidR="00EF4562" w:rsidRDefault="00000000">
            <w:pPr>
              <w:numPr>
                <w:ilvl w:val="0"/>
                <w:numId w:val="18"/>
              </w:numPr>
              <w:adjustRightInd/>
              <w:snapToGrid/>
              <w:spacing w:line="240" w:lineRule="auto"/>
              <w:ind w:firstLineChars="0"/>
              <w:rPr>
                <w:rFonts w:cs="Times New Roman"/>
                <w:spacing w:val="2"/>
                <w:kern w:val="0"/>
                <w:sz w:val="21"/>
                <w:szCs w:val="21"/>
                <w14:ligatures w14:val="none"/>
              </w:rPr>
            </w:pPr>
            <w:r>
              <w:rPr>
                <w:rFonts w:cs="Times New Roman" w:hint="eastAsia"/>
                <w:spacing w:val="2"/>
                <w:kern w:val="0"/>
                <w:sz w:val="21"/>
                <w:szCs w:val="21"/>
                <w14:ligatures w14:val="none"/>
              </w:rPr>
              <w:t>按规定要求使用合格漏电保护器，并性能良好；</w:t>
            </w:r>
          </w:p>
          <w:p w14:paraId="433EB6C7" w14:textId="77777777" w:rsidR="00EF4562" w:rsidRDefault="00000000">
            <w:pPr>
              <w:spacing w:line="240" w:lineRule="auto"/>
              <w:ind w:firstLineChars="0" w:firstLine="0"/>
              <w:rPr>
                <w:rFonts w:cs="Times New Roman"/>
                <w:spacing w:val="2"/>
                <w:kern w:val="0"/>
                <w:sz w:val="21"/>
                <w:szCs w:val="21"/>
                <w14:ligatures w14:val="none"/>
              </w:rPr>
            </w:pPr>
            <w:r>
              <w:rPr>
                <w:rFonts w:cs="Times New Roman" w:hint="eastAsia"/>
                <w:spacing w:val="2"/>
                <w:kern w:val="0"/>
                <w:sz w:val="21"/>
                <w:szCs w:val="21"/>
                <w14:ligatures w14:val="none"/>
              </w:rPr>
              <w:t>水域、潮湿环境作业人员进行防护；</w:t>
            </w:r>
          </w:p>
          <w:p w14:paraId="57F6BEBE" w14:textId="77777777" w:rsidR="00EF4562" w:rsidRDefault="00000000">
            <w:pPr>
              <w:spacing w:line="240" w:lineRule="auto"/>
              <w:ind w:firstLineChars="0" w:firstLine="0"/>
              <w:rPr>
                <w:rFonts w:cs="Times New Roman"/>
                <w:sz w:val="21"/>
                <w:szCs w:val="21"/>
                <w14:ligatures w14:val="none"/>
              </w:rPr>
            </w:pPr>
            <w:r>
              <w:rPr>
                <w:rFonts w:cs="Times New Roman" w:hint="eastAsia"/>
                <w:spacing w:val="2"/>
                <w:kern w:val="0"/>
                <w:sz w:val="21"/>
                <w:szCs w:val="21"/>
                <w14:ligatures w14:val="none"/>
              </w:rPr>
              <w:t>8.</w:t>
            </w:r>
            <w:r>
              <w:rPr>
                <w:rFonts w:cs="Times New Roman" w:hint="eastAsia"/>
                <w:spacing w:val="2"/>
                <w:kern w:val="0"/>
                <w:sz w:val="21"/>
                <w:szCs w:val="21"/>
                <w14:ligatures w14:val="none"/>
              </w:rPr>
              <w:t>按临时用电作业操作规程进行作业。</w:t>
            </w:r>
          </w:p>
        </w:tc>
      </w:tr>
      <w:tr w:rsidR="00EF4562" w14:paraId="306A21A1" w14:textId="77777777">
        <w:trPr>
          <w:trHeight w:val="2260"/>
          <w:jc w:val="center"/>
        </w:trPr>
        <w:tc>
          <w:tcPr>
            <w:tcW w:w="1075" w:type="dxa"/>
            <w:vAlign w:val="center"/>
          </w:tcPr>
          <w:p w14:paraId="19637C31"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lastRenderedPageBreak/>
              <w:t>物体打击</w:t>
            </w:r>
          </w:p>
        </w:tc>
        <w:tc>
          <w:tcPr>
            <w:tcW w:w="1188" w:type="dxa"/>
            <w:vAlign w:val="center"/>
          </w:tcPr>
          <w:p w14:paraId="18A01F72"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物体坠落</w:t>
            </w:r>
          </w:p>
        </w:tc>
        <w:tc>
          <w:tcPr>
            <w:tcW w:w="2268" w:type="dxa"/>
            <w:vAlign w:val="center"/>
          </w:tcPr>
          <w:p w14:paraId="51E3225E" w14:textId="77777777" w:rsidR="00EF4562" w:rsidRDefault="00000000">
            <w:pPr>
              <w:spacing w:line="240" w:lineRule="auto"/>
              <w:ind w:firstLineChars="0" w:firstLine="0"/>
              <w:rPr>
                <w:rFonts w:cs="宋体"/>
                <w:kern w:val="1"/>
                <w:sz w:val="21"/>
                <w:szCs w:val="22"/>
                <w:lang w:bidi="ar"/>
                <w14:ligatures w14:val="none"/>
              </w:rPr>
            </w:pPr>
            <w:r>
              <w:rPr>
                <w:rFonts w:cs="宋体" w:hint="eastAsia"/>
                <w:kern w:val="1"/>
                <w:sz w:val="21"/>
                <w:szCs w:val="22"/>
                <w:lang w:bidi="ar"/>
                <w14:ligatures w14:val="none"/>
              </w:rPr>
              <w:t>1.</w:t>
            </w:r>
            <w:r>
              <w:rPr>
                <w:rFonts w:cs="宋体" w:hint="eastAsia"/>
                <w:kern w:val="1"/>
                <w:sz w:val="21"/>
                <w:szCs w:val="22"/>
                <w:lang w:bidi="ar"/>
                <w14:ligatures w14:val="none"/>
              </w:rPr>
              <w:t>设施、设备存在缺陷；</w:t>
            </w:r>
          </w:p>
          <w:p w14:paraId="11AA54B5" w14:textId="77777777" w:rsidR="00EF4562" w:rsidRDefault="00000000">
            <w:pPr>
              <w:spacing w:line="240" w:lineRule="auto"/>
              <w:ind w:firstLineChars="0" w:firstLine="0"/>
              <w:rPr>
                <w:rFonts w:cs="宋体"/>
                <w:kern w:val="1"/>
                <w:sz w:val="21"/>
                <w:szCs w:val="22"/>
                <w:lang w:bidi="ar"/>
                <w14:ligatures w14:val="none"/>
              </w:rPr>
            </w:pPr>
            <w:r>
              <w:rPr>
                <w:rFonts w:cs="宋体" w:hint="eastAsia"/>
                <w:kern w:val="1"/>
                <w:sz w:val="21"/>
                <w:szCs w:val="22"/>
                <w:lang w:bidi="ar"/>
                <w14:ligatures w14:val="none"/>
              </w:rPr>
              <w:t>2.</w:t>
            </w:r>
            <w:r>
              <w:rPr>
                <w:rFonts w:cs="宋体" w:hint="eastAsia"/>
                <w:kern w:val="1"/>
                <w:sz w:val="21"/>
                <w:szCs w:val="22"/>
                <w:lang w:bidi="ar"/>
                <w14:ligatures w14:val="none"/>
              </w:rPr>
              <w:t>爆炸碎片抛掷、飞散。</w:t>
            </w:r>
          </w:p>
        </w:tc>
        <w:tc>
          <w:tcPr>
            <w:tcW w:w="898" w:type="dxa"/>
            <w:vAlign w:val="center"/>
          </w:tcPr>
          <w:p w14:paraId="4E804E1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坠落物击中人体</w:t>
            </w:r>
          </w:p>
        </w:tc>
        <w:tc>
          <w:tcPr>
            <w:tcW w:w="2646" w:type="dxa"/>
            <w:vAlign w:val="center"/>
          </w:tcPr>
          <w:p w14:paraId="2B4093E3"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违章作业；</w:t>
            </w:r>
          </w:p>
          <w:p w14:paraId="67762289"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未戴安全帽。</w:t>
            </w:r>
          </w:p>
        </w:tc>
        <w:tc>
          <w:tcPr>
            <w:tcW w:w="709" w:type="dxa"/>
            <w:vAlign w:val="center"/>
          </w:tcPr>
          <w:p w14:paraId="3A17CF04"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人员伤害</w:t>
            </w:r>
          </w:p>
        </w:tc>
        <w:tc>
          <w:tcPr>
            <w:tcW w:w="709" w:type="dxa"/>
            <w:vAlign w:val="center"/>
          </w:tcPr>
          <w:p w14:paraId="3E6D9FD9"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Ⅱ</w:t>
            </w:r>
          </w:p>
        </w:tc>
        <w:tc>
          <w:tcPr>
            <w:tcW w:w="4783" w:type="dxa"/>
            <w:vAlign w:val="center"/>
          </w:tcPr>
          <w:p w14:paraId="0E9A280B" w14:textId="77777777" w:rsidR="00EF4562" w:rsidRDefault="00000000">
            <w:pPr>
              <w:keepLines/>
              <w:widowControl/>
              <w:spacing w:line="240" w:lineRule="auto"/>
              <w:ind w:firstLineChars="0" w:firstLine="0"/>
              <w:rPr>
                <w:rFonts w:cs="宋体"/>
                <w:kern w:val="1"/>
                <w:sz w:val="21"/>
                <w:szCs w:val="21"/>
                <w:lang w:bidi="ar"/>
                <w14:ligatures w14:val="none"/>
              </w:rPr>
            </w:pPr>
            <w:r>
              <w:rPr>
                <w:rFonts w:cs="宋体" w:hint="eastAsia"/>
                <w:kern w:val="1"/>
                <w:sz w:val="21"/>
                <w:szCs w:val="21"/>
                <w:lang w:bidi="ar"/>
                <w14:ligatures w14:val="none"/>
              </w:rPr>
              <w:t>1.</w:t>
            </w:r>
            <w:r>
              <w:rPr>
                <w:rFonts w:cs="宋体" w:hint="eastAsia"/>
                <w:kern w:val="1"/>
                <w:sz w:val="21"/>
                <w:szCs w:val="21"/>
                <w:lang w:bidi="ar"/>
                <w14:ligatures w14:val="none"/>
              </w:rPr>
              <w:t>进入施工区间应佩戴安全帽；</w:t>
            </w:r>
          </w:p>
          <w:p w14:paraId="4AFEEA2A" w14:textId="77777777" w:rsidR="00EF4562" w:rsidRDefault="00000000">
            <w:pPr>
              <w:keepLines/>
              <w:widowControl/>
              <w:spacing w:line="240" w:lineRule="auto"/>
              <w:ind w:firstLineChars="0" w:firstLine="0"/>
              <w:rPr>
                <w:rFonts w:cs="宋体"/>
                <w:kern w:val="1"/>
                <w:sz w:val="21"/>
                <w:szCs w:val="21"/>
                <w:lang w:bidi="ar"/>
                <w14:ligatures w14:val="none"/>
              </w:rPr>
            </w:pPr>
            <w:r>
              <w:rPr>
                <w:rFonts w:cs="宋体" w:hint="eastAsia"/>
                <w:kern w:val="1"/>
                <w:sz w:val="21"/>
                <w:szCs w:val="21"/>
                <w:lang w:bidi="ar"/>
                <w14:ligatures w14:val="none"/>
              </w:rPr>
              <w:t>2.</w:t>
            </w:r>
            <w:r>
              <w:rPr>
                <w:rFonts w:cs="宋体" w:hint="eastAsia"/>
                <w:kern w:val="1"/>
                <w:sz w:val="21"/>
                <w:szCs w:val="21"/>
                <w:lang w:bidi="ar"/>
                <w14:ligatures w14:val="none"/>
              </w:rPr>
              <w:t>制定严格的操作规程。</w:t>
            </w:r>
          </w:p>
        </w:tc>
      </w:tr>
      <w:tr w:rsidR="00EF4562" w14:paraId="68A965DE" w14:textId="77777777">
        <w:trPr>
          <w:trHeight w:val="90"/>
          <w:jc w:val="center"/>
        </w:trPr>
        <w:tc>
          <w:tcPr>
            <w:tcW w:w="1075" w:type="dxa"/>
            <w:vAlign w:val="center"/>
          </w:tcPr>
          <w:p w14:paraId="7298E531"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车辆伤害</w:t>
            </w:r>
          </w:p>
        </w:tc>
        <w:tc>
          <w:tcPr>
            <w:tcW w:w="1188" w:type="dxa"/>
            <w:vAlign w:val="center"/>
          </w:tcPr>
          <w:p w14:paraId="6E9D827B" w14:textId="77777777" w:rsidR="00EF4562" w:rsidRDefault="00000000">
            <w:pPr>
              <w:spacing w:line="240" w:lineRule="auto"/>
              <w:ind w:firstLineChars="0" w:firstLine="0"/>
              <w:rPr>
                <w:rFonts w:cs="Times New Roman"/>
                <w:spacing w:val="-20"/>
                <w:sz w:val="21"/>
                <w:szCs w:val="21"/>
                <w14:ligatures w14:val="none"/>
              </w:rPr>
            </w:pPr>
            <w:r>
              <w:rPr>
                <w:rFonts w:cs="Times New Roman"/>
                <w:sz w:val="21"/>
                <w:szCs w:val="21"/>
                <w14:ligatures w14:val="none"/>
              </w:rPr>
              <w:t>来站加油车辆</w:t>
            </w:r>
            <w:r>
              <w:rPr>
                <w:rFonts w:cs="Times New Roman" w:hint="eastAsia"/>
                <w:sz w:val="21"/>
                <w:szCs w:val="21"/>
                <w14:ligatures w14:val="none"/>
              </w:rPr>
              <w:t>、管道施工车辆</w:t>
            </w:r>
          </w:p>
        </w:tc>
        <w:tc>
          <w:tcPr>
            <w:tcW w:w="2268" w:type="dxa"/>
            <w:vAlign w:val="center"/>
          </w:tcPr>
          <w:p w14:paraId="2BA3A84A"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车辆有故障</w:t>
            </w:r>
            <w:r>
              <w:rPr>
                <w:rFonts w:cs="Times New Roman" w:hint="eastAsia"/>
                <w:sz w:val="21"/>
                <w:szCs w:val="21"/>
                <w14:ligatures w14:val="none"/>
              </w:rPr>
              <w:t>；</w:t>
            </w:r>
          </w:p>
          <w:p w14:paraId="407BDF3F"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sz w:val="21"/>
                <w:szCs w:val="21"/>
                <w14:ligatures w14:val="none"/>
              </w:rPr>
              <w:t>车速太快</w:t>
            </w:r>
            <w:r>
              <w:rPr>
                <w:rFonts w:cs="Times New Roman" w:hint="eastAsia"/>
                <w:sz w:val="21"/>
                <w:szCs w:val="21"/>
                <w14:ligatures w14:val="none"/>
              </w:rPr>
              <w:t>；</w:t>
            </w:r>
          </w:p>
          <w:p w14:paraId="6B304ED9"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sz w:val="21"/>
                <w:szCs w:val="21"/>
                <w14:ligatures w14:val="none"/>
              </w:rPr>
              <w:t>道路管线等在马路边无防止车辆撞击设施</w:t>
            </w:r>
            <w:r>
              <w:rPr>
                <w:rFonts w:cs="Times New Roman" w:hint="eastAsia"/>
                <w:sz w:val="21"/>
                <w:szCs w:val="21"/>
                <w14:ligatures w14:val="none"/>
              </w:rPr>
              <w:t>；</w:t>
            </w:r>
          </w:p>
          <w:p w14:paraId="374DC84E"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4.</w:t>
            </w:r>
            <w:r>
              <w:rPr>
                <w:rFonts w:cs="Times New Roman"/>
                <w:sz w:val="21"/>
                <w:szCs w:val="21"/>
                <w14:ligatures w14:val="none"/>
              </w:rPr>
              <w:t>路面不</w:t>
            </w:r>
            <w:r>
              <w:rPr>
                <w:rFonts w:cs="Times New Roman" w:hint="eastAsia"/>
                <w:sz w:val="21"/>
                <w:szCs w:val="21"/>
                <w14:ligatures w14:val="none"/>
              </w:rPr>
              <w:t>平整。</w:t>
            </w:r>
          </w:p>
        </w:tc>
        <w:tc>
          <w:tcPr>
            <w:tcW w:w="898" w:type="dxa"/>
            <w:vAlign w:val="center"/>
          </w:tcPr>
          <w:p w14:paraId="3E0A1A59"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车辆撞击人体、设备等</w:t>
            </w:r>
          </w:p>
        </w:tc>
        <w:tc>
          <w:tcPr>
            <w:tcW w:w="2646" w:type="dxa"/>
            <w:vAlign w:val="center"/>
          </w:tcPr>
          <w:p w14:paraId="24A1A326"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hint="eastAsia"/>
                <w:sz w:val="21"/>
                <w:szCs w:val="21"/>
                <w14:ligatures w14:val="none"/>
              </w:rPr>
              <w:t>.</w:t>
            </w:r>
            <w:r>
              <w:rPr>
                <w:rFonts w:cs="Times New Roman"/>
                <w:sz w:val="21"/>
                <w:szCs w:val="21"/>
                <w14:ligatures w14:val="none"/>
              </w:rPr>
              <w:t>驾驶员违章行驶；</w:t>
            </w:r>
          </w:p>
          <w:p w14:paraId="67FCA1F9"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hint="eastAsia"/>
                <w:sz w:val="21"/>
                <w:szCs w:val="21"/>
                <w14:ligatures w14:val="none"/>
              </w:rPr>
              <w:t>.</w:t>
            </w:r>
            <w:r>
              <w:rPr>
                <w:rFonts w:cs="Times New Roman"/>
                <w:sz w:val="21"/>
                <w:szCs w:val="21"/>
                <w14:ligatures w14:val="none"/>
              </w:rPr>
              <w:t>驾驶员精力不集中（如抽烟、谈话等）；</w:t>
            </w:r>
          </w:p>
          <w:p w14:paraId="61DEBDFF"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hint="eastAsia"/>
                <w:sz w:val="21"/>
                <w:szCs w:val="21"/>
                <w14:ligatures w14:val="none"/>
              </w:rPr>
              <w:t>.</w:t>
            </w:r>
            <w:r>
              <w:rPr>
                <w:rFonts w:cs="Times New Roman"/>
                <w:sz w:val="21"/>
                <w:szCs w:val="21"/>
                <w14:ligatures w14:val="none"/>
              </w:rPr>
              <w:t>酒后驾车；</w:t>
            </w:r>
          </w:p>
          <w:p w14:paraId="392BD919"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4</w:t>
            </w:r>
            <w:r>
              <w:rPr>
                <w:rFonts w:cs="Times New Roman" w:hint="eastAsia"/>
                <w:sz w:val="21"/>
                <w:szCs w:val="21"/>
                <w14:ligatures w14:val="none"/>
              </w:rPr>
              <w:t>.</w:t>
            </w:r>
            <w:r>
              <w:rPr>
                <w:rFonts w:cs="Times New Roman"/>
                <w:sz w:val="21"/>
                <w:szCs w:val="21"/>
                <w14:ligatures w14:val="none"/>
              </w:rPr>
              <w:t>疲劳驾驶；</w:t>
            </w:r>
          </w:p>
          <w:p w14:paraId="6234586A"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5</w:t>
            </w:r>
            <w:r>
              <w:rPr>
                <w:rFonts w:cs="Times New Roman" w:hint="eastAsia"/>
                <w:sz w:val="21"/>
                <w:szCs w:val="21"/>
                <w14:ligatures w14:val="none"/>
              </w:rPr>
              <w:t>.</w:t>
            </w:r>
            <w:r>
              <w:rPr>
                <w:rFonts w:cs="Times New Roman"/>
                <w:sz w:val="21"/>
                <w:szCs w:val="21"/>
                <w14:ligatures w14:val="none"/>
              </w:rPr>
              <w:t>驾驶员心境差，激情驾驶。</w:t>
            </w:r>
          </w:p>
        </w:tc>
        <w:tc>
          <w:tcPr>
            <w:tcW w:w="709" w:type="dxa"/>
            <w:vAlign w:val="center"/>
          </w:tcPr>
          <w:p w14:paraId="0D30CD87"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人员伤害、财产损失</w:t>
            </w:r>
          </w:p>
        </w:tc>
        <w:tc>
          <w:tcPr>
            <w:tcW w:w="709" w:type="dxa"/>
            <w:vAlign w:val="center"/>
          </w:tcPr>
          <w:p w14:paraId="2449608D"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Ⅱ</w:t>
            </w:r>
          </w:p>
        </w:tc>
        <w:tc>
          <w:tcPr>
            <w:tcW w:w="4783" w:type="dxa"/>
            <w:vAlign w:val="center"/>
          </w:tcPr>
          <w:p w14:paraId="2E09D704"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hint="eastAsia"/>
                <w:sz w:val="21"/>
                <w:szCs w:val="21"/>
                <w14:ligatures w14:val="none"/>
              </w:rPr>
              <w:t>.</w:t>
            </w:r>
            <w:r>
              <w:rPr>
                <w:rFonts w:cs="Times New Roman"/>
                <w:sz w:val="21"/>
                <w:szCs w:val="21"/>
                <w14:ligatures w14:val="none"/>
              </w:rPr>
              <w:t>增设交通标志（包括限速、限高标志）；</w:t>
            </w:r>
          </w:p>
          <w:p w14:paraId="4A8A8D78"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hint="eastAsia"/>
                <w:sz w:val="21"/>
                <w:szCs w:val="21"/>
                <w14:ligatures w14:val="none"/>
              </w:rPr>
              <w:t>.</w:t>
            </w:r>
            <w:r>
              <w:rPr>
                <w:rFonts w:cs="Times New Roman"/>
                <w:sz w:val="21"/>
                <w:szCs w:val="21"/>
                <w14:ligatures w14:val="none"/>
              </w:rPr>
              <w:t>保持路面状态良好；</w:t>
            </w:r>
          </w:p>
          <w:p w14:paraId="40620657"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hint="eastAsia"/>
                <w:sz w:val="21"/>
                <w:szCs w:val="21"/>
                <w14:ligatures w14:val="none"/>
              </w:rPr>
              <w:t>.</w:t>
            </w:r>
            <w:r>
              <w:rPr>
                <w:rFonts w:cs="Times New Roman"/>
                <w:sz w:val="21"/>
                <w:szCs w:val="21"/>
                <w14:ligatures w14:val="none"/>
              </w:rPr>
              <w:t>管线应埋地敷设并做钢管保护；</w:t>
            </w:r>
          </w:p>
          <w:p w14:paraId="0B9A17F7"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4</w:t>
            </w:r>
            <w:r>
              <w:rPr>
                <w:rFonts w:cs="Times New Roman" w:hint="eastAsia"/>
                <w:sz w:val="21"/>
                <w:szCs w:val="21"/>
                <w14:ligatures w14:val="none"/>
              </w:rPr>
              <w:t>.</w:t>
            </w:r>
            <w:r>
              <w:rPr>
                <w:rFonts w:cs="Times New Roman"/>
                <w:sz w:val="21"/>
                <w:szCs w:val="21"/>
                <w14:ligatures w14:val="none"/>
              </w:rPr>
              <w:t>驾驶员遵守交通规则，不违章行驾；</w:t>
            </w:r>
          </w:p>
          <w:p w14:paraId="319628D6"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5.</w:t>
            </w:r>
            <w:r>
              <w:rPr>
                <w:rFonts w:cs="Times New Roman"/>
                <w:sz w:val="21"/>
                <w:szCs w:val="21"/>
                <w14:ligatures w14:val="none"/>
              </w:rPr>
              <w:t>车辆保证完好状态。</w:t>
            </w:r>
          </w:p>
        </w:tc>
      </w:tr>
      <w:tr w:rsidR="00EF4562" w14:paraId="10079387" w14:textId="77777777">
        <w:trPr>
          <w:trHeight w:val="90"/>
          <w:jc w:val="center"/>
        </w:trPr>
        <w:tc>
          <w:tcPr>
            <w:tcW w:w="1075" w:type="dxa"/>
            <w:vAlign w:val="center"/>
          </w:tcPr>
          <w:p w14:paraId="45B5E478"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机械伤害</w:t>
            </w:r>
          </w:p>
        </w:tc>
        <w:tc>
          <w:tcPr>
            <w:tcW w:w="1188" w:type="dxa"/>
            <w:vAlign w:val="center"/>
          </w:tcPr>
          <w:p w14:paraId="6E0A9BDE"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机械设备传动部位绞、碰、戳、砸伤人体</w:t>
            </w:r>
          </w:p>
        </w:tc>
        <w:tc>
          <w:tcPr>
            <w:tcW w:w="2268" w:type="dxa"/>
            <w:vAlign w:val="center"/>
          </w:tcPr>
          <w:p w14:paraId="280A9068"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、在生产检查、维修设备时不注意被碰、割、戳</w:t>
            </w:r>
            <w:r>
              <w:rPr>
                <w:rFonts w:cs="Times New Roman" w:hint="eastAsia"/>
                <w:sz w:val="21"/>
                <w:szCs w:val="21"/>
                <w14:ligatures w14:val="none"/>
              </w:rPr>
              <w:t>；</w:t>
            </w:r>
          </w:p>
          <w:p w14:paraId="3852A9E4"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sz w:val="21"/>
                <w:szCs w:val="21"/>
                <w14:ligatures w14:val="none"/>
              </w:rPr>
              <w:t>、运转设备撞击人体、衣物绞入</w:t>
            </w:r>
            <w:r>
              <w:rPr>
                <w:rFonts w:cs="Times New Roman" w:hint="eastAsia"/>
                <w:sz w:val="21"/>
                <w:szCs w:val="21"/>
                <w14:ligatures w14:val="none"/>
              </w:rPr>
              <w:t>；</w:t>
            </w:r>
          </w:p>
          <w:p w14:paraId="564C6DF0"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sz w:val="21"/>
                <w:szCs w:val="21"/>
                <w14:ligatures w14:val="none"/>
              </w:rPr>
              <w:t>、检修设备时电源未切断，他人误启动设备等</w:t>
            </w:r>
            <w:r>
              <w:rPr>
                <w:rFonts w:cs="Times New Roman" w:hint="eastAsia"/>
                <w:sz w:val="21"/>
                <w:szCs w:val="21"/>
                <w14:ligatures w14:val="none"/>
              </w:rPr>
              <w:t>。</w:t>
            </w:r>
          </w:p>
        </w:tc>
        <w:tc>
          <w:tcPr>
            <w:tcW w:w="898" w:type="dxa"/>
            <w:vAlign w:val="center"/>
          </w:tcPr>
          <w:p w14:paraId="4D226F6C"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人体、衣物卷入，或人体碰到转动、移动的物体</w:t>
            </w:r>
          </w:p>
        </w:tc>
        <w:tc>
          <w:tcPr>
            <w:tcW w:w="2646" w:type="dxa"/>
            <w:vAlign w:val="center"/>
          </w:tcPr>
          <w:p w14:paraId="3D1956E7"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、违章操作或检修</w:t>
            </w:r>
            <w:r>
              <w:rPr>
                <w:rFonts w:cs="Times New Roman" w:hint="eastAsia"/>
                <w:sz w:val="21"/>
                <w:szCs w:val="21"/>
                <w14:ligatures w14:val="none"/>
              </w:rPr>
              <w:t>；</w:t>
            </w:r>
          </w:p>
          <w:p w14:paraId="1027BF80"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sz w:val="21"/>
                <w:szCs w:val="21"/>
                <w14:ligatures w14:val="none"/>
              </w:rPr>
              <w:t>、无防护罩等防护设施</w:t>
            </w:r>
            <w:r>
              <w:rPr>
                <w:rFonts w:cs="Times New Roman" w:hint="eastAsia"/>
                <w:sz w:val="21"/>
                <w:szCs w:val="21"/>
                <w14:ligatures w14:val="none"/>
              </w:rPr>
              <w:t>；</w:t>
            </w:r>
          </w:p>
          <w:p w14:paraId="5FEA5456"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sz w:val="21"/>
                <w:szCs w:val="21"/>
                <w14:ligatures w14:val="none"/>
              </w:rPr>
              <w:t>、工作时注意力不集中</w:t>
            </w:r>
            <w:r>
              <w:rPr>
                <w:rFonts w:cs="Times New Roman" w:hint="eastAsia"/>
                <w:sz w:val="21"/>
                <w:szCs w:val="21"/>
                <w14:ligatures w14:val="none"/>
              </w:rPr>
              <w:t>；</w:t>
            </w:r>
          </w:p>
          <w:p w14:paraId="3BB241FB" w14:textId="77777777" w:rsidR="00EF4562" w:rsidRDefault="00000000">
            <w:pPr>
              <w:tabs>
                <w:tab w:val="left" w:pos="312"/>
              </w:tabs>
              <w:spacing w:line="240" w:lineRule="auto"/>
              <w:ind w:firstLineChars="0" w:firstLine="0"/>
              <w:rPr>
                <w:rFonts w:cs="Times New Roman"/>
                <w:sz w:val="21"/>
                <w:szCs w:val="21"/>
                <w14:ligatures w14:val="none"/>
              </w:rPr>
            </w:pPr>
            <w:r>
              <w:rPr>
                <w:rFonts w:cs="Times New Roman"/>
                <w:sz w:val="21"/>
                <w:szCs w:val="21"/>
                <w14:ligatures w14:val="none"/>
              </w:rPr>
              <w:t>4</w:t>
            </w:r>
            <w:r>
              <w:rPr>
                <w:rFonts w:cs="Times New Roman"/>
                <w:sz w:val="21"/>
                <w:szCs w:val="21"/>
                <w14:ligatures w14:val="none"/>
              </w:rPr>
              <w:t>、劳动护具未正确穿戴</w:t>
            </w:r>
            <w:r>
              <w:rPr>
                <w:rFonts w:cs="Times New Roman" w:hint="eastAsia"/>
                <w:sz w:val="21"/>
                <w:szCs w:val="21"/>
                <w14:ligatures w14:val="none"/>
              </w:rPr>
              <w:t>。</w:t>
            </w:r>
          </w:p>
        </w:tc>
        <w:tc>
          <w:tcPr>
            <w:tcW w:w="709" w:type="dxa"/>
            <w:vAlign w:val="center"/>
          </w:tcPr>
          <w:p w14:paraId="409A12C0"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人员伤害</w:t>
            </w:r>
          </w:p>
        </w:tc>
        <w:tc>
          <w:tcPr>
            <w:tcW w:w="709" w:type="dxa"/>
            <w:vAlign w:val="center"/>
          </w:tcPr>
          <w:p w14:paraId="71CE1E0C"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Ⅱ</w:t>
            </w:r>
          </w:p>
        </w:tc>
        <w:tc>
          <w:tcPr>
            <w:tcW w:w="4783" w:type="dxa"/>
            <w:vAlign w:val="center"/>
          </w:tcPr>
          <w:p w14:paraId="0B63AB72"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、严格遵守有关操作规程</w:t>
            </w:r>
            <w:r>
              <w:rPr>
                <w:rFonts w:cs="Times New Roman" w:hint="eastAsia"/>
                <w:sz w:val="21"/>
                <w:szCs w:val="21"/>
                <w14:ligatures w14:val="none"/>
              </w:rPr>
              <w:t>；</w:t>
            </w:r>
          </w:p>
          <w:p w14:paraId="09B4FC46"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sz w:val="21"/>
                <w:szCs w:val="21"/>
                <w14:ligatures w14:val="none"/>
              </w:rPr>
              <w:t>、正确穿戴劳动保护用品</w:t>
            </w:r>
            <w:r>
              <w:rPr>
                <w:rFonts w:cs="Times New Roman" w:hint="eastAsia"/>
                <w:sz w:val="21"/>
                <w:szCs w:val="21"/>
                <w14:ligatures w14:val="none"/>
              </w:rPr>
              <w:t>；</w:t>
            </w:r>
          </w:p>
          <w:p w14:paraId="7F3EC452"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sz w:val="21"/>
                <w:szCs w:val="21"/>
                <w14:ligatures w14:val="none"/>
              </w:rPr>
              <w:t>、转动部位应有防护罩</w:t>
            </w:r>
            <w:r>
              <w:rPr>
                <w:rFonts w:cs="Times New Roman" w:hint="eastAsia"/>
                <w:sz w:val="21"/>
                <w:szCs w:val="21"/>
                <w14:ligatures w14:val="none"/>
              </w:rPr>
              <w:t>；</w:t>
            </w:r>
          </w:p>
          <w:p w14:paraId="25FE7527"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4</w:t>
            </w:r>
            <w:r>
              <w:rPr>
                <w:rFonts w:cs="Times New Roman"/>
                <w:sz w:val="21"/>
                <w:szCs w:val="21"/>
                <w14:ligatures w14:val="none"/>
              </w:rPr>
              <w:t>、工作时注意力要集中，注意观察</w:t>
            </w:r>
            <w:r>
              <w:rPr>
                <w:rFonts w:cs="Times New Roman" w:hint="eastAsia"/>
                <w:sz w:val="21"/>
                <w:szCs w:val="21"/>
                <w14:ligatures w14:val="none"/>
              </w:rPr>
              <w:t>；</w:t>
            </w:r>
          </w:p>
          <w:p w14:paraId="2DE11A48"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5</w:t>
            </w:r>
            <w:r>
              <w:rPr>
                <w:rFonts w:cs="Times New Roman"/>
                <w:sz w:val="21"/>
                <w:szCs w:val="21"/>
                <w14:ligatures w14:val="none"/>
              </w:rPr>
              <w:t>、设备定期检修、保持完好</w:t>
            </w:r>
            <w:r>
              <w:rPr>
                <w:rFonts w:cs="Times New Roman" w:hint="eastAsia"/>
                <w:sz w:val="21"/>
                <w:szCs w:val="21"/>
                <w14:ligatures w14:val="none"/>
              </w:rPr>
              <w:t>；</w:t>
            </w:r>
          </w:p>
          <w:p w14:paraId="2FBA1014"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6</w:t>
            </w:r>
            <w:r>
              <w:rPr>
                <w:rFonts w:cs="Times New Roman"/>
                <w:sz w:val="21"/>
                <w:szCs w:val="21"/>
                <w14:ligatures w14:val="none"/>
              </w:rPr>
              <w:t>、检修时要遵守检修规程采取安全措施</w:t>
            </w:r>
            <w:r>
              <w:rPr>
                <w:rFonts w:cs="Times New Roman" w:hint="eastAsia"/>
                <w:sz w:val="21"/>
                <w:szCs w:val="21"/>
                <w14:ligatures w14:val="none"/>
              </w:rPr>
              <w:t>。</w:t>
            </w:r>
          </w:p>
        </w:tc>
      </w:tr>
      <w:tr w:rsidR="00EF4562" w14:paraId="354D624D" w14:textId="77777777">
        <w:trPr>
          <w:trHeight w:val="90"/>
          <w:jc w:val="center"/>
        </w:trPr>
        <w:tc>
          <w:tcPr>
            <w:tcW w:w="1075" w:type="dxa"/>
            <w:vAlign w:val="center"/>
          </w:tcPr>
          <w:p w14:paraId="0DB367B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噪声</w:t>
            </w:r>
          </w:p>
        </w:tc>
        <w:tc>
          <w:tcPr>
            <w:tcW w:w="1188" w:type="dxa"/>
            <w:vAlign w:val="center"/>
          </w:tcPr>
          <w:p w14:paraId="369F2190"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脉冲噪声</w:t>
            </w:r>
          </w:p>
        </w:tc>
        <w:tc>
          <w:tcPr>
            <w:tcW w:w="2268" w:type="dxa"/>
            <w:vAlign w:val="center"/>
          </w:tcPr>
          <w:p w14:paraId="11D766BC"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加油机产生的空气动力性噪声和机械性噪声</w:t>
            </w:r>
          </w:p>
        </w:tc>
        <w:tc>
          <w:tcPr>
            <w:tcW w:w="898" w:type="dxa"/>
            <w:vAlign w:val="center"/>
          </w:tcPr>
          <w:p w14:paraId="0F8CF079"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人员听力损伤</w:t>
            </w:r>
          </w:p>
        </w:tc>
        <w:tc>
          <w:tcPr>
            <w:tcW w:w="2646" w:type="dxa"/>
            <w:vAlign w:val="center"/>
          </w:tcPr>
          <w:p w14:paraId="2CF211F3"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选用的设备产生的噪声较高。</w:t>
            </w:r>
          </w:p>
          <w:p w14:paraId="5DA74F66"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设备安装不良。</w:t>
            </w:r>
          </w:p>
          <w:p w14:paraId="769DD7C4"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3.</w:t>
            </w:r>
            <w:r>
              <w:rPr>
                <w:rFonts w:cs="Times New Roman" w:hint="eastAsia"/>
                <w:sz w:val="21"/>
                <w:szCs w:val="21"/>
                <w14:ligatures w14:val="none"/>
              </w:rPr>
              <w:t>没有采取降噪、防噪措施。</w:t>
            </w:r>
          </w:p>
          <w:p w14:paraId="206B60A2" w14:textId="77777777" w:rsidR="00EF4562" w:rsidRDefault="00000000">
            <w:pPr>
              <w:tabs>
                <w:tab w:val="left" w:pos="312"/>
              </w:tabs>
              <w:spacing w:line="240" w:lineRule="auto"/>
              <w:ind w:firstLineChars="0" w:firstLine="0"/>
              <w:rPr>
                <w:rFonts w:cs="Times New Roman"/>
                <w:sz w:val="21"/>
                <w:szCs w:val="21"/>
                <w14:ligatures w14:val="none"/>
              </w:rPr>
            </w:pPr>
            <w:r>
              <w:rPr>
                <w:rFonts w:cs="Times New Roman" w:hint="eastAsia"/>
                <w:sz w:val="21"/>
                <w:szCs w:val="21"/>
                <w14:ligatures w14:val="none"/>
              </w:rPr>
              <w:t>4.</w:t>
            </w:r>
            <w:r>
              <w:rPr>
                <w:rFonts w:cs="Times New Roman" w:hint="eastAsia"/>
                <w:sz w:val="21"/>
                <w:szCs w:val="21"/>
                <w14:ligatures w14:val="none"/>
              </w:rPr>
              <w:t>未配戴劳动防护用品。</w:t>
            </w:r>
          </w:p>
        </w:tc>
        <w:tc>
          <w:tcPr>
            <w:tcW w:w="709" w:type="dxa"/>
            <w:vAlign w:val="center"/>
          </w:tcPr>
          <w:p w14:paraId="5266E604"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听力损伤</w:t>
            </w:r>
          </w:p>
        </w:tc>
        <w:tc>
          <w:tcPr>
            <w:tcW w:w="709" w:type="dxa"/>
            <w:vAlign w:val="center"/>
          </w:tcPr>
          <w:p w14:paraId="50930603"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Ⅱ</w:t>
            </w:r>
          </w:p>
        </w:tc>
        <w:tc>
          <w:tcPr>
            <w:tcW w:w="4783" w:type="dxa"/>
            <w:vAlign w:val="center"/>
          </w:tcPr>
          <w:p w14:paraId="335A83C6"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选用低嗓声设备，并且确保安装质量契合要求以降低噪声。</w:t>
            </w:r>
          </w:p>
          <w:p w14:paraId="327DFEE0"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采取适当的降噪、防噪措施。</w:t>
            </w:r>
          </w:p>
          <w:p w14:paraId="26A796D7"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3.</w:t>
            </w:r>
            <w:r>
              <w:rPr>
                <w:rFonts w:cs="Times New Roman" w:hint="eastAsia"/>
                <w:sz w:val="21"/>
                <w:szCs w:val="21"/>
                <w14:ligatures w14:val="none"/>
              </w:rPr>
              <w:t>关于噪声超过限值的场所，作业人员应配戴听力防护用品，如耳塞等。</w:t>
            </w:r>
          </w:p>
          <w:p w14:paraId="06528A2E"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4.</w:t>
            </w:r>
            <w:r>
              <w:rPr>
                <w:rFonts w:cs="Times New Roman" w:hint="eastAsia"/>
                <w:sz w:val="21"/>
                <w:szCs w:val="21"/>
                <w14:ligatures w14:val="none"/>
              </w:rPr>
              <w:t>实行时间防护，合理安排作息时间，尽快减少在</w:t>
            </w:r>
            <w:r>
              <w:rPr>
                <w:rFonts w:cs="Times New Roman" w:hint="eastAsia"/>
                <w:sz w:val="21"/>
                <w:szCs w:val="21"/>
                <w14:ligatures w14:val="none"/>
              </w:rPr>
              <w:lastRenderedPageBreak/>
              <w:t>噪声处不必要的停留时间。</w:t>
            </w:r>
          </w:p>
          <w:p w14:paraId="278BB28C" w14:textId="77777777" w:rsidR="00EF4562" w:rsidRDefault="00000000">
            <w:pPr>
              <w:widowControl/>
              <w:adjustRightInd/>
              <w:snapToGrid/>
              <w:spacing w:line="240" w:lineRule="auto"/>
              <w:ind w:firstLineChars="0" w:firstLine="0"/>
              <w:jc w:val="left"/>
              <w:rPr>
                <w:rFonts w:cs="Times New Roman"/>
                <w:sz w:val="21"/>
                <w14:ligatures w14:val="none"/>
              </w:rPr>
            </w:pPr>
            <w:r>
              <w:rPr>
                <w:rFonts w:cs="Times New Roman" w:hint="eastAsia"/>
                <w:sz w:val="21"/>
                <w:szCs w:val="21"/>
                <w14:ligatures w14:val="none"/>
              </w:rPr>
              <w:t>5.</w:t>
            </w:r>
            <w:r>
              <w:rPr>
                <w:rFonts w:cs="Times New Roman" w:hint="eastAsia"/>
                <w:sz w:val="21"/>
                <w:szCs w:val="21"/>
                <w14:ligatures w14:val="none"/>
              </w:rPr>
              <w:t>关于作业场所进行定期的噪声检测，发现异常即时采取处理措施。</w:t>
            </w:r>
          </w:p>
        </w:tc>
      </w:tr>
      <w:tr w:rsidR="00EF4562" w14:paraId="134308E9" w14:textId="77777777">
        <w:trPr>
          <w:trHeight w:val="90"/>
          <w:jc w:val="center"/>
        </w:trPr>
        <w:tc>
          <w:tcPr>
            <w:tcW w:w="1075" w:type="dxa"/>
            <w:vAlign w:val="center"/>
          </w:tcPr>
          <w:p w14:paraId="74C0FBB6"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lastRenderedPageBreak/>
              <w:t>高处坠落</w:t>
            </w:r>
          </w:p>
        </w:tc>
        <w:tc>
          <w:tcPr>
            <w:tcW w:w="1188" w:type="dxa"/>
            <w:vAlign w:val="center"/>
          </w:tcPr>
          <w:p w14:paraId="2A8569DB"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未防护、防护不好或作业不当而发生人或物的坠落</w:t>
            </w:r>
          </w:p>
        </w:tc>
        <w:tc>
          <w:tcPr>
            <w:tcW w:w="2268" w:type="dxa"/>
            <w:vAlign w:val="center"/>
          </w:tcPr>
          <w:p w14:paraId="5B3AD065" w14:textId="77777777" w:rsidR="00EF4562" w:rsidRDefault="00000000">
            <w:pPr>
              <w:spacing w:line="240" w:lineRule="auto"/>
              <w:ind w:firstLineChars="0" w:firstLine="0"/>
              <w:rPr>
                <w:rFonts w:cs="Times New Roman"/>
                <w:sz w:val="21"/>
                <w14:ligatures w14:val="none"/>
              </w:rPr>
            </w:pPr>
            <w:r>
              <w:rPr>
                <w:rFonts w:cs="宋体" w:hint="eastAsia"/>
                <w:kern w:val="1"/>
                <w:sz w:val="21"/>
                <w:szCs w:val="22"/>
                <w:lang w:bidi="ar"/>
                <w14:ligatures w14:val="none"/>
              </w:rPr>
              <w:t>1.</w:t>
            </w:r>
            <w:r>
              <w:rPr>
                <w:rFonts w:cs="宋体" w:hint="eastAsia"/>
                <w:kern w:val="1"/>
                <w:sz w:val="21"/>
                <w:szCs w:val="22"/>
                <w:lang w:bidi="ar"/>
                <w14:ligatures w14:val="none"/>
              </w:rPr>
              <w:t>作业场所防护装置缺乏或存在缺陷；</w:t>
            </w:r>
          </w:p>
          <w:p w14:paraId="7A59AAB9" w14:textId="77777777" w:rsidR="00EF4562" w:rsidRDefault="00000000">
            <w:pPr>
              <w:spacing w:line="240" w:lineRule="auto"/>
              <w:ind w:firstLineChars="0" w:firstLine="0"/>
              <w:rPr>
                <w:rFonts w:cs="Times New Roman"/>
                <w:sz w:val="21"/>
                <w14:ligatures w14:val="none"/>
              </w:rPr>
            </w:pPr>
            <w:r>
              <w:rPr>
                <w:rFonts w:cs="宋体" w:hint="eastAsia"/>
                <w:kern w:val="1"/>
                <w:sz w:val="21"/>
                <w:szCs w:val="22"/>
                <w:lang w:bidi="ar"/>
                <w14:ligatures w14:val="none"/>
              </w:rPr>
              <w:t>2.</w:t>
            </w:r>
            <w:r>
              <w:rPr>
                <w:rFonts w:cs="宋体" w:hint="eastAsia"/>
                <w:kern w:val="1"/>
                <w:sz w:val="21"/>
                <w:szCs w:val="22"/>
                <w:lang w:bidi="ar"/>
                <w14:ligatures w14:val="none"/>
              </w:rPr>
              <w:t>作业人员个体防护用品缺乏或存在缺陷，如未戴安全帽、系安全带等；</w:t>
            </w:r>
          </w:p>
          <w:p w14:paraId="5CF77AF5" w14:textId="77777777" w:rsidR="00EF4562" w:rsidRDefault="00000000">
            <w:pPr>
              <w:spacing w:line="240" w:lineRule="auto"/>
              <w:ind w:firstLineChars="0" w:firstLine="0"/>
              <w:rPr>
                <w:rFonts w:cs="Times New Roman"/>
                <w:sz w:val="21"/>
                <w14:ligatures w14:val="none"/>
              </w:rPr>
            </w:pPr>
            <w:r>
              <w:rPr>
                <w:rFonts w:cs="宋体" w:hint="eastAsia"/>
                <w:spacing w:val="-6"/>
                <w:kern w:val="1"/>
                <w:sz w:val="21"/>
                <w:szCs w:val="21"/>
                <w:lang w:bidi="ar"/>
                <w14:ligatures w14:val="none"/>
              </w:rPr>
              <w:t>3.</w:t>
            </w:r>
            <w:r>
              <w:rPr>
                <w:rFonts w:cs="宋体" w:hint="eastAsia"/>
                <w:kern w:val="1"/>
                <w:sz w:val="21"/>
                <w:szCs w:val="22"/>
                <w:lang w:bidi="ar"/>
                <w14:ligatures w14:val="none"/>
              </w:rPr>
              <w:t>违章作业、违章指挥、作业人员操作失误或注意力不集中；</w:t>
            </w:r>
          </w:p>
          <w:p w14:paraId="1D34FDAB" w14:textId="77777777" w:rsidR="00EF4562" w:rsidRDefault="00000000">
            <w:pPr>
              <w:spacing w:line="240" w:lineRule="auto"/>
              <w:ind w:firstLineChars="0" w:firstLine="0"/>
              <w:rPr>
                <w:rFonts w:cs="Times New Roman"/>
                <w:sz w:val="21"/>
                <w:szCs w:val="21"/>
                <w14:ligatures w14:val="none"/>
              </w:rPr>
            </w:pPr>
            <w:r>
              <w:rPr>
                <w:rFonts w:cs="Times New Roman" w:hint="eastAsia"/>
                <w:kern w:val="1"/>
                <w:sz w:val="21"/>
                <w:szCs w:val="22"/>
                <w:lang w:bidi="ar"/>
                <w14:ligatures w14:val="none"/>
              </w:rPr>
              <w:t>4.</w:t>
            </w:r>
            <w:r>
              <w:rPr>
                <w:rFonts w:cs="Times New Roman" w:hint="eastAsia"/>
                <w:kern w:val="1"/>
                <w:sz w:val="21"/>
                <w:szCs w:val="22"/>
                <w:lang w:bidi="ar"/>
                <w14:ligatures w14:val="none"/>
              </w:rPr>
              <w:t>环境因素，如夜间作业等环境也是产生高处坠落的原因所在。</w:t>
            </w:r>
          </w:p>
        </w:tc>
        <w:tc>
          <w:tcPr>
            <w:tcW w:w="898" w:type="dxa"/>
            <w:vAlign w:val="center"/>
          </w:tcPr>
          <w:p w14:paraId="14F45BD8"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人员摔伤</w:t>
            </w:r>
          </w:p>
        </w:tc>
        <w:tc>
          <w:tcPr>
            <w:tcW w:w="2646" w:type="dxa"/>
            <w:vAlign w:val="center"/>
          </w:tcPr>
          <w:p w14:paraId="7D743552" w14:textId="77777777" w:rsidR="00EF4562" w:rsidRDefault="00000000">
            <w:pPr>
              <w:adjustRightInd/>
              <w:snapToGrid/>
              <w:spacing w:line="240" w:lineRule="atLeast"/>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人员防护措施缺失；</w:t>
            </w:r>
          </w:p>
          <w:p w14:paraId="6E2E9268"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违章作业；</w:t>
            </w:r>
          </w:p>
        </w:tc>
        <w:tc>
          <w:tcPr>
            <w:tcW w:w="709" w:type="dxa"/>
            <w:vAlign w:val="center"/>
          </w:tcPr>
          <w:p w14:paraId="0BB3974C"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人员伤害</w:t>
            </w:r>
          </w:p>
        </w:tc>
        <w:tc>
          <w:tcPr>
            <w:tcW w:w="709" w:type="dxa"/>
            <w:vAlign w:val="center"/>
          </w:tcPr>
          <w:p w14:paraId="03BFE74D"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Ⅱ</w:t>
            </w:r>
          </w:p>
        </w:tc>
        <w:tc>
          <w:tcPr>
            <w:tcW w:w="4783" w:type="dxa"/>
            <w:vAlign w:val="center"/>
          </w:tcPr>
          <w:p w14:paraId="74191A49" w14:textId="77777777" w:rsidR="00EF4562" w:rsidRDefault="00000000">
            <w:pPr>
              <w:keepLines/>
              <w:widowControl/>
              <w:spacing w:line="240" w:lineRule="auto"/>
              <w:ind w:firstLineChars="0" w:firstLine="0"/>
              <w:rPr>
                <w:rFonts w:cs="Courier New"/>
                <w:kern w:val="0"/>
                <w:sz w:val="21"/>
                <w14:ligatures w14:val="none"/>
              </w:rPr>
            </w:pPr>
            <w:r>
              <w:rPr>
                <w:rFonts w:cs="宋体" w:hint="eastAsia"/>
                <w:kern w:val="1"/>
                <w:sz w:val="21"/>
                <w:szCs w:val="21"/>
                <w:lang w:bidi="ar"/>
                <w14:ligatures w14:val="none"/>
              </w:rPr>
              <w:t>1.</w:t>
            </w:r>
            <w:r>
              <w:rPr>
                <w:rFonts w:cs="Courier New" w:hint="eastAsia"/>
                <w:kern w:val="1"/>
                <w:sz w:val="21"/>
                <w:szCs w:val="21"/>
                <w:lang w:bidi="ar"/>
                <w14:ligatures w14:val="none"/>
              </w:rPr>
              <w:t>要在相应地点设立警示标志；</w:t>
            </w:r>
          </w:p>
          <w:p w14:paraId="02124DE5" w14:textId="77777777" w:rsidR="00EF4562" w:rsidRDefault="00000000">
            <w:pPr>
              <w:spacing w:line="240" w:lineRule="auto"/>
              <w:ind w:firstLineChars="0" w:firstLine="0"/>
              <w:rPr>
                <w:rFonts w:cs="Times New Roman"/>
                <w:sz w:val="21"/>
                <w:szCs w:val="21"/>
                <w14:ligatures w14:val="none"/>
              </w:rPr>
            </w:pPr>
            <w:r>
              <w:rPr>
                <w:rFonts w:cs="Times New Roman" w:hint="eastAsia"/>
                <w:spacing w:val="-8"/>
                <w:kern w:val="1"/>
                <w:sz w:val="21"/>
                <w:lang w:bidi="ar"/>
                <w14:ligatures w14:val="none"/>
              </w:rPr>
              <w:t>2.</w:t>
            </w:r>
            <w:r>
              <w:rPr>
                <w:rFonts w:cs="Times New Roman" w:hint="eastAsia"/>
                <w:spacing w:val="-8"/>
                <w:kern w:val="1"/>
                <w:sz w:val="21"/>
                <w:lang w:bidi="ar"/>
                <w14:ligatures w14:val="none"/>
              </w:rPr>
              <w:t>严格按作业规程作业</w:t>
            </w:r>
            <w:r>
              <w:rPr>
                <w:rFonts w:cs="Times New Roman" w:hint="eastAsia"/>
                <w:kern w:val="1"/>
                <w:sz w:val="21"/>
                <w:szCs w:val="22"/>
                <w:lang w:bidi="ar"/>
                <w14:ligatures w14:val="none"/>
              </w:rPr>
              <w:t>。</w:t>
            </w:r>
          </w:p>
        </w:tc>
      </w:tr>
    </w:tbl>
    <w:p w14:paraId="0DB98766" w14:textId="77777777" w:rsidR="00EF4562" w:rsidRDefault="00000000">
      <w:pPr>
        <w:ind w:firstLine="560"/>
      </w:pPr>
      <w:r>
        <w:rPr>
          <w:rFonts w:hint="eastAsia"/>
        </w:rPr>
        <w:t>从以上分析可以得出，加油工艺设施、设备单元火灾、爆炸的危险等级为Ⅲ级，属于“危险的，会造成人员伤亡和系统损坏，要立即采取措施”，发生中毒和窒息、触电、物体打击、车辆伤害、机械伤害、噪声、高处坠落的危险等级为Ⅱ级，属于“临界的，处于事故边缘状态，暂时尚不能造成人员伤亡和财产损失，应予排除或采取控制措施”。</w:t>
      </w:r>
      <w:r>
        <w:br w:type="page"/>
      </w:r>
    </w:p>
    <w:p w14:paraId="218C19BD" w14:textId="77777777" w:rsidR="00EF4562" w:rsidRDefault="00000000">
      <w:pPr>
        <w:keepNext/>
        <w:keepLines/>
        <w:spacing w:beforeLines="50" w:before="190" w:afterLines="50" w:after="190" w:line="240" w:lineRule="auto"/>
        <w:ind w:firstLineChars="0" w:firstLine="0"/>
        <w:jc w:val="center"/>
        <w:rPr>
          <w:rFonts w:ascii="黑体" w:eastAsia="黑体" w:hAnsi="黑体" w:hint="eastAsia"/>
          <w:sz w:val="24"/>
        </w:rPr>
      </w:pPr>
      <w:r>
        <w:rPr>
          <w:rFonts w:ascii="黑体" w:eastAsia="黑体" w:hAnsi="黑体" w:hint="eastAsia"/>
          <w:sz w:val="24"/>
        </w:rPr>
        <w:lastRenderedPageBreak/>
        <w:t>表</w:t>
      </w:r>
      <w:r>
        <w:rPr>
          <w:rFonts w:eastAsia="黑体" w:cs="Times New Roman"/>
          <w:sz w:val="24"/>
        </w:rPr>
        <w:t>D-</w:t>
      </w:r>
      <w:r>
        <w:rPr>
          <w:rFonts w:eastAsia="黑体" w:cs="Times New Roman" w:hint="eastAsia"/>
          <w:sz w:val="24"/>
        </w:rPr>
        <w:t>7</w:t>
      </w:r>
      <w:r>
        <w:rPr>
          <w:rFonts w:ascii="黑体" w:eastAsia="黑体" w:hAnsi="黑体" w:hint="eastAsia"/>
          <w:sz w:val="24"/>
        </w:rPr>
        <w:t xml:space="preserve">  建设项目配套和辅助设施单元危险因素评价（预先危险性分析方法）</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559"/>
        <w:gridCol w:w="2552"/>
        <w:gridCol w:w="614"/>
        <w:gridCol w:w="2646"/>
        <w:gridCol w:w="709"/>
        <w:gridCol w:w="709"/>
        <w:gridCol w:w="4783"/>
      </w:tblGrid>
      <w:tr w:rsidR="00EF4562" w14:paraId="77E46CAE" w14:textId="77777777">
        <w:trPr>
          <w:trHeight w:val="90"/>
          <w:tblHeader/>
          <w:jc w:val="center"/>
        </w:trPr>
        <w:tc>
          <w:tcPr>
            <w:tcW w:w="704" w:type="dxa"/>
            <w:vAlign w:val="center"/>
          </w:tcPr>
          <w:p w14:paraId="16C43EA8" w14:textId="77777777" w:rsidR="00EF4562" w:rsidRDefault="00000000">
            <w:pPr>
              <w:spacing w:line="240" w:lineRule="atLeast"/>
              <w:ind w:firstLineChars="0" w:firstLine="0"/>
              <w:jc w:val="center"/>
              <w:rPr>
                <w:rFonts w:cs="Times New Roman"/>
                <w:sz w:val="21"/>
                <w:szCs w:val="21"/>
                <w14:ligatures w14:val="none"/>
              </w:rPr>
            </w:pPr>
            <w:r>
              <w:rPr>
                <w:rFonts w:cs="Times New Roman"/>
                <w:sz w:val="21"/>
                <w:szCs w:val="21"/>
                <w14:ligatures w14:val="none"/>
              </w:rPr>
              <w:t>潜在事故</w:t>
            </w:r>
          </w:p>
        </w:tc>
        <w:tc>
          <w:tcPr>
            <w:tcW w:w="1559" w:type="dxa"/>
            <w:vAlign w:val="center"/>
          </w:tcPr>
          <w:p w14:paraId="01A46217" w14:textId="77777777" w:rsidR="00EF4562" w:rsidRDefault="00000000">
            <w:pPr>
              <w:spacing w:line="240" w:lineRule="atLeast"/>
              <w:ind w:firstLineChars="0" w:firstLine="0"/>
              <w:jc w:val="center"/>
              <w:rPr>
                <w:rFonts w:cs="Times New Roman"/>
                <w:sz w:val="21"/>
                <w:szCs w:val="21"/>
                <w14:ligatures w14:val="none"/>
              </w:rPr>
            </w:pPr>
            <w:r>
              <w:rPr>
                <w:rFonts w:cs="Times New Roman"/>
                <w:sz w:val="21"/>
                <w:szCs w:val="21"/>
                <w14:ligatures w14:val="none"/>
              </w:rPr>
              <w:t>危险危害因素</w:t>
            </w:r>
          </w:p>
        </w:tc>
        <w:tc>
          <w:tcPr>
            <w:tcW w:w="2552" w:type="dxa"/>
            <w:vAlign w:val="center"/>
          </w:tcPr>
          <w:p w14:paraId="1A53C288" w14:textId="77777777" w:rsidR="00EF4562" w:rsidRDefault="00000000">
            <w:pPr>
              <w:spacing w:line="240" w:lineRule="atLeast"/>
              <w:ind w:firstLineChars="0" w:firstLine="0"/>
              <w:jc w:val="center"/>
              <w:rPr>
                <w:rFonts w:cs="Times New Roman"/>
                <w:sz w:val="21"/>
                <w:szCs w:val="21"/>
                <w14:ligatures w14:val="none"/>
              </w:rPr>
            </w:pPr>
            <w:r>
              <w:rPr>
                <w:rFonts w:cs="Times New Roman"/>
                <w:sz w:val="21"/>
                <w:szCs w:val="21"/>
                <w14:ligatures w14:val="none"/>
              </w:rPr>
              <w:t>触发事件</w:t>
            </w:r>
          </w:p>
        </w:tc>
        <w:tc>
          <w:tcPr>
            <w:tcW w:w="614" w:type="dxa"/>
            <w:vAlign w:val="center"/>
          </w:tcPr>
          <w:p w14:paraId="1A5A9B66" w14:textId="77777777" w:rsidR="00EF4562" w:rsidRDefault="00000000">
            <w:pPr>
              <w:spacing w:line="240" w:lineRule="atLeast"/>
              <w:ind w:firstLineChars="0" w:firstLine="0"/>
              <w:jc w:val="center"/>
              <w:rPr>
                <w:rFonts w:cs="Times New Roman"/>
                <w:sz w:val="21"/>
                <w:szCs w:val="21"/>
                <w14:ligatures w14:val="none"/>
              </w:rPr>
            </w:pPr>
            <w:r>
              <w:rPr>
                <w:rFonts w:cs="Times New Roman"/>
                <w:sz w:val="21"/>
                <w:szCs w:val="21"/>
                <w14:ligatures w14:val="none"/>
              </w:rPr>
              <w:t>现象</w:t>
            </w:r>
          </w:p>
        </w:tc>
        <w:tc>
          <w:tcPr>
            <w:tcW w:w="2646" w:type="dxa"/>
            <w:vAlign w:val="center"/>
          </w:tcPr>
          <w:p w14:paraId="21085BAE" w14:textId="77777777" w:rsidR="00EF4562" w:rsidRDefault="00000000">
            <w:pPr>
              <w:spacing w:line="240" w:lineRule="atLeast"/>
              <w:ind w:firstLineChars="0" w:firstLine="0"/>
              <w:jc w:val="center"/>
              <w:rPr>
                <w:rFonts w:cs="Times New Roman"/>
                <w:sz w:val="21"/>
                <w:szCs w:val="21"/>
                <w14:ligatures w14:val="none"/>
              </w:rPr>
            </w:pPr>
            <w:r>
              <w:rPr>
                <w:rFonts w:cs="Times New Roman"/>
                <w:sz w:val="21"/>
                <w:szCs w:val="21"/>
                <w14:ligatures w14:val="none"/>
              </w:rPr>
              <w:t>形成事故原因事件</w:t>
            </w:r>
          </w:p>
        </w:tc>
        <w:tc>
          <w:tcPr>
            <w:tcW w:w="709" w:type="dxa"/>
            <w:vAlign w:val="center"/>
          </w:tcPr>
          <w:p w14:paraId="58B1E635" w14:textId="77777777" w:rsidR="00EF4562" w:rsidRDefault="00000000">
            <w:pPr>
              <w:spacing w:line="240" w:lineRule="atLeast"/>
              <w:ind w:firstLineChars="0" w:firstLine="0"/>
              <w:jc w:val="center"/>
              <w:rPr>
                <w:rFonts w:cs="Times New Roman"/>
                <w:sz w:val="21"/>
                <w:szCs w:val="21"/>
                <w14:ligatures w14:val="none"/>
              </w:rPr>
            </w:pPr>
            <w:r>
              <w:rPr>
                <w:rFonts w:cs="Times New Roman"/>
                <w:sz w:val="21"/>
                <w:szCs w:val="21"/>
                <w14:ligatures w14:val="none"/>
              </w:rPr>
              <w:t>事故后果</w:t>
            </w:r>
          </w:p>
        </w:tc>
        <w:tc>
          <w:tcPr>
            <w:tcW w:w="709" w:type="dxa"/>
            <w:vAlign w:val="center"/>
          </w:tcPr>
          <w:p w14:paraId="3BD96618" w14:textId="77777777" w:rsidR="00EF4562" w:rsidRDefault="00000000">
            <w:pPr>
              <w:spacing w:line="240" w:lineRule="atLeast"/>
              <w:ind w:firstLineChars="0" w:firstLine="0"/>
              <w:jc w:val="center"/>
              <w:rPr>
                <w:rFonts w:cs="Times New Roman"/>
                <w:sz w:val="21"/>
                <w:szCs w:val="21"/>
                <w14:ligatures w14:val="none"/>
              </w:rPr>
            </w:pPr>
            <w:r>
              <w:rPr>
                <w:rFonts w:cs="Times New Roman"/>
                <w:sz w:val="21"/>
                <w:szCs w:val="21"/>
                <w14:ligatures w14:val="none"/>
              </w:rPr>
              <w:t>危险等级</w:t>
            </w:r>
          </w:p>
        </w:tc>
        <w:tc>
          <w:tcPr>
            <w:tcW w:w="4783" w:type="dxa"/>
            <w:vAlign w:val="center"/>
          </w:tcPr>
          <w:p w14:paraId="1E2E78FE" w14:textId="77777777" w:rsidR="00EF4562" w:rsidRDefault="00000000">
            <w:pPr>
              <w:spacing w:line="240" w:lineRule="atLeast"/>
              <w:ind w:firstLineChars="0" w:firstLine="0"/>
              <w:jc w:val="center"/>
              <w:rPr>
                <w:rFonts w:cs="Times New Roman"/>
                <w:sz w:val="21"/>
                <w:szCs w:val="21"/>
                <w14:ligatures w14:val="none"/>
              </w:rPr>
            </w:pPr>
            <w:r>
              <w:rPr>
                <w:rFonts w:cs="Times New Roman"/>
                <w:sz w:val="21"/>
                <w:szCs w:val="21"/>
                <w14:ligatures w14:val="none"/>
              </w:rPr>
              <w:t>措施</w:t>
            </w:r>
          </w:p>
        </w:tc>
      </w:tr>
      <w:tr w:rsidR="00EF4562" w14:paraId="6F063961" w14:textId="77777777">
        <w:trPr>
          <w:trHeight w:val="90"/>
          <w:jc w:val="center"/>
        </w:trPr>
        <w:tc>
          <w:tcPr>
            <w:tcW w:w="704" w:type="dxa"/>
            <w:vAlign w:val="center"/>
          </w:tcPr>
          <w:p w14:paraId="112A4933"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火灾</w:t>
            </w:r>
          </w:p>
        </w:tc>
        <w:tc>
          <w:tcPr>
            <w:tcW w:w="1559" w:type="dxa"/>
            <w:vAlign w:val="center"/>
          </w:tcPr>
          <w:p w14:paraId="1E46D1EB"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静电火花、电气设备</w:t>
            </w:r>
          </w:p>
        </w:tc>
        <w:tc>
          <w:tcPr>
            <w:tcW w:w="2552" w:type="dxa"/>
            <w:vAlign w:val="center"/>
          </w:tcPr>
          <w:p w14:paraId="1DEFD42E"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电气设备、设施损坏漏电；</w:t>
            </w:r>
          </w:p>
          <w:p w14:paraId="14AB97D8"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静电产生静电火花。</w:t>
            </w:r>
          </w:p>
        </w:tc>
        <w:tc>
          <w:tcPr>
            <w:tcW w:w="614" w:type="dxa"/>
            <w:vAlign w:val="center"/>
          </w:tcPr>
          <w:p w14:paraId="15ECF69D"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遇高热、明火燃烧</w:t>
            </w:r>
          </w:p>
        </w:tc>
        <w:tc>
          <w:tcPr>
            <w:tcW w:w="2646" w:type="dxa"/>
            <w:vAlign w:val="center"/>
          </w:tcPr>
          <w:p w14:paraId="3EBDA0E7"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电气设备、设施损坏，电缆头及电机的短路，产生电火；</w:t>
            </w:r>
          </w:p>
          <w:p w14:paraId="0BD29CC8"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sz w:val="21"/>
                <w:szCs w:val="21"/>
                <w14:ligatures w14:val="none"/>
              </w:rPr>
              <w:t>鼠类小动物侵害电气设备；</w:t>
            </w:r>
          </w:p>
          <w:p w14:paraId="29D5567C"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sz w:val="21"/>
                <w:szCs w:val="21"/>
                <w14:ligatures w14:val="none"/>
              </w:rPr>
              <w:t>违章操作；</w:t>
            </w:r>
          </w:p>
          <w:p w14:paraId="7863A4DE"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4.</w:t>
            </w:r>
            <w:r>
              <w:rPr>
                <w:rFonts w:cs="Times New Roman"/>
                <w:sz w:val="21"/>
                <w:szCs w:val="21"/>
                <w14:ligatures w14:val="none"/>
              </w:rPr>
              <w:t>人员未穿戴防静电服装；</w:t>
            </w:r>
          </w:p>
          <w:p w14:paraId="21B8BFFA" w14:textId="77777777" w:rsidR="00EF4562" w:rsidRDefault="00000000">
            <w:pPr>
              <w:spacing w:line="240" w:lineRule="auto"/>
              <w:ind w:firstLineChars="0" w:firstLine="0"/>
              <w:jc w:val="left"/>
              <w:rPr>
                <w:rFonts w:cs="Times New Roman"/>
                <w:sz w:val="21"/>
                <w:szCs w:val="21"/>
                <w14:ligatures w14:val="none"/>
              </w:rPr>
            </w:pPr>
            <w:r>
              <w:rPr>
                <w:rFonts w:cs="Times New Roman"/>
                <w:sz w:val="21"/>
                <w:szCs w:val="21"/>
                <w14:ligatures w14:val="none"/>
              </w:rPr>
              <w:t>5.</w:t>
            </w:r>
            <w:r>
              <w:rPr>
                <w:rFonts w:cs="Times New Roman"/>
                <w:sz w:val="21"/>
                <w:szCs w:val="21"/>
                <w14:ligatures w14:val="none"/>
              </w:rPr>
              <w:t>受自然灾害影响</w:t>
            </w:r>
            <w:r>
              <w:rPr>
                <w:rFonts w:cs="Times New Roman" w:hint="eastAsia"/>
                <w:sz w:val="21"/>
                <w:szCs w:val="21"/>
                <w14:ligatures w14:val="none"/>
              </w:rPr>
              <w:t>。</w:t>
            </w:r>
          </w:p>
        </w:tc>
        <w:tc>
          <w:tcPr>
            <w:tcW w:w="709" w:type="dxa"/>
            <w:vAlign w:val="center"/>
          </w:tcPr>
          <w:p w14:paraId="47A99FE1"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人员</w:t>
            </w:r>
          </w:p>
          <w:p w14:paraId="51674E35"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伤亡</w:t>
            </w:r>
          </w:p>
          <w:p w14:paraId="03302E6F"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财产</w:t>
            </w:r>
          </w:p>
          <w:p w14:paraId="6A72105E"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损失</w:t>
            </w:r>
          </w:p>
        </w:tc>
        <w:tc>
          <w:tcPr>
            <w:tcW w:w="709" w:type="dxa"/>
            <w:vAlign w:val="center"/>
          </w:tcPr>
          <w:p w14:paraId="34EAE142" w14:textId="77777777" w:rsidR="00EF4562" w:rsidRDefault="00000000">
            <w:pPr>
              <w:spacing w:line="240" w:lineRule="auto"/>
              <w:ind w:firstLineChars="0" w:firstLine="0"/>
              <w:jc w:val="center"/>
              <w:rPr>
                <w:rFonts w:cs="Times New Roman"/>
                <w:sz w:val="21"/>
                <w:szCs w:val="21"/>
                <w14:ligatures w14:val="none"/>
              </w:rPr>
            </w:pPr>
            <w:r>
              <w:rPr>
                <w:rFonts w:cs="Times New Roman"/>
                <w:sz w:val="21"/>
                <w:szCs w:val="21"/>
                <w14:ligatures w14:val="none"/>
              </w:rPr>
              <w:t>Ⅲ</w:t>
            </w:r>
          </w:p>
        </w:tc>
        <w:tc>
          <w:tcPr>
            <w:tcW w:w="4783" w:type="dxa"/>
            <w:vAlign w:val="center"/>
          </w:tcPr>
          <w:p w14:paraId="31D07C2A"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1.</w:t>
            </w:r>
            <w:r>
              <w:rPr>
                <w:rFonts w:cs="Times New Roman"/>
                <w:sz w:val="21"/>
                <w:szCs w:val="21"/>
                <w14:ligatures w14:val="none"/>
              </w:rPr>
              <w:t>严格设计选型，封堵隔热、防火、防水；</w:t>
            </w:r>
          </w:p>
          <w:p w14:paraId="26383346"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2</w:t>
            </w:r>
            <w:r>
              <w:rPr>
                <w:rFonts w:cs="Times New Roman"/>
                <w:sz w:val="21"/>
                <w:szCs w:val="21"/>
                <w14:ligatures w14:val="none"/>
              </w:rPr>
              <w:t>变电、配电室门口应设挡鼠板，防止小动物进入；</w:t>
            </w:r>
          </w:p>
          <w:p w14:paraId="5513BA01"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消防灭火设施、合理选用消防器材；</w:t>
            </w:r>
          </w:p>
          <w:p w14:paraId="70D38D54"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sz w:val="21"/>
                <w:szCs w:val="21"/>
                <w14:ligatures w14:val="none"/>
              </w:rPr>
              <w:t>严格按照操作规程作业。</w:t>
            </w:r>
          </w:p>
          <w:p w14:paraId="7EE1CEF7"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4.</w:t>
            </w:r>
            <w:r>
              <w:rPr>
                <w:rFonts w:cs="Times New Roman"/>
                <w:sz w:val="21"/>
                <w:szCs w:val="21"/>
                <w14:ligatures w14:val="none"/>
              </w:rPr>
              <w:t>加强安全培训，为员工提供防静电工作服；</w:t>
            </w:r>
          </w:p>
          <w:p w14:paraId="37CDD8E2"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5.</w:t>
            </w:r>
            <w:r>
              <w:rPr>
                <w:rFonts w:cs="Times New Roman"/>
                <w:sz w:val="21"/>
                <w:szCs w:val="21"/>
                <w14:ligatures w14:val="none"/>
              </w:rPr>
              <w:t>及时关注天气情况，采取相应的预防措施</w:t>
            </w:r>
            <w:r>
              <w:rPr>
                <w:rFonts w:cs="Times New Roman" w:hint="eastAsia"/>
                <w:sz w:val="21"/>
                <w:szCs w:val="21"/>
                <w14:ligatures w14:val="none"/>
              </w:rPr>
              <w:t>。</w:t>
            </w:r>
          </w:p>
        </w:tc>
      </w:tr>
      <w:tr w:rsidR="00EF4562" w14:paraId="42EF3213" w14:textId="77777777">
        <w:trPr>
          <w:trHeight w:val="90"/>
          <w:jc w:val="center"/>
        </w:trPr>
        <w:tc>
          <w:tcPr>
            <w:tcW w:w="704" w:type="dxa"/>
            <w:vAlign w:val="center"/>
          </w:tcPr>
          <w:p w14:paraId="5CD431ED"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触电</w:t>
            </w:r>
          </w:p>
        </w:tc>
        <w:tc>
          <w:tcPr>
            <w:tcW w:w="1559" w:type="dxa"/>
            <w:vAlign w:val="center"/>
          </w:tcPr>
          <w:p w14:paraId="538C3C52"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漏电、绝缘损坏、安全距离不够、雷击</w:t>
            </w:r>
            <w:r>
              <w:rPr>
                <w:rFonts w:cs="Times New Roman" w:hint="eastAsia"/>
                <w:sz w:val="21"/>
                <w:szCs w:val="21"/>
                <w14:ligatures w14:val="none"/>
              </w:rPr>
              <w:t>、静电</w:t>
            </w:r>
          </w:p>
        </w:tc>
        <w:tc>
          <w:tcPr>
            <w:tcW w:w="2552" w:type="dxa"/>
          </w:tcPr>
          <w:p w14:paraId="45F2ECDB"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电气线路或电气设备在设计、安装上存在缺陷，或在运行中缺乏必要的检修维护；</w:t>
            </w:r>
          </w:p>
          <w:p w14:paraId="137569F3"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sz w:val="21"/>
                <w:szCs w:val="21"/>
                <w14:ligatures w14:val="none"/>
              </w:rPr>
              <w:t>没有设置必要的安全技术措施</w:t>
            </w:r>
            <w:r>
              <w:rPr>
                <w:rFonts w:cs="Times New Roman" w:hint="eastAsia"/>
                <w:sz w:val="21"/>
                <w:szCs w:val="21"/>
                <w14:ligatures w14:val="none"/>
              </w:rPr>
              <w:t>或</w:t>
            </w:r>
            <w:r>
              <w:rPr>
                <w:rFonts w:cs="Times New Roman"/>
                <w:sz w:val="21"/>
                <w:szCs w:val="21"/>
                <w14:ligatures w14:val="none"/>
              </w:rPr>
              <w:t>安全措施失效；</w:t>
            </w:r>
          </w:p>
          <w:p w14:paraId="1A6E4155"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3.</w:t>
            </w:r>
            <w:r>
              <w:rPr>
                <w:rFonts w:cs="Times New Roman" w:hint="eastAsia"/>
                <w:sz w:val="21"/>
                <w:szCs w:val="21"/>
                <w14:ligatures w14:val="none"/>
              </w:rPr>
              <w:t>电气设备运行管理不当，安全管理制度不完善，没有必要的安全组织措施；</w:t>
            </w:r>
          </w:p>
          <w:p w14:paraId="12CD1A3F"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4.</w:t>
            </w:r>
            <w:r>
              <w:rPr>
                <w:rFonts w:cs="Times New Roman" w:hint="eastAsia"/>
                <w:sz w:val="21"/>
                <w:szCs w:val="21"/>
                <w14:ligatures w14:val="none"/>
              </w:rPr>
              <w:t>专业电工或机电设备操作人员的操作失误，或违章作业等；</w:t>
            </w:r>
          </w:p>
          <w:p w14:paraId="6174977C"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5.</w:t>
            </w:r>
            <w:r>
              <w:rPr>
                <w:rFonts w:cs="Times New Roman"/>
                <w:sz w:val="21"/>
                <w:szCs w:val="21"/>
                <w14:ligatures w14:val="none"/>
              </w:rPr>
              <w:t>雷击</w:t>
            </w:r>
            <w:r>
              <w:rPr>
                <w:rFonts w:cs="Times New Roman" w:hint="eastAsia"/>
                <w:sz w:val="21"/>
                <w:szCs w:val="21"/>
                <w14:ligatures w14:val="none"/>
              </w:rPr>
              <w:t>，</w:t>
            </w:r>
            <w:r>
              <w:rPr>
                <w:rFonts w:cs="Times New Roman"/>
                <w:sz w:val="21"/>
                <w:szCs w:val="21"/>
                <w14:ligatures w14:val="none"/>
              </w:rPr>
              <w:t>包</w:t>
            </w:r>
            <w:r>
              <w:rPr>
                <w:rFonts w:cs="Times New Roman" w:hint="eastAsia"/>
                <w:sz w:val="21"/>
                <w:szCs w:val="21"/>
                <w14:ligatures w14:val="none"/>
              </w:rPr>
              <w:t>括</w:t>
            </w:r>
            <w:r>
              <w:rPr>
                <w:rFonts w:cs="Times New Roman"/>
                <w:sz w:val="21"/>
                <w:szCs w:val="21"/>
                <w14:ligatures w14:val="none"/>
              </w:rPr>
              <w:t>直接雷、感应雷</w:t>
            </w:r>
            <w:r>
              <w:rPr>
                <w:rFonts w:cs="Times New Roman" w:hint="eastAsia"/>
                <w:sz w:val="21"/>
                <w:szCs w:val="21"/>
                <w14:ligatures w14:val="none"/>
              </w:rPr>
              <w:t>。</w:t>
            </w:r>
          </w:p>
        </w:tc>
        <w:tc>
          <w:tcPr>
            <w:tcW w:w="614" w:type="dxa"/>
            <w:vAlign w:val="center"/>
          </w:tcPr>
          <w:p w14:paraId="50E45D84"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人体触及带电体</w:t>
            </w:r>
          </w:p>
        </w:tc>
        <w:tc>
          <w:tcPr>
            <w:tcW w:w="2646" w:type="dxa"/>
            <w:vAlign w:val="center"/>
          </w:tcPr>
          <w:p w14:paraId="63E47940" w14:textId="77777777" w:rsidR="00EF4562" w:rsidRDefault="00000000">
            <w:pPr>
              <w:spacing w:line="240" w:lineRule="auto"/>
              <w:ind w:firstLineChars="0" w:firstLine="0"/>
              <w:jc w:val="left"/>
              <w:rPr>
                <w:rFonts w:cs="Times New Roman"/>
                <w:sz w:val="21"/>
                <w:szCs w:val="21"/>
                <w14:ligatures w14:val="none"/>
              </w:rPr>
            </w:pPr>
            <w:r>
              <w:rPr>
                <w:rFonts w:cs="Times New Roman"/>
                <w:sz w:val="21"/>
                <w:szCs w:val="21"/>
                <w14:ligatures w14:val="none"/>
              </w:rPr>
              <w:t>1</w:t>
            </w:r>
            <w:r>
              <w:rPr>
                <w:rFonts w:cs="Times New Roman" w:hint="eastAsia"/>
                <w:sz w:val="21"/>
                <w:szCs w:val="21"/>
                <w14:ligatures w14:val="none"/>
              </w:rPr>
              <w:t>.</w:t>
            </w:r>
            <w:r>
              <w:rPr>
                <w:rFonts w:cs="Times New Roman"/>
                <w:sz w:val="21"/>
                <w:szCs w:val="21"/>
                <w14:ligatures w14:val="none"/>
              </w:rPr>
              <w:t>人体触及带电体；</w:t>
            </w:r>
          </w:p>
          <w:p w14:paraId="4F0C8675" w14:textId="77777777" w:rsidR="00EF4562" w:rsidRDefault="00000000">
            <w:pPr>
              <w:spacing w:line="240" w:lineRule="auto"/>
              <w:ind w:firstLineChars="0" w:firstLine="0"/>
              <w:jc w:val="left"/>
              <w:rPr>
                <w:rFonts w:cs="Times New Roman"/>
                <w:sz w:val="21"/>
                <w:szCs w:val="21"/>
                <w14:ligatures w14:val="none"/>
              </w:rPr>
            </w:pPr>
            <w:r>
              <w:rPr>
                <w:rFonts w:cs="Times New Roman"/>
                <w:sz w:val="21"/>
                <w:szCs w:val="21"/>
                <w14:ligatures w14:val="none"/>
              </w:rPr>
              <w:t>2</w:t>
            </w:r>
            <w:r>
              <w:rPr>
                <w:rFonts w:cs="Times New Roman" w:hint="eastAsia"/>
                <w:sz w:val="21"/>
                <w:szCs w:val="21"/>
                <w14:ligatures w14:val="none"/>
              </w:rPr>
              <w:t>.</w:t>
            </w:r>
            <w:r>
              <w:rPr>
                <w:rFonts w:cs="Times New Roman"/>
                <w:sz w:val="21"/>
                <w:szCs w:val="21"/>
                <w14:ligatures w14:val="none"/>
              </w:rPr>
              <w:t>流过人体的电流超过</w:t>
            </w:r>
            <w:r>
              <w:rPr>
                <w:rFonts w:cs="Times New Roman"/>
                <w:sz w:val="21"/>
                <w:szCs w:val="21"/>
                <w14:ligatures w14:val="none"/>
              </w:rPr>
              <w:t>50mA·s</w:t>
            </w:r>
            <w:r>
              <w:rPr>
                <w:rFonts w:cs="Times New Roman"/>
                <w:sz w:val="21"/>
                <w:szCs w:val="21"/>
                <w14:ligatures w14:val="none"/>
              </w:rPr>
              <w:t>，持续时间超过心动周期；</w:t>
            </w:r>
          </w:p>
          <w:p w14:paraId="2E8F1A29" w14:textId="77777777" w:rsidR="00EF4562" w:rsidRDefault="00000000">
            <w:pPr>
              <w:spacing w:line="240" w:lineRule="auto"/>
              <w:ind w:firstLineChars="0" w:firstLine="0"/>
              <w:rPr>
                <w:rFonts w:cs="Times New Roman"/>
                <w:sz w:val="21"/>
                <w:szCs w:val="21"/>
                <w14:ligatures w14:val="none"/>
              </w:rPr>
            </w:pPr>
            <w:r>
              <w:rPr>
                <w:rFonts w:cs="Times New Roman"/>
                <w:sz w:val="21"/>
                <w:szCs w:val="21"/>
                <w14:ligatures w14:val="none"/>
              </w:rPr>
              <w:t>3</w:t>
            </w:r>
            <w:r>
              <w:rPr>
                <w:rFonts w:cs="Times New Roman" w:hint="eastAsia"/>
                <w:sz w:val="21"/>
                <w:szCs w:val="21"/>
                <w14:ligatures w14:val="none"/>
              </w:rPr>
              <w:t>.</w:t>
            </w:r>
            <w:r>
              <w:rPr>
                <w:rFonts w:cs="Times New Roman"/>
                <w:sz w:val="21"/>
                <w:szCs w:val="21"/>
                <w14:ligatures w14:val="none"/>
              </w:rPr>
              <w:t>安全距离不够，空气击穿。</w:t>
            </w:r>
          </w:p>
        </w:tc>
        <w:tc>
          <w:tcPr>
            <w:tcW w:w="709" w:type="dxa"/>
            <w:vAlign w:val="center"/>
          </w:tcPr>
          <w:p w14:paraId="42EB60B3"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可能人员烫伤或死亡</w:t>
            </w:r>
          </w:p>
        </w:tc>
        <w:tc>
          <w:tcPr>
            <w:tcW w:w="709" w:type="dxa"/>
            <w:vAlign w:val="center"/>
          </w:tcPr>
          <w:p w14:paraId="5AE989A5" w14:textId="77777777" w:rsidR="00EF4562" w:rsidRDefault="00000000">
            <w:pPr>
              <w:spacing w:line="240" w:lineRule="auto"/>
              <w:ind w:firstLineChars="0" w:firstLine="0"/>
              <w:jc w:val="center"/>
              <w:rPr>
                <w:rFonts w:cs="Times New Roman"/>
                <w:sz w:val="21"/>
                <w:szCs w:val="21"/>
                <w14:ligatures w14:val="none"/>
              </w:rPr>
            </w:pPr>
            <w:r>
              <w:rPr>
                <w:rFonts w:cs="Times New Roman" w:hint="eastAsia"/>
                <w:sz w:val="21"/>
                <w:szCs w:val="21"/>
                <w14:ligatures w14:val="none"/>
              </w:rPr>
              <w:t>Ⅱ</w:t>
            </w:r>
          </w:p>
        </w:tc>
        <w:tc>
          <w:tcPr>
            <w:tcW w:w="4783" w:type="dxa"/>
            <w:vAlign w:val="center"/>
          </w:tcPr>
          <w:p w14:paraId="4C5257E2"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1.</w:t>
            </w:r>
            <w:r>
              <w:rPr>
                <w:rFonts w:cs="Times New Roman" w:hint="eastAsia"/>
                <w:sz w:val="21"/>
                <w:szCs w:val="21"/>
                <w14:ligatures w14:val="none"/>
              </w:rPr>
              <w:t>设备要采用合格产品，全面的质量保证措施，要有完好的保温层或其它防护措施，防止发生泄漏；</w:t>
            </w:r>
          </w:p>
          <w:p w14:paraId="0E0243E2"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2.</w:t>
            </w:r>
            <w:r>
              <w:rPr>
                <w:rFonts w:cs="Times New Roman" w:hint="eastAsia"/>
                <w:sz w:val="21"/>
                <w:szCs w:val="21"/>
                <w14:ligatures w14:val="none"/>
              </w:rPr>
              <w:t>设备要定期及时进行检修，保证其处于完好状态；</w:t>
            </w:r>
          </w:p>
          <w:p w14:paraId="07F2F339"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3.</w:t>
            </w:r>
            <w:r>
              <w:rPr>
                <w:rFonts w:cs="Times New Roman" w:hint="eastAsia"/>
                <w:sz w:val="21"/>
                <w:szCs w:val="21"/>
                <w14:ligatures w14:val="none"/>
              </w:rPr>
              <w:t>遵守操作规程；</w:t>
            </w:r>
          </w:p>
          <w:p w14:paraId="0E697514"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4.</w:t>
            </w:r>
            <w:r>
              <w:rPr>
                <w:rFonts w:cs="Times New Roman" w:hint="eastAsia"/>
                <w:sz w:val="21"/>
                <w:szCs w:val="21"/>
                <w14:ligatures w14:val="none"/>
              </w:rPr>
              <w:t>穿戴合适的防护用品；</w:t>
            </w:r>
          </w:p>
          <w:p w14:paraId="7EBD298C"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5.</w:t>
            </w:r>
            <w:r>
              <w:rPr>
                <w:rFonts w:cs="Times New Roman" w:hint="eastAsia"/>
                <w:sz w:val="21"/>
                <w:szCs w:val="21"/>
                <w14:ligatures w14:val="none"/>
              </w:rPr>
              <w:t>要在相应地点设立警示标志；</w:t>
            </w:r>
          </w:p>
          <w:p w14:paraId="39EFE349" w14:textId="77777777" w:rsidR="00EF4562" w:rsidRDefault="00000000">
            <w:pPr>
              <w:spacing w:line="240" w:lineRule="auto"/>
              <w:ind w:firstLineChars="0" w:firstLine="0"/>
              <w:rPr>
                <w:rFonts w:cs="Times New Roman"/>
                <w:sz w:val="21"/>
                <w:szCs w:val="21"/>
                <w14:ligatures w14:val="none"/>
              </w:rPr>
            </w:pPr>
            <w:r>
              <w:rPr>
                <w:rFonts w:cs="Times New Roman" w:hint="eastAsia"/>
                <w:sz w:val="21"/>
                <w:szCs w:val="21"/>
                <w14:ligatures w14:val="none"/>
              </w:rPr>
              <w:t>6.</w:t>
            </w:r>
            <w:r>
              <w:rPr>
                <w:rFonts w:cs="Times New Roman" w:hint="eastAsia"/>
                <w:sz w:val="21"/>
                <w:szCs w:val="21"/>
                <w14:ligatures w14:val="none"/>
              </w:rPr>
              <w:t>要设立应急救援点，配备必要的急救设施，备用急救药品。</w:t>
            </w:r>
          </w:p>
        </w:tc>
      </w:tr>
    </w:tbl>
    <w:p w14:paraId="6D60D279" w14:textId="77777777" w:rsidR="00EF4562" w:rsidRDefault="00000000">
      <w:pPr>
        <w:ind w:firstLine="560"/>
      </w:pPr>
      <w:r>
        <w:rPr>
          <w:rFonts w:hint="eastAsia"/>
        </w:rPr>
        <w:t>从以上分析可以得出，配套和辅助设施单元发生火灾事故的危险等级为Ⅲ级，属于“危险的，会造成人员伤亡和系统损坏，要立即采取措施”，发生触电的危险等级为Ⅱ级，属于“临界的，处于事故边缘状态，暂时尚不能造成人员伤亡和财产损失，应予排除或采取控制措施”。</w:t>
      </w:r>
    </w:p>
    <w:p w14:paraId="3677686A" w14:textId="77777777" w:rsidR="00EF4562" w:rsidRDefault="00EF4562">
      <w:pPr>
        <w:ind w:firstLine="560"/>
        <w:sectPr w:rsidR="00EF4562">
          <w:pgSz w:w="16838" w:h="11906" w:orient="landscape"/>
          <w:pgMar w:top="1588" w:right="1418" w:bottom="1134" w:left="1134" w:header="851" w:footer="992" w:gutter="0"/>
          <w:cols w:space="425"/>
          <w:docGrid w:type="linesAndChars" w:linePitch="381"/>
        </w:sectPr>
      </w:pPr>
    </w:p>
    <w:p w14:paraId="1DED791C" w14:textId="77777777" w:rsidR="00EF4562" w:rsidRDefault="00000000">
      <w:pPr>
        <w:spacing w:beforeLines="100" w:before="381" w:afterLines="100" w:after="381"/>
        <w:ind w:firstLineChars="0" w:firstLine="0"/>
        <w:jc w:val="center"/>
        <w:outlineLvl w:val="1"/>
        <w:rPr>
          <w:rFonts w:eastAsia="楷体" w:cs="Times New Roman"/>
          <w:b/>
          <w:bCs/>
          <w:sz w:val="32"/>
          <w:szCs w:val="32"/>
        </w:rPr>
      </w:pPr>
      <w:bookmarkStart w:id="92" w:name="_Toc207695675"/>
      <w:r>
        <w:rPr>
          <w:rFonts w:eastAsia="楷体" w:cs="Times New Roman"/>
          <w:b/>
          <w:bCs/>
          <w:sz w:val="32"/>
          <w:szCs w:val="32"/>
        </w:rPr>
        <w:lastRenderedPageBreak/>
        <w:t>D.3</w:t>
      </w:r>
      <w:r>
        <w:rPr>
          <w:rFonts w:eastAsia="楷体" w:cs="Times New Roman" w:hint="eastAsia"/>
          <w:b/>
          <w:bCs/>
          <w:sz w:val="32"/>
          <w:szCs w:val="32"/>
        </w:rPr>
        <w:t>蒸汽云爆炸模拟</w:t>
      </w:r>
      <w:bookmarkEnd w:id="92"/>
    </w:p>
    <w:p w14:paraId="3A4BEF67" w14:textId="77777777" w:rsidR="00EF4562" w:rsidRDefault="00000000">
      <w:pPr>
        <w:ind w:firstLine="560"/>
      </w:pPr>
      <w:r>
        <w:rPr>
          <w:rFonts w:hint="eastAsia"/>
        </w:rPr>
        <w:t>储罐区物质泄漏后形成蒸汽云，蒸汽云爆炸的能量常用</w:t>
      </w:r>
      <w:r>
        <w:rPr>
          <w:rFonts w:hint="eastAsia"/>
        </w:rPr>
        <w:t>TNT</w:t>
      </w:r>
      <w:r>
        <w:rPr>
          <w:rFonts w:hint="eastAsia"/>
        </w:rPr>
        <w:t>当量描述，即将参与爆炸的可燃气体释放的能量折合为能释放相同能量的</w:t>
      </w:r>
      <w:r>
        <w:rPr>
          <w:rFonts w:hint="eastAsia"/>
        </w:rPr>
        <w:t>TNT</w:t>
      </w:r>
      <w:r>
        <w:rPr>
          <w:rFonts w:hint="eastAsia"/>
        </w:rPr>
        <w:t>炸药描述。</w:t>
      </w:r>
    </w:p>
    <w:p w14:paraId="0E2C2028" w14:textId="77777777" w:rsidR="00EF4562" w:rsidRDefault="00000000">
      <w:pPr>
        <w:ind w:firstLine="560"/>
      </w:pPr>
      <w:r>
        <w:rPr>
          <w:rFonts w:hint="eastAsia"/>
        </w:rPr>
        <w:t>TNT</w:t>
      </w:r>
      <w:r>
        <w:rPr>
          <w:rFonts w:hint="eastAsia"/>
        </w:rPr>
        <w:t>当量计算公式如下：</w:t>
      </w:r>
    </w:p>
    <w:p w14:paraId="4DDA5AEC" w14:textId="77777777" w:rsidR="00EF4562" w:rsidRDefault="00000000">
      <w:pPr>
        <w:ind w:firstLine="560"/>
      </w:pPr>
      <w:r>
        <w:t>W</w:t>
      </w:r>
      <w:r>
        <w:rPr>
          <w:vertAlign w:val="subscript"/>
        </w:rPr>
        <w:t>TNT</w:t>
      </w:r>
      <w:r>
        <w:t>=βAW</w:t>
      </w:r>
      <w:r>
        <w:rPr>
          <w:vertAlign w:val="subscript"/>
        </w:rPr>
        <w:t>f</w:t>
      </w:r>
      <w:r>
        <w:t>Q</w:t>
      </w:r>
      <w:r>
        <w:rPr>
          <w:vertAlign w:val="subscript"/>
        </w:rPr>
        <w:t>f</w:t>
      </w:r>
      <w:r>
        <w:t>/Q</w:t>
      </w:r>
      <w:r>
        <w:rPr>
          <w:vertAlign w:val="subscript"/>
        </w:rPr>
        <w:t>TNT</w:t>
      </w:r>
    </w:p>
    <w:p w14:paraId="4CDEF902" w14:textId="77777777" w:rsidR="00EF4562" w:rsidRDefault="00000000">
      <w:pPr>
        <w:ind w:firstLine="560"/>
      </w:pPr>
      <w:r>
        <w:rPr>
          <w:rFonts w:hint="eastAsia"/>
        </w:rPr>
        <w:t>式中：</w:t>
      </w:r>
      <w:r>
        <w:rPr>
          <w:rFonts w:hint="eastAsia"/>
        </w:rPr>
        <w:t>W</w:t>
      </w:r>
      <w:r>
        <w:rPr>
          <w:rFonts w:hint="eastAsia"/>
          <w:vertAlign w:val="subscript"/>
        </w:rPr>
        <w:t>TNT</w:t>
      </w:r>
      <w:r>
        <w:rPr>
          <w:rFonts w:hint="eastAsia"/>
        </w:rPr>
        <w:t>——蒸气云的</w:t>
      </w:r>
      <w:r>
        <w:rPr>
          <w:rFonts w:hint="eastAsia"/>
        </w:rPr>
        <w:t>TNT</w:t>
      </w:r>
      <w:r>
        <w:rPr>
          <w:rFonts w:hint="eastAsia"/>
        </w:rPr>
        <w:t>当量，</w:t>
      </w:r>
      <w:r>
        <w:rPr>
          <w:rFonts w:hint="eastAsia"/>
        </w:rPr>
        <w:t>kg</w:t>
      </w:r>
      <w:r>
        <w:rPr>
          <w:rFonts w:hint="eastAsia"/>
        </w:rPr>
        <w:t>；</w:t>
      </w:r>
    </w:p>
    <w:p w14:paraId="2103A36F" w14:textId="77777777" w:rsidR="00EF4562" w:rsidRDefault="00000000">
      <w:pPr>
        <w:ind w:firstLine="560"/>
      </w:pPr>
      <w:r>
        <w:rPr>
          <w:rFonts w:hint="eastAsia"/>
        </w:rPr>
        <w:t xml:space="preserve">      </w:t>
      </w:r>
      <w:r>
        <w:rPr>
          <w:rFonts w:hint="eastAsia"/>
        </w:rPr>
        <w:t>β——地面爆炸系数，取β</w:t>
      </w:r>
      <w:r>
        <w:rPr>
          <w:rFonts w:hint="eastAsia"/>
        </w:rPr>
        <w:t>=1.8</w:t>
      </w:r>
      <w:r>
        <w:rPr>
          <w:rFonts w:hint="eastAsia"/>
        </w:rPr>
        <w:t>；</w:t>
      </w:r>
    </w:p>
    <w:p w14:paraId="23A1ADC5" w14:textId="77777777" w:rsidR="00EF4562" w:rsidRDefault="00000000">
      <w:pPr>
        <w:ind w:firstLine="560"/>
      </w:pPr>
      <w:r>
        <w:rPr>
          <w:rFonts w:hint="eastAsia"/>
        </w:rPr>
        <w:t xml:space="preserve">      A</w:t>
      </w:r>
      <w:r>
        <w:rPr>
          <w:rFonts w:hint="eastAsia"/>
        </w:rPr>
        <w:t>——蒸气云的</w:t>
      </w:r>
      <w:r>
        <w:rPr>
          <w:rFonts w:hint="eastAsia"/>
        </w:rPr>
        <w:t>TNT</w:t>
      </w:r>
      <w:r>
        <w:rPr>
          <w:rFonts w:hint="eastAsia"/>
        </w:rPr>
        <w:t>当量系数，</w:t>
      </w:r>
      <w:r>
        <w:rPr>
          <w:rFonts w:hint="eastAsia"/>
        </w:rPr>
        <w:t>A=4%</w:t>
      </w:r>
      <w:r>
        <w:rPr>
          <w:rFonts w:hint="eastAsia"/>
        </w:rPr>
        <w:t>；</w:t>
      </w:r>
    </w:p>
    <w:p w14:paraId="0C942D3F" w14:textId="77777777" w:rsidR="00EF4562" w:rsidRDefault="00000000">
      <w:pPr>
        <w:ind w:firstLine="560"/>
      </w:pPr>
      <w:r>
        <w:rPr>
          <w:rFonts w:hint="eastAsia"/>
        </w:rPr>
        <w:t xml:space="preserve">      W</w:t>
      </w:r>
      <w:r>
        <w:rPr>
          <w:rFonts w:hint="eastAsia"/>
          <w:vertAlign w:val="subscript"/>
        </w:rPr>
        <w:t>f</w:t>
      </w:r>
      <w:r>
        <w:rPr>
          <w:rFonts w:hint="eastAsia"/>
        </w:rPr>
        <w:t>——蒸气云中燃料的总质量：</w:t>
      </w:r>
      <w:r>
        <w:rPr>
          <w:rFonts w:hint="eastAsia"/>
        </w:rPr>
        <w:t>kg</w:t>
      </w:r>
      <w:r>
        <w:rPr>
          <w:rFonts w:hint="eastAsia"/>
        </w:rPr>
        <w:t>；</w:t>
      </w:r>
    </w:p>
    <w:p w14:paraId="2B9872B9" w14:textId="77777777" w:rsidR="00EF4562" w:rsidRDefault="00000000">
      <w:pPr>
        <w:ind w:firstLine="560"/>
      </w:pPr>
      <w:r>
        <w:rPr>
          <w:rFonts w:hint="eastAsia"/>
        </w:rPr>
        <w:t xml:space="preserve">      Q</w:t>
      </w:r>
      <w:r>
        <w:rPr>
          <w:rFonts w:hint="eastAsia"/>
          <w:vertAlign w:val="subscript"/>
        </w:rPr>
        <w:t>f</w:t>
      </w:r>
      <w:r>
        <w:rPr>
          <w:rFonts w:hint="eastAsia"/>
        </w:rPr>
        <w:t>——燃料的燃烧热，</w:t>
      </w:r>
      <w:r>
        <w:rPr>
          <w:rFonts w:hint="eastAsia"/>
        </w:rPr>
        <w:t>kJ/kg</w:t>
      </w:r>
      <w:r>
        <w:rPr>
          <w:rFonts w:hint="eastAsia"/>
        </w:rPr>
        <w:t>；</w:t>
      </w:r>
    </w:p>
    <w:p w14:paraId="1275FCD3" w14:textId="77777777" w:rsidR="00EF4562" w:rsidRDefault="00000000">
      <w:pPr>
        <w:ind w:firstLine="560"/>
      </w:pPr>
      <w:r>
        <w:rPr>
          <w:rFonts w:hint="eastAsia"/>
        </w:rPr>
        <w:t xml:space="preserve">      Q</w:t>
      </w:r>
      <w:r>
        <w:rPr>
          <w:rFonts w:hint="eastAsia"/>
          <w:vertAlign w:val="subscript"/>
        </w:rPr>
        <w:t>TNT</w:t>
      </w:r>
      <w:r>
        <w:rPr>
          <w:rFonts w:hint="eastAsia"/>
        </w:rPr>
        <w:t>——</w:t>
      </w:r>
      <w:r>
        <w:rPr>
          <w:rFonts w:hint="eastAsia"/>
        </w:rPr>
        <w:t>TNT</w:t>
      </w:r>
      <w:r>
        <w:rPr>
          <w:rFonts w:hint="eastAsia"/>
        </w:rPr>
        <w:t>的爆热，</w:t>
      </w:r>
      <w:r>
        <w:rPr>
          <w:rFonts w:hint="eastAsia"/>
        </w:rPr>
        <w:t>Q</w:t>
      </w:r>
      <w:r>
        <w:rPr>
          <w:rFonts w:hint="eastAsia"/>
          <w:vertAlign w:val="subscript"/>
        </w:rPr>
        <w:t>TNT</w:t>
      </w:r>
      <w:r>
        <w:rPr>
          <w:rFonts w:hint="eastAsia"/>
        </w:rPr>
        <w:t>=4520kJ/kg</w:t>
      </w:r>
      <w:r>
        <w:rPr>
          <w:rFonts w:hint="eastAsia"/>
        </w:rPr>
        <w:t>。</w:t>
      </w:r>
    </w:p>
    <w:p w14:paraId="5370E76B" w14:textId="77777777" w:rsidR="00EF4562" w:rsidRDefault="00000000">
      <w:pPr>
        <w:ind w:firstLine="560"/>
      </w:pPr>
      <w:r>
        <w:rPr>
          <w:rFonts w:hint="eastAsia"/>
        </w:rPr>
        <w:t>以车用乙醇汽油储罐蒸汽云爆炸的</w:t>
      </w:r>
      <w:r>
        <w:rPr>
          <w:rFonts w:hint="eastAsia"/>
        </w:rPr>
        <w:t>TNT</w:t>
      </w:r>
      <w:r>
        <w:rPr>
          <w:rFonts w:hint="eastAsia"/>
        </w:rPr>
        <w:t>当量计算为例：</w:t>
      </w:r>
    </w:p>
    <w:p w14:paraId="2D6AD9A0" w14:textId="77777777" w:rsidR="00EF4562" w:rsidRDefault="00000000">
      <w:pPr>
        <w:ind w:firstLine="560"/>
      </w:pPr>
      <w:r>
        <w:rPr>
          <w:rFonts w:hint="eastAsia"/>
        </w:rPr>
        <w:t>该项目一个埋地车用乙醇汽油罐储存的质量为</w:t>
      </w:r>
      <w:r>
        <w:rPr>
          <w:rFonts w:hint="eastAsia"/>
        </w:rPr>
        <w:t>28t</w:t>
      </w:r>
      <w:r>
        <w:rPr>
          <w:rFonts w:hint="eastAsia"/>
        </w:rPr>
        <w:t>，假设参加蒸气云爆炸的量为</w:t>
      </w:r>
      <w:r>
        <w:rPr>
          <w:rFonts w:hint="eastAsia"/>
        </w:rPr>
        <w:t>10%</w:t>
      </w:r>
      <w:r>
        <w:rPr>
          <w:rFonts w:hint="eastAsia"/>
        </w:rPr>
        <w:t>，则</w:t>
      </w:r>
      <w:r>
        <w:rPr>
          <w:rFonts w:hint="eastAsia"/>
        </w:rPr>
        <w:t>W</w:t>
      </w:r>
      <w:r>
        <w:rPr>
          <w:rFonts w:hint="eastAsia"/>
          <w:vertAlign w:val="subscript"/>
        </w:rPr>
        <w:t>f</w:t>
      </w:r>
      <w:r>
        <w:rPr>
          <w:rFonts w:hint="eastAsia"/>
        </w:rPr>
        <w:t>=2.8t</w:t>
      </w:r>
      <w:r>
        <w:rPr>
          <w:rFonts w:hint="eastAsia"/>
        </w:rPr>
        <w:t>。</w:t>
      </w:r>
    </w:p>
    <w:p w14:paraId="772B9C39" w14:textId="77777777" w:rsidR="00EF4562" w:rsidRDefault="00000000">
      <w:pPr>
        <w:ind w:firstLine="560"/>
      </w:pPr>
      <w:r>
        <w:t>W</w:t>
      </w:r>
      <w:r>
        <w:rPr>
          <w:vertAlign w:val="subscript"/>
        </w:rPr>
        <w:t>TNT</w:t>
      </w:r>
      <w:r>
        <w:t>=βAW</w:t>
      </w:r>
      <w:r>
        <w:rPr>
          <w:vertAlign w:val="subscript"/>
        </w:rPr>
        <w:t>f</w:t>
      </w:r>
      <w:r>
        <w:t>Q</w:t>
      </w:r>
      <w:r>
        <w:rPr>
          <w:vertAlign w:val="subscript"/>
        </w:rPr>
        <w:t>f</w:t>
      </w:r>
      <w:r>
        <w:t>/Q</w:t>
      </w:r>
      <w:r>
        <w:rPr>
          <w:vertAlign w:val="subscript"/>
        </w:rPr>
        <w:t>TNT</w:t>
      </w:r>
      <w:r>
        <w:t>=1.8×0.04×</w:t>
      </w:r>
      <w:r>
        <w:rPr>
          <w:rFonts w:hint="eastAsia"/>
        </w:rPr>
        <w:t>2.8</w:t>
      </w:r>
      <w:r>
        <w:t>×10</w:t>
      </w:r>
      <w:r>
        <w:rPr>
          <w:vertAlign w:val="superscript"/>
        </w:rPr>
        <w:t>3</w:t>
      </w:r>
      <w:r>
        <w:t>×45980/4520=</w:t>
      </w:r>
      <w:r>
        <w:rPr>
          <w:rFonts w:hint="eastAsia"/>
        </w:rPr>
        <w:t>2050.79</w:t>
      </w:r>
      <w:r>
        <w:t>kg</w:t>
      </w:r>
    </w:p>
    <w:p w14:paraId="5F153363" w14:textId="77777777" w:rsidR="00EF4562" w:rsidRDefault="00000000">
      <w:pPr>
        <w:ind w:firstLine="560"/>
      </w:pPr>
      <w:r>
        <w:rPr>
          <w:rFonts w:hint="eastAsia"/>
        </w:rPr>
        <w:t>相当于梯恩梯（</w:t>
      </w:r>
      <w:r>
        <w:rPr>
          <w:rFonts w:hint="eastAsia"/>
        </w:rPr>
        <w:t>TNT</w:t>
      </w:r>
      <w:r>
        <w:rPr>
          <w:rFonts w:hint="eastAsia"/>
        </w:rPr>
        <w:t>）的摩尔量：</w:t>
      </w:r>
      <w:r>
        <w:rPr>
          <w:rFonts w:hint="eastAsia"/>
        </w:rPr>
        <w:t>2050.79/227=9.03kmol</w:t>
      </w:r>
    </w:p>
    <w:p w14:paraId="4B614065" w14:textId="77777777" w:rsidR="00EF4562" w:rsidRDefault="00000000">
      <w:pPr>
        <w:ind w:firstLine="560"/>
      </w:pPr>
      <w:r>
        <w:rPr>
          <w:rFonts w:hint="eastAsia"/>
        </w:rPr>
        <w:t>死亡半径计算根据超压</w:t>
      </w:r>
      <w:r>
        <w:rPr>
          <w:rFonts w:hint="eastAsia"/>
        </w:rPr>
        <w:t>-</w:t>
      </w:r>
      <w:r>
        <w:rPr>
          <w:rFonts w:hint="eastAsia"/>
        </w:rPr>
        <w:t>冲量准则和概率模型得出的死亡半径公式</w:t>
      </w:r>
      <w:r>
        <w:rPr>
          <w:rFonts w:hint="eastAsia"/>
        </w:rPr>
        <w:t>R</w:t>
      </w:r>
      <w:r>
        <w:rPr>
          <w:rFonts w:hint="eastAsia"/>
          <w:vertAlign w:val="subscript"/>
        </w:rPr>
        <w:t>0.5</w:t>
      </w:r>
      <w:r>
        <w:rPr>
          <w:rFonts w:hint="eastAsia"/>
        </w:rPr>
        <w:t>=13.6</w:t>
      </w:r>
      <w:r>
        <w:rPr>
          <w:rFonts w:hint="eastAsia"/>
        </w:rPr>
        <w:t>（</w:t>
      </w:r>
      <w:r>
        <w:rPr>
          <w:rFonts w:hint="eastAsia"/>
        </w:rPr>
        <w:t>W</w:t>
      </w:r>
      <w:r>
        <w:rPr>
          <w:rFonts w:hint="eastAsia"/>
          <w:vertAlign w:val="subscript"/>
        </w:rPr>
        <w:t>TNT</w:t>
      </w:r>
      <w:r>
        <w:rPr>
          <w:rFonts w:hint="eastAsia"/>
        </w:rPr>
        <w:t>/1000</w:t>
      </w:r>
      <w:r>
        <w:rPr>
          <w:rFonts w:hint="eastAsia"/>
        </w:rPr>
        <w:t>）</w:t>
      </w:r>
      <w:r>
        <w:rPr>
          <w:rFonts w:hint="eastAsia"/>
          <w:vertAlign w:val="superscript"/>
        </w:rPr>
        <w:t>0.37</w:t>
      </w:r>
    </w:p>
    <w:p w14:paraId="6CF03DF4" w14:textId="77777777" w:rsidR="00EF4562" w:rsidRDefault="00000000">
      <w:pPr>
        <w:ind w:firstLine="560"/>
      </w:pPr>
      <w:r>
        <w:t>R</w:t>
      </w:r>
      <w:r>
        <w:rPr>
          <w:vertAlign w:val="subscript"/>
        </w:rPr>
        <w:t>0.5</w:t>
      </w:r>
      <w:r>
        <w:t>=13.6</w:t>
      </w:r>
      <w:r>
        <w:rPr>
          <w:rFonts w:hint="eastAsia"/>
        </w:rPr>
        <w:t>（</w:t>
      </w:r>
      <w:r>
        <w:t>W</w:t>
      </w:r>
      <w:r>
        <w:rPr>
          <w:vertAlign w:val="subscript"/>
        </w:rPr>
        <w:t>TNT</w:t>
      </w:r>
      <w:r>
        <w:t>/1000</w:t>
      </w:r>
      <w:r>
        <w:rPr>
          <w:rFonts w:hint="eastAsia"/>
        </w:rPr>
        <w:t>）</w:t>
      </w:r>
      <w:r>
        <w:rPr>
          <w:vertAlign w:val="superscript"/>
        </w:rPr>
        <w:t>0.37</w:t>
      </w:r>
      <w:r>
        <w:t>=13.6</w:t>
      </w:r>
      <w:r>
        <w:rPr>
          <w:rFonts w:hint="eastAsia"/>
        </w:rPr>
        <w:t>（</w:t>
      </w:r>
      <w:r>
        <w:rPr>
          <w:rFonts w:hint="eastAsia"/>
        </w:rPr>
        <w:t>2050.79</w:t>
      </w:r>
      <w:r>
        <w:t>/1000</w:t>
      </w:r>
      <w:r>
        <w:rPr>
          <w:rFonts w:hint="eastAsia"/>
        </w:rPr>
        <w:t>）</w:t>
      </w:r>
      <w:r>
        <w:rPr>
          <w:vertAlign w:val="superscript"/>
        </w:rPr>
        <w:t>0.37</w:t>
      </w:r>
      <w:r>
        <w:t>=</w:t>
      </w:r>
      <w:r>
        <w:rPr>
          <w:rFonts w:hint="eastAsia"/>
        </w:rPr>
        <w:t>17.74</w:t>
      </w:r>
      <w:r>
        <w:t>m</w:t>
      </w:r>
    </w:p>
    <w:p w14:paraId="57859C9F" w14:textId="77777777" w:rsidR="00EF4562" w:rsidRDefault="00EF4562">
      <w:pPr>
        <w:ind w:firstLine="560"/>
        <w:sectPr w:rsidR="00EF4562">
          <w:pgSz w:w="11906" w:h="16838"/>
          <w:pgMar w:top="1418" w:right="1134" w:bottom="1134" w:left="1588" w:header="851" w:footer="992" w:gutter="0"/>
          <w:cols w:space="425"/>
          <w:docGrid w:type="linesAndChars" w:linePitch="381"/>
        </w:sectPr>
      </w:pPr>
    </w:p>
    <w:p w14:paraId="3BD657A7" w14:textId="77777777" w:rsidR="00EF4562" w:rsidRDefault="00000000">
      <w:pPr>
        <w:spacing w:beforeLines="150" w:before="571" w:afterLines="150" w:after="571"/>
        <w:ind w:firstLineChars="0" w:firstLine="0"/>
        <w:jc w:val="center"/>
        <w:outlineLvl w:val="0"/>
        <w:rPr>
          <w:rFonts w:ascii="黑体" w:eastAsia="黑体" w:hAnsi="黑体" w:hint="eastAsia"/>
          <w:b/>
          <w:bCs/>
          <w:sz w:val="32"/>
          <w:szCs w:val="32"/>
        </w:rPr>
      </w:pPr>
      <w:bookmarkStart w:id="93" w:name="_Toc207695676"/>
      <w:r>
        <w:rPr>
          <w:rFonts w:ascii="黑体" w:eastAsia="黑体" w:hAnsi="黑体" w:hint="eastAsia"/>
          <w:b/>
          <w:bCs/>
          <w:sz w:val="32"/>
          <w:szCs w:val="32"/>
        </w:rPr>
        <w:lastRenderedPageBreak/>
        <w:t>报告附件目录</w:t>
      </w:r>
      <w:bookmarkEnd w:id="93"/>
    </w:p>
    <w:p w14:paraId="28ED7DFB" w14:textId="77777777" w:rsidR="00EF4562" w:rsidRDefault="00000000">
      <w:pPr>
        <w:ind w:firstLine="560"/>
      </w:pPr>
      <w:r>
        <w:rPr>
          <w:rFonts w:hint="eastAsia"/>
        </w:rPr>
        <w:t>（</w:t>
      </w:r>
      <w:r>
        <w:rPr>
          <w:rFonts w:hint="eastAsia"/>
        </w:rPr>
        <w:t>1</w:t>
      </w:r>
      <w:r>
        <w:rPr>
          <w:rFonts w:hint="eastAsia"/>
        </w:rPr>
        <w:t>）营业执照</w:t>
      </w:r>
    </w:p>
    <w:p w14:paraId="3A06D7A2" w14:textId="77777777" w:rsidR="00EF4562" w:rsidRDefault="00000000">
      <w:pPr>
        <w:ind w:firstLine="560"/>
      </w:pPr>
      <w:r>
        <w:rPr>
          <w:rFonts w:hint="eastAsia"/>
        </w:rPr>
        <w:t>（</w:t>
      </w:r>
      <w:r>
        <w:rPr>
          <w:rFonts w:hint="eastAsia"/>
        </w:rPr>
        <w:t>2</w:t>
      </w:r>
      <w:r>
        <w:rPr>
          <w:rFonts w:hint="eastAsia"/>
        </w:rPr>
        <w:t>）不动产权证</w:t>
      </w:r>
    </w:p>
    <w:p w14:paraId="338B2656" w14:textId="77777777" w:rsidR="00EF4562" w:rsidRDefault="00000000">
      <w:pPr>
        <w:ind w:firstLine="560"/>
      </w:pPr>
      <w:r>
        <w:rPr>
          <w:rFonts w:hint="eastAsia"/>
        </w:rPr>
        <w:t>（</w:t>
      </w:r>
      <w:r>
        <w:rPr>
          <w:rFonts w:hint="eastAsia"/>
        </w:rPr>
        <w:t>3</w:t>
      </w:r>
      <w:r>
        <w:rPr>
          <w:rFonts w:hint="eastAsia"/>
        </w:rPr>
        <w:t>）危险化学品经营许可证</w:t>
      </w:r>
    </w:p>
    <w:p w14:paraId="7C4A8BD4" w14:textId="77777777" w:rsidR="00EF4562" w:rsidRDefault="00000000">
      <w:pPr>
        <w:ind w:firstLine="560"/>
      </w:pPr>
      <w:r>
        <w:rPr>
          <w:rFonts w:hint="eastAsia"/>
        </w:rPr>
        <w:t>（</w:t>
      </w:r>
      <w:r>
        <w:rPr>
          <w:rFonts w:hint="eastAsia"/>
        </w:rPr>
        <w:t>4</w:t>
      </w:r>
      <w:r>
        <w:rPr>
          <w:rFonts w:hint="eastAsia"/>
        </w:rPr>
        <w:t>）总平面布置图</w:t>
      </w:r>
    </w:p>
    <w:p w14:paraId="52E33502" w14:textId="77777777" w:rsidR="00EF4562" w:rsidRDefault="00000000">
      <w:pPr>
        <w:ind w:firstLine="560"/>
      </w:pPr>
      <w:r>
        <w:rPr>
          <w:rFonts w:hint="eastAsia"/>
        </w:rPr>
        <w:t>（</w:t>
      </w:r>
      <w:r>
        <w:rPr>
          <w:rFonts w:hint="eastAsia"/>
        </w:rPr>
        <w:t>5</w:t>
      </w:r>
      <w:r>
        <w:rPr>
          <w:rFonts w:hint="eastAsia"/>
        </w:rPr>
        <w:t>）工艺流程图</w:t>
      </w:r>
    </w:p>
    <w:p w14:paraId="71756444" w14:textId="77777777" w:rsidR="00EF4562" w:rsidRDefault="00000000">
      <w:pPr>
        <w:ind w:firstLine="560"/>
      </w:pPr>
      <w:r>
        <w:rPr>
          <w:rFonts w:hint="eastAsia"/>
        </w:rPr>
        <w:t>（</w:t>
      </w:r>
      <w:r>
        <w:rPr>
          <w:rFonts w:hint="eastAsia"/>
        </w:rPr>
        <w:t>6</w:t>
      </w:r>
      <w:r>
        <w:rPr>
          <w:rFonts w:hint="eastAsia"/>
        </w:rPr>
        <w:t>）爆炸危险区域划分图</w:t>
      </w:r>
    </w:p>
    <w:p w14:paraId="3F947D0A" w14:textId="77777777" w:rsidR="00EF4562" w:rsidRDefault="00000000">
      <w:pPr>
        <w:ind w:firstLine="560"/>
      </w:pPr>
      <w:r>
        <w:rPr>
          <w:rFonts w:hint="eastAsia"/>
        </w:rPr>
        <w:t>（</w:t>
      </w:r>
      <w:r>
        <w:rPr>
          <w:rFonts w:hint="eastAsia"/>
        </w:rPr>
        <w:t>7</w:t>
      </w:r>
      <w:r>
        <w:rPr>
          <w:rFonts w:hint="eastAsia"/>
        </w:rPr>
        <w:t>）专家意见</w:t>
      </w:r>
    </w:p>
    <w:p w14:paraId="3E8DB7AF" w14:textId="77777777" w:rsidR="00EF4562" w:rsidRDefault="00000000">
      <w:pPr>
        <w:ind w:firstLine="560"/>
      </w:pPr>
      <w:r>
        <w:rPr>
          <w:rFonts w:hint="eastAsia"/>
        </w:rPr>
        <w:t>（</w:t>
      </w:r>
      <w:r>
        <w:rPr>
          <w:rFonts w:hint="eastAsia"/>
        </w:rPr>
        <w:t>8</w:t>
      </w:r>
      <w:r>
        <w:rPr>
          <w:rFonts w:hint="eastAsia"/>
        </w:rPr>
        <w:t>）报告修改说明</w:t>
      </w:r>
    </w:p>
    <w:sectPr w:rsidR="00EF4562">
      <w:pgSz w:w="11906" w:h="16838"/>
      <w:pgMar w:top="1418" w:right="1134" w:bottom="1134" w:left="1588" w:header="851" w:footer="992" w:gutter="0"/>
      <w:cols w:space="425"/>
      <w:docGrid w:type="linesAndChars"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443532" w14:textId="77777777" w:rsidR="00B36F0F" w:rsidRDefault="00B36F0F">
      <w:pPr>
        <w:spacing w:line="240" w:lineRule="auto"/>
        <w:ind w:firstLine="560"/>
      </w:pPr>
      <w:r>
        <w:separator/>
      </w:r>
    </w:p>
  </w:endnote>
  <w:endnote w:type="continuationSeparator" w:id="0">
    <w:p w14:paraId="409A13C3" w14:textId="77777777" w:rsidR="00B36F0F" w:rsidRDefault="00B36F0F">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F2F6B" w14:textId="77777777" w:rsidR="00EF4562" w:rsidRDefault="00EF4562">
    <w:pPr>
      <w:pStyle w:val="a5"/>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F8D473" w14:textId="77777777" w:rsidR="00EF4562" w:rsidRDefault="00EF4562">
    <w:pPr>
      <w:pStyle w:val="a5"/>
      <w:ind w:firstLineChars="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96715" w14:textId="77777777" w:rsidR="00EF4562" w:rsidRDefault="00EF4562">
    <w:pPr>
      <w:pStyle w:val="a5"/>
      <w:ind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15D5FA" w14:textId="77777777" w:rsidR="00EF4562" w:rsidRDefault="00000000">
    <w:pPr>
      <w:pStyle w:val="a5"/>
      <w:pBdr>
        <w:top w:val="single" w:sz="4" w:space="1" w:color="auto"/>
      </w:pBdr>
      <w:ind w:firstLineChars="0" w:firstLine="0"/>
    </w:pPr>
    <w:r>
      <w:rPr>
        <w:rFonts w:cs="Times New Roman" w:hint="eastAsia"/>
        <w:noProof/>
        <w:sz w:val="21"/>
        <w:szCs w:val="24"/>
        <w14:ligatures w14:val="none"/>
      </w:rPr>
      <w:drawing>
        <wp:inline distT="0" distB="0" distL="114300" distR="114300" wp14:anchorId="1AE875ED" wp14:editId="6300CBC1">
          <wp:extent cx="361315" cy="136525"/>
          <wp:effectExtent l="0" t="0" r="0" b="15875"/>
          <wp:docPr id="2121421224"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421224"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ascii="楷体" w:eastAsia="楷体" w:hAnsi="楷体" w:hint="eastAsia"/>
        <w:sz w:val="21"/>
        <w:szCs w:val="21"/>
      </w:rPr>
      <w:t>辽宁诺诚安全科技有限公司</w:t>
    </w:r>
    <w:r>
      <w:ptab w:relativeTo="margin" w:alignment="center" w:leader="none"/>
    </w:r>
    <w:r>
      <w:ptab w:relativeTo="margin" w:alignment="right" w:leader="none"/>
    </w:r>
    <w:r>
      <w:rPr>
        <w:sz w:val="21"/>
        <w:szCs w:val="21"/>
      </w:rPr>
      <w:fldChar w:fldCharType="begin"/>
    </w:r>
    <w:r>
      <w:rPr>
        <w:sz w:val="21"/>
        <w:szCs w:val="21"/>
      </w:rPr>
      <w:instrText>PAGE   \* MERGEFORMAT</w:instrText>
    </w:r>
    <w:r>
      <w:rPr>
        <w:sz w:val="21"/>
        <w:szCs w:val="21"/>
      </w:rPr>
      <w:fldChar w:fldCharType="separate"/>
    </w:r>
    <w:r>
      <w:rPr>
        <w:sz w:val="21"/>
        <w:szCs w:val="21"/>
        <w:lang w:val="zh-CN"/>
      </w:rPr>
      <w:t>1</w:t>
    </w:r>
    <w:r>
      <w:rPr>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19A9E6" w14:textId="77777777" w:rsidR="00B36F0F" w:rsidRDefault="00B36F0F">
      <w:pPr>
        <w:ind w:firstLine="560"/>
      </w:pPr>
      <w:r>
        <w:separator/>
      </w:r>
    </w:p>
  </w:footnote>
  <w:footnote w:type="continuationSeparator" w:id="0">
    <w:p w14:paraId="23541155" w14:textId="77777777" w:rsidR="00B36F0F" w:rsidRDefault="00B36F0F">
      <w:pPr>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C94F2E" w14:textId="77777777" w:rsidR="00EF4562" w:rsidRDefault="00EF4562">
    <w:pPr>
      <w:pStyle w:val="a7"/>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9E512" w14:textId="77777777" w:rsidR="00EF4562" w:rsidRDefault="00EF4562">
    <w:pPr>
      <w:pStyle w:val="a7"/>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F04121" w14:textId="77777777" w:rsidR="00EF4562" w:rsidRDefault="00EF4562">
    <w:pPr>
      <w:pStyle w:val="a7"/>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FA9EF0" w14:textId="77777777" w:rsidR="00EF4562" w:rsidRDefault="00EF4562">
    <w:pPr>
      <w:pStyle w:val="a7"/>
      <w:ind w:firstLine="420"/>
      <w:rPr>
        <w:rFonts w:ascii="楷体" w:eastAsia="楷体" w:hAnsi="楷体" w:hint="eastAsia"/>
        <w:sz w:val="21"/>
        <w:szCs w:val="21"/>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A8B56" w14:textId="77777777" w:rsidR="00EF4562" w:rsidRDefault="00000000">
    <w:pPr>
      <w:pStyle w:val="a7"/>
      <w:pBdr>
        <w:bottom w:val="single" w:sz="4" w:space="1" w:color="auto"/>
      </w:pBdr>
      <w:ind w:firstLineChars="0" w:firstLine="0"/>
      <w:rPr>
        <w:rFonts w:ascii="楷体" w:eastAsia="楷体" w:hAnsi="楷体" w:hint="eastAsia"/>
        <w:sz w:val="21"/>
        <w:szCs w:val="21"/>
      </w:rPr>
    </w:pPr>
    <w:r>
      <w:rPr>
        <w:rFonts w:ascii="楷体" w:eastAsia="楷体" w:hAnsi="楷体" w:hint="eastAsia"/>
        <w:sz w:val="21"/>
        <w:szCs w:val="21"/>
      </w:rPr>
      <w:t>锦州市杨兴加油站有限公司工艺管线改造项目设立安全评价报告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0B0FB86"/>
    <w:multiLevelType w:val="singleLevel"/>
    <w:tmpl w:val="A0B0FB86"/>
    <w:lvl w:ilvl="0">
      <w:start w:val="1"/>
      <w:numFmt w:val="decimal"/>
      <w:suff w:val="nothing"/>
      <w:lvlText w:val="%1"/>
      <w:lvlJc w:val="left"/>
      <w:pPr>
        <w:ind w:left="425" w:hanging="425"/>
      </w:pPr>
      <w:rPr>
        <w:rFonts w:hint="default"/>
      </w:rPr>
    </w:lvl>
  </w:abstractNum>
  <w:abstractNum w:abstractNumId="1" w15:restartNumberingAfterBreak="0">
    <w:nsid w:val="01DB6C72"/>
    <w:multiLevelType w:val="multilevel"/>
    <w:tmpl w:val="01DB6C72"/>
    <w:lvl w:ilvl="0">
      <w:start w:val="1"/>
      <w:numFmt w:val="decimal"/>
      <w:suff w:val="nothing"/>
      <w:lvlText w:val="（%1）"/>
      <w:lvlJc w:val="left"/>
      <w:pPr>
        <w:ind w:left="1000" w:hanging="440"/>
      </w:pPr>
      <w:rPr>
        <w:rFonts w:hint="eastAsia"/>
      </w:rPr>
    </w:lvl>
    <w:lvl w:ilvl="1">
      <w:start w:val="1"/>
      <w:numFmt w:val="decimalEnclosedCircle"/>
      <w:lvlText w:val="%2"/>
      <w:lvlJc w:val="left"/>
      <w:pPr>
        <w:ind w:left="1360" w:hanging="360"/>
      </w:pPr>
      <w:rPr>
        <w:rFonts w:ascii="宋体" w:hAnsi="宋体" w:hint="default"/>
      </w:r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2" w15:restartNumberingAfterBreak="0">
    <w:nsid w:val="02122C4C"/>
    <w:multiLevelType w:val="multilevel"/>
    <w:tmpl w:val="02122C4C"/>
    <w:lvl w:ilvl="0">
      <w:start w:val="1"/>
      <w:numFmt w:val="decimal"/>
      <w:suff w:val="nothing"/>
      <w:lvlText w:val="（%1）"/>
      <w:lvlJc w:val="left"/>
      <w:pPr>
        <w:ind w:left="1000" w:hanging="440"/>
      </w:pPr>
      <w:rPr>
        <w:rFonts w:hint="eastAsia"/>
      </w:rPr>
    </w:lvl>
    <w:lvl w:ilvl="1">
      <w:start w:val="1"/>
      <w:numFmt w:val="decimalEnclosedCircle"/>
      <w:lvlText w:val="%2"/>
      <w:lvlJc w:val="left"/>
      <w:pPr>
        <w:ind w:left="1360" w:hanging="360"/>
      </w:pPr>
      <w:rPr>
        <w:rFonts w:hint="default"/>
      </w:r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3" w15:restartNumberingAfterBreak="0">
    <w:nsid w:val="03F44E62"/>
    <w:multiLevelType w:val="multilevel"/>
    <w:tmpl w:val="03F44E62"/>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4" w15:restartNumberingAfterBreak="0">
    <w:nsid w:val="0A74429B"/>
    <w:multiLevelType w:val="multilevel"/>
    <w:tmpl w:val="0A74429B"/>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5" w15:restartNumberingAfterBreak="0">
    <w:nsid w:val="0F3B736A"/>
    <w:multiLevelType w:val="multilevel"/>
    <w:tmpl w:val="0F3B736A"/>
    <w:lvl w:ilvl="0">
      <w:start w:val="1"/>
      <w:numFmt w:val="decimal"/>
      <w:suff w:val="nothing"/>
      <w:lvlText w:val="（%1）"/>
      <w:lvlJc w:val="left"/>
      <w:pPr>
        <w:ind w:left="1000" w:hanging="440"/>
      </w:pPr>
      <w:rPr>
        <w:rFonts w:hint="eastAsia"/>
      </w:rPr>
    </w:lvl>
    <w:lvl w:ilvl="1">
      <w:start w:val="1"/>
      <w:numFmt w:val="decimalEnclosedCircle"/>
      <w:lvlText w:val="%2"/>
      <w:lvlJc w:val="left"/>
      <w:pPr>
        <w:ind w:left="1360" w:hanging="360"/>
      </w:pPr>
      <w:rPr>
        <w:rFonts w:ascii="宋体" w:hAnsi="宋体" w:hint="default"/>
      </w:r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6" w15:restartNumberingAfterBreak="0">
    <w:nsid w:val="1A8A5D76"/>
    <w:multiLevelType w:val="multilevel"/>
    <w:tmpl w:val="1A8A5D76"/>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7" w15:restartNumberingAfterBreak="0">
    <w:nsid w:val="22D20988"/>
    <w:multiLevelType w:val="multilevel"/>
    <w:tmpl w:val="22D20988"/>
    <w:lvl w:ilvl="0">
      <w:start w:val="1"/>
      <w:numFmt w:val="decimal"/>
      <w:suff w:val="nothing"/>
      <w:lvlText w:val="（%1）"/>
      <w:lvlJc w:val="left"/>
      <w:pPr>
        <w:ind w:left="1000" w:hanging="440"/>
      </w:pPr>
      <w:rPr>
        <w:rFonts w:hint="eastAsia"/>
      </w:rPr>
    </w:lvl>
    <w:lvl w:ilvl="1">
      <w:start w:val="1"/>
      <w:numFmt w:val="decimalEnclosedCircle"/>
      <w:lvlText w:val="%2"/>
      <w:lvlJc w:val="left"/>
      <w:pPr>
        <w:ind w:left="1360" w:hanging="360"/>
      </w:pPr>
      <w:rPr>
        <w:rFonts w:hint="default"/>
      </w:r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8" w15:restartNumberingAfterBreak="0">
    <w:nsid w:val="29AC63C7"/>
    <w:multiLevelType w:val="multilevel"/>
    <w:tmpl w:val="29AC63C7"/>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9" w15:restartNumberingAfterBreak="0">
    <w:nsid w:val="39AB1043"/>
    <w:multiLevelType w:val="multilevel"/>
    <w:tmpl w:val="39AB1043"/>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10" w15:restartNumberingAfterBreak="0">
    <w:nsid w:val="3C8703B6"/>
    <w:multiLevelType w:val="singleLevel"/>
    <w:tmpl w:val="3C8703B6"/>
    <w:lvl w:ilvl="0">
      <w:start w:val="1"/>
      <w:numFmt w:val="decimal"/>
      <w:suff w:val="nothing"/>
      <w:lvlText w:val="%1."/>
      <w:lvlJc w:val="left"/>
      <w:pPr>
        <w:ind w:left="0" w:firstLine="0"/>
      </w:pPr>
      <w:rPr>
        <w:rFonts w:hint="eastAsia"/>
      </w:rPr>
    </w:lvl>
  </w:abstractNum>
  <w:abstractNum w:abstractNumId="11" w15:restartNumberingAfterBreak="0">
    <w:nsid w:val="3EEC36F7"/>
    <w:multiLevelType w:val="multilevel"/>
    <w:tmpl w:val="3EEC36F7"/>
    <w:lvl w:ilvl="0">
      <w:start w:val="1"/>
      <w:numFmt w:val="decimal"/>
      <w:suff w:val="nothing"/>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2" w15:restartNumberingAfterBreak="0">
    <w:nsid w:val="4CDF550A"/>
    <w:multiLevelType w:val="multilevel"/>
    <w:tmpl w:val="4CDF550A"/>
    <w:lvl w:ilvl="0">
      <w:start w:val="1"/>
      <w:numFmt w:val="decimal"/>
      <w:suff w:val="nothing"/>
      <w:lvlText w:val="%1"/>
      <w:lvlJc w:val="center"/>
      <w:pPr>
        <w:ind w:left="440" w:hanging="152"/>
      </w:pPr>
      <w:rPr>
        <w:rFonts w:ascii="Times New Roman" w:hAnsi="Times New Roman" w:hint="default"/>
      </w:rPr>
    </w:lvl>
    <w:lvl w:ilvl="1">
      <w:start w:val="1"/>
      <w:numFmt w:val="lowerLetter"/>
      <w:lvlText w:val="%2)"/>
      <w:lvlJc w:val="left"/>
      <w:pPr>
        <w:ind w:left="880" w:hanging="440"/>
      </w:pPr>
      <w:rPr>
        <w:rFonts w:hint="eastAsia"/>
      </w:rPr>
    </w:lvl>
    <w:lvl w:ilvl="2">
      <w:start w:val="1"/>
      <w:numFmt w:val="lowerRoman"/>
      <w:lvlText w:val="%3."/>
      <w:lvlJc w:val="right"/>
      <w:pPr>
        <w:ind w:left="1320" w:hanging="440"/>
      </w:pPr>
      <w:rPr>
        <w:rFonts w:hint="eastAsia"/>
      </w:rPr>
    </w:lvl>
    <w:lvl w:ilvl="3">
      <w:start w:val="1"/>
      <w:numFmt w:val="decimal"/>
      <w:lvlText w:val="%4."/>
      <w:lvlJc w:val="left"/>
      <w:pPr>
        <w:ind w:left="1760" w:hanging="440"/>
      </w:pPr>
      <w:rPr>
        <w:rFonts w:hint="eastAsia"/>
      </w:rPr>
    </w:lvl>
    <w:lvl w:ilvl="4">
      <w:start w:val="1"/>
      <w:numFmt w:val="lowerLetter"/>
      <w:lvlText w:val="%5)"/>
      <w:lvlJc w:val="left"/>
      <w:pPr>
        <w:ind w:left="2200" w:hanging="440"/>
      </w:pPr>
      <w:rPr>
        <w:rFonts w:hint="eastAsia"/>
      </w:rPr>
    </w:lvl>
    <w:lvl w:ilvl="5">
      <w:start w:val="1"/>
      <w:numFmt w:val="lowerRoman"/>
      <w:lvlText w:val="%6."/>
      <w:lvlJc w:val="right"/>
      <w:pPr>
        <w:ind w:left="2640" w:hanging="440"/>
      </w:pPr>
      <w:rPr>
        <w:rFonts w:hint="eastAsia"/>
      </w:rPr>
    </w:lvl>
    <w:lvl w:ilvl="6">
      <w:start w:val="1"/>
      <w:numFmt w:val="decimal"/>
      <w:lvlText w:val="%7."/>
      <w:lvlJc w:val="left"/>
      <w:pPr>
        <w:ind w:left="3080" w:hanging="440"/>
      </w:pPr>
      <w:rPr>
        <w:rFonts w:hint="eastAsia"/>
      </w:rPr>
    </w:lvl>
    <w:lvl w:ilvl="7">
      <w:start w:val="1"/>
      <w:numFmt w:val="lowerLetter"/>
      <w:lvlText w:val="%8)"/>
      <w:lvlJc w:val="left"/>
      <w:pPr>
        <w:ind w:left="3520" w:hanging="440"/>
      </w:pPr>
      <w:rPr>
        <w:rFonts w:hint="eastAsia"/>
      </w:rPr>
    </w:lvl>
    <w:lvl w:ilvl="8">
      <w:start w:val="1"/>
      <w:numFmt w:val="lowerRoman"/>
      <w:lvlText w:val="%9."/>
      <w:lvlJc w:val="right"/>
      <w:pPr>
        <w:ind w:left="3960" w:hanging="440"/>
      </w:pPr>
      <w:rPr>
        <w:rFonts w:hint="eastAsia"/>
      </w:rPr>
    </w:lvl>
  </w:abstractNum>
  <w:abstractNum w:abstractNumId="13" w15:restartNumberingAfterBreak="0">
    <w:nsid w:val="58FC00D1"/>
    <w:multiLevelType w:val="multilevel"/>
    <w:tmpl w:val="58FC00D1"/>
    <w:lvl w:ilvl="0">
      <w:start w:val="1"/>
      <w:numFmt w:val="decimal"/>
      <w:suff w:val="nothing"/>
      <w:lvlText w:val="%1"/>
      <w:lvlJc w:val="left"/>
      <w:pPr>
        <w:ind w:left="440" w:hanging="440"/>
      </w:pPr>
      <w:rPr>
        <w:rFonts w:hint="eastAsia"/>
        <w:sz w:val="21"/>
        <w:szCs w:val="21"/>
      </w:rPr>
    </w:lvl>
    <w:lvl w:ilvl="1">
      <w:start w:val="1"/>
      <w:numFmt w:val="lowerLetter"/>
      <w:lvlText w:val="%2)"/>
      <w:lvlJc w:val="left"/>
      <w:pPr>
        <w:ind w:left="880" w:hanging="440"/>
      </w:pPr>
      <w:rPr>
        <w:rFonts w:hint="eastAsia"/>
      </w:rPr>
    </w:lvl>
    <w:lvl w:ilvl="2">
      <w:start w:val="1"/>
      <w:numFmt w:val="lowerRoman"/>
      <w:lvlText w:val="%3."/>
      <w:lvlJc w:val="right"/>
      <w:pPr>
        <w:ind w:left="1320" w:hanging="440"/>
      </w:pPr>
      <w:rPr>
        <w:rFonts w:hint="eastAsia"/>
      </w:rPr>
    </w:lvl>
    <w:lvl w:ilvl="3">
      <w:start w:val="1"/>
      <w:numFmt w:val="decimal"/>
      <w:lvlText w:val="%4."/>
      <w:lvlJc w:val="left"/>
      <w:pPr>
        <w:ind w:left="1760" w:hanging="440"/>
      </w:pPr>
      <w:rPr>
        <w:rFonts w:hint="eastAsia"/>
      </w:rPr>
    </w:lvl>
    <w:lvl w:ilvl="4">
      <w:start w:val="1"/>
      <w:numFmt w:val="lowerLetter"/>
      <w:lvlText w:val="%5)"/>
      <w:lvlJc w:val="left"/>
      <w:pPr>
        <w:ind w:left="2200" w:hanging="440"/>
      </w:pPr>
      <w:rPr>
        <w:rFonts w:hint="eastAsia"/>
      </w:rPr>
    </w:lvl>
    <w:lvl w:ilvl="5">
      <w:start w:val="1"/>
      <w:numFmt w:val="lowerRoman"/>
      <w:lvlText w:val="%6."/>
      <w:lvlJc w:val="right"/>
      <w:pPr>
        <w:ind w:left="2640" w:hanging="440"/>
      </w:pPr>
      <w:rPr>
        <w:rFonts w:hint="eastAsia"/>
      </w:rPr>
    </w:lvl>
    <w:lvl w:ilvl="6">
      <w:start w:val="1"/>
      <w:numFmt w:val="decimal"/>
      <w:lvlText w:val="%7."/>
      <w:lvlJc w:val="left"/>
      <w:pPr>
        <w:ind w:left="3080" w:hanging="440"/>
      </w:pPr>
      <w:rPr>
        <w:rFonts w:hint="eastAsia"/>
      </w:rPr>
    </w:lvl>
    <w:lvl w:ilvl="7">
      <w:start w:val="1"/>
      <w:numFmt w:val="lowerLetter"/>
      <w:lvlText w:val="%8)"/>
      <w:lvlJc w:val="left"/>
      <w:pPr>
        <w:ind w:left="3520" w:hanging="440"/>
      </w:pPr>
      <w:rPr>
        <w:rFonts w:hint="eastAsia"/>
      </w:rPr>
    </w:lvl>
    <w:lvl w:ilvl="8">
      <w:start w:val="1"/>
      <w:numFmt w:val="lowerRoman"/>
      <w:lvlText w:val="%9."/>
      <w:lvlJc w:val="right"/>
      <w:pPr>
        <w:ind w:left="3960" w:hanging="440"/>
      </w:pPr>
      <w:rPr>
        <w:rFonts w:hint="eastAsia"/>
      </w:rPr>
    </w:lvl>
  </w:abstractNum>
  <w:abstractNum w:abstractNumId="14" w15:restartNumberingAfterBreak="0">
    <w:nsid w:val="60BF3958"/>
    <w:multiLevelType w:val="multilevel"/>
    <w:tmpl w:val="60BF3958"/>
    <w:lvl w:ilvl="0">
      <w:start w:val="1"/>
      <w:numFmt w:val="decimal"/>
      <w:suff w:val="nothing"/>
      <w:lvlText w:val="（%1）"/>
      <w:lvlJc w:val="left"/>
      <w:pPr>
        <w:ind w:left="1000" w:hanging="440"/>
      </w:pPr>
      <w:rPr>
        <w:rFonts w:hint="eastAsia"/>
        <w:lang w:val="en-US"/>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15" w15:restartNumberingAfterBreak="0">
    <w:nsid w:val="613B62C2"/>
    <w:multiLevelType w:val="multilevel"/>
    <w:tmpl w:val="613B62C2"/>
    <w:lvl w:ilvl="0">
      <w:start w:val="1"/>
      <w:numFmt w:val="decimal"/>
      <w:suff w:val="nothing"/>
      <w:lvlText w:val="%1"/>
      <w:lvlJc w:val="left"/>
      <w:pPr>
        <w:ind w:left="420" w:hanging="420"/>
      </w:pPr>
      <w:rPr>
        <w:rFonts w:ascii="Times New Roman" w:hAnsi="Times New Roman" w:hint="default"/>
        <w:sz w:val="21"/>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6" w15:restartNumberingAfterBreak="0">
    <w:nsid w:val="642C44D4"/>
    <w:multiLevelType w:val="multilevel"/>
    <w:tmpl w:val="642C44D4"/>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17" w15:restartNumberingAfterBreak="0">
    <w:nsid w:val="77DE4BE1"/>
    <w:multiLevelType w:val="multilevel"/>
    <w:tmpl w:val="77DE4BE1"/>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num w:numId="1" w16cid:durableId="1667510860">
    <w:abstractNumId w:val="12"/>
  </w:num>
  <w:num w:numId="2" w16cid:durableId="175191486">
    <w:abstractNumId w:val="11"/>
  </w:num>
  <w:num w:numId="3" w16cid:durableId="35400700">
    <w:abstractNumId w:val="15"/>
  </w:num>
  <w:num w:numId="4" w16cid:durableId="557321603">
    <w:abstractNumId w:val="6"/>
  </w:num>
  <w:num w:numId="5" w16cid:durableId="859781764">
    <w:abstractNumId w:val="16"/>
  </w:num>
  <w:num w:numId="6" w16cid:durableId="644244301">
    <w:abstractNumId w:val="8"/>
  </w:num>
  <w:num w:numId="7" w16cid:durableId="1054541304">
    <w:abstractNumId w:val="4"/>
  </w:num>
  <w:num w:numId="8" w16cid:durableId="1765374433">
    <w:abstractNumId w:val="17"/>
  </w:num>
  <w:num w:numId="9" w16cid:durableId="855459345">
    <w:abstractNumId w:val="14"/>
  </w:num>
  <w:num w:numId="10" w16cid:durableId="1588687345">
    <w:abstractNumId w:val="5"/>
  </w:num>
  <w:num w:numId="11" w16cid:durableId="1620724665">
    <w:abstractNumId w:val="9"/>
  </w:num>
  <w:num w:numId="12" w16cid:durableId="183790262">
    <w:abstractNumId w:val="1"/>
  </w:num>
  <w:num w:numId="13" w16cid:durableId="796145360">
    <w:abstractNumId w:val="7"/>
  </w:num>
  <w:num w:numId="14" w16cid:durableId="1492595424">
    <w:abstractNumId w:val="2"/>
  </w:num>
  <w:num w:numId="15" w16cid:durableId="1433166499">
    <w:abstractNumId w:val="3"/>
  </w:num>
  <w:num w:numId="16" w16cid:durableId="1989093760">
    <w:abstractNumId w:val="13"/>
  </w:num>
  <w:num w:numId="17" w16cid:durableId="484905610">
    <w:abstractNumId w:val="0"/>
  </w:num>
  <w:num w:numId="18" w16cid:durableId="7000698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40"/>
  <w:drawingGridVerticalSpacing w:val="381"/>
  <w:displayHorizontalDrawingGridEvery w:val="0"/>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107C"/>
    <w:rsid w:val="000012BE"/>
    <w:rsid w:val="000024B0"/>
    <w:rsid w:val="00007F76"/>
    <w:rsid w:val="000101FD"/>
    <w:rsid w:val="00011F80"/>
    <w:rsid w:val="000141A8"/>
    <w:rsid w:val="000156B2"/>
    <w:rsid w:val="00016120"/>
    <w:rsid w:val="000214F2"/>
    <w:rsid w:val="00022FB4"/>
    <w:rsid w:val="00027843"/>
    <w:rsid w:val="00027A89"/>
    <w:rsid w:val="00030151"/>
    <w:rsid w:val="00030724"/>
    <w:rsid w:val="00030E6E"/>
    <w:rsid w:val="00031B5D"/>
    <w:rsid w:val="00031E20"/>
    <w:rsid w:val="0003303F"/>
    <w:rsid w:val="0003489C"/>
    <w:rsid w:val="0003518A"/>
    <w:rsid w:val="00035B39"/>
    <w:rsid w:val="000368A1"/>
    <w:rsid w:val="00040F60"/>
    <w:rsid w:val="00041F4C"/>
    <w:rsid w:val="000427AA"/>
    <w:rsid w:val="000432A7"/>
    <w:rsid w:val="000465AA"/>
    <w:rsid w:val="00047816"/>
    <w:rsid w:val="000479C2"/>
    <w:rsid w:val="00047A0C"/>
    <w:rsid w:val="00047F5A"/>
    <w:rsid w:val="000527E6"/>
    <w:rsid w:val="00052959"/>
    <w:rsid w:val="00053A35"/>
    <w:rsid w:val="00054125"/>
    <w:rsid w:val="00054CE8"/>
    <w:rsid w:val="00055D29"/>
    <w:rsid w:val="0005602D"/>
    <w:rsid w:val="00061926"/>
    <w:rsid w:val="00062089"/>
    <w:rsid w:val="00064243"/>
    <w:rsid w:val="000648CF"/>
    <w:rsid w:val="00064CF6"/>
    <w:rsid w:val="00064F04"/>
    <w:rsid w:val="00065C62"/>
    <w:rsid w:val="00066F9F"/>
    <w:rsid w:val="0007266D"/>
    <w:rsid w:val="00074CC1"/>
    <w:rsid w:val="00075400"/>
    <w:rsid w:val="000756D8"/>
    <w:rsid w:val="00075857"/>
    <w:rsid w:val="0007612B"/>
    <w:rsid w:val="0008018E"/>
    <w:rsid w:val="00080283"/>
    <w:rsid w:val="0008165F"/>
    <w:rsid w:val="00083E7D"/>
    <w:rsid w:val="00085DB7"/>
    <w:rsid w:val="00087593"/>
    <w:rsid w:val="0008777B"/>
    <w:rsid w:val="000877DD"/>
    <w:rsid w:val="0009017C"/>
    <w:rsid w:val="000910C6"/>
    <w:rsid w:val="00093EAE"/>
    <w:rsid w:val="00093EDD"/>
    <w:rsid w:val="00094B36"/>
    <w:rsid w:val="00096046"/>
    <w:rsid w:val="00097F5E"/>
    <w:rsid w:val="000A0B55"/>
    <w:rsid w:val="000A1538"/>
    <w:rsid w:val="000A25D1"/>
    <w:rsid w:val="000A3621"/>
    <w:rsid w:val="000A362D"/>
    <w:rsid w:val="000A3E49"/>
    <w:rsid w:val="000B03A1"/>
    <w:rsid w:val="000B342E"/>
    <w:rsid w:val="000B4341"/>
    <w:rsid w:val="000B5518"/>
    <w:rsid w:val="000B642E"/>
    <w:rsid w:val="000C07E9"/>
    <w:rsid w:val="000C2125"/>
    <w:rsid w:val="000C24EA"/>
    <w:rsid w:val="000C3D04"/>
    <w:rsid w:val="000C496C"/>
    <w:rsid w:val="000C49B5"/>
    <w:rsid w:val="000C54AA"/>
    <w:rsid w:val="000C67DE"/>
    <w:rsid w:val="000D3E1D"/>
    <w:rsid w:val="000D4B64"/>
    <w:rsid w:val="000D4DE5"/>
    <w:rsid w:val="000D7693"/>
    <w:rsid w:val="000E2704"/>
    <w:rsid w:val="000E356F"/>
    <w:rsid w:val="000E3594"/>
    <w:rsid w:val="000E39B3"/>
    <w:rsid w:val="000E3C76"/>
    <w:rsid w:val="000E3FFC"/>
    <w:rsid w:val="000E56A9"/>
    <w:rsid w:val="000F39E4"/>
    <w:rsid w:val="000F4DBE"/>
    <w:rsid w:val="000F60E0"/>
    <w:rsid w:val="0010294B"/>
    <w:rsid w:val="00105AC5"/>
    <w:rsid w:val="00105D99"/>
    <w:rsid w:val="00105DC8"/>
    <w:rsid w:val="00106329"/>
    <w:rsid w:val="00106462"/>
    <w:rsid w:val="00106FA4"/>
    <w:rsid w:val="0011024A"/>
    <w:rsid w:val="001105C7"/>
    <w:rsid w:val="00111322"/>
    <w:rsid w:val="00112B56"/>
    <w:rsid w:val="001137FF"/>
    <w:rsid w:val="0012017A"/>
    <w:rsid w:val="001202DE"/>
    <w:rsid w:val="0012064F"/>
    <w:rsid w:val="001240BA"/>
    <w:rsid w:val="00126FE8"/>
    <w:rsid w:val="00126FEC"/>
    <w:rsid w:val="001303F2"/>
    <w:rsid w:val="00130E97"/>
    <w:rsid w:val="0013131F"/>
    <w:rsid w:val="00131EAB"/>
    <w:rsid w:val="00137A70"/>
    <w:rsid w:val="00137C71"/>
    <w:rsid w:val="00141B1E"/>
    <w:rsid w:val="00141EB5"/>
    <w:rsid w:val="00142246"/>
    <w:rsid w:val="00145660"/>
    <w:rsid w:val="00146F65"/>
    <w:rsid w:val="001521BD"/>
    <w:rsid w:val="0015350B"/>
    <w:rsid w:val="001559BC"/>
    <w:rsid w:val="001559DB"/>
    <w:rsid w:val="00156F0A"/>
    <w:rsid w:val="001618CD"/>
    <w:rsid w:val="001631EF"/>
    <w:rsid w:val="00163FB0"/>
    <w:rsid w:val="00164025"/>
    <w:rsid w:val="0016594C"/>
    <w:rsid w:val="0016762D"/>
    <w:rsid w:val="00170206"/>
    <w:rsid w:val="001714A8"/>
    <w:rsid w:val="00173060"/>
    <w:rsid w:val="001742FF"/>
    <w:rsid w:val="001756A0"/>
    <w:rsid w:val="001766D0"/>
    <w:rsid w:val="00176CE7"/>
    <w:rsid w:val="00180B1E"/>
    <w:rsid w:val="00181D90"/>
    <w:rsid w:val="00184FC9"/>
    <w:rsid w:val="00186E1A"/>
    <w:rsid w:val="00191C54"/>
    <w:rsid w:val="00191E14"/>
    <w:rsid w:val="00191EC5"/>
    <w:rsid w:val="00192DA5"/>
    <w:rsid w:val="00192E42"/>
    <w:rsid w:val="00192FCF"/>
    <w:rsid w:val="00194C87"/>
    <w:rsid w:val="00194E60"/>
    <w:rsid w:val="00195391"/>
    <w:rsid w:val="0019622C"/>
    <w:rsid w:val="001A02A9"/>
    <w:rsid w:val="001A0353"/>
    <w:rsid w:val="001A0B43"/>
    <w:rsid w:val="001A1AFC"/>
    <w:rsid w:val="001A2322"/>
    <w:rsid w:val="001A54B3"/>
    <w:rsid w:val="001A644E"/>
    <w:rsid w:val="001A7971"/>
    <w:rsid w:val="001B1A81"/>
    <w:rsid w:val="001B4232"/>
    <w:rsid w:val="001B544A"/>
    <w:rsid w:val="001B64B9"/>
    <w:rsid w:val="001B6F55"/>
    <w:rsid w:val="001B7353"/>
    <w:rsid w:val="001B7811"/>
    <w:rsid w:val="001B7A2A"/>
    <w:rsid w:val="001C15F4"/>
    <w:rsid w:val="001C3E7B"/>
    <w:rsid w:val="001C4A44"/>
    <w:rsid w:val="001C4C8A"/>
    <w:rsid w:val="001C5C65"/>
    <w:rsid w:val="001C7BAA"/>
    <w:rsid w:val="001D113D"/>
    <w:rsid w:val="001D2B15"/>
    <w:rsid w:val="001D6A65"/>
    <w:rsid w:val="001D6FBB"/>
    <w:rsid w:val="001D708F"/>
    <w:rsid w:val="001E11A4"/>
    <w:rsid w:val="001E163A"/>
    <w:rsid w:val="001E3FE7"/>
    <w:rsid w:val="001E5A3B"/>
    <w:rsid w:val="001E76CF"/>
    <w:rsid w:val="001E7F31"/>
    <w:rsid w:val="001F152B"/>
    <w:rsid w:val="001F38E9"/>
    <w:rsid w:val="001F3F69"/>
    <w:rsid w:val="001F5400"/>
    <w:rsid w:val="001F6AEE"/>
    <w:rsid w:val="001F7249"/>
    <w:rsid w:val="002001C7"/>
    <w:rsid w:val="00202C5A"/>
    <w:rsid w:val="002031CD"/>
    <w:rsid w:val="002031F3"/>
    <w:rsid w:val="00203324"/>
    <w:rsid w:val="00203E28"/>
    <w:rsid w:val="002049DA"/>
    <w:rsid w:val="002059CD"/>
    <w:rsid w:val="00207A2B"/>
    <w:rsid w:val="00207ED6"/>
    <w:rsid w:val="00207F4F"/>
    <w:rsid w:val="00210AE9"/>
    <w:rsid w:val="00210C52"/>
    <w:rsid w:val="002113A6"/>
    <w:rsid w:val="002132A3"/>
    <w:rsid w:val="00214576"/>
    <w:rsid w:val="00215AD9"/>
    <w:rsid w:val="0021679A"/>
    <w:rsid w:val="002172EA"/>
    <w:rsid w:val="00217F25"/>
    <w:rsid w:val="002220D9"/>
    <w:rsid w:val="002222B9"/>
    <w:rsid w:val="00223D60"/>
    <w:rsid w:val="0022416F"/>
    <w:rsid w:val="002248E2"/>
    <w:rsid w:val="00224FF7"/>
    <w:rsid w:val="00225E33"/>
    <w:rsid w:val="00225EB5"/>
    <w:rsid w:val="00226D2F"/>
    <w:rsid w:val="00231E13"/>
    <w:rsid w:val="00232161"/>
    <w:rsid w:val="00232D09"/>
    <w:rsid w:val="00232F7A"/>
    <w:rsid w:val="0023346F"/>
    <w:rsid w:val="00234FA5"/>
    <w:rsid w:val="00237117"/>
    <w:rsid w:val="002400FA"/>
    <w:rsid w:val="0024040E"/>
    <w:rsid w:val="00240B53"/>
    <w:rsid w:val="002420B6"/>
    <w:rsid w:val="002429F8"/>
    <w:rsid w:val="00244C85"/>
    <w:rsid w:val="00245934"/>
    <w:rsid w:val="00247EDA"/>
    <w:rsid w:val="00250379"/>
    <w:rsid w:val="00250660"/>
    <w:rsid w:val="00250873"/>
    <w:rsid w:val="002509E2"/>
    <w:rsid w:val="002573DF"/>
    <w:rsid w:val="00260FBC"/>
    <w:rsid w:val="0026359D"/>
    <w:rsid w:val="00263F12"/>
    <w:rsid w:val="00264872"/>
    <w:rsid w:val="0026638B"/>
    <w:rsid w:val="00267C29"/>
    <w:rsid w:val="0027179D"/>
    <w:rsid w:val="0027247C"/>
    <w:rsid w:val="00272D58"/>
    <w:rsid w:val="002762D2"/>
    <w:rsid w:val="00281507"/>
    <w:rsid w:val="00283D1C"/>
    <w:rsid w:val="00284CB8"/>
    <w:rsid w:val="00284D80"/>
    <w:rsid w:val="00284FDC"/>
    <w:rsid w:val="00286012"/>
    <w:rsid w:val="00290341"/>
    <w:rsid w:val="002913C4"/>
    <w:rsid w:val="00291F9C"/>
    <w:rsid w:val="00296297"/>
    <w:rsid w:val="00297CBF"/>
    <w:rsid w:val="002A14F7"/>
    <w:rsid w:val="002A2B8B"/>
    <w:rsid w:val="002A34CB"/>
    <w:rsid w:val="002A418A"/>
    <w:rsid w:val="002A6E30"/>
    <w:rsid w:val="002A70CA"/>
    <w:rsid w:val="002A7BA0"/>
    <w:rsid w:val="002B132D"/>
    <w:rsid w:val="002B287A"/>
    <w:rsid w:val="002B2FE8"/>
    <w:rsid w:val="002B37B8"/>
    <w:rsid w:val="002B3A55"/>
    <w:rsid w:val="002B3B38"/>
    <w:rsid w:val="002B56D7"/>
    <w:rsid w:val="002B68C0"/>
    <w:rsid w:val="002C0985"/>
    <w:rsid w:val="002C2C6C"/>
    <w:rsid w:val="002C4039"/>
    <w:rsid w:val="002C4C89"/>
    <w:rsid w:val="002C7805"/>
    <w:rsid w:val="002C7AC7"/>
    <w:rsid w:val="002C7EC7"/>
    <w:rsid w:val="002C7EEA"/>
    <w:rsid w:val="002D09A9"/>
    <w:rsid w:val="002D0B73"/>
    <w:rsid w:val="002D33EA"/>
    <w:rsid w:val="002D787D"/>
    <w:rsid w:val="002E0C31"/>
    <w:rsid w:val="002E12FF"/>
    <w:rsid w:val="002E1E1F"/>
    <w:rsid w:val="002E4504"/>
    <w:rsid w:val="002E4A84"/>
    <w:rsid w:val="002E5AFE"/>
    <w:rsid w:val="002E7749"/>
    <w:rsid w:val="002E7C96"/>
    <w:rsid w:val="002F3DA6"/>
    <w:rsid w:val="002F4F10"/>
    <w:rsid w:val="002F5EC0"/>
    <w:rsid w:val="00302074"/>
    <w:rsid w:val="00302193"/>
    <w:rsid w:val="00302C7C"/>
    <w:rsid w:val="003036DA"/>
    <w:rsid w:val="003043D2"/>
    <w:rsid w:val="003044CB"/>
    <w:rsid w:val="00304BFC"/>
    <w:rsid w:val="00307C3A"/>
    <w:rsid w:val="00307EE4"/>
    <w:rsid w:val="00311051"/>
    <w:rsid w:val="00316417"/>
    <w:rsid w:val="00316CED"/>
    <w:rsid w:val="00322763"/>
    <w:rsid w:val="00323112"/>
    <w:rsid w:val="003234BA"/>
    <w:rsid w:val="0032535B"/>
    <w:rsid w:val="00326206"/>
    <w:rsid w:val="0032628C"/>
    <w:rsid w:val="00327D6D"/>
    <w:rsid w:val="00331243"/>
    <w:rsid w:val="003357EF"/>
    <w:rsid w:val="00336453"/>
    <w:rsid w:val="0034311E"/>
    <w:rsid w:val="00343A63"/>
    <w:rsid w:val="00343EB0"/>
    <w:rsid w:val="003442CF"/>
    <w:rsid w:val="00345008"/>
    <w:rsid w:val="003468FA"/>
    <w:rsid w:val="003509B9"/>
    <w:rsid w:val="0035427B"/>
    <w:rsid w:val="003607D9"/>
    <w:rsid w:val="003617CF"/>
    <w:rsid w:val="00363636"/>
    <w:rsid w:val="00363ADC"/>
    <w:rsid w:val="00367901"/>
    <w:rsid w:val="00372806"/>
    <w:rsid w:val="003733BF"/>
    <w:rsid w:val="00375E8B"/>
    <w:rsid w:val="00377407"/>
    <w:rsid w:val="00377B87"/>
    <w:rsid w:val="00380963"/>
    <w:rsid w:val="00380A26"/>
    <w:rsid w:val="00381F72"/>
    <w:rsid w:val="00382963"/>
    <w:rsid w:val="00385199"/>
    <w:rsid w:val="00387614"/>
    <w:rsid w:val="0039035B"/>
    <w:rsid w:val="00391F2D"/>
    <w:rsid w:val="00394564"/>
    <w:rsid w:val="00394E08"/>
    <w:rsid w:val="0039644E"/>
    <w:rsid w:val="00396B92"/>
    <w:rsid w:val="003971BB"/>
    <w:rsid w:val="00397EC1"/>
    <w:rsid w:val="003A076D"/>
    <w:rsid w:val="003A30B9"/>
    <w:rsid w:val="003A5024"/>
    <w:rsid w:val="003A5D6D"/>
    <w:rsid w:val="003A6AAF"/>
    <w:rsid w:val="003A75F5"/>
    <w:rsid w:val="003B3C0C"/>
    <w:rsid w:val="003B45DB"/>
    <w:rsid w:val="003B4791"/>
    <w:rsid w:val="003B4FC4"/>
    <w:rsid w:val="003B4FF3"/>
    <w:rsid w:val="003B68EA"/>
    <w:rsid w:val="003B769E"/>
    <w:rsid w:val="003C3F7C"/>
    <w:rsid w:val="003C5252"/>
    <w:rsid w:val="003C56E6"/>
    <w:rsid w:val="003C5F20"/>
    <w:rsid w:val="003C61E9"/>
    <w:rsid w:val="003C65E6"/>
    <w:rsid w:val="003D262E"/>
    <w:rsid w:val="003D2947"/>
    <w:rsid w:val="003D44BA"/>
    <w:rsid w:val="003D5C5F"/>
    <w:rsid w:val="003D6A0A"/>
    <w:rsid w:val="003D6F91"/>
    <w:rsid w:val="003D7C54"/>
    <w:rsid w:val="003E04EF"/>
    <w:rsid w:val="003E2ED4"/>
    <w:rsid w:val="003E3D55"/>
    <w:rsid w:val="003E5282"/>
    <w:rsid w:val="003E632E"/>
    <w:rsid w:val="003F2CE5"/>
    <w:rsid w:val="003F39EC"/>
    <w:rsid w:val="003F4BD5"/>
    <w:rsid w:val="003F50EB"/>
    <w:rsid w:val="003F6B68"/>
    <w:rsid w:val="00402A3D"/>
    <w:rsid w:val="00405005"/>
    <w:rsid w:val="00410E94"/>
    <w:rsid w:val="0041388D"/>
    <w:rsid w:val="0041445D"/>
    <w:rsid w:val="0041475F"/>
    <w:rsid w:val="00416097"/>
    <w:rsid w:val="00417226"/>
    <w:rsid w:val="00420FCB"/>
    <w:rsid w:val="00422E3C"/>
    <w:rsid w:val="004237CF"/>
    <w:rsid w:val="00427EF5"/>
    <w:rsid w:val="004310FA"/>
    <w:rsid w:val="00431543"/>
    <w:rsid w:val="00432A28"/>
    <w:rsid w:val="00432C28"/>
    <w:rsid w:val="00432C53"/>
    <w:rsid w:val="00434119"/>
    <w:rsid w:val="0043452E"/>
    <w:rsid w:val="004375B9"/>
    <w:rsid w:val="004405DF"/>
    <w:rsid w:val="00440896"/>
    <w:rsid w:val="00442F19"/>
    <w:rsid w:val="004430FE"/>
    <w:rsid w:val="00443AE5"/>
    <w:rsid w:val="004441D4"/>
    <w:rsid w:val="00444A20"/>
    <w:rsid w:val="00445489"/>
    <w:rsid w:val="004464C6"/>
    <w:rsid w:val="00453D3C"/>
    <w:rsid w:val="00455227"/>
    <w:rsid w:val="00460398"/>
    <w:rsid w:val="004642C5"/>
    <w:rsid w:val="0046507C"/>
    <w:rsid w:val="0046597D"/>
    <w:rsid w:val="004671B0"/>
    <w:rsid w:val="004708E3"/>
    <w:rsid w:val="00471C06"/>
    <w:rsid w:val="00473F8F"/>
    <w:rsid w:val="0047454E"/>
    <w:rsid w:val="004761BB"/>
    <w:rsid w:val="00483DC3"/>
    <w:rsid w:val="0048644D"/>
    <w:rsid w:val="004876B5"/>
    <w:rsid w:val="0049071E"/>
    <w:rsid w:val="00492F7C"/>
    <w:rsid w:val="00493BEA"/>
    <w:rsid w:val="00493E4B"/>
    <w:rsid w:val="00495687"/>
    <w:rsid w:val="004959F6"/>
    <w:rsid w:val="0049784F"/>
    <w:rsid w:val="00497D2D"/>
    <w:rsid w:val="004A0184"/>
    <w:rsid w:val="004A08F8"/>
    <w:rsid w:val="004A6E83"/>
    <w:rsid w:val="004B0624"/>
    <w:rsid w:val="004B0B64"/>
    <w:rsid w:val="004B1998"/>
    <w:rsid w:val="004B67F6"/>
    <w:rsid w:val="004C163F"/>
    <w:rsid w:val="004C2B96"/>
    <w:rsid w:val="004C4089"/>
    <w:rsid w:val="004C52B3"/>
    <w:rsid w:val="004D17B0"/>
    <w:rsid w:val="004E0436"/>
    <w:rsid w:val="004E0B8E"/>
    <w:rsid w:val="004E4F18"/>
    <w:rsid w:val="004E6382"/>
    <w:rsid w:val="004E74A1"/>
    <w:rsid w:val="004E7580"/>
    <w:rsid w:val="004F0283"/>
    <w:rsid w:val="004F1C96"/>
    <w:rsid w:val="004F35F2"/>
    <w:rsid w:val="004F555B"/>
    <w:rsid w:val="004F57BD"/>
    <w:rsid w:val="004F5BB5"/>
    <w:rsid w:val="004F642D"/>
    <w:rsid w:val="004F6A19"/>
    <w:rsid w:val="005011BB"/>
    <w:rsid w:val="00503441"/>
    <w:rsid w:val="00505515"/>
    <w:rsid w:val="00505690"/>
    <w:rsid w:val="00510426"/>
    <w:rsid w:val="00510BB5"/>
    <w:rsid w:val="00510D96"/>
    <w:rsid w:val="00511195"/>
    <w:rsid w:val="00514B8B"/>
    <w:rsid w:val="00514EE2"/>
    <w:rsid w:val="00515215"/>
    <w:rsid w:val="005204E3"/>
    <w:rsid w:val="00521A8C"/>
    <w:rsid w:val="0052715B"/>
    <w:rsid w:val="005316E9"/>
    <w:rsid w:val="005337B6"/>
    <w:rsid w:val="00533DE1"/>
    <w:rsid w:val="00535D72"/>
    <w:rsid w:val="00540C36"/>
    <w:rsid w:val="00544EB5"/>
    <w:rsid w:val="00545B15"/>
    <w:rsid w:val="00550C94"/>
    <w:rsid w:val="00551879"/>
    <w:rsid w:val="00552185"/>
    <w:rsid w:val="005533B7"/>
    <w:rsid w:val="00555180"/>
    <w:rsid w:val="005613A3"/>
    <w:rsid w:val="00561441"/>
    <w:rsid w:val="0056221A"/>
    <w:rsid w:val="00562899"/>
    <w:rsid w:val="0056338B"/>
    <w:rsid w:val="005646DB"/>
    <w:rsid w:val="0056505A"/>
    <w:rsid w:val="0056598C"/>
    <w:rsid w:val="00565FD4"/>
    <w:rsid w:val="005661FE"/>
    <w:rsid w:val="005667A6"/>
    <w:rsid w:val="005674D0"/>
    <w:rsid w:val="00570595"/>
    <w:rsid w:val="00572619"/>
    <w:rsid w:val="005734D6"/>
    <w:rsid w:val="005756A4"/>
    <w:rsid w:val="00576EBF"/>
    <w:rsid w:val="00577259"/>
    <w:rsid w:val="00580FA2"/>
    <w:rsid w:val="005823C9"/>
    <w:rsid w:val="00585961"/>
    <w:rsid w:val="00585B7D"/>
    <w:rsid w:val="005875D3"/>
    <w:rsid w:val="00590A6D"/>
    <w:rsid w:val="00591A36"/>
    <w:rsid w:val="005921B1"/>
    <w:rsid w:val="005928CC"/>
    <w:rsid w:val="00593194"/>
    <w:rsid w:val="00593DA6"/>
    <w:rsid w:val="005956CF"/>
    <w:rsid w:val="00596185"/>
    <w:rsid w:val="00596201"/>
    <w:rsid w:val="005962DC"/>
    <w:rsid w:val="005967EE"/>
    <w:rsid w:val="005A01AF"/>
    <w:rsid w:val="005A0B63"/>
    <w:rsid w:val="005A1AC9"/>
    <w:rsid w:val="005A55BD"/>
    <w:rsid w:val="005A5775"/>
    <w:rsid w:val="005B258A"/>
    <w:rsid w:val="005B2A84"/>
    <w:rsid w:val="005B43E9"/>
    <w:rsid w:val="005B455F"/>
    <w:rsid w:val="005C0754"/>
    <w:rsid w:val="005C77D4"/>
    <w:rsid w:val="005D0E31"/>
    <w:rsid w:val="005D274A"/>
    <w:rsid w:val="005D2A72"/>
    <w:rsid w:val="005D2B48"/>
    <w:rsid w:val="005D338B"/>
    <w:rsid w:val="005D6792"/>
    <w:rsid w:val="005D75AD"/>
    <w:rsid w:val="005D77C5"/>
    <w:rsid w:val="005E4721"/>
    <w:rsid w:val="005E4ADF"/>
    <w:rsid w:val="005E69D5"/>
    <w:rsid w:val="005E7358"/>
    <w:rsid w:val="005F022C"/>
    <w:rsid w:val="005F298E"/>
    <w:rsid w:val="005F2E19"/>
    <w:rsid w:val="005F5732"/>
    <w:rsid w:val="005F6723"/>
    <w:rsid w:val="005F6939"/>
    <w:rsid w:val="00601686"/>
    <w:rsid w:val="00602306"/>
    <w:rsid w:val="006029BC"/>
    <w:rsid w:val="0060332B"/>
    <w:rsid w:val="00604139"/>
    <w:rsid w:val="0060537D"/>
    <w:rsid w:val="00606137"/>
    <w:rsid w:val="00607E58"/>
    <w:rsid w:val="00607E5F"/>
    <w:rsid w:val="0061101B"/>
    <w:rsid w:val="00612AB4"/>
    <w:rsid w:val="0061391C"/>
    <w:rsid w:val="0061399D"/>
    <w:rsid w:val="00614ABD"/>
    <w:rsid w:val="00620125"/>
    <w:rsid w:val="0062083C"/>
    <w:rsid w:val="00621A28"/>
    <w:rsid w:val="00622762"/>
    <w:rsid w:val="00623B91"/>
    <w:rsid w:val="00623F6B"/>
    <w:rsid w:val="00624F1E"/>
    <w:rsid w:val="006256B4"/>
    <w:rsid w:val="00625F1A"/>
    <w:rsid w:val="00626686"/>
    <w:rsid w:val="00627446"/>
    <w:rsid w:val="00630C04"/>
    <w:rsid w:val="0063107F"/>
    <w:rsid w:val="00632955"/>
    <w:rsid w:val="00632E41"/>
    <w:rsid w:val="00633BCA"/>
    <w:rsid w:val="00633BF6"/>
    <w:rsid w:val="0063784B"/>
    <w:rsid w:val="00640C6B"/>
    <w:rsid w:val="00641202"/>
    <w:rsid w:val="00642BD3"/>
    <w:rsid w:val="0064342C"/>
    <w:rsid w:val="00650CA5"/>
    <w:rsid w:val="00652001"/>
    <w:rsid w:val="006522E7"/>
    <w:rsid w:val="00652901"/>
    <w:rsid w:val="00654DA4"/>
    <w:rsid w:val="00655258"/>
    <w:rsid w:val="006552E2"/>
    <w:rsid w:val="00655FD8"/>
    <w:rsid w:val="006567AF"/>
    <w:rsid w:val="00656CC6"/>
    <w:rsid w:val="006576D4"/>
    <w:rsid w:val="006622CA"/>
    <w:rsid w:val="006661FE"/>
    <w:rsid w:val="006663F8"/>
    <w:rsid w:val="006707AA"/>
    <w:rsid w:val="0067178D"/>
    <w:rsid w:val="00671EDB"/>
    <w:rsid w:val="00672BC0"/>
    <w:rsid w:val="0067500A"/>
    <w:rsid w:val="00675AED"/>
    <w:rsid w:val="00680471"/>
    <w:rsid w:val="00686953"/>
    <w:rsid w:val="00687805"/>
    <w:rsid w:val="00690BC2"/>
    <w:rsid w:val="00693BE1"/>
    <w:rsid w:val="00694325"/>
    <w:rsid w:val="00694652"/>
    <w:rsid w:val="006967EA"/>
    <w:rsid w:val="00696BFF"/>
    <w:rsid w:val="006A08F3"/>
    <w:rsid w:val="006A0C4D"/>
    <w:rsid w:val="006A1797"/>
    <w:rsid w:val="006A3517"/>
    <w:rsid w:val="006A422B"/>
    <w:rsid w:val="006A5DBC"/>
    <w:rsid w:val="006A6216"/>
    <w:rsid w:val="006A6EEF"/>
    <w:rsid w:val="006B0E01"/>
    <w:rsid w:val="006B1DCA"/>
    <w:rsid w:val="006B3FE7"/>
    <w:rsid w:val="006B5A5A"/>
    <w:rsid w:val="006C164D"/>
    <w:rsid w:val="006C34EE"/>
    <w:rsid w:val="006D1512"/>
    <w:rsid w:val="006D2081"/>
    <w:rsid w:val="006D20E5"/>
    <w:rsid w:val="006D520E"/>
    <w:rsid w:val="006D7F6F"/>
    <w:rsid w:val="006E00D6"/>
    <w:rsid w:val="006E078F"/>
    <w:rsid w:val="006E2437"/>
    <w:rsid w:val="006E2D05"/>
    <w:rsid w:val="006E354A"/>
    <w:rsid w:val="006E6FC3"/>
    <w:rsid w:val="006E7D5F"/>
    <w:rsid w:val="006F144A"/>
    <w:rsid w:val="006F2E2C"/>
    <w:rsid w:val="006F348A"/>
    <w:rsid w:val="006F4AE3"/>
    <w:rsid w:val="006F53E1"/>
    <w:rsid w:val="006F56FB"/>
    <w:rsid w:val="007007F6"/>
    <w:rsid w:val="00703F2E"/>
    <w:rsid w:val="00704637"/>
    <w:rsid w:val="007068DE"/>
    <w:rsid w:val="0070733C"/>
    <w:rsid w:val="00711AD9"/>
    <w:rsid w:val="00711CEA"/>
    <w:rsid w:val="007126E6"/>
    <w:rsid w:val="00715A2F"/>
    <w:rsid w:val="007160C1"/>
    <w:rsid w:val="00721667"/>
    <w:rsid w:val="00721D39"/>
    <w:rsid w:val="007233C4"/>
    <w:rsid w:val="007245A3"/>
    <w:rsid w:val="00725C8C"/>
    <w:rsid w:val="00726C2C"/>
    <w:rsid w:val="0072741A"/>
    <w:rsid w:val="00727F3F"/>
    <w:rsid w:val="00731794"/>
    <w:rsid w:val="00731D6E"/>
    <w:rsid w:val="00733D56"/>
    <w:rsid w:val="00736594"/>
    <w:rsid w:val="007400BF"/>
    <w:rsid w:val="0074091E"/>
    <w:rsid w:val="00740E8F"/>
    <w:rsid w:val="00742EAD"/>
    <w:rsid w:val="0074540B"/>
    <w:rsid w:val="007466B0"/>
    <w:rsid w:val="0074769F"/>
    <w:rsid w:val="00750A9D"/>
    <w:rsid w:val="00751D78"/>
    <w:rsid w:val="0075232A"/>
    <w:rsid w:val="0075338A"/>
    <w:rsid w:val="00756227"/>
    <w:rsid w:val="0076300F"/>
    <w:rsid w:val="007640E6"/>
    <w:rsid w:val="00765337"/>
    <w:rsid w:val="00765D85"/>
    <w:rsid w:val="00766A79"/>
    <w:rsid w:val="007673CD"/>
    <w:rsid w:val="00771B45"/>
    <w:rsid w:val="00773E31"/>
    <w:rsid w:val="007754AC"/>
    <w:rsid w:val="00775B77"/>
    <w:rsid w:val="00776512"/>
    <w:rsid w:val="00776E44"/>
    <w:rsid w:val="007775C8"/>
    <w:rsid w:val="00781C88"/>
    <w:rsid w:val="00781DC7"/>
    <w:rsid w:val="00782196"/>
    <w:rsid w:val="00784EE2"/>
    <w:rsid w:val="00787407"/>
    <w:rsid w:val="00790257"/>
    <w:rsid w:val="00790450"/>
    <w:rsid w:val="00790C7B"/>
    <w:rsid w:val="00790D58"/>
    <w:rsid w:val="00792DCB"/>
    <w:rsid w:val="00793ECC"/>
    <w:rsid w:val="00796614"/>
    <w:rsid w:val="00797367"/>
    <w:rsid w:val="007A0713"/>
    <w:rsid w:val="007A0CA8"/>
    <w:rsid w:val="007A125D"/>
    <w:rsid w:val="007A4207"/>
    <w:rsid w:val="007A42C3"/>
    <w:rsid w:val="007A46D0"/>
    <w:rsid w:val="007A494A"/>
    <w:rsid w:val="007A61CE"/>
    <w:rsid w:val="007A71E2"/>
    <w:rsid w:val="007A7A05"/>
    <w:rsid w:val="007B2301"/>
    <w:rsid w:val="007B33EE"/>
    <w:rsid w:val="007B52BB"/>
    <w:rsid w:val="007B5A2B"/>
    <w:rsid w:val="007B7525"/>
    <w:rsid w:val="007C17D4"/>
    <w:rsid w:val="007C2734"/>
    <w:rsid w:val="007C3CB4"/>
    <w:rsid w:val="007C4A87"/>
    <w:rsid w:val="007C7508"/>
    <w:rsid w:val="007C79F4"/>
    <w:rsid w:val="007D01A0"/>
    <w:rsid w:val="007D02CC"/>
    <w:rsid w:val="007D041E"/>
    <w:rsid w:val="007D1827"/>
    <w:rsid w:val="007D2A88"/>
    <w:rsid w:val="007D34DB"/>
    <w:rsid w:val="007D5BC4"/>
    <w:rsid w:val="007D648F"/>
    <w:rsid w:val="007D6646"/>
    <w:rsid w:val="007D6F95"/>
    <w:rsid w:val="007E0E02"/>
    <w:rsid w:val="007E0E57"/>
    <w:rsid w:val="007E1241"/>
    <w:rsid w:val="007E1F50"/>
    <w:rsid w:val="007E4507"/>
    <w:rsid w:val="007E6F61"/>
    <w:rsid w:val="007F16F4"/>
    <w:rsid w:val="007F39FE"/>
    <w:rsid w:val="0080065B"/>
    <w:rsid w:val="00800679"/>
    <w:rsid w:val="008008DD"/>
    <w:rsid w:val="0080107C"/>
    <w:rsid w:val="00802094"/>
    <w:rsid w:val="008048E6"/>
    <w:rsid w:val="00805C1C"/>
    <w:rsid w:val="00807BE4"/>
    <w:rsid w:val="00810B05"/>
    <w:rsid w:val="00811636"/>
    <w:rsid w:val="00811E17"/>
    <w:rsid w:val="008121D8"/>
    <w:rsid w:val="00812C6D"/>
    <w:rsid w:val="00813AB7"/>
    <w:rsid w:val="00814E3D"/>
    <w:rsid w:val="00816565"/>
    <w:rsid w:val="00816E2C"/>
    <w:rsid w:val="00820383"/>
    <w:rsid w:val="008204DE"/>
    <w:rsid w:val="00820A04"/>
    <w:rsid w:val="0082297D"/>
    <w:rsid w:val="0082651E"/>
    <w:rsid w:val="00826FF5"/>
    <w:rsid w:val="00827B56"/>
    <w:rsid w:val="008309D2"/>
    <w:rsid w:val="008324BC"/>
    <w:rsid w:val="00832884"/>
    <w:rsid w:val="00832A3D"/>
    <w:rsid w:val="008331AE"/>
    <w:rsid w:val="00833230"/>
    <w:rsid w:val="00833CC5"/>
    <w:rsid w:val="0083479D"/>
    <w:rsid w:val="0083646E"/>
    <w:rsid w:val="008365CB"/>
    <w:rsid w:val="00842935"/>
    <w:rsid w:val="008434EB"/>
    <w:rsid w:val="008437F9"/>
    <w:rsid w:val="00846BFB"/>
    <w:rsid w:val="00847730"/>
    <w:rsid w:val="00853BF2"/>
    <w:rsid w:val="008545B6"/>
    <w:rsid w:val="008569F8"/>
    <w:rsid w:val="0086201B"/>
    <w:rsid w:val="00862B48"/>
    <w:rsid w:val="00870E99"/>
    <w:rsid w:val="008711D4"/>
    <w:rsid w:val="00872607"/>
    <w:rsid w:val="008756AF"/>
    <w:rsid w:val="00875E7D"/>
    <w:rsid w:val="008779F1"/>
    <w:rsid w:val="00882A6A"/>
    <w:rsid w:val="00882D86"/>
    <w:rsid w:val="008842E5"/>
    <w:rsid w:val="008848F3"/>
    <w:rsid w:val="00884E4C"/>
    <w:rsid w:val="008863EC"/>
    <w:rsid w:val="00886968"/>
    <w:rsid w:val="00891011"/>
    <w:rsid w:val="00893B56"/>
    <w:rsid w:val="008947F2"/>
    <w:rsid w:val="00895515"/>
    <w:rsid w:val="00896ACF"/>
    <w:rsid w:val="008A1DF2"/>
    <w:rsid w:val="008A297C"/>
    <w:rsid w:val="008A2ACD"/>
    <w:rsid w:val="008A3055"/>
    <w:rsid w:val="008A43E3"/>
    <w:rsid w:val="008A4780"/>
    <w:rsid w:val="008A5026"/>
    <w:rsid w:val="008A7E76"/>
    <w:rsid w:val="008B3C41"/>
    <w:rsid w:val="008B4CA9"/>
    <w:rsid w:val="008B79D7"/>
    <w:rsid w:val="008C0390"/>
    <w:rsid w:val="008C1BE9"/>
    <w:rsid w:val="008C25E7"/>
    <w:rsid w:val="008C4299"/>
    <w:rsid w:val="008C5209"/>
    <w:rsid w:val="008C7037"/>
    <w:rsid w:val="008D1E66"/>
    <w:rsid w:val="008D4528"/>
    <w:rsid w:val="008D516A"/>
    <w:rsid w:val="008D51B3"/>
    <w:rsid w:val="008E0463"/>
    <w:rsid w:val="008E04FC"/>
    <w:rsid w:val="008E06B8"/>
    <w:rsid w:val="008E4477"/>
    <w:rsid w:val="008E575B"/>
    <w:rsid w:val="008E5C1E"/>
    <w:rsid w:val="008E6219"/>
    <w:rsid w:val="008F153A"/>
    <w:rsid w:val="008F15E2"/>
    <w:rsid w:val="008F1A52"/>
    <w:rsid w:val="008F2ADA"/>
    <w:rsid w:val="008F399F"/>
    <w:rsid w:val="008F4246"/>
    <w:rsid w:val="008F51F3"/>
    <w:rsid w:val="0090129C"/>
    <w:rsid w:val="009019A7"/>
    <w:rsid w:val="00903EB8"/>
    <w:rsid w:val="00904134"/>
    <w:rsid w:val="00905FE1"/>
    <w:rsid w:val="00906CEA"/>
    <w:rsid w:val="00910DE6"/>
    <w:rsid w:val="00911B37"/>
    <w:rsid w:val="00912ED7"/>
    <w:rsid w:val="0091332D"/>
    <w:rsid w:val="00917D8C"/>
    <w:rsid w:val="00923209"/>
    <w:rsid w:val="009232F1"/>
    <w:rsid w:val="00924392"/>
    <w:rsid w:val="00924C16"/>
    <w:rsid w:val="00924F99"/>
    <w:rsid w:val="00927F17"/>
    <w:rsid w:val="00930286"/>
    <w:rsid w:val="00930B09"/>
    <w:rsid w:val="00931CDE"/>
    <w:rsid w:val="00933FF9"/>
    <w:rsid w:val="009342C5"/>
    <w:rsid w:val="00935823"/>
    <w:rsid w:val="0093671D"/>
    <w:rsid w:val="00940C03"/>
    <w:rsid w:val="00940CD4"/>
    <w:rsid w:val="00950987"/>
    <w:rsid w:val="00951ACE"/>
    <w:rsid w:val="00953449"/>
    <w:rsid w:val="0095378C"/>
    <w:rsid w:val="009575CD"/>
    <w:rsid w:val="00957FA9"/>
    <w:rsid w:val="00961793"/>
    <w:rsid w:val="00963C76"/>
    <w:rsid w:val="00965EE5"/>
    <w:rsid w:val="009670BC"/>
    <w:rsid w:val="0097125A"/>
    <w:rsid w:val="0097202B"/>
    <w:rsid w:val="0097472F"/>
    <w:rsid w:val="00975AE1"/>
    <w:rsid w:val="0098090B"/>
    <w:rsid w:val="00980938"/>
    <w:rsid w:val="00980F3A"/>
    <w:rsid w:val="00982DAE"/>
    <w:rsid w:val="009867BB"/>
    <w:rsid w:val="009926A6"/>
    <w:rsid w:val="009944D2"/>
    <w:rsid w:val="00995327"/>
    <w:rsid w:val="009957B4"/>
    <w:rsid w:val="009969A2"/>
    <w:rsid w:val="0099766C"/>
    <w:rsid w:val="009A04D4"/>
    <w:rsid w:val="009A2DCE"/>
    <w:rsid w:val="009A6D94"/>
    <w:rsid w:val="009A7213"/>
    <w:rsid w:val="009B3826"/>
    <w:rsid w:val="009B5BE6"/>
    <w:rsid w:val="009B788F"/>
    <w:rsid w:val="009C0ABC"/>
    <w:rsid w:val="009C4259"/>
    <w:rsid w:val="009D0440"/>
    <w:rsid w:val="009D1DF0"/>
    <w:rsid w:val="009D252E"/>
    <w:rsid w:val="009D444C"/>
    <w:rsid w:val="009D45D1"/>
    <w:rsid w:val="009D6288"/>
    <w:rsid w:val="009D730A"/>
    <w:rsid w:val="009D76F4"/>
    <w:rsid w:val="009E1025"/>
    <w:rsid w:val="009E1BF4"/>
    <w:rsid w:val="009E4384"/>
    <w:rsid w:val="009E482F"/>
    <w:rsid w:val="009E7375"/>
    <w:rsid w:val="009E74F0"/>
    <w:rsid w:val="009F0949"/>
    <w:rsid w:val="009F0CF2"/>
    <w:rsid w:val="009F2B40"/>
    <w:rsid w:val="009F41A8"/>
    <w:rsid w:val="009F54AC"/>
    <w:rsid w:val="009F6121"/>
    <w:rsid w:val="009F7616"/>
    <w:rsid w:val="009F7E9F"/>
    <w:rsid w:val="009F7F49"/>
    <w:rsid w:val="00A00618"/>
    <w:rsid w:val="00A01D9D"/>
    <w:rsid w:val="00A022CF"/>
    <w:rsid w:val="00A04159"/>
    <w:rsid w:val="00A046B5"/>
    <w:rsid w:val="00A0617C"/>
    <w:rsid w:val="00A06D7C"/>
    <w:rsid w:val="00A10ADF"/>
    <w:rsid w:val="00A132C5"/>
    <w:rsid w:val="00A13564"/>
    <w:rsid w:val="00A141A3"/>
    <w:rsid w:val="00A14B3F"/>
    <w:rsid w:val="00A15A63"/>
    <w:rsid w:val="00A160ED"/>
    <w:rsid w:val="00A20CB3"/>
    <w:rsid w:val="00A230FF"/>
    <w:rsid w:val="00A23E8C"/>
    <w:rsid w:val="00A2478A"/>
    <w:rsid w:val="00A2734D"/>
    <w:rsid w:val="00A279F9"/>
    <w:rsid w:val="00A31083"/>
    <w:rsid w:val="00A323B0"/>
    <w:rsid w:val="00A34997"/>
    <w:rsid w:val="00A402B0"/>
    <w:rsid w:val="00A41152"/>
    <w:rsid w:val="00A4181C"/>
    <w:rsid w:val="00A43FA2"/>
    <w:rsid w:val="00A4449A"/>
    <w:rsid w:val="00A4524A"/>
    <w:rsid w:val="00A47365"/>
    <w:rsid w:val="00A5088E"/>
    <w:rsid w:val="00A50EA3"/>
    <w:rsid w:val="00A51F30"/>
    <w:rsid w:val="00A520EC"/>
    <w:rsid w:val="00A52DD7"/>
    <w:rsid w:val="00A53743"/>
    <w:rsid w:val="00A53920"/>
    <w:rsid w:val="00A55FD0"/>
    <w:rsid w:val="00A5713A"/>
    <w:rsid w:val="00A57416"/>
    <w:rsid w:val="00A57F1F"/>
    <w:rsid w:val="00A6042B"/>
    <w:rsid w:val="00A60F2D"/>
    <w:rsid w:val="00A6181F"/>
    <w:rsid w:val="00A6302D"/>
    <w:rsid w:val="00A6576E"/>
    <w:rsid w:val="00A70208"/>
    <w:rsid w:val="00A7135D"/>
    <w:rsid w:val="00A71A5A"/>
    <w:rsid w:val="00A73348"/>
    <w:rsid w:val="00A73C07"/>
    <w:rsid w:val="00A75A63"/>
    <w:rsid w:val="00A763A4"/>
    <w:rsid w:val="00A76C06"/>
    <w:rsid w:val="00A806BF"/>
    <w:rsid w:val="00A808D8"/>
    <w:rsid w:val="00A80BA8"/>
    <w:rsid w:val="00A81206"/>
    <w:rsid w:val="00A813F1"/>
    <w:rsid w:val="00A81AC6"/>
    <w:rsid w:val="00A8355A"/>
    <w:rsid w:val="00A85F3F"/>
    <w:rsid w:val="00A86058"/>
    <w:rsid w:val="00A87115"/>
    <w:rsid w:val="00A91EC2"/>
    <w:rsid w:val="00A9207E"/>
    <w:rsid w:val="00A93336"/>
    <w:rsid w:val="00A94E40"/>
    <w:rsid w:val="00A95D79"/>
    <w:rsid w:val="00AA3D4B"/>
    <w:rsid w:val="00AA411F"/>
    <w:rsid w:val="00AA41A5"/>
    <w:rsid w:val="00AA439B"/>
    <w:rsid w:val="00AB0799"/>
    <w:rsid w:val="00AB0BB1"/>
    <w:rsid w:val="00AB2FC4"/>
    <w:rsid w:val="00AB31E2"/>
    <w:rsid w:val="00AB434D"/>
    <w:rsid w:val="00AB5AAA"/>
    <w:rsid w:val="00AB7615"/>
    <w:rsid w:val="00AC35DF"/>
    <w:rsid w:val="00AC3E87"/>
    <w:rsid w:val="00AC4511"/>
    <w:rsid w:val="00AC5C94"/>
    <w:rsid w:val="00AC629B"/>
    <w:rsid w:val="00AD3BD0"/>
    <w:rsid w:val="00AD4507"/>
    <w:rsid w:val="00AD5B62"/>
    <w:rsid w:val="00AD5F64"/>
    <w:rsid w:val="00AE01CF"/>
    <w:rsid w:val="00AE1010"/>
    <w:rsid w:val="00AE2DEA"/>
    <w:rsid w:val="00AE38E3"/>
    <w:rsid w:val="00AE39B8"/>
    <w:rsid w:val="00AE4A9B"/>
    <w:rsid w:val="00AE4B5A"/>
    <w:rsid w:val="00AE5071"/>
    <w:rsid w:val="00AE582C"/>
    <w:rsid w:val="00AE5B42"/>
    <w:rsid w:val="00AE68C3"/>
    <w:rsid w:val="00AF02DC"/>
    <w:rsid w:val="00B001A6"/>
    <w:rsid w:val="00B00763"/>
    <w:rsid w:val="00B074AF"/>
    <w:rsid w:val="00B105C0"/>
    <w:rsid w:val="00B11A65"/>
    <w:rsid w:val="00B11C7D"/>
    <w:rsid w:val="00B13398"/>
    <w:rsid w:val="00B16204"/>
    <w:rsid w:val="00B1671F"/>
    <w:rsid w:val="00B1692B"/>
    <w:rsid w:val="00B17DD5"/>
    <w:rsid w:val="00B217AF"/>
    <w:rsid w:val="00B245A8"/>
    <w:rsid w:val="00B25804"/>
    <w:rsid w:val="00B2744C"/>
    <w:rsid w:val="00B31F60"/>
    <w:rsid w:val="00B32F34"/>
    <w:rsid w:val="00B345C1"/>
    <w:rsid w:val="00B348BA"/>
    <w:rsid w:val="00B364E1"/>
    <w:rsid w:val="00B36F0F"/>
    <w:rsid w:val="00B409A7"/>
    <w:rsid w:val="00B42F0B"/>
    <w:rsid w:val="00B43797"/>
    <w:rsid w:val="00B44141"/>
    <w:rsid w:val="00B449FA"/>
    <w:rsid w:val="00B455D6"/>
    <w:rsid w:val="00B462D9"/>
    <w:rsid w:val="00B47A33"/>
    <w:rsid w:val="00B51D05"/>
    <w:rsid w:val="00B52250"/>
    <w:rsid w:val="00B556EE"/>
    <w:rsid w:val="00B55831"/>
    <w:rsid w:val="00B55C6F"/>
    <w:rsid w:val="00B570DA"/>
    <w:rsid w:val="00B608AB"/>
    <w:rsid w:val="00B61D76"/>
    <w:rsid w:val="00B62D5F"/>
    <w:rsid w:val="00B6384A"/>
    <w:rsid w:val="00B6499A"/>
    <w:rsid w:val="00B723BF"/>
    <w:rsid w:val="00B7434D"/>
    <w:rsid w:val="00B745B9"/>
    <w:rsid w:val="00B802C9"/>
    <w:rsid w:val="00B82B1D"/>
    <w:rsid w:val="00B8358C"/>
    <w:rsid w:val="00B845F4"/>
    <w:rsid w:val="00B84A1A"/>
    <w:rsid w:val="00B8598F"/>
    <w:rsid w:val="00B85A97"/>
    <w:rsid w:val="00B87D2E"/>
    <w:rsid w:val="00B905BD"/>
    <w:rsid w:val="00B90B2F"/>
    <w:rsid w:val="00B911FD"/>
    <w:rsid w:val="00B91F62"/>
    <w:rsid w:val="00B9329D"/>
    <w:rsid w:val="00B955EF"/>
    <w:rsid w:val="00B95B88"/>
    <w:rsid w:val="00B95F09"/>
    <w:rsid w:val="00B96760"/>
    <w:rsid w:val="00B9710E"/>
    <w:rsid w:val="00B97AC7"/>
    <w:rsid w:val="00BA15A9"/>
    <w:rsid w:val="00BA27CF"/>
    <w:rsid w:val="00BA3223"/>
    <w:rsid w:val="00BA3FA6"/>
    <w:rsid w:val="00BB066A"/>
    <w:rsid w:val="00BB0A1C"/>
    <w:rsid w:val="00BB151B"/>
    <w:rsid w:val="00BB1733"/>
    <w:rsid w:val="00BB7B47"/>
    <w:rsid w:val="00BC057B"/>
    <w:rsid w:val="00BC0D3D"/>
    <w:rsid w:val="00BC22EE"/>
    <w:rsid w:val="00BC2524"/>
    <w:rsid w:val="00BC2846"/>
    <w:rsid w:val="00BC5D48"/>
    <w:rsid w:val="00BC5FD3"/>
    <w:rsid w:val="00BC6633"/>
    <w:rsid w:val="00BC7A38"/>
    <w:rsid w:val="00BD1948"/>
    <w:rsid w:val="00BD1B34"/>
    <w:rsid w:val="00BD359E"/>
    <w:rsid w:val="00BD5D4B"/>
    <w:rsid w:val="00BD7D12"/>
    <w:rsid w:val="00BE36A4"/>
    <w:rsid w:val="00BE3DB7"/>
    <w:rsid w:val="00BE4B2E"/>
    <w:rsid w:val="00BE791B"/>
    <w:rsid w:val="00BF2F8F"/>
    <w:rsid w:val="00BF4321"/>
    <w:rsid w:val="00BF46EA"/>
    <w:rsid w:val="00BF5C4F"/>
    <w:rsid w:val="00C0150D"/>
    <w:rsid w:val="00C02368"/>
    <w:rsid w:val="00C02B4B"/>
    <w:rsid w:val="00C11DAB"/>
    <w:rsid w:val="00C12385"/>
    <w:rsid w:val="00C125E7"/>
    <w:rsid w:val="00C13E3B"/>
    <w:rsid w:val="00C15110"/>
    <w:rsid w:val="00C154D7"/>
    <w:rsid w:val="00C17528"/>
    <w:rsid w:val="00C21400"/>
    <w:rsid w:val="00C24E42"/>
    <w:rsid w:val="00C252D6"/>
    <w:rsid w:val="00C310DB"/>
    <w:rsid w:val="00C3186D"/>
    <w:rsid w:val="00C33685"/>
    <w:rsid w:val="00C367BF"/>
    <w:rsid w:val="00C36AB4"/>
    <w:rsid w:val="00C40382"/>
    <w:rsid w:val="00C40726"/>
    <w:rsid w:val="00C42081"/>
    <w:rsid w:val="00C44570"/>
    <w:rsid w:val="00C448D6"/>
    <w:rsid w:val="00C45C2E"/>
    <w:rsid w:val="00C46B91"/>
    <w:rsid w:val="00C50B18"/>
    <w:rsid w:val="00C518EF"/>
    <w:rsid w:val="00C522A5"/>
    <w:rsid w:val="00C52367"/>
    <w:rsid w:val="00C53E63"/>
    <w:rsid w:val="00C54B0C"/>
    <w:rsid w:val="00C61983"/>
    <w:rsid w:val="00C61C0F"/>
    <w:rsid w:val="00C65D0A"/>
    <w:rsid w:val="00C663A3"/>
    <w:rsid w:val="00C6757E"/>
    <w:rsid w:val="00C71389"/>
    <w:rsid w:val="00C71545"/>
    <w:rsid w:val="00C720D4"/>
    <w:rsid w:val="00C774E8"/>
    <w:rsid w:val="00C801FC"/>
    <w:rsid w:val="00C80907"/>
    <w:rsid w:val="00C80D63"/>
    <w:rsid w:val="00C853AB"/>
    <w:rsid w:val="00C91EEE"/>
    <w:rsid w:val="00C93E77"/>
    <w:rsid w:val="00C9418F"/>
    <w:rsid w:val="00C94A85"/>
    <w:rsid w:val="00C95D1B"/>
    <w:rsid w:val="00C97D23"/>
    <w:rsid w:val="00CA3405"/>
    <w:rsid w:val="00CA5BCC"/>
    <w:rsid w:val="00CA69D9"/>
    <w:rsid w:val="00CA7BE5"/>
    <w:rsid w:val="00CB07D5"/>
    <w:rsid w:val="00CB0ECB"/>
    <w:rsid w:val="00CB22E9"/>
    <w:rsid w:val="00CB2EF0"/>
    <w:rsid w:val="00CB3D09"/>
    <w:rsid w:val="00CB569B"/>
    <w:rsid w:val="00CB6F56"/>
    <w:rsid w:val="00CB7FDD"/>
    <w:rsid w:val="00CC058C"/>
    <w:rsid w:val="00CC2DF4"/>
    <w:rsid w:val="00CC47E3"/>
    <w:rsid w:val="00CC4B17"/>
    <w:rsid w:val="00CC7450"/>
    <w:rsid w:val="00CD0D24"/>
    <w:rsid w:val="00CD24AC"/>
    <w:rsid w:val="00CD29E0"/>
    <w:rsid w:val="00CD46F1"/>
    <w:rsid w:val="00CD4BA3"/>
    <w:rsid w:val="00CD4FE2"/>
    <w:rsid w:val="00CD6490"/>
    <w:rsid w:val="00CD7906"/>
    <w:rsid w:val="00CD7C00"/>
    <w:rsid w:val="00CE001D"/>
    <w:rsid w:val="00CE084B"/>
    <w:rsid w:val="00CE1571"/>
    <w:rsid w:val="00CE2AD8"/>
    <w:rsid w:val="00CE3346"/>
    <w:rsid w:val="00CE5025"/>
    <w:rsid w:val="00CE5A09"/>
    <w:rsid w:val="00CE5E8B"/>
    <w:rsid w:val="00CE60C2"/>
    <w:rsid w:val="00CE7075"/>
    <w:rsid w:val="00CE7581"/>
    <w:rsid w:val="00CF2E90"/>
    <w:rsid w:val="00D00527"/>
    <w:rsid w:val="00D011FC"/>
    <w:rsid w:val="00D02D2A"/>
    <w:rsid w:val="00D040CC"/>
    <w:rsid w:val="00D07C54"/>
    <w:rsid w:val="00D136BE"/>
    <w:rsid w:val="00D15071"/>
    <w:rsid w:val="00D17662"/>
    <w:rsid w:val="00D2192D"/>
    <w:rsid w:val="00D227BD"/>
    <w:rsid w:val="00D23EE5"/>
    <w:rsid w:val="00D24FD1"/>
    <w:rsid w:val="00D27950"/>
    <w:rsid w:val="00D3467B"/>
    <w:rsid w:val="00D362CA"/>
    <w:rsid w:val="00D36449"/>
    <w:rsid w:val="00D367EF"/>
    <w:rsid w:val="00D368FD"/>
    <w:rsid w:val="00D3746B"/>
    <w:rsid w:val="00D376C7"/>
    <w:rsid w:val="00D37CA4"/>
    <w:rsid w:val="00D40BD0"/>
    <w:rsid w:val="00D414FA"/>
    <w:rsid w:val="00D427B5"/>
    <w:rsid w:val="00D43B17"/>
    <w:rsid w:val="00D51E0D"/>
    <w:rsid w:val="00D52C13"/>
    <w:rsid w:val="00D531C2"/>
    <w:rsid w:val="00D542CF"/>
    <w:rsid w:val="00D547E7"/>
    <w:rsid w:val="00D56712"/>
    <w:rsid w:val="00D57E73"/>
    <w:rsid w:val="00D601C4"/>
    <w:rsid w:val="00D6080B"/>
    <w:rsid w:val="00D63123"/>
    <w:rsid w:val="00D7198C"/>
    <w:rsid w:val="00D73339"/>
    <w:rsid w:val="00D73969"/>
    <w:rsid w:val="00D74FC3"/>
    <w:rsid w:val="00D754C4"/>
    <w:rsid w:val="00D75981"/>
    <w:rsid w:val="00D767EF"/>
    <w:rsid w:val="00D77038"/>
    <w:rsid w:val="00D77DEE"/>
    <w:rsid w:val="00D8056B"/>
    <w:rsid w:val="00D81529"/>
    <w:rsid w:val="00D81736"/>
    <w:rsid w:val="00D832B1"/>
    <w:rsid w:val="00D83D8C"/>
    <w:rsid w:val="00D876DC"/>
    <w:rsid w:val="00D901FC"/>
    <w:rsid w:val="00D90501"/>
    <w:rsid w:val="00D90A7E"/>
    <w:rsid w:val="00D914A1"/>
    <w:rsid w:val="00D92670"/>
    <w:rsid w:val="00D93E50"/>
    <w:rsid w:val="00D95472"/>
    <w:rsid w:val="00D959AB"/>
    <w:rsid w:val="00DA0254"/>
    <w:rsid w:val="00DA2E87"/>
    <w:rsid w:val="00DA366C"/>
    <w:rsid w:val="00DA4348"/>
    <w:rsid w:val="00DA4492"/>
    <w:rsid w:val="00DA4EC0"/>
    <w:rsid w:val="00DA50B1"/>
    <w:rsid w:val="00DB0518"/>
    <w:rsid w:val="00DB10D9"/>
    <w:rsid w:val="00DB124C"/>
    <w:rsid w:val="00DB2754"/>
    <w:rsid w:val="00DB3631"/>
    <w:rsid w:val="00DB3A0B"/>
    <w:rsid w:val="00DB411F"/>
    <w:rsid w:val="00DB55B2"/>
    <w:rsid w:val="00DB6FEF"/>
    <w:rsid w:val="00DB7DC4"/>
    <w:rsid w:val="00DC2FF9"/>
    <w:rsid w:val="00DC3776"/>
    <w:rsid w:val="00DC38A6"/>
    <w:rsid w:val="00DC3FD5"/>
    <w:rsid w:val="00DC5871"/>
    <w:rsid w:val="00DC730F"/>
    <w:rsid w:val="00DD06CB"/>
    <w:rsid w:val="00DD2019"/>
    <w:rsid w:val="00DD538A"/>
    <w:rsid w:val="00DE3210"/>
    <w:rsid w:val="00DE3FA6"/>
    <w:rsid w:val="00DE5486"/>
    <w:rsid w:val="00DF05D3"/>
    <w:rsid w:val="00DF4EFA"/>
    <w:rsid w:val="00DF7BCF"/>
    <w:rsid w:val="00E006BA"/>
    <w:rsid w:val="00E02A74"/>
    <w:rsid w:val="00E07814"/>
    <w:rsid w:val="00E108DD"/>
    <w:rsid w:val="00E112E4"/>
    <w:rsid w:val="00E1207C"/>
    <w:rsid w:val="00E12931"/>
    <w:rsid w:val="00E140B6"/>
    <w:rsid w:val="00E15EAB"/>
    <w:rsid w:val="00E16EDC"/>
    <w:rsid w:val="00E1758A"/>
    <w:rsid w:val="00E20261"/>
    <w:rsid w:val="00E20D44"/>
    <w:rsid w:val="00E21316"/>
    <w:rsid w:val="00E213E4"/>
    <w:rsid w:val="00E22F2F"/>
    <w:rsid w:val="00E22FD3"/>
    <w:rsid w:val="00E25809"/>
    <w:rsid w:val="00E25A7C"/>
    <w:rsid w:val="00E27169"/>
    <w:rsid w:val="00E27625"/>
    <w:rsid w:val="00E3051C"/>
    <w:rsid w:val="00E33666"/>
    <w:rsid w:val="00E350EE"/>
    <w:rsid w:val="00E40DEC"/>
    <w:rsid w:val="00E418ED"/>
    <w:rsid w:val="00E41EB6"/>
    <w:rsid w:val="00E42032"/>
    <w:rsid w:val="00E420C1"/>
    <w:rsid w:val="00E45FDC"/>
    <w:rsid w:val="00E46D91"/>
    <w:rsid w:val="00E47877"/>
    <w:rsid w:val="00E5069B"/>
    <w:rsid w:val="00E52073"/>
    <w:rsid w:val="00E523AA"/>
    <w:rsid w:val="00E52EBB"/>
    <w:rsid w:val="00E538EB"/>
    <w:rsid w:val="00E5694F"/>
    <w:rsid w:val="00E6000F"/>
    <w:rsid w:val="00E61782"/>
    <w:rsid w:val="00E619B0"/>
    <w:rsid w:val="00E62990"/>
    <w:rsid w:val="00E62E90"/>
    <w:rsid w:val="00E657E2"/>
    <w:rsid w:val="00E66176"/>
    <w:rsid w:val="00E67A48"/>
    <w:rsid w:val="00E70A98"/>
    <w:rsid w:val="00E70C80"/>
    <w:rsid w:val="00E70E4D"/>
    <w:rsid w:val="00E76092"/>
    <w:rsid w:val="00E77129"/>
    <w:rsid w:val="00E813DD"/>
    <w:rsid w:val="00E8213A"/>
    <w:rsid w:val="00E8319F"/>
    <w:rsid w:val="00E8415B"/>
    <w:rsid w:val="00E841DB"/>
    <w:rsid w:val="00E84B89"/>
    <w:rsid w:val="00E90A5D"/>
    <w:rsid w:val="00E91C43"/>
    <w:rsid w:val="00E9279B"/>
    <w:rsid w:val="00E95222"/>
    <w:rsid w:val="00E97D31"/>
    <w:rsid w:val="00EA12ED"/>
    <w:rsid w:val="00EA15A1"/>
    <w:rsid w:val="00EA1733"/>
    <w:rsid w:val="00EA1AF7"/>
    <w:rsid w:val="00EA2BA1"/>
    <w:rsid w:val="00EA3D45"/>
    <w:rsid w:val="00EA4E26"/>
    <w:rsid w:val="00EA5D89"/>
    <w:rsid w:val="00EA6068"/>
    <w:rsid w:val="00EA70E7"/>
    <w:rsid w:val="00EB2374"/>
    <w:rsid w:val="00EB611B"/>
    <w:rsid w:val="00EB662B"/>
    <w:rsid w:val="00EC1833"/>
    <w:rsid w:val="00EC6596"/>
    <w:rsid w:val="00EC73FE"/>
    <w:rsid w:val="00ED0DA4"/>
    <w:rsid w:val="00ED0DA6"/>
    <w:rsid w:val="00ED157C"/>
    <w:rsid w:val="00ED2C3C"/>
    <w:rsid w:val="00ED5783"/>
    <w:rsid w:val="00ED67EE"/>
    <w:rsid w:val="00EE1CE3"/>
    <w:rsid w:val="00EE1F85"/>
    <w:rsid w:val="00EE3EFE"/>
    <w:rsid w:val="00EE6C9C"/>
    <w:rsid w:val="00EE7617"/>
    <w:rsid w:val="00EF2AE0"/>
    <w:rsid w:val="00EF2B5E"/>
    <w:rsid w:val="00EF4562"/>
    <w:rsid w:val="00EF47CA"/>
    <w:rsid w:val="00EF4E30"/>
    <w:rsid w:val="00EF58D9"/>
    <w:rsid w:val="00F02240"/>
    <w:rsid w:val="00F0760A"/>
    <w:rsid w:val="00F077AC"/>
    <w:rsid w:val="00F10254"/>
    <w:rsid w:val="00F11DC2"/>
    <w:rsid w:val="00F12B3C"/>
    <w:rsid w:val="00F1326D"/>
    <w:rsid w:val="00F14A25"/>
    <w:rsid w:val="00F15BEC"/>
    <w:rsid w:val="00F1714D"/>
    <w:rsid w:val="00F17363"/>
    <w:rsid w:val="00F17E29"/>
    <w:rsid w:val="00F2242A"/>
    <w:rsid w:val="00F22A96"/>
    <w:rsid w:val="00F22CCE"/>
    <w:rsid w:val="00F24B0A"/>
    <w:rsid w:val="00F2621E"/>
    <w:rsid w:val="00F27215"/>
    <w:rsid w:val="00F312AE"/>
    <w:rsid w:val="00F33251"/>
    <w:rsid w:val="00F343C4"/>
    <w:rsid w:val="00F35837"/>
    <w:rsid w:val="00F40ECF"/>
    <w:rsid w:val="00F42B05"/>
    <w:rsid w:val="00F43B89"/>
    <w:rsid w:val="00F44700"/>
    <w:rsid w:val="00F463F4"/>
    <w:rsid w:val="00F46C49"/>
    <w:rsid w:val="00F5111E"/>
    <w:rsid w:val="00F52AA0"/>
    <w:rsid w:val="00F5569D"/>
    <w:rsid w:val="00F57402"/>
    <w:rsid w:val="00F60A0A"/>
    <w:rsid w:val="00F61F33"/>
    <w:rsid w:val="00F6397F"/>
    <w:rsid w:val="00F63AFB"/>
    <w:rsid w:val="00F640DD"/>
    <w:rsid w:val="00F6760C"/>
    <w:rsid w:val="00F67AE9"/>
    <w:rsid w:val="00F67F13"/>
    <w:rsid w:val="00F70042"/>
    <w:rsid w:val="00F70B69"/>
    <w:rsid w:val="00F71E0E"/>
    <w:rsid w:val="00F76CFF"/>
    <w:rsid w:val="00F81FBD"/>
    <w:rsid w:val="00F822F1"/>
    <w:rsid w:val="00F82367"/>
    <w:rsid w:val="00F85478"/>
    <w:rsid w:val="00F874FC"/>
    <w:rsid w:val="00F87BBF"/>
    <w:rsid w:val="00F904F3"/>
    <w:rsid w:val="00F911E5"/>
    <w:rsid w:val="00F92609"/>
    <w:rsid w:val="00F9406E"/>
    <w:rsid w:val="00F940FF"/>
    <w:rsid w:val="00F94447"/>
    <w:rsid w:val="00F94516"/>
    <w:rsid w:val="00F95942"/>
    <w:rsid w:val="00F964C9"/>
    <w:rsid w:val="00F97F5E"/>
    <w:rsid w:val="00FA1641"/>
    <w:rsid w:val="00FA2215"/>
    <w:rsid w:val="00FA3644"/>
    <w:rsid w:val="00FA698F"/>
    <w:rsid w:val="00FB05FF"/>
    <w:rsid w:val="00FB1C16"/>
    <w:rsid w:val="00FB49AD"/>
    <w:rsid w:val="00FB4BA1"/>
    <w:rsid w:val="00FB5C67"/>
    <w:rsid w:val="00FB5F2C"/>
    <w:rsid w:val="00FB6E50"/>
    <w:rsid w:val="00FC021D"/>
    <w:rsid w:val="00FC05B6"/>
    <w:rsid w:val="00FC1A8E"/>
    <w:rsid w:val="00FC3C85"/>
    <w:rsid w:val="00FC4C78"/>
    <w:rsid w:val="00FC6229"/>
    <w:rsid w:val="00FC6BEA"/>
    <w:rsid w:val="00FD0738"/>
    <w:rsid w:val="00FD3D67"/>
    <w:rsid w:val="00FD4B56"/>
    <w:rsid w:val="00FD52C4"/>
    <w:rsid w:val="00FD5673"/>
    <w:rsid w:val="00FD6D1C"/>
    <w:rsid w:val="00FE351A"/>
    <w:rsid w:val="00FE58AC"/>
    <w:rsid w:val="00FE5FE4"/>
    <w:rsid w:val="00FF2BC6"/>
    <w:rsid w:val="00FF2F02"/>
    <w:rsid w:val="00FF4ABD"/>
    <w:rsid w:val="00FF6747"/>
    <w:rsid w:val="00FF785D"/>
    <w:rsid w:val="180C3853"/>
    <w:rsid w:val="6E9D5B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2141E70C"/>
  <w15:docId w15:val="{575B941D-BDEC-4918-AC16-7C2B23D9A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adjustRightInd w:val="0"/>
      <w:snapToGrid w:val="0"/>
      <w:spacing w:line="360" w:lineRule="auto"/>
      <w:ind w:firstLineChars="200" w:firstLine="200"/>
      <w:jc w:val="both"/>
    </w:pPr>
    <w:rPr>
      <w:rFonts w:ascii="Times New Roman" w:eastAsia="宋体" w:hAnsi="Times New Roman"/>
      <w:kern w:val="2"/>
      <w:sz w:val="28"/>
      <w:szCs w:val="24"/>
      <w14:ligatures w14:val="standardContextual"/>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0"/>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autoRedefine/>
    <w:uiPriority w:val="39"/>
    <w:unhideWhenUsed/>
    <w:qFormat/>
    <w:pPr>
      <w:adjustRightInd/>
      <w:snapToGrid/>
      <w:spacing w:line="240" w:lineRule="auto"/>
      <w:ind w:leftChars="1200" w:left="2520" w:firstLineChars="0" w:firstLine="0"/>
    </w:pPr>
    <w:rPr>
      <w:rFonts w:asciiTheme="minorHAnsi" w:eastAsiaTheme="minorEastAsia" w:hAnsiTheme="minorHAnsi"/>
      <w:sz w:val="21"/>
      <w:szCs w:val="22"/>
    </w:rPr>
  </w:style>
  <w:style w:type="paragraph" w:styleId="a3">
    <w:name w:val="annotation text"/>
    <w:basedOn w:val="a"/>
    <w:link w:val="a4"/>
    <w:uiPriority w:val="99"/>
    <w:semiHidden/>
    <w:unhideWhenUsed/>
    <w:qFormat/>
    <w:pPr>
      <w:jc w:val="left"/>
    </w:pPr>
  </w:style>
  <w:style w:type="paragraph" w:styleId="TOC5">
    <w:name w:val="toc 5"/>
    <w:basedOn w:val="a"/>
    <w:next w:val="a"/>
    <w:autoRedefine/>
    <w:uiPriority w:val="39"/>
    <w:unhideWhenUsed/>
    <w:qFormat/>
    <w:pPr>
      <w:adjustRightInd/>
      <w:snapToGrid/>
      <w:spacing w:line="240" w:lineRule="auto"/>
      <w:ind w:leftChars="800" w:left="1680" w:firstLineChars="0" w:firstLine="0"/>
    </w:pPr>
    <w:rPr>
      <w:rFonts w:asciiTheme="minorHAnsi" w:eastAsiaTheme="minorEastAsia" w:hAnsiTheme="minorHAnsi"/>
      <w:sz w:val="21"/>
      <w:szCs w:val="22"/>
    </w:rPr>
  </w:style>
  <w:style w:type="paragraph" w:styleId="TOC3">
    <w:name w:val="toc 3"/>
    <w:basedOn w:val="a"/>
    <w:next w:val="a"/>
    <w:autoRedefine/>
    <w:uiPriority w:val="39"/>
    <w:unhideWhenUsed/>
    <w:qFormat/>
    <w:pPr>
      <w:ind w:leftChars="400" w:left="840"/>
    </w:pPr>
  </w:style>
  <w:style w:type="paragraph" w:styleId="TOC8">
    <w:name w:val="toc 8"/>
    <w:basedOn w:val="a"/>
    <w:next w:val="a"/>
    <w:autoRedefine/>
    <w:uiPriority w:val="39"/>
    <w:unhideWhenUsed/>
    <w:qFormat/>
    <w:pPr>
      <w:adjustRightInd/>
      <w:snapToGrid/>
      <w:spacing w:line="240" w:lineRule="auto"/>
      <w:ind w:leftChars="1400" w:left="2940" w:firstLineChars="0" w:firstLine="0"/>
    </w:pPr>
    <w:rPr>
      <w:rFonts w:asciiTheme="minorHAnsi" w:eastAsiaTheme="minorEastAsia" w:hAnsiTheme="minorHAnsi"/>
      <w:sz w:val="21"/>
      <w:szCs w:val="22"/>
    </w:rPr>
  </w:style>
  <w:style w:type="paragraph" w:styleId="a5">
    <w:name w:val="footer"/>
    <w:basedOn w:val="a"/>
    <w:link w:val="a6"/>
    <w:uiPriority w:val="99"/>
    <w:unhideWhenUsed/>
    <w:qFormat/>
    <w:pPr>
      <w:tabs>
        <w:tab w:val="center" w:pos="4153"/>
        <w:tab w:val="right" w:pos="8306"/>
      </w:tabs>
      <w:spacing w:line="240" w:lineRule="auto"/>
    </w:pPr>
    <w:rPr>
      <w:sz w:val="18"/>
      <w:szCs w:val="18"/>
    </w:rPr>
  </w:style>
  <w:style w:type="paragraph" w:styleId="a7">
    <w:name w:val="header"/>
    <w:basedOn w:val="a"/>
    <w:link w:val="a8"/>
    <w:uiPriority w:val="99"/>
    <w:unhideWhenUsed/>
    <w:qFormat/>
    <w:pPr>
      <w:tabs>
        <w:tab w:val="center" w:pos="4153"/>
        <w:tab w:val="right" w:pos="8306"/>
      </w:tabs>
      <w:spacing w:line="240" w:lineRule="auto"/>
      <w:jc w:val="center"/>
    </w:pPr>
    <w:rPr>
      <w:sz w:val="18"/>
      <w:szCs w:val="18"/>
    </w:rPr>
  </w:style>
  <w:style w:type="paragraph" w:styleId="TOC1">
    <w:name w:val="toc 1"/>
    <w:basedOn w:val="a"/>
    <w:next w:val="a"/>
    <w:autoRedefine/>
    <w:uiPriority w:val="39"/>
    <w:unhideWhenUsed/>
    <w:qFormat/>
    <w:pPr>
      <w:tabs>
        <w:tab w:val="right" w:leader="dot" w:pos="9174"/>
      </w:tabs>
      <w:ind w:firstLineChars="0" w:firstLine="0"/>
    </w:pPr>
    <w:rPr>
      <w:rFonts w:eastAsia="黑体"/>
      <w:b/>
      <w:bCs/>
    </w:rPr>
  </w:style>
  <w:style w:type="paragraph" w:styleId="TOC4">
    <w:name w:val="toc 4"/>
    <w:basedOn w:val="a"/>
    <w:next w:val="a"/>
    <w:autoRedefine/>
    <w:uiPriority w:val="39"/>
    <w:unhideWhenUsed/>
    <w:qFormat/>
    <w:pPr>
      <w:adjustRightInd/>
      <w:snapToGrid/>
      <w:spacing w:line="240" w:lineRule="auto"/>
      <w:ind w:leftChars="600" w:left="1260" w:firstLineChars="0" w:firstLine="0"/>
    </w:pPr>
    <w:rPr>
      <w:rFonts w:asciiTheme="minorHAnsi" w:eastAsiaTheme="minorEastAsia" w:hAnsiTheme="minorHAnsi"/>
      <w:sz w:val="21"/>
      <w:szCs w:val="22"/>
    </w:rPr>
  </w:style>
  <w:style w:type="paragraph" w:styleId="TOC6">
    <w:name w:val="toc 6"/>
    <w:basedOn w:val="a"/>
    <w:next w:val="a"/>
    <w:autoRedefine/>
    <w:uiPriority w:val="39"/>
    <w:unhideWhenUsed/>
    <w:qFormat/>
    <w:pPr>
      <w:adjustRightInd/>
      <w:snapToGrid/>
      <w:spacing w:line="240" w:lineRule="auto"/>
      <w:ind w:leftChars="1000" w:left="2100" w:firstLineChars="0" w:firstLine="0"/>
    </w:pPr>
    <w:rPr>
      <w:rFonts w:asciiTheme="minorHAnsi" w:eastAsiaTheme="minorEastAsia" w:hAnsiTheme="minorHAnsi"/>
      <w:sz w:val="21"/>
      <w:szCs w:val="22"/>
    </w:rPr>
  </w:style>
  <w:style w:type="paragraph" w:styleId="TOC2">
    <w:name w:val="toc 2"/>
    <w:basedOn w:val="a"/>
    <w:next w:val="a"/>
    <w:autoRedefine/>
    <w:uiPriority w:val="39"/>
    <w:unhideWhenUsed/>
    <w:qFormat/>
    <w:pPr>
      <w:ind w:leftChars="200" w:left="420"/>
    </w:pPr>
  </w:style>
  <w:style w:type="paragraph" w:styleId="TOC9">
    <w:name w:val="toc 9"/>
    <w:basedOn w:val="a"/>
    <w:next w:val="a"/>
    <w:autoRedefine/>
    <w:uiPriority w:val="39"/>
    <w:unhideWhenUsed/>
    <w:qFormat/>
    <w:pPr>
      <w:adjustRightInd/>
      <w:snapToGrid/>
      <w:spacing w:line="240" w:lineRule="auto"/>
      <w:ind w:leftChars="1600" w:left="3360" w:firstLineChars="0" w:firstLine="0"/>
    </w:pPr>
    <w:rPr>
      <w:rFonts w:asciiTheme="minorHAnsi" w:eastAsiaTheme="minorEastAsia" w:hAnsiTheme="minorHAnsi"/>
      <w:sz w:val="21"/>
      <w:szCs w:val="22"/>
    </w:rPr>
  </w:style>
  <w:style w:type="paragraph" w:styleId="a9">
    <w:name w:val="annotation subject"/>
    <w:basedOn w:val="a3"/>
    <w:next w:val="a3"/>
    <w:link w:val="aa"/>
    <w:uiPriority w:val="99"/>
    <w:semiHidden/>
    <w:unhideWhenUsed/>
    <w:qFormat/>
    <w:rPr>
      <w:b/>
      <w:bCs/>
    </w:rPr>
  </w:style>
  <w:style w:type="table" w:styleId="ab">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qFormat/>
    <w:rPr>
      <w:color w:val="467886" w:themeColor="hyperlink"/>
      <w:u w:val="single"/>
    </w:rPr>
  </w:style>
  <w:style w:type="character" w:styleId="ad">
    <w:name w:val="annotation reference"/>
    <w:basedOn w:val="a0"/>
    <w:uiPriority w:val="99"/>
    <w:semiHidden/>
    <w:unhideWhenUsed/>
    <w:qFormat/>
    <w:rPr>
      <w:sz w:val="21"/>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paragraph" w:customStyle="1" w:styleId="ae">
    <w:name w:val="画图文字"/>
    <w:autoRedefine/>
    <w:qFormat/>
    <w:pPr>
      <w:widowControl w:val="0"/>
      <w:adjustRightInd w:val="0"/>
      <w:snapToGrid w:val="0"/>
      <w:spacing w:beforeLines="150" w:before="468" w:afterLines="150" w:after="468" w:line="360" w:lineRule="auto"/>
      <w:jc w:val="center"/>
      <w:outlineLvl w:val="0"/>
    </w:pPr>
    <w:rPr>
      <w:rFonts w:ascii="黑体" w:eastAsia="黑体" w:hAnsi="黑体" w:cs="Times New Roman"/>
      <w:b/>
      <w:bCs/>
      <w:snapToGrid w:val="0"/>
      <w:kern w:val="24"/>
      <w:sz w:val="32"/>
      <w:szCs w:val="32"/>
    </w:rPr>
  </w:style>
  <w:style w:type="paragraph" w:styleId="af">
    <w:name w:val="List Paragraph"/>
    <w:basedOn w:val="a"/>
    <w:uiPriority w:val="34"/>
    <w:qFormat/>
    <w:pPr>
      <w:ind w:firstLine="420"/>
    </w:pPr>
  </w:style>
  <w:style w:type="paragraph" w:customStyle="1" w:styleId="af0">
    <w:name w:val="画图样式"/>
    <w:basedOn w:val="a"/>
    <w:link w:val="af1"/>
    <w:qFormat/>
    <w:pPr>
      <w:spacing w:line="240" w:lineRule="auto"/>
      <w:ind w:firstLineChars="0" w:firstLine="0"/>
      <w:jc w:val="center"/>
    </w:pPr>
    <w:rPr>
      <w:sz w:val="21"/>
    </w:rPr>
  </w:style>
  <w:style w:type="character" w:customStyle="1" w:styleId="af1">
    <w:name w:val="画图样式 字符"/>
    <w:basedOn w:val="a0"/>
    <w:link w:val="af0"/>
    <w:qFormat/>
    <w:rPr>
      <w:rFonts w:ascii="Times New Roman" w:eastAsia="宋体" w:hAnsi="Times New Roman"/>
      <w:sz w:val="21"/>
    </w:rPr>
  </w:style>
  <w:style w:type="character" w:styleId="af2">
    <w:name w:val="Placeholder Text"/>
    <w:basedOn w:val="a0"/>
    <w:uiPriority w:val="99"/>
    <w:semiHidden/>
    <w:qFormat/>
    <w:rPr>
      <w:color w:val="666666"/>
    </w:rPr>
  </w:style>
  <w:style w:type="character" w:customStyle="1" w:styleId="10">
    <w:name w:val="标题 1 字符"/>
    <w:basedOn w:val="a0"/>
    <w:link w:val="1"/>
    <w:uiPriority w:val="9"/>
    <w:qFormat/>
    <w:rPr>
      <w:rFonts w:ascii="Times New Roman" w:eastAsia="宋体" w:hAnsi="Times New Roman"/>
      <w:b/>
      <w:bCs/>
      <w:kern w:val="44"/>
      <w:sz w:val="44"/>
      <w:szCs w:val="44"/>
    </w:rPr>
  </w:style>
  <w:style w:type="paragraph" w:customStyle="1" w:styleId="TOC10">
    <w:name w:val="TOC 标题1"/>
    <w:basedOn w:val="1"/>
    <w:next w:val="a"/>
    <w:uiPriority w:val="39"/>
    <w:unhideWhenUsed/>
    <w:qFormat/>
    <w:pPr>
      <w:widowControl/>
      <w:adjustRightInd/>
      <w:snapToGrid/>
      <w:spacing w:before="240" w:after="0" w:line="259" w:lineRule="auto"/>
      <w:ind w:firstLineChars="0" w:firstLine="0"/>
      <w:jc w:val="left"/>
      <w:outlineLvl w:val="9"/>
    </w:pPr>
    <w:rPr>
      <w:rFonts w:asciiTheme="majorHAnsi" w:eastAsiaTheme="majorEastAsia" w:hAnsiTheme="majorHAnsi" w:cstheme="majorBidi"/>
      <w:b w:val="0"/>
      <w:bCs w:val="0"/>
      <w:color w:val="0F4761" w:themeColor="accent1" w:themeShade="BF"/>
      <w:kern w:val="0"/>
      <w:sz w:val="32"/>
      <w:szCs w:val="32"/>
      <w14:ligatures w14:val="none"/>
    </w:rPr>
  </w:style>
  <w:style w:type="character" w:customStyle="1" w:styleId="11">
    <w:name w:val="未处理的提及1"/>
    <w:basedOn w:val="a0"/>
    <w:uiPriority w:val="99"/>
    <w:semiHidden/>
    <w:unhideWhenUsed/>
    <w:qFormat/>
    <w:rPr>
      <w:color w:val="605E5C"/>
      <w:shd w:val="clear" w:color="auto" w:fill="E1DFDD"/>
    </w:rPr>
  </w:style>
  <w:style w:type="character" w:customStyle="1" w:styleId="a4">
    <w:name w:val="批注文字 字符"/>
    <w:basedOn w:val="a0"/>
    <w:link w:val="a3"/>
    <w:uiPriority w:val="99"/>
    <w:semiHidden/>
    <w:qFormat/>
    <w:rPr>
      <w:rFonts w:ascii="Times New Roman" w:eastAsia="宋体" w:hAnsi="Times New Roman"/>
      <w:sz w:val="28"/>
    </w:rPr>
  </w:style>
  <w:style w:type="character" w:customStyle="1" w:styleId="aa">
    <w:name w:val="批注主题 字符"/>
    <w:basedOn w:val="a4"/>
    <w:link w:val="a9"/>
    <w:uiPriority w:val="99"/>
    <w:semiHidden/>
    <w:qFormat/>
    <w:rPr>
      <w:rFonts w:ascii="Times New Roman" w:eastAsia="宋体" w:hAnsi="Times New Roman"/>
      <w:b/>
      <w:bCs/>
      <w:sz w:val="28"/>
    </w:rPr>
  </w:style>
  <w:style w:type="character" w:customStyle="1" w:styleId="20">
    <w:name w:val="标题 2 字符"/>
    <w:basedOn w:val="a0"/>
    <w:link w:val="2"/>
    <w:uiPriority w:val="9"/>
    <w:semiHidden/>
    <w:qFormat/>
    <w:rPr>
      <w:rFonts w:asciiTheme="majorHAnsi" w:eastAsiaTheme="majorEastAsia" w:hAnsiTheme="majorHAnsi" w:cstheme="majorBidi"/>
      <w:b/>
      <w:bCs/>
      <w:sz w:val="32"/>
      <w:szCs w:val="32"/>
    </w:rPr>
  </w:style>
  <w:style w:type="character" w:customStyle="1" w:styleId="30">
    <w:name w:val="标题 3 字符"/>
    <w:basedOn w:val="a0"/>
    <w:link w:val="3"/>
    <w:uiPriority w:val="9"/>
    <w:semiHidden/>
    <w:qFormat/>
    <w:rPr>
      <w:rFonts w:ascii="Times New Roman" w:eastAsia="宋体" w:hAnsi="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numbering" Target="numbering.xml"/><Relationship Id="rId21" Type="http://schemas.openxmlformats.org/officeDocument/2006/relationships/image" Target="media/image5.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3.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image" Target="media/image6.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6C67D1AA-CAE6-4218-B9AC-15CD29AA43C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339</TotalTime>
  <Pages>98</Pages>
  <Words>8870</Words>
  <Characters>50562</Characters>
  <Application>Microsoft Office Word</Application>
  <DocSecurity>0</DocSecurity>
  <Lines>421</Lines>
  <Paragraphs>118</Paragraphs>
  <ScaleCrop>false</ScaleCrop>
  <Company/>
  <LinksUpToDate>false</LinksUpToDate>
  <CharactersWithSpaces>59314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13</cp:revision>
  <cp:lastPrinted>2025-09-16T01:51:00Z</cp:lastPrinted>
  <dcterms:created xsi:type="dcterms:W3CDTF">2025-09-09T01:37:00Z</dcterms:created>
  <dcterms:modified xsi:type="dcterms:W3CDTF">2025-09-19T01:41:00Z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eyJoZGlkIjoiZmMwMTRhOGI2M2Y0MTA3MDg0NDFlNDA3MjI5ZDllNGYiLCJ1c2VySWQiOiIxMTc3MDAyODE0In0=</vt:lpwstr>
  </property>
  <property fmtid="{D5CDD505-2E9C-101B-9397-08002B2CF9AE}" pid="3" name="KSOProductBuildVer">
    <vt:lpwstr>2052-12.1.0.22529</vt:lpwstr>
  </property>
  <property fmtid="{D5CDD505-2E9C-101B-9397-08002B2CF9AE}" pid="4" name="ICV">
    <vt:lpwstr>3733515D4ABB4479B5991E51349513D5_12</vt:lpwstr>
  </property>
</Properties>
</file>