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F11A1F">
      <w:pPr>
        <w:adjustRightInd w:val="0"/>
        <w:snapToGrid w:val="0"/>
        <w:spacing w:before="156" w:beforeLines="50" w:after="156" w:afterLines="50" w:line="360" w:lineRule="auto"/>
        <w:jc w:val="center"/>
        <w:outlineLvl w:val="0"/>
        <w:rPr>
          <w:rFonts w:ascii="Times New Roman" w:hAnsi="Times New Roman" w:eastAsia="黑体" w:cs="Times New Roman"/>
          <w:bCs/>
          <w:kern w:val="44"/>
          <w:sz w:val="32"/>
          <w:szCs w:val="44"/>
          <w14:ligatures w14:val="none"/>
        </w:rPr>
      </w:pPr>
      <w:bookmarkStart w:id="0" w:name="_Toc185509618"/>
      <w:bookmarkStart w:id="1" w:name="_Toc36189459"/>
      <w:bookmarkStart w:id="2" w:name="_Toc529533040"/>
      <w:bookmarkStart w:id="3" w:name="_Toc11284"/>
      <w:bookmarkStart w:id="4" w:name="_Toc163051338"/>
      <w:bookmarkStart w:id="5" w:name="_Toc163051161"/>
      <w:bookmarkStart w:id="6" w:name="_Toc163050894"/>
      <w:bookmarkStart w:id="7" w:name="_Toc7512635"/>
      <w:bookmarkStart w:id="8" w:name="_Toc13970"/>
      <w:bookmarkStart w:id="9" w:name="_Toc2110"/>
      <w:bookmarkStart w:id="10" w:name="_Toc185682501"/>
      <w:bookmarkStart w:id="11" w:name="_Toc29085"/>
      <w:bookmarkStart w:id="12" w:name="_Toc185339058"/>
      <w:bookmarkStart w:id="13" w:name="_Toc7443854"/>
      <w:bookmarkStart w:id="14" w:name="_Toc35504129"/>
      <w:bookmarkStart w:id="15" w:name="_Toc17666"/>
      <w:bookmarkStart w:id="16" w:name="_Toc29657"/>
      <w:r>
        <w:rPr>
          <w:rFonts w:ascii="Times New Roman" w:hAnsi="Times New Roman" w:eastAsia="黑体" w:cs="Times New Roman"/>
          <w:b/>
          <w:kern w:val="44"/>
          <w:sz w:val="32"/>
          <w:szCs w:val="44"/>
          <w14:ligatures w14:val="none"/>
        </w:rPr>
        <w:t>前</w:t>
      </w:r>
      <w:r>
        <w:rPr>
          <w:rFonts w:hint="eastAsia" w:ascii="Times New Roman" w:hAnsi="Times New Roman" w:eastAsia="黑体" w:cs="Times New Roman"/>
          <w:b/>
          <w:kern w:val="44"/>
          <w:sz w:val="32"/>
          <w:szCs w:val="44"/>
          <w14:ligatures w14:val="none"/>
        </w:rPr>
        <w:t xml:space="preserve">  </w:t>
      </w:r>
      <w:r>
        <w:rPr>
          <w:rFonts w:ascii="Times New Roman" w:hAnsi="Times New Roman" w:eastAsia="黑体" w:cs="Times New Roman"/>
          <w:b/>
          <w:kern w:val="44"/>
          <w:sz w:val="32"/>
          <w:szCs w:val="44"/>
          <w14:ligatures w14:val="none"/>
        </w:rPr>
        <w:t>言</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p>
    <w:p w14:paraId="70AD11B1">
      <w:pPr>
        <w:adjustRightInd w:val="0"/>
        <w:snapToGrid w:val="0"/>
        <w:spacing w:after="0" w:line="360" w:lineRule="auto"/>
        <w:ind w:firstLine="560" w:firstLineChars="200"/>
        <w:jc w:val="both"/>
        <w:rPr>
          <w:rFonts w:hint="eastAsia" w:ascii="Times New Roman" w:hAnsi="Times New Roman" w:eastAsia="宋体" w:cs="Times New Roman"/>
          <w:sz w:val="28"/>
          <w:szCs w:val="28"/>
          <w:lang w:val="en-US" w:eastAsia="zh-CN"/>
          <w14:ligatures w14:val="none"/>
        </w:rPr>
      </w:pPr>
      <w:r>
        <w:rPr>
          <w:rFonts w:hint="eastAsia" w:ascii="Times New Roman" w:hAnsi="Times New Roman" w:eastAsia="宋体" w:cs="Times New Roman"/>
          <w:sz w:val="28"/>
          <w:szCs w:val="28"/>
          <w:lang w:val="en-US" w:eastAsia="zh-CN"/>
          <w14:ligatures w14:val="none"/>
        </w:rPr>
        <w:t>朝阳金达钛业股份有限公司成立于2006年08月28日，法定代表人为赵春雷，注册资本人民币壹亿伍仟万元整，公司类型为股份有限公司。许可项目：道路货物运输（不含危险货物）危险化学品经营（依法须经批准的项目，经相关部门批准后方可开展经营活动，具体经营项目以审批结果为准）。一般项目：常用有色金属冶炼，有色金属压延加工，化工产品销售（不含许可类化工产品），金属包装容器及材料制造，金属包装容器及材料销售，金属材料销售等。</w:t>
      </w:r>
    </w:p>
    <w:p w14:paraId="5C16942F">
      <w:pPr>
        <w:adjustRightInd w:val="0"/>
        <w:snapToGrid w:val="0"/>
        <w:spacing w:after="0" w:line="360" w:lineRule="auto"/>
        <w:ind w:firstLine="560" w:firstLineChars="200"/>
        <w:jc w:val="both"/>
        <w:rPr>
          <w:rFonts w:hint="eastAsia" w:ascii="Times New Roman" w:hAnsi="Times New Roman" w:eastAsia="宋体" w:cs="Times New Roman"/>
          <w:sz w:val="28"/>
          <w:szCs w:val="28"/>
          <w:lang w:val="en-US" w:eastAsia="zh-CN"/>
          <w14:ligatures w14:val="none"/>
        </w:rPr>
      </w:pPr>
      <w:r>
        <w:rPr>
          <w:rFonts w:hint="eastAsia" w:ascii="Times New Roman" w:hAnsi="Times New Roman" w:eastAsia="宋体" w:cs="Times New Roman"/>
          <w:sz w:val="28"/>
          <w:szCs w:val="28"/>
          <w:lang w:val="en-US" w:eastAsia="zh-CN"/>
          <w14:ligatures w14:val="none"/>
        </w:rPr>
        <w:t>朝阳金达钛业股份有限公司于2022年07月28日取得了由朝阳市应急管理局颁发的《危险化学品经营许可证》，证书有效期限至2025年07月27日，证书编号：朝安经（甲）字[2022]100129号，经营方式：批发，许可范围：盐酸、次氯酸钠（含有效氯＞5%）、高硅四氯化钛、硫酸（无储存）、氯气（无储存）。本次拟进行经营许可证的换证申请，经营品种中减少氯气（无储存）。</w:t>
      </w:r>
    </w:p>
    <w:p w14:paraId="6B3AB28B">
      <w:pPr>
        <w:adjustRightInd w:val="0"/>
        <w:snapToGrid w:val="0"/>
        <w:spacing w:after="0" w:line="360" w:lineRule="auto"/>
        <w:ind w:firstLine="560" w:firstLineChars="200"/>
        <w:jc w:val="both"/>
        <w:rPr>
          <w:rFonts w:hint="eastAsia" w:ascii="Times New Roman" w:hAnsi="Times New Roman" w:eastAsia="宋体" w:cs="Times New Roman"/>
          <w:sz w:val="28"/>
          <w:szCs w:val="28"/>
          <w:lang w:val="en-US" w:eastAsia="zh-CN"/>
          <w14:ligatures w14:val="none"/>
        </w:rPr>
      </w:pPr>
      <w:r>
        <w:rPr>
          <w:rFonts w:hint="eastAsia" w:ascii="Times New Roman" w:hAnsi="Times New Roman" w:eastAsia="宋体" w:cs="Times New Roman"/>
          <w:sz w:val="28"/>
          <w:szCs w:val="28"/>
          <w:lang w:val="en-US" w:eastAsia="zh-CN"/>
          <w14:ligatures w14:val="none"/>
        </w:rPr>
        <w:t>根据《危险化学品目录（2015年版）》（国家安全生产监督管理总局等十部门公告2015年第5号）和《关于调整危险化学品目录(2015版)的公告》（中华人民共和国应急管理部等十部门公告2022年第8号）的规定，其经营的化学品：盐酸序号：2507；次氯酸钠（含有效氯＞5%）序号：166；高硅四氯化钛序号：2055；硫酸（无储存）序号：1302，均属于危险化学品。其中重点监管的危险化学品为四氯化钛；盐酸为第三类易制毒化学品；无易制爆化学品。</w:t>
      </w:r>
    </w:p>
    <w:p w14:paraId="4C125A15">
      <w:pPr>
        <w:adjustRightInd w:val="0"/>
        <w:snapToGrid w:val="0"/>
        <w:spacing w:after="0" w:line="360" w:lineRule="auto"/>
        <w:ind w:firstLine="560" w:firstLineChars="200"/>
        <w:jc w:val="both"/>
        <w:rPr>
          <w:rFonts w:hint="eastAsia" w:ascii="Times New Roman" w:hAnsi="Times New Roman" w:eastAsia="宋体" w:cs="Times New Roman"/>
          <w:sz w:val="28"/>
          <w:szCs w:val="28"/>
          <w:lang w:val="en-US" w:eastAsia="zh-CN"/>
          <w14:ligatures w14:val="none"/>
        </w:rPr>
      </w:pPr>
      <w:r>
        <w:rPr>
          <w:rFonts w:hint="eastAsia" w:ascii="Times New Roman" w:hAnsi="Times New Roman" w:eastAsia="宋体" w:cs="Times New Roman"/>
          <w:sz w:val="28"/>
          <w:szCs w:val="28"/>
          <w:lang w:val="en-US" w:eastAsia="zh-CN"/>
          <w14:ligatures w14:val="none"/>
        </w:rPr>
        <w:t>根据《中华人民共和国安全生产法》、《危险化学品安全管理条例》及《危险化学品经营许可证管理办法》的有关规定，该经营许可证有效期为3年。有效期满后，企业需要继续从事危险化学品经营活动的，应当在经营许可证有效期满3个月前，向设区的市级人民政府负有安全生产监督管理职责的部门提出经营许可证的延期申请。安全评价报告是办理经营许可证延期申请的要件之一。为此，朝阳金达钛业股份有限公司委托具有相应安全评价资质的辽宁诺诚安全科技有限公司对其进行安全现状评价。</w:t>
      </w:r>
    </w:p>
    <w:p w14:paraId="3E617145">
      <w:pPr>
        <w:adjustRightInd w:val="0"/>
        <w:snapToGrid w:val="0"/>
        <w:spacing w:after="0" w:line="360" w:lineRule="auto"/>
        <w:ind w:firstLine="560" w:firstLineChars="200"/>
        <w:jc w:val="both"/>
        <w:rPr>
          <w:rFonts w:hint="eastAsia" w:ascii="Times New Roman" w:hAnsi="Times New Roman" w:eastAsia="宋体" w:cs="Times New Roman"/>
          <w:sz w:val="28"/>
          <w:szCs w:val="28"/>
          <w:lang w:val="en-US" w:eastAsia="zh-CN"/>
          <w14:ligatures w14:val="none"/>
        </w:rPr>
      </w:pPr>
      <w:r>
        <w:rPr>
          <w:rFonts w:hint="eastAsia" w:ascii="Times New Roman" w:hAnsi="Times New Roman" w:eastAsia="宋体" w:cs="Times New Roman"/>
          <w:sz w:val="28"/>
          <w:szCs w:val="28"/>
          <w:lang w:val="en-US" w:eastAsia="zh-CN"/>
          <w14:ligatures w14:val="none"/>
        </w:rPr>
        <w:t>接受委托后，我公司专业技术人员立即深入现场进行全面调研和现场勘验并根据国家有关安全生产方面的法律、法规规定、国家或行业标准，按照科学性、公正性、合法性、针对性的原则开展安全评价工作，并编制完成了《朝阳金达钛业股份有限公司经营危险化学品安全评价报告》。</w:t>
      </w:r>
    </w:p>
    <w:p w14:paraId="65C3B50E">
      <w:pPr>
        <w:adjustRightInd w:val="0"/>
        <w:snapToGrid w:val="0"/>
        <w:spacing w:after="0" w:line="360" w:lineRule="auto"/>
        <w:ind w:firstLine="560" w:firstLineChars="200"/>
        <w:jc w:val="both"/>
        <w:rPr>
          <w:rFonts w:hint="eastAsia" w:ascii="Times New Roman" w:hAnsi="Times New Roman" w:eastAsia="宋体" w:cs="Times New Roman"/>
          <w:sz w:val="28"/>
          <w:szCs w:val="28"/>
          <w:lang w:val="en-US" w:eastAsia="zh-CN"/>
          <w14:ligatures w14:val="none"/>
        </w:rPr>
        <w:sectPr>
          <w:pgSz w:w="11906" w:h="16838"/>
          <w:pgMar w:top="1418" w:right="1134" w:bottom="1134" w:left="1588" w:header="851" w:footer="992" w:gutter="0"/>
          <w:pgBorders>
            <w:top w:val="none" w:sz="0" w:space="0"/>
            <w:left w:val="none" w:sz="0" w:space="0"/>
            <w:bottom w:val="none" w:sz="0" w:space="0"/>
            <w:right w:val="none" w:sz="0" w:space="0"/>
          </w:pgBorders>
          <w:cols w:space="425" w:num="1"/>
          <w:docGrid w:type="lines" w:linePitch="312" w:charSpace="0"/>
        </w:sectPr>
      </w:pPr>
      <w:r>
        <w:rPr>
          <w:rFonts w:hint="eastAsia" w:ascii="Times New Roman" w:hAnsi="Times New Roman" w:eastAsia="宋体" w:cs="Times New Roman"/>
          <w:sz w:val="28"/>
          <w:szCs w:val="28"/>
          <w:lang w:val="en-US" w:eastAsia="zh-CN"/>
          <w14:ligatures w14:val="none"/>
        </w:rPr>
        <w:t>在本评价报告的编制过程中，得到了朝阳金达钛业股份有限公司的领导及相关人员的大力支持配合，在此表示感谢！</w:t>
      </w:r>
    </w:p>
    <w:sdt>
      <w:sdtPr>
        <w:rPr>
          <w:lang w:val="zh-CN"/>
        </w:rPr>
        <w:id w:val="-1616893720"/>
        <w:docPartObj>
          <w:docPartGallery w:val="Table of Contents"/>
          <w:docPartUnique/>
        </w:docPartObj>
      </w:sdtPr>
      <w:sdtEndPr>
        <w:rPr>
          <w:rFonts w:hint="default" w:ascii="Times New Roman" w:hAnsi="Times New Roman" w:eastAsia="黑体" w:cs="Times New Roman"/>
          <w:b/>
          <w:bCs/>
          <w:sz w:val="28"/>
          <w:szCs w:val="28"/>
          <w:lang w:val="zh-CN"/>
        </w:rPr>
      </w:sdtEndPr>
      <w:sdtContent>
        <w:p w14:paraId="749AC79A">
          <w:pPr>
            <w:adjustRightInd w:val="0"/>
            <w:snapToGrid w:val="0"/>
            <w:spacing w:before="156" w:beforeLines="50" w:after="156" w:afterLines="50" w:line="360" w:lineRule="auto"/>
            <w:jc w:val="center"/>
            <w:outlineLvl w:val="0"/>
            <w:rPr>
              <w:rFonts w:ascii="Times New Roman" w:hAnsi="Times New Roman" w:eastAsia="黑体" w:cs="Times New Roman"/>
              <w:b/>
              <w:kern w:val="44"/>
              <w:sz w:val="32"/>
              <w:szCs w:val="44"/>
              <w14:ligatures w14:val="none"/>
            </w:rPr>
          </w:pPr>
          <w:bookmarkStart w:id="17" w:name="_Toc185339059"/>
          <w:bookmarkStart w:id="18" w:name="_Toc185682502"/>
          <w:bookmarkStart w:id="19" w:name="_Toc185509619"/>
          <w:bookmarkStart w:id="20" w:name="_Toc1518"/>
          <w:r>
            <w:rPr>
              <w:rFonts w:hint="eastAsia" w:ascii="Times New Roman" w:hAnsi="Times New Roman" w:eastAsia="黑体" w:cs="Times New Roman"/>
              <w:b/>
              <w:kern w:val="44"/>
              <w:sz w:val="32"/>
              <w:szCs w:val="44"/>
              <w14:ligatures w14:val="none"/>
            </w:rPr>
            <w:t>目  录</w:t>
          </w:r>
          <w:bookmarkEnd w:id="17"/>
          <w:bookmarkEnd w:id="18"/>
          <w:bookmarkEnd w:id="19"/>
          <w:bookmarkEnd w:id="20"/>
        </w:p>
        <w:p w14:paraId="1D509F8E">
          <w:pPr>
            <w:pStyle w:val="9"/>
            <w:keepNext w:val="0"/>
            <w:keepLines w:val="0"/>
            <w:pageBreakBefore w:val="0"/>
            <w:widowControl w:val="0"/>
            <w:tabs>
              <w:tab w:val="right" w:leader="dot" w:pos="9184"/>
            </w:tabs>
            <w:kinsoku/>
            <w:wordWrap/>
            <w:overflowPunct/>
            <w:topLinePunct w:val="0"/>
            <w:autoSpaceDE/>
            <w:autoSpaceDN/>
            <w:bidi w:val="0"/>
            <w:adjustRightInd w:val="0"/>
            <w:snapToGrid w:val="0"/>
            <w:spacing w:after="0" w:line="360" w:lineRule="auto"/>
            <w:ind w:left="0" w:leftChars="0"/>
            <w:textAlignment w:val="auto"/>
            <w:rPr>
              <w:rFonts w:hint="default" w:ascii="Times New Roman" w:hAnsi="Times New Roman" w:eastAsia="黑体" w:cs="Times New Roman"/>
              <w:b/>
              <w:bCs/>
              <w:sz w:val="28"/>
              <w:szCs w:val="28"/>
            </w:rPr>
          </w:pPr>
          <w:r>
            <w:rPr>
              <w:rFonts w:hint="default" w:ascii="Times New Roman" w:hAnsi="Times New Roman" w:eastAsia="黑体" w:cs="Times New Roman"/>
              <w:b/>
              <w:bCs/>
              <w:sz w:val="28"/>
              <w:szCs w:val="28"/>
            </w:rPr>
            <w:fldChar w:fldCharType="begin"/>
          </w:r>
          <w:r>
            <w:rPr>
              <w:rFonts w:hint="default" w:ascii="Times New Roman" w:hAnsi="Times New Roman" w:eastAsia="黑体" w:cs="Times New Roman"/>
              <w:b/>
              <w:bCs/>
              <w:sz w:val="28"/>
              <w:szCs w:val="28"/>
            </w:rPr>
            <w:instrText xml:space="preserve"> TOC \o "1-2" \h \z \u </w:instrText>
          </w:r>
          <w:r>
            <w:rPr>
              <w:rFonts w:hint="default" w:ascii="Times New Roman" w:hAnsi="Times New Roman" w:eastAsia="黑体" w:cs="Times New Roman"/>
              <w:b/>
              <w:bCs/>
              <w:sz w:val="28"/>
              <w:szCs w:val="28"/>
            </w:rPr>
            <w:fldChar w:fldCharType="separate"/>
          </w:r>
          <w:r>
            <w:rPr>
              <w:rFonts w:hint="default" w:ascii="Times New Roman" w:hAnsi="Times New Roman" w:eastAsia="黑体" w:cs="Times New Roman"/>
              <w:b/>
              <w:bCs/>
              <w:sz w:val="28"/>
              <w:szCs w:val="28"/>
            </w:rPr>
            <w:fldChar w:fldCharType="begin"/>
          </w:r>
          <w:r>
            <w:rPr>
              <w:rFonts w:hint="default" w:ascii="Times New Roman" w:hAnsi="Times New Roman" w:eastAsia="黑体" w:cs="Times New Roman"/>
              <w:b/>
              <w:bCs/>
              <w:sz w:val="28"/>
              <w:szCs w:val="28"/>
            </w:rPr>
            <w:instrText xml:space="preserve"> HYPERLINK \l _Toc21105 </w:instrText>
          </w:r>
          <w:r>
            <w:rPr>
              <w:rFonts w:hint="default" w:ascii="Times New Roman" w:hAnsi="Times New Roman" w:eastAsia="黑体" w:cs="Times New Roman"/>
              <w:b/>
              <w:bCs/>
              <w:sz w:val="28"/>
              <w:szCs w:val="28"/>
            </w:rPr>
            <w:fldChar w:fldCharType="separate"/>
          </w:r>
          <w:r>
            <w:rPr>
              <w:rFonts w:hint="default" w:ascii="Times New Roman" w:hAnsi="Times New Roman" w:eastAsia="黑体" w:cs="Times New Roman"/>
              <w:b/>
              <w:bCs/>
              <w:sz w:val="28"/>
              <w:szCs w:val="28"/>
            </w:rPr>
            <w:t>1概述</w:t>
          </w:r>
          <w:r>
            <w:rPr>
              <w:rFonts w:hint="default" w:ascii="Times New Roman" w:hAnsi="Times New Roman" w:eastAsia="黑体" w:cs="Times New Roman"/>
              <w:b/>
              <w:bCs/>
              <w:sz w:val="28"/>
              <w:szCs w:val="28"/>
            </w:rPr>
            <w:tab/>
          </w:r>
          <w:r>
            <w:rPr>
              <w:rFonts w:hint="default" w:ascii="Times New Roman" w:hAnsi="Times New Roman" w:eastAsia="黑体" w:cs="Times New Roman"/>
              <w:b/>
              <w:bCs/>
              <w:sz w:val="28"/>
              <w:szCs w:val="28"/>
            </w:rPr>
            <w:fldChar w:fldCharType="begin"/>
          </w:r>
          <w:r>
            <w:rPr>
              <w:rFonts w:hint="default" w:ascii="Times New Roman" w:hAnsi="Times New Roman" w:eastAsia="黑体" w:cs="Times New Roman"/>
              <w:b/>
              <w:bCs/>
              <w:sz w:val="28"/>
              <w:szCs w:val="28"/>
            </w:rPr>
            <w:instrText xml:space="preserve"> PAGEREF _Toc21105 \h </w:instrText>
          </w:r>
          <w:r>
            <w:rPr>
              <w:rFonts w:hint="default" w:ascii="Times New Roman" w:hAnsi="Times New Roman" w:eastAsia="黑体" w:cs="Times New Roman"/>
              <w:b/>
              <w:bCs/>
              <w:sz w:val="28"/>
              <w:szCs w:val="28"/>
            </w:rPr>
            <w:fldChar w:fldCharType="separate"/>
          </w:r>
          <w:r>
            <w:rPr>
              <w:rFonts w:hint="default" w:ascii="Times New Roman" w:hAnsi="Times New Roman" w:eastAsia="黑体" w:cs="Times New Roman"/>
              <w:b/>
              <w:bCs/>
              <w:sz w:val="28"/>
              <w:szCs w:val="28"/>
            </w:rPr>
            <w:t>1</w:t>
          </w:r>
          <w:r>
            <w:rPr>
              <w:rFonts w:hint="default" w:ascii="Times New Roman" w:hAnsi="Times New Roman" w:eastAsia="黑体" w:cs="Times New Roman"/>
              <w:b/>
              <w:bCs/>
              <w:sz w:val="28"/>
              <w:szCs w:val="28"/>
            </w:rPr>
            <w:fldChar w:fldCharType="end"/>
          </w:r>
          <w:r>
            <w:rPr>
              <w:rFonts w:hint="default" w:ascii="Times New Roman" w:hAnsi="Times New Roman" w:eastAsia="黑体" w:cs="Times New Roman"/>
              <w:b/>
              <w:bCs/>
              <w:sz w:val="28"/>
              <w:szCs w:val="28"/>
            </w:rPr>
            <w:fldChar w:fldCharType="end"/>
          </w:r>
        </w:p>
        <w:p w14:paraId="3140404D">
          <w:pPr>
            <w:pStyle w:val="10"/>
            <w:keepNext w:val="0"/>
            <w:keepLines w:val="0"/>
            <w:pageBreakBefore w:val="0"/>
            <w:widowControl w:val="0"/>
            <w:tabs>
              <w:tab w:val="right" w:leader="dot" w:pos="9184"/>
              <w:tab w:val="clear" w:pos="9174"/>
            </w:tabs>
            <w:kinsoku/>
            <w:wordWrap/>
            <w:overflowPunct/>
            <w:topLinePunct w:val="0"/>
            <w:autoSpaceDE/>
            <w:autoSpaceDN/>
            <w:bidi w:val="0"/>
            <w:adjustRightInd w:val="0"/>
            <w:snapToGrid w:val="0"/>
            <w:spacing w:after="0" w:line="360" w:lineRule="auto"/>
            <w:ind w:left="220" w:leftChars="100"/>
            <w:textAlignment w:val="auto"/>
            <w:rPr>
              <w:rFonts w:hint="default" w:ascii="Times New Roman" w:hAnsi="Times New Roman" w:eastAsia="黑体" w:cs="Times New Roman"/>
              <w:b w:val="0"/>
              <w:bCs w:val="0"/>
              <w:sz w:val="28"/>
              <w:szCs w:val="28"/>
              <w14:ligatures w14:val="none"/>
            </w:rPr>
          </w:pPr>
          <w:r>
            <w:rPr>
              <w:rFonts w:hint="default" w:ascii="Times New Roman" w:hAnsi="Times New Roman" w:eastAsia="黑体" w:cs="Times New Roman"/>
              <w:b w:val="0"/>
              <w:bCs w:val="0"/>
              <w:sz w:val="28"/>
              <w:szCs w:val="28"/>
              <w14:ligatures w14:val="none"/>
            </w:rPr>
            <w:fldChar w:fldCharType="begin"/>
          </w:r>
          <w:r>
            <w:rPr>
              <w:rFonts w:hint="default" w:ascii="Times New Roman" w:hAnsi="Times New Roman" w:eastAsia="黑体" w:cs="Times New Roman"/>
              <w:b w:val="0"/>
              <w:bCs w:val="0"/>
              <w:sz w:val="28"/>
              <w:szCs w:val="28"/>
              <w14:ligatures w14:val="none"/>
            </w:rPr>
            <w:instrText xml:space="preserve"> HYPERLINK \l _Toc31271 </w:instrText>
          </w:r>
          <w:r>
            <w:rPr>
              <w:rFonts w:hint="default" w:ascii="Times New Roman" w:hAnsi="Times New Roman" w:eastAsia="黑体" w:cs="Times New Roman"/>
              <w:b w:val="0"/>
              <w:bCs w:val="0"/>
              <w:sz w:val="28"/>
              <w:szCs w:val="28"/>
              <w14:ligatures w14:val="none"/>
            </w:rPr>
            <w:fldChar w:fldCharType="separate"/>
          </w:r>
          <w:r>
            <w:rPr>
              <w:rFonts w:hint="default" w:ascii="Times New Roman" w:hAnsi="Times New Roman" w:eastAsia="黑体" w:cs="Times New Roman"/>
              <w:b w:val="0"/>
              <w:bCs w:val="0"/>
              <w:sz w:val="28"/>
              <w:szCs w:val="28"/>
              <w14:ligatures w14:val="none"/>
            </w:rPr>
            <w:t>1.1评价目的</w:t>
          </w:r>
          <w:r>
            <w:rPr>
              <w:rFonts w:hint="default" w:ascii="Times New Roman" w:hAnsi="Times New Roman" w:eastAsia="黑体" w:cs="Times New Roman"/>
              <w:b w:val="0"/>
              <w:bCs w:val="0"/>
              <w:sz w:val="28"/>
              <w:szCs w:val="28"/>
              <w14:ligatures w14:val="none"/>
            </w:rPr>
            <w:tab/>
          </w:r>
          <w:r>
            <w:rPr>
              <w:rFonts w:hint="default" w:ascii="Times New Roman" w:hAnsi="Times New Roman" w:eastAsia="黑体" w:cs="Times New Roman"/>
              <w:b w:val="0"/>
              <w:bCs w:val="0"/>
              <w:sz w:val="28"/>
              <w:szCs w:val="28"/>
              <w14:ligatures w14:val="none"/>
            </w:rPr>
            <w:fldChar w:fldCharType="begin"/>
          </w:r>
          <w:r>
            <w:rPr>
              <w:rFonts w:hint="default" w:ascii="Times New Roman" w:hAnsi="Times New Roman" w:eastAsia="黑体" w:cs="Times New Roman"/>
              <w:b w:val="0"/>
              <w:bCs w:val="0"/>
              <w:sz w:val="28"/>
              <w:szCs w:val="28"/>
              <w14:ligatures w14:val="none"/>
            </w:rPr>
            <w:instrText xml:space="preserve"> PAGEREF _Toc31271 \h </w:instrText>
          </w:r>
          <w:r>
            <w:rPr>
              <w:rFonts w:hint="default" w:ascii="Times New Roman" w:hAnsi="Times New Roman" w:eastAsia="黑体" w:cs="Times New Roman"/>
              <w:b w:val="0"/>
              <w:bCs w:val="0"/>
              <w:sz w:val="28"/>
              <w:szCs w:val="28"/>
              <w14:ligatures w14:val="none"/>
            </w:rPr>
            <w:fldChar w:fldCharType="separate"/>
          </w:r>
          <w:r>
            <w:rPr>
              <w:rFonts w:hint="default" w:ascii="Times New Roman" w:hAnsi="Times New Roman" w:eastAsia="黑体" w:cs="Times New Roman"/>
              <w:b w:val="0"/>
              <w:bCs w:val="0"/>
              <w:sz w:val="28"/>
              <w:szCs w:val="28"/>
              <w14:ligatures w14:val="none"/>
            </w:rPr>
            <w:t>1</w:t>
          </w:r>
          <w:r>
            <w:rPr>
              <w:rFonts w:hint="default" w:ascii="Times New Roman" w:hAnsi="Times New Roman" w:eastAsia="黑体" w:cs="Times New Roman"/>
              <w:b w:val="0"/>
              <w:bCs w:val="0"/>
              <w:sz w:val="28"/>
              <w:szCs w:val="28"/>
              <w14:ligatures w14:val="none"/>
            </w:rPr>
            <w:fldChar w:fldCharType="end"/>
          </w:r>
          <w:r>
            <w:rPr>
              <w:rFonts w:hint="default" w:ascii="Times New Roman" w:hAnsi="Times New Roman" w:eastAsia="黑体" w:cs="Times New Roman"/>
              <w:b w:val="0"/>
              <w:bCs w:val="0"/>
              <w:sz w:val="28"/>
              <w:szCs w:val="28"/>
              <w14:ligatures w14:val="none"/>
            </w:rPr>
            <w:fldChar w:fldCharType="end"/>
          </w:r>
        </w:p>
        <w:p w14:paraId="5ABD0B43">
          <w:pPr>
            <w:pStyle w:val="10"/>
            <w:keepNext w:val="0"/>
            <w:keepLines w:val="0"/>
            <w:pageBreakBefore w:val="0"/>
            <w:widowControl w:val="0"/>
            <w:tabs>
              <w:tab w:val="right" w:leader="dot" w:pos="9184"/>
              <w:tab w:val="clear" w:pos="9174"/>
            </w:tabs>
            <w:kinsoku/>
            <w:wordWrap/>
            <w:overflowPunct/>
            <w:topLinePunct w:val="0"/>
            <w:autoSpaceDE/>
            <w:autoSpaceDN/>
            <w:bidi w:val="0"/>
            <w:adjustRightInd w:val="0"/>
            <w:snapToGrid w:val="0"/>
            <w:spacing w:after="0" w:line="360" w:lineRule="auto"/>
            <w:ind w:left="220" w:leftChars="100"/>
            <w:textAlignment w:val="auto"/>
            <w:rPr>
              <w:rFonts w:hint="default" w:ascii="Times New Roman" w:hAnsi="Times New Roman" w:eastAsia="黑体" w:cs="Times New Roman"/>
              <w:b w:val="0"/>
              <w:bCs w:val="0"/>
              <w:sz w:val="28"/>
              <w:szCs w:val="28"/>
              <w14:ligatures w14:val="none"/>
            </w:rPr>
          </w:pPr>
          <w:r>
            <w:rPr>
              <w:rFonts w:hint="default" w:ascii="Times New Roman" w:hAnsi="Times New Roman" w:eastAsia="黑体" w:cs="Times New Roman"/>
              <w:b w:val="0"/>
              <w:bCs w:val="0"/>
              <w:sz w:val="28"/>
              <w:szCs w:val="28"/>
              <w14:ligatures w14:val="none"/>
            </w:rPr>
            <w:fldChar w:fldCharType="begin"/>
          </w:r>
          <w:r>
            <w:rPr>
              <w:rFonts w:hint="default" w:ascii="Times New Roman" w:hAnsi="Times New Roman" w:eastAsia="黑体" w:cs="Times New Roman"/>
              <w:b w:val="0"/>
              <w:bCs w:val="0"/>
              <w:sz w:val="28"/>
              <w:szCs w:val="28"/>
              <w14:ligatures w14:val="none"/>
            </w:rPr>
            <w:instrText xml:space="preserve"> HYPERLINK \l _Toc18677 </w:instrText>
          </w:r>
          <w:r>
            <w:rPr>
              <w:rFonts w:hint="default" w:ascii="Times New Roman" w:hAnsi="Times New Roman" w:eastAsia="黑体" w:cs="Times New Roman"/>
              <w:b w:val="0"/>
              <w:bCs w:val="0"/>
              <w:sz w:val="28"/>
              <w:szCs w:val="28"/>
              <w14:ligatures w14:val="none"/>
            </w:rPr>
            <w:fldChar w:fldCharType="separate"/>
          </w:r>
          <w:r>
            <w:rPr>
              <w:rFonts w:hint="default" w:ascii="Times New Roman" w:hAnsi="Times New Roman" w:eastAsia="黑体" w:cs="Times New Roman"/>
              <w:b w:val="0"/>
              <w:bCs w:val="0"/>
              <w:sz w:val="28"/>
              <w:szCs w:val="28"/>
              <w14:ligatures w14:val="none"/>
            </w:rPr>
            <w:t>1.2</w:t>
          </w:r>
          <w:r>
            <w:rPr>
              <w:rFonts w:hint="default" w:ascii="Times New Roman" w:hAnsi="Times New Roman" w:eastAsia="黑体" w:cs="Times New Roman"/>
              <w:b w:val="0"/>
              <w:bCs w:val="0"/>
              <w:sz w:val="28"/>
              <w:szCs w:val="28"/>
              <w:lang w:val="en-US" w:eastAsia="zh-CN"/>
              <w14:ligatures w14:val="none"/>
            </w:rPr>
            <w:t>评价</w:t>
          </w:r>
          <w:r>
            <w:rPr>
              <w:rFonts w:hint="default" w:ascii="Times New Roman" w:hAnsi="Times New Roman" w:eastAsia="黑体" w:cs="Times New Roman"/>
              <w:b w:val="0"/>
              <w:bCs w:val="0"/>
              <w:sz w:val="28"/>
              <w:szCs w:val="28"/>
              <w14:ligatures w14:val="none"/>
            </w:rPr>
            <w:t>依据</w:t>
          </w:r>
          <w:r>
            <w:rPr>
              <w:rFonts w:hint="default" w:ascii="Times New Roman" w:hAnsi="Times New Roman" w:eastAsia="黑体" w:cs="Times New Roman"/>
              <w:b w:val="0"/>
              <w:bCs w:val="0"/>
              <w:sz w:val="28"/>
              <w:szCs w:val="28"/>
              <w14:ligatures w14:val="none"/>
            </w:rPr>
            <w:tab/>
          </w:r>
          <w:r>
            <w:rPr>
              <w:rFonts w:hint="default" w:ascii="Times New Roman" w:hAnsi="Times New Roman" w:eastAsia="黑体" w:cs="Times New Roman"/>
              <w:b w:val="0"/>
              <w:bCs w:val="0"/>
              <w:sz w:val="28"/>
              <w:szCs w:val="28"/>
              <w14:ligatures w14:val="none"/>
            </w:rPr>
            <w:fldChar w:fldCharType="begin"/>
          </w:r>
          <w:r>
            <w:rPr>
              <w:rFonts w:hint="default" w:ascii="Times New Roman" w:hAnsi="Times New Roman" w:eastAsia="黑体" w:cs="Times New Roman"/>
              <w:b w:val="0"/>
              <w:bCs w:val="0"/>
              <w:sz w:val="28"/>
              <w:szCs w:val="28"/>
              <w14:ligatures w14:val="none"/>
            </w:rPr>
            <w:instrText xml:space="preserve"> PAGEREF _Toc18677 \h </w:instrText>
          </w:r>
          <w:r>
            <w:rPr>
              <w:rFonts w:hint="default" w:ascii="Times New Roman" w:hAnsi="Times New Roman" w:eastAsia="黑体" w:cs="Times New Roman"/>
              <w:b w:val="0"/>
              <w:bCs w:val="0"/>
              <w:sz w:val="28"/>
              <w:szCs w:val="28"/>
              <w14:ligatures w14:val="none"/>
            </w:rPr>
            <w:fldChar w:fldCharType="separate"/>
          </w:r>
          <w:r>
            <w:rPr>
              <w:rFonts w:hint="default" w:ascii="Times New Roman" w:hAnsi="Times New Roman" w:eastAsia="黑体" w:cs="Times New Roman"/>
              <w:b w:val="0"/>
              <w:bCs w:val="0"/>
              <w:sz w:val="28"/>
              <w:szCs w:val="28"/>
              <w14:ligatures w14:val="none"/>
            </w:rPr>
            <w:t>1</w:t>
          </w:r>
          <w:r>
            <w:rPr>
              <w:rFonts w:hint="default" w:ascii="Times New Roman" w:hAnsi="Times New Roman" w:eastAsia="黑体" w:cs="Times New Roman"/>
              <w:b w:val="0"/>
              <w:bCs w:val="0"/>
              <w:sz w:val="28"/>
              <w:szCs w:val="28"/>
              <w14:ligatures w14:val="none"/>
            </w:rPr>
            <w:fldChar w:fldCharType="end"/>
          </w:r>
          <w:r>
            <w:rPr>
              <w:rFonts w:hint="default" w:ascii="Times New Roman" w:hAnsi="Times New Roman" w:eastAsia="黑体" w:cs="Times New Roman"/>
              <w:b w:val="0"/>
              <w:bCs w:val="0"/>
              <w:sz w:val="28"/>
              <w:szCs w:val="28"/>
              <w14:ligatures w14:val="none"/>
            </w:rPr>
            <w:fldChar w:fldCharType="end"/>
          </w:r>
        </w:p>
        <w:p w14:paraId="41B5BB57">
          <w:pPr>
            <w:pStyle w:val="10"/>
            <w:keepNext w:val="0"/>
            <w:keepLines w:val="0"/>
            <w:pageBreakBefore w:val="0"/>
            <w:widowControl w:val="0"/>
            <w:tabs>
              <w:tab w:val="right" w:leader="dot" w:pos="9184"/>
              <w:tab w:val="clear" w:pos="9174"/>
            </w:tabs>
            <w:kinsoku/>
            <w:wordWrap/>
            <w:overflowPunct/>
            <w:topLinePunct w:val="0"/>
            <w:autoSpaceDE/>
            <w:autoSpaceDN/>
            <w:bidi w:val="0"/>
            <w:adjustRightInd w:val="0"/>
            <w:snapToGrid w:val="0"/>
            <w:spacing w:after="0" w:line="360" w:lineRule="auto"/>
            <w:ind w:left="220" w:leftChars="100"/>
            <w:textAlignment w:val="auto"/>
            <w:rPr>
              <w:rFonts w:hint="default" w:ascii="Times New Roman" w:hAnsi="Times New Roman" w:eastAsia="黑体" w:cs="Times New Roman"/>
              <w:b w:val="0"/>
              <w:bCs w:val="0"/>
              <w:sz w:val="28"/>
              <w:szCs w:val="28"/>
              <w14:ligatures w14:val="none"/>
            </w:rPr>
          </w:pPr>
          <w:r>
            <w:rPr>
              <w:rFonts w:hint="default" w:ascii="Times New Roman" w:hAnsi="Times New Roman" w:eastAsia="黑体" w:cs="Times New Roman"/>
              <w:b w:val="0"/>
              <w:bCs w:val="0"/>
              <w:sz w:val="28"/>
              <w:szCs w:val="28"/>
              <w14:ligatures w14:val="none"/>
            </w:rPr>
            <w:fldChar w:fldCharType="begin"/>
          </w:r>
          <w:r>
            <w:rPr>
              <w:rFonts w:hint="default" w:ascii="Times New Roman" w:hAnsi="Times New Roman" w:eastAsia="黑体" w:cs="Times New Roman"/>
              <w:b w:val="0"/>
              <w:bCs w:val="0"/>
              <w:sz w:val="28"/>
              <w:szCs w:val="28"/>
              <w14:ligatures w14:val="none"/>
            </w:rPr>
            <w:instrText xml:space="preserve"> HYPERLINK \l _Toc425 </w:instrText>
          </w:r>
          <w:r>
            <w:rPr>
              <w:rFonts w:hint="default" w:ascii="Times New Roman" w:hAnsi="Times New Roman" w:eastAsia="黑体" w:cs="Times New Roman"/>
              <w:b w:val="0"/>
              <w:bCs w:val="0"/>
              <w:sz w:val="28"/>
              <w:szCs w:val="28"/>
              <w14:ligatures w14:val="none"/>
            </w:rPr>
            <w:fldChar w:fldCharType="separate"/>
          </w:r>
          <w:r>
            <w:rPr>
              <w:rFonts w:hint="default" w:ascii="Times New Roman" w:hAnsi="Times New Roman" w:eastAsia="黑体" w:cs="Times New Roman"/>
              <w:b w:val="0"/>
              <w:bCs w:val="0"/>
              <w:sz w:val="28"/>
              <w:szCs w:val="28"/>
              <w14:ligatures w14:val="none"/>
            </w:rPr>
            <w:t>1.3</w:t>
          </w:r>
          <w:r>
            <w:rPr>
              <w:rFonts w:hint="default" w:ascii="Times New Roman" w:hAnsi="Times New Roman" w:eastAsia="黑体" w:cs="Times New Roman"/>
              <w:b w:val="0"/>
              <w:bCs w:val="0"/>
              <w:sz w:val="28"/>
              <w:szCs w:val="28"/>
              <w:lang w:val="en-US" w:eastAsia="zh-CN"/>
              <w14:ligatures w14:val="none"/>
            </w:rPr>
            <w:t>评价对象与评价内容</w:t>
          </w:r>
          <w:r>
            <w:rPr>
              <w:rFonts w:hint="default" w:ascii="Times New Roman" w:hAnsi="Times New Roman" w:eastAsia="黑体" w:cs="Times New Roman"/>
              <w:b w:val="0"/>
              <w:bCs w:val="0"/>
              <w:sz w:val="28"/>
              <w:szCs w:val="28"/>
              <w14:ligatures w14:val="none"/>
            </w:rPr>
            <w:tab/>
          </w:r>
          <w:r>
            <w:rPr>
              <w:rFonts w:hint="default" w:ascii="Times New Roman" w:hAnsi="Times New Roman" w:eastAsia="黑体" w:cs="Times New Roman"/>
              <w:b w:val="0"/>
              <w:bCs w:val="0"/>
              <w:sz w:val="28"/>
              <w:szCs w:val="28"/>
              <w14:ligatures w14:val="none"/>
            </w:rPr>
            <w:fldChar w:fldCharType="begin"/>
          </w:r>
          <w:r>
            <w:rPr>
              <w:rFonts w:hint="default" w:ascii="Times New Roman" w:hAnsi="Times New Roman" w:eastAsia="黑体" w:cs="Times New Roman"/>
              <w:b w:val="0"/>
              <w:bCs w:val="0"/>
              <w:sz w:val="28"/>
              <w:szCs w:val="28"/>
              <w14:ligatures w14:val="none"/>
            </w:rPr>
            <w:instrText xml:space="preserve"> PAGEREF _Toc425 \h </w:instrText>
          </w:r>
          <w:r>
            <w:rPr>
              <w:rFonts w:hint="default" w:ascii="Times New Roman" w:hAnsi="Times New Roman" w:eastAsia="黑体" w:cs="Times New Roman"/>
              <w:b w:val="0"/>
              <w:bCs w:val="0"/>
              <w:sz w:val="28"/>
              <w:szCs w:val="28"/>
              <w14:ligatures w14:val="none"/>
            </w:rPr>
            <w:fldChar w:fldCharType="separate"/>
          </w:r>
          <w:r>
            <w:rPr>
              <w:rFonts w:hint="default" w:ascii="Times New Roman" w:hAnsi="Times New Roman" w:eastAsia="黑体" w:cs="Times New Roman"/>
              <w:b w:val="0"/>
              <w:bCs w:val="0"/>
              <w:sz w:val="28"/>
              <w:szCs w:val="28"/>
              <w14:ligatures w14:val="none"/>
            </w:rPr>
            <w:t>13</w:t>
          </w:r>
          <w:r>
            <w:rPr>
              <w:rFonts w:hint="default" w:ascii="Times New Roman" w:hAnsi="Times New Roman" w:eastAsia="黑体" w:cs="Times New Roman"/>
              <w:b w:val="0"/>
              <w:bCs w:val="0"/>
              <w:sz w:val="28"/>
              <w:szCs w:val="28"/>
              <w14:ligatures w14:val="none"/>
            </w:rPr>
            <w:fldChar w:fldCharType="end"/>
          </w:r>
          <w:r>
            <w:rPr>
              <w:rFonts w:hint="default" w:ascii="Times New Roman" w:hAnsi="Times New Roman" w:eastAsia="黑体" w:cs="Times New Roman"/>
              <w:b w:val="0"/>
              <w:bCs w:val="0"/>
              <w:sz w:val="28"/>
              <w:szCs w:val="28"/>
              <w14:ligatures w14:val="none"/>
            </w:rPr>
            <w:fldChar w:fldCharType="end"/>
          </w:r>
        </w:p>
        <w:p w14:paraId="4606FDF8">
          <w:pPr>
            <w:pStyle w:val="10"/>
            <w:keepNext w:val="0"/>
            <w:keepLines w:val="0"/>
            <w:pageBreakBefore w:val="0"/>
            <w:widowControl w:val="0"/>
            <w:tabs>
              <w:tab w:val="right" w:leader="dot" w:pos="9184"/>
              <w:tab w:val="clear" w:pos="9174"/>
            </w:tabs>
            <w:kinsoku/>
            <w:wordWrap/>
            <w:overflowPunct/>
            <w:topLinePunct w:val="0"/>
            <w:autoSpaceDE/>
            <w:autoSpaceDN/>
            <w:bidi w:val="0"/>
            <w:adjustRightInd w:val="0"/>
            <w:snapToGrid w:val="0"/>
            <w:spacing w:after="0" w:line="360" w:lineRule="auto"/>
            <w:ind w:left="220" w:leftChars="100"/>
            <w:textAlignment w:val="auto"/>
            <w:rPr>
              <w:rFonts w:hint="default" w:ascii="Times New Roman" w:hAnsi="Times New Roman" w:eastAsia="黑体" w:cs="Times New Roman"/>
              <w:b w:val="0"/>
              <w:bCs w:val="0"/>
              <w:sz w:val="28"/>
              <w:szCs w:val="28"/>
            </w:rPr>
          </w:pPr>
          <w:r>
            <w:rPr>
              <w:rFonts w:hint="default" w:ascii="Times New Roman" w:hAnsi="Times New Roman" w:eastAsia="黑体" w:cs="Times New Roman"/>
              <w:b w:val="0"/>
              <w:bCs w:val="0"/>
              <w:sz w:val="28"/>
              <w:szCs w:val="28"/>
            </w:rPr>
            <w:fldChar w:fldCharType="begin"/>
          </w:r>
          <w:r>
            <w:rPr>
              <w:rFonts w:hint="default" w:ascii="Times New Roman" w:hAnsi="Times New Roman" w:eastAsia="黑体" w:cs="Times New Roman"/>
              <w:b w:val="0"/>
              <w:bCs w:val="0"/>
              <w:sz w:val="28"/>
              <w:szCs w:val="28"/>
            </w:rPr>
            <w:instrText xml:space="preserve"> HYPERLINK \l _Toc17254 </w:instrText>
          </w:r>
          <w:r>
            <w:rPr>
              <w:rFonts w:hint="default" w:ascii="Times New Roman" w:hAnsi="Times New Roman" w:eastAsia="黑体" w:cs="Times New Roman"/>
              <w:b w:val="0"/>
              <w:bCs w:val="0"/>
              <w:sz w:val="28"/>
              <w:szCs w:val="28"/>
            </w:rPr>
            <w:fldChar w:fldCharType="separate"/>
          </w:r>
          <w:r>
            <w:rPr>
              <w:rFonts w:hint="default" w:ascii="Times New Roman" w:hAnsi="Times New Roman" w:eastAsia="黑体" w:cs="Times New Roman"/>
              <w:b w:val="0"/>
              <w:bCs w:val="0"/>
              <w:sz w:val="28"/>
              <w:szCs w:val="28"/>
              <w14:ligatures w14:val="none"/>
            </w:rPr>
            <w:t>1.4评价程序</w:t>
          </w:r>
          <w:r>
            <w:rPr>
              <w:rFonts w:hint="default" w:ascii="Times New Roman" w:hAnsi="Times New Roman" w:eastAsia="黑体" w:cs="Times New Roman"/>
              <w:b w:val="0"/>
              <w:bCs w:val="0"/>
              <w:sz w:val="28"/>
              <w:szCs w:val="28"/>
            </w:rPr>
            <w:tab/>
          </w:r>
          <w:r>
            <w:rPr>
              <w:rFonts w:hint="default" w:ascii="Times New Roman" w:hAnsi="Times New Roman" w:eastAsia="黑体" w:cs="Times New Roman"/>
              <w:b w:val="0"/>
              <w:bCs w:val="0"/>
              <w:sz w:val="28"/>
              <w:szCs w:val="28"/>
            </w:rPr>
            <w:fldChar w:fldCharType="begin"/>
          </w:r>
          <w:r>
            <w:rPr>
              <w:rFonts w:hint="default" w:ascii="Times New Roman" w:hAnsi="Times New Roman" w:eastAsia="黑体" w:cs="Times New Roman"/>
              <w:b w:val="0"/>
              <w:bCs w:val="0"/>
              <w:sz w:val="28"/>
              <w:szCs w:val="28"/>
            </w:rPr>
            <w:instrText xml:space="preserve"> PAGEREF _Toc17254 \h </w:instrText>
          </w:r>
          <w:r>
            <w:rPr>
              <w:rFonts w:hint="default" w:ascii="Times New Roman" w:hAnsi="Times New Roman" w:eastAsia="黑体" w:cs="Times New Roman"/>
              <w:b w:val="0"/>
              <w:bCs w:val="0"/>
              <w:sz w:val="28"/>
              <w:szCs w:val="28"/>
            </w:rPr>
            <w:fldChar w:fldCharType="separate"/>
          </w:r>
          <w:r>
            <w:rPr>
              <w:rFonts w:hint="default" w:ascii="Times New Roman" w:hAnsi="Times New Roman" w:eastAsia="黑体" w:cs="Times New Roman"/>
              <w:b w:val="0"/>
              <w:bCs w:val="0"/>
              <w:sz w:val="28"/>
              <w:szCs w:val="28"/>
            </w:rPr>
            <w:t>13</w:t>
          </w:r>
          <w:r>
            <w:rPr>
              <w:rFonts w:hint="default" w:ascii="Times New Roman" w:hAnsi="Times New Roman" w:eastAsia="黑体" w:cs="Times New Roman"/>
              <w:b w:val="0"/>
              <w:bCs w:val="0"/>
              <w:sz w:val="28"/>
              <w:szCs w:val="28"/>
            </w:rPr>
            <w:fldChar w:fldCharType="end"/>
          </w:r>
          <w:r>
            <w:rPr>
              <w:rFonts w:hint="default" w:ascii="Times New Roman" w:hAnsi="Times New Roman" w:eastAsia="黑体" w:cs="Times New Roman"/>
              <w:b w:val="0"/>
              <w:bCs w:val="0"/>
              <w:sz w:val="28"/>
              <w:szCs w:val="28"/>
            </w:rPr>
            <w:fldChar w:fldCharType="end"/>
          </w:r>
        </w:p>
        <w:p w14:paraId="4D0C5961">
          <w:pPr>
            <w:pStyle w:val="9"/>
            <w:keepNext w:val="0"/>
            <w:keepLines w:val="0"/>
            <w:pageBreakBefore w:val="0"/>
            <w:widowControl w:val="0"/>
            <w:tabs>
              <w:tab w:val="right" w:leader="dot" w:pos="9184"/>
            </w:tabs>
            <w:kinsoku/>
            <w:wordWrap/>
            <w:overflowPunct/>
            <w:topLinePunct w:val="0"/>
            <w:autoSpaceDE/>
            <w:autoSpaceDN/>
            <w:bidi w:val="0"/>
            <w:adjustRightInd w:val="0"/>
            <w:snapToGrid w:val="0"/>
            <w:spacing w:after="0" w:line="360" w:lineRule="auto"/>
            <w:ind w:left="0" w:leftChars="0"/>
            <w:textAlignment w:val="auto"/>
            <w:rPr>
              <w:rFonts w:hint="default" w:ascii="Times New Roman" w:hAnsi="Times New Roman" w:eastAsia="黑体" w:cs="Times New Roman"/>
              <w:b/>
              <w:bCs/>
              <w:sz w:val="28"/>
              <w:szCs w:val="28"/>
            </w:rPr>
          </w:pPr>
          <w:r>
            <w:rPr>
              <w:rFonts w:hint="default" w:ascii="Times New Roman" w:hAnsi="Times New Roman" w:eastAsia="黑体" w:cs="Times New Roman"/>
              <w:b/>
              <w:bCs/>
              <w:sz w:val="28"/>
              <w:szCs w:val="28"/>
            </w:rPr>
            <w:fldChar w:fldCharType="begin"/>
          </w:r>
          <w:r>
            <w:rPr>
              <w:rFonts w:hint="default" w:ascii="Times New Roman" w:hAnsi="Times New Roman" w:eastAsia="黑体" w:cs="Times New Roman"/>
              <w:b/>
              <w:bCs/>
              <w:sz w:val="28"/>
              <w:szCs w:val="28"/>
            </w:rPr>
            <w:instrText xml:space="preserve"> HYPERLINK \l _Toc26901 </w:instrText>
          </w:r>
          <w:r>
            <w:rPr>
              <w:rFonts w:hint="default" w:ascii="Times New Roman" w:hAnsi="Times New Roman" w:eastAsia="黑体" w:cs="Times New Roman"/>
              <w:b/>
              <w:bCs/>
              <w:sz w:val="28"/>
              <w:szCs w:val="28"/>
            </w:rPr>
            <w:fldChar w:fldCharType="separate"/>
          </w:r>
          <w:r>
            <w:rPr>
              <w:rFonts w:hint="default" w:ascii="Times New Roman" w:hAnsi="Times New Roman" w:eastAsia="黑体" w:cs="Times New Roman"/>
              <w:b/>
              <w:bCs/>
              <w:kern w:val="44"/>
              <w:sz w:val="28"/>
              <w:szCs w:val="28"/>
              <w14:ligatures w14:val="none"/>
            </w:rPr>
            <w:t>2企业概况</w:t>
          </w:r>
          <w:r>
            <w:rPr>
              <w:rFonts w:hint="default" w:ascii="Times New Roman" w:hAnsi="Times New Roman" w:eastAsia="黑体" w:cs="Times New Roman"/>
              <w:b/>
              <w:bCs/>
              <w:sz w:val="28"/>
              <w:szCs w:val="28"/>
            </w:rPr>
            <w:tab/>
          </w:r>
          <w:r>
            <w:rPr>
              <w:rFonts w:hint="default" w:ascii="Times New Roman" w:hAnsi="Times New Roman" w:eastAsia="黑体" w:cs="Times New Roman"/>
              <w:b/>
              <w:bCs/>
              <w:sz w:val="28"/>
              <w:szCs w:val="28"/>
            </w:rPr>
            <w:fldChar w:fldCharType="begin"/>
          </w:r>
          <w:r>
            <w:rPr>
              <w:rFonts w:hint="default" w:ascii="Times New Roman" w:hAnsi="Times New Roman" w:eastAsia="黑体" w:cs="Times New Roman"/>
              <w:b/>
              <w:bCs/>
              <w:sz w:val="28"/>
              <w:szCs w:val="28"/>
            </w:rPr>
            <w:instrText xml:space="preserve"> PAGEREF _Toc26901 \h </w:instrText>
          </w:r>
          <w:r>
            <w:rPr>
              <w:rFonts w:hint="default" w:ascii="Times New Roman" w:hAnsi="Times New Roman" w:eastAsia="黑体" w:cs="Times New Roman"/>
              <w:b/>
              <w:bCs/>
              <w:sz w:val="28"/>
              <w:szCs w:val="28"/>
            </w:rPr>
            <w:fldChar w:fldCharType="separate"/>
          </w:r>
          <w:r>
            <w:rPr>
              <w:rFonts w:hint="default" w:ascii="Times New Roman" w:hAnsi="Times New Roman" w:eastAsia="黑体" w:cs="Times New Roman"/>
              <w:b/>
              <w:bCs/>
              <w:sz w:val="28"/>
              <w:szCs w:val="28"/>
            </w:rPr>
            <w:t>15</w:t>
          </w:r>
          <w:r>
            <w:rPr>
              <w:rFonts w:hint="default" w:ascii="Times New Roman" w:hAnsi="Times New Roman" w:eastAsia="黑体" w:cs="Times New Roman"/>
              <w:b/>
              <w:bCs/>
              <w:sz w:val="28"/>
              <w:szCs w:val="28"/>
            </w:rPr>
            <w:fldChar w:fldCharType="end"/>
          </w:r>
          <w:r>
            <w:rPr>
              <w:rFonts w:hint="default" w:ascii="Times New Roman" w:hAnsi="Times New Roman" w:eastAsia="黑体" w:cs="Times New Roman"/>
              <w:b/>
              <w:bCs/>
              <w:sz w:val="28"/>
              <w:szCs w:val="28"/>
            </w:rPr>
            <w:fldChar w:fldCharType="end"/>
          </w:r>
        </w:p>
        <w:p w14:paraId="78987F64">
          <w:pPr>
            <w:pStyle w:val="10"/>
            <w:keepNext w:val="0"/>
            <w:keepLines w:val="0"/>
            <w:pageBreakBefore w:val="0"/>
            <w:widowControl w:val="0"/>
            <w:tabs>
              <w:tab w:val="right" w:leader="dot" w:pos="9184"/>
              <w:tab w:val="clear" w:pos="9174"/>
            </w:tabs>
            <w:kinsoku/>
            <w:wordWrap/>
            <w:overflowPunct/>
            <w:topLinePunct w:val="0"/>
            <w:autoSpaceDE/>
            <w:autoSpaceDN/>
            <w:bidi w:val="0"/>
            <w:adjustRightInd w:val="0"/>
            <w:snapToGrid w:val="0"/>
            <w:spacing w:after="0" w:line="360" w:lineRule="auto"/>
            <w:ind w:left="220" w:leftChars="100"/>
            <w:textAlignment w:val="auto"/>
            <w:rPr>
              <w:rFonts w:hint="default" w:ascii="Times New Roman" w:hAnsi="Times New Roman" w:eastAsia="黑体" w:cs="Times New Roman"/>
              <w:b w:val="0"/>
              <w:bCs w:val="0"/>
              <w:sz w:val="28"/>
              <w:szCs w:val="28"/>
              <w14:ligatures w14:val="none"/>
            </w:rPr>
          </w:pPr>
          <w:r>
            <w:rPr>
              <w:rFonts w:hint="default" w:ascii="Times New Roman" w:hAnsi="Times New Roman" w:eastAsia="黑体" w:cs="Times New Roman"/>
              <w:b w:val="0"/>
              <w:bCs w:val="0"/>
              <w:sz w:val="28"/>
              <w:szCs w:val="28"/>
              <w14:ligatures w14:val="none"/>
            </w:rPr>
            <w:fldChar w:fldCharType="begin"/>
          </w:r>
          <w:r>
            <w:rPr>
              <w:rFonts w:hint="default" w:ascii="Times New Roman" w:hAnsi="Times New Roman" w:eastAsia="黑体" w:cs="Times New Roman"/>
              <w:b w:val="0"/>
              <w:bCs w:val="0"/>
              <w:sz w:val="28"/>
              <w:szCs w:val="28"/>
              <w14:ligatures w14:val="none"/>
            </w:rPr>
            <w:instrText xml:space="preserve"> HYPERLINK \l _Toc27655 </w:instrText>
          </w:r>
          <w:r>
            <w:rPr>
              <w:rFonts w:hint="default" w:ascii="Times New Roman" w:hAnsi="Times New Roman" w:eastAsia="黑体" w:cs="Times New Roman"/>
              <w:b w:val="0"/>
              <w:bCs w:val="0"/>
              <w:sz w:val="28"/>
              <w:szCs w:val="28"/>
              <w14:ligatures w14:val="none"/>
            </w:rPr>
            <w:fldChar w:fldCharType="separate"/>
          </w:r>
          <w:r>
            <w:rPr>
              <w:rFonts w:hint="default" w:ascii="Times New Roman" w:hAnsi="Times New Roman" w:eastAsia="黑体" w:cs="Times New Roman"/>
              <w:b w:val="0"/>
              <w:bCs w:val="0"/>
              <w:sz w:val="28"/>
              <w:szCs w:val="28"/>
              <w14:ligatures w14:val="none"/>
            </w:rPr>
            <w:t>2.1企业基本情况</w:t>
          </w:r>
          <w:r>
            <w:rPr>
              <w:rFonts w:hint="default" w:ascii="Times New Roman" w:hAnsi="Times New Roman" w:eastAsia="黑体" w:cs="Times New Roman"/>
              <w:b w:val="0"/>
              <w:bCs w:val="0"/>
              <w:sz w:val="28"/>
              <w:szCs w:val="28"/>
              <w14:ligatures w14:val="none"/>
            </w:rPr>
            <w:tab/>
          </w:r>
          <w:r>
            <w:rPr>
              <w:rFonts w:hint="default" w:ascii="Times New Roman" w:hAnsi="Times New Roman" w:eastAsia="黑体" w:cs="Times New Roman"/>
              <w:b w:val="0"/>
              <w:bCs w:val="0"/>
              <w:sz w:val="28"/>
              <w:szCs w:val="28"/>
              <w14:ligatures w14:val="none"/>
            </w:rPr>
            <w:fldChar w:fldCharType="begin"/>
          </w:r>
          <w:r>
            <w:rPr>
              <w:rFonts w:hint="default" w:ascii="Times New Roman" w:hAnsi="Times New Roman" w:eastAsia="黑体" w:cs="Times New Roman"/>
              <w:b w:val="0"/>
              <w:bCs w:val="0"/>
              <w:sz w:val="28"/>
              <w:szCs w:val="28"/>
              <w14:ligatures w14:val="none"/>
            </w:rPr>
            <w:instrText xml:space="preserve"> PAGEREF _Toc27655 \h </w:instrText>
          </w:r>
          <w:r>
            <w:rPr>
              <w:rFonts w:hint="default" w:ascii="Times New Roman" w:hAnsi="Times New Roman" w:eastAsia="黑体" w:cs="Times New Roman"/>
              <w:b w:val="0"/>
              <w:bCs w:val="0"/>
              <w:sz w:val="28"/>
              <w:szCs w:val="28"/>
              <w14:ligatures w14:val="none"/>
            </w:rPr>
            <w:fldChar w:fldCharType="separate"/>
          </w:r>
          <w:r>
            <w:rPr>
              <w:rFonts w:hint="default" w:ascii="Times New Roman" w:hAnsi="Times New Roman" w:eastAsia="黑体" w:cs="Times New Roman"/>
              <w:b w:val="0"/>
              <w:bCs w:val="0"/>
              <w:sz w:val="28"/>
              <w:szCs w:val="28"/>
              <w14:ligatures w14:val="none"/>
            </w:rPr>
            <w:t>15</w:t>
          </w:r>
          <w:r>
            <w:rPr>
              <w:rFonts w:hint="default" w:ascii="Times New Roman" w:hAnsi="Times New Roman" w:eastAsia="黑体" w:cs="Times New Roman"/>
              <w:b w:val="0"/>
              <w:bCs w:val="0"/>
              <w:sz w:val="28"/>
              <w:szCs w:val="28"/>
              <w14:ligatures w14:val="none"/>
            </w:rPr>
            <w:fldChar w:fldCharType="end"/>
          </w:r>
          <w:r>
            <w:rPr>
              <w:rFonts w:hint="default" w:ascii="Times New Roman" w:hAnsi="Times New Roman" w:eastAsia="黑体" w:cs="Times New Roman"/>
              <w:b w:val="0"/>
              <w:bCs w:val="0"/>
              <w:sz w:val="28"/>
              <w:szCs w:val="28"/>
              <w14:ligatures w14:val="none"/>
            </w:rPr>
            <w:fldChar w:fldCharType="end"/>
          </w:r>
        </w:p>
        <w:p w14:paraId="62211877">
          <w:pPr>
            <w:pStyle w:val="10"/>
            <w:keepNext w:val="0"/>
            <w:keepLines w:val="0"/>
            <w:pageBreakBefore w:val="0"/>
            <w:widowControl w:val="0"/>
            <w:tabs>
              <w:tab w:val="right" w:leader="dot" w:pos="9184"/>
              <w:tab w:val="clear" w:pos="9174"/>
            </w:tabs>
            <w:kinsoku/>
            <w:wordWrap/>
            <w:overflowPunct/>
            <w:topLinePunct w:val="0"/>
            <w:autoSpaceDE/>
            <w:autoSpaceDN/>
            <w:bidi w:val="0"/>
            <w:adjustRightInd w:val="0"/>
            <w:snapToGrid w:val="0"/>
            <w:spacing w:after="0" w:line="360" w:lineRule="auto"/>
            <w:ind w:left="220" w:leftChars="100"/>
            <w:textAlignment w:val="auto"/>
            <w:rPr>
              <w:rFonts w:hint="default" w:ascii="Times New Roman" w:hAnsi="Times New Roman" w:eastAsia="黑体" w:cs="Times New Roman"/>
              <w:b w:val="0"/>
              <w:bCs w:val="0"/>
              <w:sz w:val="28"/>
              <w:szCs w:val="28"/>
              <w14:ligatures w14:val="none"/>
            </w:rPr>
          </w:pPr>
          <w:r>
            <w:rPr>
              <w:rFonts w:hint="default" w:ascii="Times New Roman" w:hAnsi="Times New Roman" w:eastAsia="黑体" w:cs="Times New Roman"/>
              <w:b w:val="0"/>
              <w:bCs w:val="0"/>
              <w:sz w:val="28"/>
              <w:szCs w:val="28"/>
              <w14:ligatures w14:val="none"/>
            </w:rPr>
            <w:fldChar w:fldCharType="begin"/>
          </w:r>
          <w:r>
            <w:rPr>
              <w:rFonts w:hint="default" w:ascii="Times New Roman" w:hAnsi="Times New Roman" w:eastAsia="黑体" w:cs="Times New Roman"/>
              <w:b w:val="0"/>
              <w:bCs w:val="0"/>
              <w:sz w:val="28"/>
              <w:szCs w:val="28"/>
              <w14:ligatures w14:val="none"/>
            </w:rPr>
            <w:instrText xml:space="preserve"> HYPERLINK \l _Toc10529 </w:instrText>
          </w:r>
          <w:r>
            <w:rPr>
              <w:rFonts w:hint="default" w:ascii="Times New Roman" w:hAnsi="Times New Roman" w:eastAsia="黑体" w:cs="Times New Roman"/>
              <w:b w:val="0"/>
              <w:bCs w:val="0"/>
              <w:sz w:val="28"/>
              <w:szCs w:val="28"/>
              <w14:ligatures w14:val="none"/>
            </w:rPr>
            <w:fldChar w:fldCharType="separate"/>
          </w:r>
          <w:r>
            <w:rPr>
              <w:rFonts w:hint="default" w:ascii="Times New Roman" w:hAnsi="Times New Roman" w:eastAsia="黑体" w:cs="Times New Roman"/>
              <w:b w:val="0"/>
              <w:bCs w:val="0"/>
              <w:sz w:val="28"/>
              <w:szCs w:val="28"/>
              <w14:ligatures w14:val="none"/>
            </w:rPr>
            <w:t>2.2工艺流程</w:t>
          </w:r>
          <w:r>
            <w:rPr>
              <w:rFonts w:hint="default" w:ascii="Times New Roman" w:hAnsi="Times New Roman" w:eastAsia="黑体" w:cs="Times New Roman"/>
              <w:b w:val="0"/>
              <w:bCs w:val="0"/>
              <w:sz w:val="28"/>
              <w:szCs w:val="28"/>
              <w14:ligatures w14:val="none"/>
            </w:rPr>
            <w:tab/>
          </w:r>
          <w:r>
            <w:rPr>
              <w:rFonts w:hint="default" w:ascii="Times New Roman" w:hAnsi="Times New Roman" w:eastAsia="黑体" w:cs="Times New Roman"/>
              <w:b w:val="0"/>
              <w:bCs w:val="0"/>
              <w:sz w:val="28"/>
              <w:szCs w:val="28"/>
              <w14:ligatures w14:val="none"/>
            </w:rPr>
            <w:fldChar w:fldCharType="begin"/>
          </w:r>
          <w:r>
            <w:rPr>
              <w:rFonts w:hint="default" w:ascii="Times New Roman" w:hAnsi="Times New Roman" w:eastAsia="黑体" w:cs="Times New Roman"/>
              <w:b w:val="0"/>
              <w:bCs w:val="0"/>
              <w:sz w:val="28"/>
              <w:szCs w:val="28"/>
              <w14:ligatures w14:val="none"/>
            </w:rPr>
            <w:instrText xml:space="preserve"> PAGEREF _Toc10529 \h </w:instrText>
          </w:r>
          <w:r>
            <w:rPr>
              <w:rFonts w:hint="default" w:ascii="Times New Roman" w:hAnsi="Times New Roman" w:eastAsia="黑体" w:cs="Times New Roman"/>
              <w:b w:val="0"/>
              <w:bCs w:val="0"/>
              <w:sz w:val="28"/>
              <w:szCs w:val="28"/>
              <w14:ligatures w14:val="none"/>
            </w:rPr>
            <w:fldChar w:fldCharType="separate"/>
          </w:r>
          <w:r>
            <w:rPr>
              <w:rFonts w:hint="default" w:ascii="Times New Roman" w:hAnsi="Times New Roman" w:eastAsia="黑体" w:cs="Times New Roman"/>
              <w:b w:val="0"/>
              <w:bCs w:val="0"/>
              <w:sz w:val="28"/>
              <w:szCs w:val="28"/>
              <w14:ligatures w14:val="none"/>
            </w:rPr>
            <w:t>21</w:t>
          </w:r>
          <w:r>
            <w:rPr>
              <w:rFonts w:hint="default" w:ascii="Times New Roman" w:hAnsi="Times New Roman" w:eastAsia="黑体" w:cs="Times New Roman"/>
              <w:b w:val="0"/>
              <w:bCs w:val="0"/>
              <w:sz w:val="28"/>
              <w:szCs w:val="28"/>
              <w14:ligatures w14:val="none"/>
            </w:rPr>
            <w:fldChar w:fldCharType="end"/>
          </w:r>
          <w:r>
            <w:rPr>
              <w:rFonts w:hint="default" w:ascii="Times New Roman" w:hAnsi="Times New Roman" w:eastAsia="黑体" w:cs="Times New Roman"/>
              <w:b w:val="0"/>
              <w:bCs w:val="0"/>
              <w:sz w:val="28"/>
              <w:szCs w:val="28"/>
              <w14:ligatures w14:val="none"/>
            </w:rPr>
            <w:fldChar w:fldCharType="end"/>
          </w:r>
        </w:p>
        <w:p w14:paraId="3E4F0D83">
          <w:pPr>
            <w:pStyle w:val="10"/>
            <w:keepNext w:val="0"/>
            <w:keepLines w:val="0"/>
            <w:pageBreakBefore w:val="0"/>
            <w:widowControl w:val="0"/>
            <w:tabs>
              <w:tab w:val="right" w:leader="dot" w:pos="9184"/>
              <w:tab w:val="clear" w:pos="9174"/>
            </w:tabs>
            <w:kinsoku/>
            <w:wordWrap/>
            <w:overflowPunct/>
            <w:topLinePunct w:val="0"/>
            <w:autoSpaceDE/>
            <w:autoSpaceDN/>
            <w:bidi w:val="0"/>
            <w:adjustRightInd w:val="0"/>
            <w:snapToGrid w:val="0"/>
            <w:spacing w:after="0" w:line="360" w:lineRule="auto"/>
            <w:ind w:left="220" w:leftChars="100"/>
            <w:textAlignment w:val="auto"/>
            <w:rPr>
              <w:rFonts w:hint="default" w:ascii="Times New Roman" w:hAnsi="Times New Roman" w:eastAsia="黑体" w:cs="Times New Roman"/>
              <w:b w:val="0"/>
              <w:bCs w:val="0"/>
              <w:sz w:val="28"/>
              <w:szCs w:val="28"/>
              <w14:ligatures w14:val="none"/>
            </w:rPr>
          </w:pPr>
          <w:r>
            <w:rPr>
              <w:rFonts w:hint="default" w:ascii="Times New Roman" w:hAnsi="Times New Roman" w:eastAsia="黑体" w:cs="Times New Roman"/>
              <w:b w:val="0"/>
              <w:bCs w:val="0"/>
              <w:sz w:val="28"/>
              <w:szCs w:val="28"/>
              <w14:ligatures w14:val="none"/>
            </w:rPr>
            <w:fldChar w:fldCharType="begin"/>
          </w:r>
          <w:r>
            <w:rPr>
              <w:rFonts w:hint="default" w:ascii="Times New Roman" w:hAnsi="Times New Roman" w:eastAsia="黑体" w:cs="Times New Roman"/>
              <w:b w:val="0"/>
              <w:bCs w:val="0"/>
              <w:sz w:val="28"/>
              <w:szCs w:val="28"/>
              <w14:ligatures w14:val="none"/>
            </w:rPr>
            <w:instrText xml:space="preserve"> HYPERLINK \l _Toc31281 </w:instrText>
          </w:r>
          <w:r>
            <w:rPr>
              <w:rFonts w:hint="default" w:ascii="Times New Roman" w:hAnsi="Times New Roman" w:eastAsia="黑体" w:cs="Times New Roman"/>
              <w:b w:val="0"/>
              <w:bCs w:val="0"/>
              <w:sz w:val="28"/>
              <w:szCs w:val="28"/>
              <w14:ligatures w14:val="none"/>
            </w:rPr>
            <w:fldChar w:fldCharType="separate"/>
          </w:r>
          <w:r>
            <w:rPr>
              <w:rFonts w:hint="default" w:ascii="Times New Roman" w:hAnsi="Times New Roman" w:eastAsia="黑体" w:cs="Times New Roman"/>
              <w:b w:val="0"/>
              <w:bCs w:val="0"/>
              <w:sz w:val="28"/>
              <w:szCs w:val="28"/>
              <w14:ligatures w14:val="none"/>
            </w:rPr>
            <w:t>2.</w:t>
          </w:r>
          <w:r>
            <w:rPr>
              <w:rFonts w:hint="default" w:ascii="Times New Roman" w:hAnsi="Times New Roman" w:eastAsia="黑体" w:cs="Times New Roman"/>
              <w:b w:val="0"/>
              <w:bCs w:val="0"/>
              <w:sz w:val="28"/>
              <w:szCs w:val="28"/>
              <w:lang w:val="en-US" w:eastAsia="zh-CN"/>
              <w14:ligatures w14:val="none"/>
            </w:rPr>
            <w:t>3</w:t>
          </w:r>
          <w:r>
            <w:rPr>
              <w:rFonts w:hint="default" w:ascii="Times New Roman" w:hAnsi="Times New Roman" w:eastAsia="黑体" w:cs="Times New Roman"/>
              <w:b w:val="0"/>
              <w:bCs w:val="0"/>
              <w:sz w:val="28"/>
              <w:szCs w:val="28"/>
              <w14:ligatures w14:val="none"/>
            </w:rPr>
            <w:t>主要设备</w:t>
          </w:r>
          <w:r>
            <w:rPr>
              <w:rFonts w:hint="default" w:ascii="Times New Roman" w:hAnsi="Times New Roman" w:eastAsia="黑体" w:cs="Times New Roman"/>
              <w:b w:val="0"/>
              <w:bCs w:val="0"/>
              <w:sz w:val="28"/>
              <w:szCs w:val="28"/>
              <w14:ligatures w14:val="none"/>
            </w:rPr>
            <w:tab/>
          </w:r>
          <w:r>
            <w:rPr>
              <w:rFonts w:hint="default" w:ascii="Times New Roman" w:hAnsi="Times New Roman" w:eastAsia="黑体" w:cs="Times New Roman"/>
              <w:b w:val="0"/>
              <w:bCs w:val="0"/>
              <w:sz w:val="28"/>
              <w:szCs w:val="28"/>
              <w14:ligatures w14:val="none"/>
            </w:rPr>
            <w:fldChar w:fldCharType="begin"/>
          </w:r>
          <w:r>
            <w:rPr>
              <w:rFonts w:hint="default" w:ascii="Times New Roman" w:hAnsi="Times New Roman" w:eastAsia="黑体" w:cs="Times New Roman"/>
              <w:b w:val="0"/>
              <w:bCs w:val="0"/>
              <w:sz w:val="28"/>
              <w:szCs w:val="28"/>
              <w14:ligatures w14:val="none"/>
            </w:rPr>
            <w:instrText xml:space="preserve"> PAGEREF _Toc31281 \h </w:instrText>
          </w:r>
          <w:r>
            <w:rPr>
              <w:rFonts w:hint="default" w:ascii="Times New Roman" w:hAnsi="Times New Roman" w:eastAsia="黑体" w:cs="Times New Roman"/>
              <w:b w:val="0"/>
              <w:bCs w:val="0"/>
              <w:sz w:val="28"/>
              <w:szCs w:val="28"/>
              <w14:ligatures w14:val="none"/>
            </w:rPr>
            <w:fldChar w:fldCharType="separate"/>
          </w:r>
          <w:r>
            <w:rPr>
              <w:rFonts w:hint="default" w:ascii="Times New Roman" w:hAnsi="Times New Roman" w:eastAsia="黑体" w:cs="Times New Roman"/>
              <w:b w:val="0"/>
              <w:bCs w:val="0"/>
              <w:sz w:val="28"/>
              <w:szCs w:val="28"/>
              <w14:ligatures w14:val="none"/>
            </w:rPr>
            <w:t>22</w:t>
          </w:r>
          <w:r>
            <w:rPr>
              <w:rFonts w:hint="default" w:ascii="Times New Roman" w:hAnsi="Times New Roman" w:eastAsia="黑体" w:cs="Times New Roman"/>
              <w:b w:val="0"/>
              <w:bCs w:val="0"/>
              <w:sz w:val="28"/>
              <w:szCs w:val="28"/>
              <w14:ligatures w14:val="none"/>
            </w:rPr>
            <w:fldChar w:fldCharType="end"/>
          </w:r>
          <w:r>
            <w:rPr>
              <w:rFonts w:hint="default" w:ascii="Times New Roman" w:hAnsi="Times New Roman" w:eastAsia="黑体" w:cs="Times New Roman"/>
              <w:b w:val="0"/>
              <w:bCs w:val="0"/>
              <w:sz w:val="28"/>
              <w:szCs w:val="28"/>
              <w14:ligatures w14:val="none"/>
            </w:rPr>
            <w:fldChar w:fldCharType="end"/>
          </w:r>
        </w:p>
        <w:p w14:paraId="451B90FB">
          <w:pPr>
            <w:pStyle w:val="10"/>
            <w:keepNext w:val="0"/>
            <w:keepLines w:val="0"/>
            <w:pageBreakBefore w:val="0"/>
            <w:widowControl w:val="0"/>
            <w:tabs>
              <w:tab w:val="right" w:leader="dot" w:pos="9184"/>
              <w:tab w:val="clear" w:pos="9174"/>
            </w:tabs>
            <w:kinsoku/>
            <w:wordWrap/>
            <w:overflowPunct/>
            <w:topLinePunct w:val="0"/>
            <w:autoSpaceDE/>
            <w:autoSpaceDN/>
            <w:bidi w:val="0"/>
            <w:adjustRightInd w:val="0"/>
            <w:snapToGrid w:val="0"/>
            <w:spacing w:after="0" w:line="360" w:lineRule="auto"/>
            <w:ind w:left="220" w:leftChars="100"/>
            <w:textAlignment w:val="auto"/>
            <w:rPr>
              <w:rFonts w:hint="default" w:ascii="Times New Roman" w:hAnsi="Times New Roman" w:eastAsia="黑体" w:cs="Times New Roman"/>
              <w:b w:val="0"/>
              <w:bCs w:val="0"/>
              <w:sz w:val="28"/>
              <w:szCs w:val="28"/>
              <w14:ligatures w14:val="none"/>
            </w:rPr>
          </w:pPr>
          <w:r>
            <w:rPr>
              <w:rFonts w:hint="default" w:ascii="Times New Roman" w:hAnsi="Times New Roman" w:eastAsia="黑体" w:cs="Times New Roman"/>
              <w:b w:val="0"/>
              <w:bCs w:val="0"/>
              <w:sz w:val="28"/>
              <w:szCs w:val="28"/>
              <w14:ligatures w14:val="none"/>
            </w:rPr>
            <w:fldChar w:fldCharType="begin"/>
          </w:r>
          <w:r>
            <w:rPr>
              <w:rFonts w:hint="default" w:ascii="Times New Roman" w:hAnsi="Times New Roman" w:eastAsia="黑体" w:cs="Times New Roman"/>
              <w:b w:val="0"/>
              <w:bCs w:val="0"/>
              <w:sz w:val="28"/>
              <w:szCs w:val="28"/>
              <w14:ligatures w14:val="none"/>
            </w:rPr>
            <w:instrText xml:space="preserve"> HYPERLINK \l _Toc8024 </w:instrText>
          </w:r>
          <w:r>
            <w:rPr>
              <w:rFonts w:hint="default" w:ascii="Times New Roman" w:hAnsi="Times New Roman" w:eastAsia="黑体" w:cs="Times New Roman"/>
              <w:b w:val="0"/>
              <w:bCs w:val="0"/>
              <w:sz w:val="28"/>
              <w:szCs w:val="28"/>
              <w14:ligatures w14:val="none"/>
            </w:rPr>
            <w:fldChar w:fldCharType="separate"/>
          </w:r>
          <w:r>
            <w:rPr>
              <w:rFonts w:hint="default" w:ascii="Times New Roman" w:hAnsi="Times New Roman" w:eastAsia="黑体" w:cs="Times New Roman"/>
              <w:b w:val="0"/>
              <w:bCs w:val="0"/>
              <w:sz w:val="28"/>
              <w:szCs w:val="28"/>
              <w14:ligatures w14:val="none"/>
            </w:rPr>
            <w:t>2.</w:t>
          </w:r>
          <w:r>
            <w:rPr>
              <w:rFonts w:hint="default" w:ascii="Times New Roman" w:hAnsi="Times New Roman" w:eastAsia="黑体" w:cs="Times New Roman"/>
              <w:b w:val="0"/>
              <w:bCs w:val="0"/>
              <w:sz w:val="28"/>
              <w:szCs w:val="28"/>
              <w:lang w:val="en-US" w:eastAsia="zh-CN"/>
              <w14:ligatures w14:val="none"/>
            </w:rPr>
            <w:t>4储存规模</w:t>
          </w:r>
          <w:r>
            <w:rPr>
              <w:rFonts w:hint="default" w:ascii="Times New Roman" w:hAnsi="Times New Roman" w:eastAsia="黑体" w:cs="Times New Roman"/>
              <w:b w:val="0"/>
              <w:bCs w:val="0"/>
              <w:sz w:val="28"/>
              <w:szCs w:val="28"/>
              <w14:ligatures w14:val="none"/>
            </w:rPr>
            <w:tab/>
          </w:r>
          <w:r>
            <w:rPr>
              <w:rFonts w:hint="default" w:ascii="Times New Roman" w:hAnsi="Times New Roman" w:eastAsia="黑体" w:cs="Times New Roman"/>
              <w:b w:val="0"/>
              <w:bCs w:val="0"/>
              <w:sz w:val="28"/>
              <w:szCs w:val="28"/>
              <w14:ligatures w14:val="none"/>
            </w:rPr>
            <w:fldChar w:fldCharType="begin"/>
          </w:r>
          <w:r>
            <w:rPr>
              <w:rFonts w:hint="default" w:ascii="Times New Roman" w:hAnsi="Times New Roman" w:eastAsia="黑体" w:cs="Times New Roman"/>
              <w:b w:val="0"/>
              <w:bCs w:val="0"/>
              <w:sz w:val="28"/>
              <w:szCs w:val="28"/>
              <w14:ligatures w14:val="none"/>
            </w:rPr>
            <w:instrText xml:space="preserve"> PAGEREF _Toc8024 \h </w:instrText>
          </w:r>
          <w:r>
            <w:rPr>
              <w:rFonts w:hint="default" w:ascii="Times New Roman" w:hAnsi="Times New Roman" w:eastAsia="黑体" w:cs="Times New Roman"/>
              <w:b w:val="0"/>
              <w:bCs w:val="0"/>
              <w:sz w:val="28"/>
              <w:szCs w:val="28"/>
              <w14:ligatures w14:val="none"/>
            </w:rPr>
            <w:fldChar w:fldCharType="separate"/>
          </w:r>
          <w:r>
            <w:rPr>
              <w:rFonts w:hint="default" w:ascii="Times New Roman" w:hAnsi="Times New Roman" w:eastAsia="黑体" w:cs="Times New Roman"/>
              <w:b w:val="0"/>
              <w:bCs w:val="0"/>
              <w:sz w:val="28"/>
              <w:szCs w:val="28"/>
              <w14:ligatures w14:val="none"/>
            </w:rPr>
            <w:t>22</w:t>
          </w:r>
          <w:r>
            <w:rPr>
              <w:rFonts w:hint="default" w:ascii="Times New Roman" w:hAnsi="Times New Roman" w:eastAsia="黑体" w:cs="Times New Roman"/>
              <w:b w:val="0"/>
              <w:bCs w:val="0"/>
              <w:sz w:val="28"/>
              <w:szCs w:val="28"/>
              <w14:ligatures w14:val="none"/>
            </w:rPr>
            <w:fldChar w:fldCharType="end"/>
          </w:r>
          <w:r>
            <w:rPr>
              <w:rFonts w:hint="default" w:ascii="Times New Roman" w:hAnsi="Times New Roman" w:eastAsia="黑体" w:cs="Times New Roman"/>
              <w:b w:val="0"/>
              <w:bCs w:val="0"/>
              <w:sz w:val="28"/>
              <w:szCs w:val="28"/>
              <w14:ligatures w14:val="none"/>
            </w:rPr>
            <w:fldChar w:fldCharType="end"/>
          </w:r>
        </w:p>
        <w:p w14:paraId="215F545C">
          <w:pPr>
            <w:pStyle w:val="10"/>
            <w:keepNext w:val="0"/>
            <w:keepLines w:val="0"/>
            <w:pageBreakBefore w:val="0"/>
            <w:widowControl w:val="0"/>
            <w:tabs>
              <w:tab w:val="right" w:leader="dot" w:pos="9184"/>
              <w:tab w:val="clear" w:pos="9174"/>
            </w:tabs>
            <w:kinsoku/>
            <w:wordWrap/>
            <w:overflowPunct/>
            <w:topLinePunct w:val="0"/>
            <w:autoSpaceDE/>
            <w:autoSpaceDN/>
            <w:bidi w:val="0"/>
            <w:adjustRightInd w:val="0"/>
            <w:snapToGrid w:val="0"/>
            <w:spacing w:after="0" w:line="360" w:lineRule="auto"/>
            <w:ind w:left="220" w:leftChars="100"/>
            <w:textAlignment w:val="auto"/>
            <w:rPr>
              <w:rFonts w:hint="default" w:ascii="Times New Roman" w:hAnsi="Times New Roman" w:eastAsia="黑体" w:cs="Times New Roman"/>
              <w:b w:val="0"/>
              <w:bCs w:val="0"/>
              <w:sz w:val="28"/>
              <w:szCs w:val="28"/>
              <w14:ligatures w14:val="none"/>
            </w:rPr>
          </w:pPr>
          <w:r>
            <w:rPr>
              <w:rFonts w:hint="default" w:ascii="Times New Roman" w:hAnsi="Times New Roman" w:eastAsia="黑体" w:cs="Times New Roman"/>
              <w:b w:val="0"/>
              <w:bCs w:val="0"/>
              <w:sz w:val="28"/>
              <w:szCs w:val="28"/>
              <w14:ligatures w14:val="none"/>
            </w:rPr>
            <w:fldChar w:fldCharType="begin"/>
          </w:r>
          <w:r>
            <w:rPr>
              <w:rFonts w:hint="default" w:ascii="Times New Roman" w:hAnsi="Times New Roman" w:eastAsia="黑体" w:cs="Times New Roman"/>
              <w:b w:val="0"/>
              <w:bCs w:val="0"/>
              <w:sz w:val="28"/>
              <w:szCs w:val="28"/>
              <w14:ligatures w14:val="none"/>
            </w:rPr>
            <w:instrText xml:space="preserve"> HYPERLINK \l _Toc19936 </w:instrText>
          </w:r>
          <w:r>
            <w:rPr>
              <w:rFonts w:hint="default" w:ascii="Times New Roman" w:hAnsi="Times New Roman" w:eastAsia="黑体" w:cs="Times New Roman"/>
              <w:b w:val="0"/>
              <w:bCs w:val="0"/>
              <w:sz w:val="28"/>
              <w:szCs w:val="28"/>
              <w14:ligatures w14:val="none"/>
            </w:rPr>
            <w:fldChar w:fldCharType="separate"/>
          </w:r>
          <w:r>
            <w:rPr>
              <w:rFonts w:hint="default" w:ascii="Times New Roman" w:hAnsi="Times New Roman" w:eastAsia="黑体" w:cs="Times New Roman"/>
              <w:b w:val="0"/>
              <w:bCs w:val="0"/>
              <w:sz w:val="28"/>
              <w:szCs w:val="28"/>
              <w14:ligatures w14:val="none"/>
            </w:rPr>
            <w:t>2.</w:t>
          </w:r>
          <w:r>
            <w:rPr>
              <w:rFonts w:hint="eastAsia" w:cs="Times New Roman"/>
              <w:b w:val="0"/>
              <w:bCs w:val="0"/>
              <w:sz w:val="28"/>
              <w:szCs w:val="28"/>
              <w:lang w:val="en-US" w:eastAsia="zh-CN"/>
              <w14:ligatures w14:val="none"/>
            </w:rPr>
            <w:t>5</w:t>
          </w:r>
          <w:r>
            <w:rPr>
              <w:rFonts w:hint="default" w:ascii="Times New Roman" w:hAnsi="Times New Roman" w:eastAsia="黑体" w:cs="Times New Roman"/>
              <w:b w:val="0"/>
              <w:bCs w:val="0"/>
              <w:sz w:val="28"/>
              <w:szCs w:val="28"/>
              <w14:ligatures w14:val="none"/>
            </w:rPr>
            <w:t>公用工程</w:t>
          </w:r>
          <w:r>
            <w:rPr>
              <w:rFonts w:hint="default" w:ascii="Times New Roman" w:hAnsi="Times New Roman" w:eastAsia="黑体" w:cs="Times New Roman"/>
              <w:b w:val="0"/>
              <w:bCs w:val="0"/>
              <w:sz w:val="28"/>
              <w:szCs w:val="28"/>
              <w14:ligatures w14:val="none"/>
            </w:rPr>
            <w:tab/>
          </w:r>
          <w:r>
            <w:rPr>
              <w:rFonts w:hint="default" w:ascii="Times New Roman" w:hAnsi="Times New Roman" w:eastAsia="黑体" w:cs="Times New Roman"/>
              <w:b w:val="0"/>
              <w:bCs w:val="0"/>
              <w:sz w:val="28"/>
              <w:szCs w:val="28"/>
              <w14:ligatures w14:val="none"/>
            </w:rPr>
            <w:fldChar w:fldCharType="begin"/>
          </w:r>
          <w:r>
            <w:rPr>
              <w:rFonts w:hint="default" w:ascii="Times New Roman" w:hAnsi="Times New Roman" w:eastAsia="黑体" w:cs="Times New Roman"/>
              <w:b w:val="0"/>
              <w:bCs w:val="0"/>
              <w:sz w:val="28"/>
              <w:szCs w:val="28"/>
              <w14:ligatures w14:val="none"/>
            </w:rPr>
            <w:instrText xml:space="preserve"> PAGEREF _Toc19936 \h </w:instrText>
          </w:r>
          <w:r>
            <w:rPr>
              <w:rFonts w:hint="default" w:ascii="Times New Roman" w:hAnsi="Times New Roman" w:eastAsia="黑体" w:cs="Times New Roman"/>
              <w:b w:val="0"/>
              <w:bCs w:val="0"/>
              <w:sz w:val="28"/>
              <w:szCs w:val="28"/>
              <w14:ligatures w14:val="none"/>
            </w:rPr>
            <w:fldChar w:fldCharType="separate"/>
          </w:r>
          <w:r>
            <w:rPr>
              <w:rFonts w:hint="default" w:ascii="Times New Roman" w:hAnsi="Times New Roman" w:eastAsia="黑体" w:cs="Times New Roman"/>
              <w:b w:val="0"/>
              <w:bCs w:val="0"/>
              <w:sz w:val="28"/>
              <w:szCs w:val="28"/>
              <w14:ligatures w14:val="none"/>
            </w:rPr>
            <w:t>23</w:t>
          </w:r>
          <w:r>
            <w:rPr>
              <w:rFonts w:hint="default" w:ascii="Times New Roman" w:hAnsi="Times New Roman" w:eastAsia="黑体" w:cs="Times New Roman"/>
              <w:b w:val="0"/>
              <w:bCs w:val="0"/>
              <w:sz w:val="28"/>
              <w:szCs w:val="28"/>
              <w14:ligatures w14:val="none"/>
            </w:rPr>
            <w:fldChar w:fldCharType="end"/>
          </w:r>
          <w:r>
            <w:rPr>
              <w:rFonts w:hint="default" w:ascii="Times New Roman" w:hAnsi="Times New Roman" w:eastAsia="黑体" w:cs="Times New Roman"/>
              <w:b w:val="0"/>
              <w:bCs w:val="0"/>
              <w:sz w:val="28"/>
              <w:szCs w:val="28"/>
              <w14:ligatures w14:val="none"/>
            </w:rPr>
            <w:fldChar w:fldCharType="end"/>
          </w:r>
        </w:p>
        <w:p w14:paraId="1CD5C2D8">
          <w:pPr>
            <w:pStyle w:val="9"/>
            <w:keepNext w:val="0"/>
            <w:keepLines w:val="0"/>
            <w:pageBreakBefore w:val="0"/>
            <w:widowControl w:val="0"/>
            <w:tabs>
              <w:tab w:val="right" w:leader="dot" w:pos="9184"/>
            </w:tabs>
            <w:kinsoku/>
            <w:wordWrap/>
            <w:overflowPunct/>
            <w:topLinePunct w:val="0"/>
            <w:autoSpaceDE/>
            <w:autoSpaceDN/>
            <w:bidi w:val="0"/>
            <w:adjustRightInd w:val="0"/>
            <w:snapToGrid w:val="0"/>
            <w:spacing w:after="0" w:line="360" w:lineRule="auto"/>
            <w:ind w:left="0" w:leftChars="0"/>
            <w:textAlignment w:val="auto"/>
            <w:rPr>
              <w:rFonts w:hint="default" w:ascii="Times New Roman" w:hAnsi="Times New Roman" w:eastAsia="黑体" w:cs="Times New Roman"/>
              <w:b/>
              <w:bCs/>
              <w:sz w:val="28"/>
              <w:szCs w:val="28"/>
            </w:rPr>
          </w:pPr>
          <w:r>
            <w:rPr>
              <w:rFonts w:hint="default" w:ascii="Times New Roman" w:hAnsi="Times New Roman" w:eastAsia="黑体" w:cs="Times New Roman"/>
              <w:b/>
              <w:bCs/>
              <w:sz w:val="28"/>
              <w:szCs w:val="28"/>
            </w:rPr>
            <w:fldChar w:fldCharType="begin"/>
          </w:r>
          <w:r>
            <w:rPr>
              <w:rFonts w:hint="default" w:ascii="Times New Roman" w:hAnsi="Times New Roman" w:eastAsia="黑体" w:cs="Times New Roman"/>
              <w:b/>
              <w:bCs/>
              <w:sz w:val="28"/>
              <w:szCs w:val="28"/>
            </w:rPr>
            <w:instrText xml:space="preserve"> HYPERLINK \l _Toc26181 </w:instrText>
          </w:r>
          <w:r>
            <w:rPr>
              <w:rFonts w:hint="default" w:ascii="Times New Roman" w:hAnsi="Times New Roman" w:eastAsia="黑体" w:cs="Times New Roman"/>
              <w:b/>
              <w:bCs/>
              <w:sz w:val="28"/>
              <w:szCs w:val="28"/>
            </w:rPr>
            <w:fldChar w:fldCharType="separate"/>
          </w:r>
          <w:r>
            <w:rPr>
              <w:rFonts w:hint="default" w:ascii="Times New Roman" w:hAnsi="Times New Roman" w:eastAsia="黑体" w:cs="Times New Roman"/>
              <w:b/>
              <w:bCs/>
              <w:kern w:val="44"/>
              <w:sz w:val="28"/>
              <w:szCs w:val="28"/>
              <w14:ligatures w14:val="none"/>
            </w:rPr>
            <w:t>3危险、有害因素辨识分析</w:t>
          </w:r>
          <w:r>
            <w:rPr>
              <w:rFonts w:hint="default" w:ascii="Times New Roman" w:hAnsi="Times New Roman" w:eastAsia="黑体" w:cs="Times New Roman"/>
              <w:b/>
              <w:bCs/>
              <w:sz w:val="28"/>
              <w:szCs w:val="28"/>
            </w:rPr>
            <w:tab/>
          </w:r>
          <w:r>
            <w:rPr>
              <w:rFonts w:hint="default" w:ascii="Times New Roman" w:hAnsi="Times New Roman" w:eastAsia="黑体" w:cs="Times New Roman"/>
              <w:b/>
              <w:bCs/>
              <w:sz w:val="28"/>
              <w:szCs w:val="28"/>
            </w:rPr>
            <w:fldChar w:fldCharType="begin"/>
          </w:r>
          <w:r>
            <w:rPr>
              <w:rFonts w:hint="default" w:ascii="Times New Roman" w:hAnsi="Times New Roman" w:eastAsia="黑体" w:cs="Times New Roman"/>
              <w:b/>
              <w:bCs/>
              <w:sz w:val="28"/>
              <w:szCs w:val="28"/>
            </w:rPr>
            <w:instrText xml:space="preserve"> PAGEREF _Toc26181 \h </w:instrText>
          </w:r>
          <w:r>
            <w:rPr>
              <w:rFonts w:hint="default" w:ascii="Times New Roman" w:hAnsi="Times New Roman" w:eastAsia="黑体" w:cs="Times New Roman"/>
              <w:b/>
              <w:bCs/>
              <w:sz w:val="28"/>
              <w:szCs w:val="28"/>
            </w:rPr>
            <w:fldChar w:fldCharType="separate"/>
          </w:r>
          <w:r>
            <w:rPr>
              <w:rFonts w:hint="default" w:ascii="Times New Roman" w:hAnsi="Times New Roman" w:eastAsia="黑体" w:cs="Times New Roman"/>
              <w:b/>
              <w:bCs/>
              <w:sz w:val="28"/>
              <w:szCs w:val="28"/>
            </w:rPr>
            <w:t>29</w:t>
          </w:r>
          <w:r>
            <w:rPr>
              <w:rFonts w:hint="default" w:ascii="Times New Roman" w:hAnsi="Times New Roman" w:eastAsia="黑体" w:cs="Times New Roman"/>
              <w:b/>
              <w:bCs/>
              <w:sz w:val="28"/>
              <w:szCs w:val="28"/>
            </w:rPr>
            <w:fldChar w:fldCharType="end"/>
          </w:r>
          <w:r>
            <w:rPr>
              <w:rFonts w:hint="default" w:ascii="Times New Roman" w:hAnsi="Times New Roman" w:eastAsia="黑体" w:cs="Times New Roman"/>
              <w:b/>
              <w:bCs/>
              <w:sz w:val="28"/>
              <w:szCs w:val="28"/>
            </w:rPr>
            <w:fldChar w:fldCharType="end"/>
          </w:r>
        </w:p>
        <w:p w14:paraId="4F111B21">
          <w:pPr>
            <w:pStyle w:val="10"/>
            <w:keepNext w:val="0"/>
            <w:keepLines w:val="0"/>
            <w:pageBreakBefore w:val="0"/>
            <w:widowControl w:val="0"/>
            <w:tabs>
              <w:tab w:val="right" w:leader="dot" w:pos="9184"/>
              <w:tab w:val="clear" w:pos="9174"/>
            </w:tabs>
            <w:kinsoku/>
            <w:wordWrap/>
            <w:overflowPunct/>
            <w:topLinePunct w:val="0"/>
            <w:autoSpaceDE/>
            <w:autoSpaceDN/>
            <w:bidi w:val="0"/>
            <w:adjustRightInd w:val="0"/>
            <w:snapToGrid w:val="0"/>
            <w:spacing w:after="0" w:line="360" w:lineRule="auto"/>
            <w:ind w:left="220" w:leftChars="100"/>
            <w:textAlignment w:val="auto"/>
            <w:rPr>
              <w:rFonts w:hint="default" w:ascii="Times New Roman" w:hAnsi="Times New Roman" w:eastAsia="黑体" w:cs="Times New Roman"/>
              <w:b w:val="0"/>
              <w:bCs w:val="0"/>
              <w:sz w:val="28"/>
              <w:szCs w:val="28"/>
              <w14:ligatures w14:val="none"/>
            </w:rPr>
          </w:pPr>
          <w:r>
            <w:rPr>
              <w:rFonts w:hint="default" w:ascii="Times New Roman" w:hAnsi="Times New Roman" w:eastAsia="黑体" w:cs="Times New Roman"/>
              <w:b w:val="0"/>
              <w:bCs w:val="0"/>
              <w:sz w:val="28"/>
              <w:szCs w:val="28"/>
              <w14:ligatures w14:val="none"/>
            </w:rPr>
            <w:fldChar w:fldCharType="begin"/>
          </w:r>
          <w:r>
            <w:rPr>
              <w:rFonts w:hint="default" w:ascii="Times New Roman" w:hAnsi="Times New Roman" w:eastAsia="黑体" w:cs="Times New Roman"/>
              <w:b w:val="0"/>
              <w:bCs w:val="0"/>
              <w:sz w:val="28"/>
              <w:szCs w:val="28"/>
              <w14:ligatures w14:val="none"/>
            </w:rPr>
            <w:instrText xml:space="preserve"> HYPERLINK \l _Toc25193 </w:instrText>
          </w:r>
          <w:r>
            <w:rPr>
              <w:rFonts w:hint="default" w:ascii="Times New Roman" w:hAnsi="Times New Roman" w:eastAsia="黑体" w:cs="Times New Roman"/>
              <w:b w:val="0"/>
              <w:bCs w:val="0"/>
              <w:sz w:val="28"/>
              <w:szCs w:val="28"/>
              <w14:ligatures w14:val="none"/>
            </w:rPr>
            <w:fldChar w:fldCharType="separate"/>
          </w:r>
          <w:r>
            <w:rPr>
              <w:rFonts w:hint="default" w:ascii="Times New Roman" w:hAnsi="Times New Roman" w:eastAsia="黑体" w:cs="Times New Roman"/>
              <w:b w:val="0"/>
              <w:bCs w:val="0"/>
              <w:sz w:val="28"/>
              <w:szCs w:val="28"/>
              <w14:ligatures w14:val="none"/>
            </w:rPr>
            <w:t>3.1物质的危险、有害因素分析</w:t>
          </w:r>
          <w:r>
            <w:rPr>
              <w:rFonts w:hint="default" w:ascii="Times New Roman" w:hAnsi="Times New Roman" w:eastAsia="黑体" w:cs="Times New Roman"/>
              <w:b w:val="0"/>
              <w:bCs w:val="0"/>
              <w:sz w:val="28"/>
              <w:szCs w:val="28"/>
              <w14:ligatures w14:val="none"/>
            </w:rPr>
            <w:tab/>
          </w:r>
          <w:r>
            <w:rPr>
              <w:rFonts w:hint="default" w:ascii="Times New Roman" w:hAnsi="Times New Roman" w:eastAsia="黑体" w:cs="Times New Roman"/>
              <w:b w:val="0"/>
              <w:bCs w:val="0"/>
              <w:sz w:val="28"/>
              <w:szCs w:val="28"/>
              <w14:ligatures w14:val="none"/>
            </w:rPr>
            <w:fldChar w:fldCharType="begin"/>
          </w:r>
          <w:r>
            <w:rPr>
              <w:rFonts w:hint="default" w:ascii="Times New Roman" w:hAnsi="Times New Roman" w:eastAsia="黑体" w:cs="Times New Roman"/>
              <w:b w:val="0"/>
              <w:bCs w:val="0"/>
              <w:sz w:val="28"/>
              <w:szCs w:val="28"/>
              <w14:ligatures w14:val="none"/>
            </w:rPr>
            <w:instrText xml:space="preserve"> PAGEREF _Toc25193 \h </w:instrText>
          </w:r>
          <w:r>
            <w:rPr>
              <w:rFonts w:hint="default" w:ascii="Times New Roman" w:hAnsi="Times New Roman" w:eastAsia="黑体" w:cs="Times New Roman"/>
              <w:b w:val="0"/>
              <w:bCs w:val="0"/>
              <w:sz w:val="28"/>
              <w:szCs w:val="28"/>
              <w14:ligatures w14:val="none"/>
            </w:rPr>
            <w:fldChar w:fldCharType="separate"/>
          </w:r>
          <w:r>
            <w:rPr>
              <w:rFonts w:hint="default" w:ascii="Times New Roman" w:hAnsi="Times New Roman" w:eastAsia="黑体" w:cs="Times New Roman"/>
              <w:b w:val="0"/>
              <w:bCs w:val="0"/>
              <w:sz w:val="28"/>
              <w:szCs w:val="28"/>
              <w14:ligatures w14:val="none"/>
            </w:rPr>
            <w:t>29</w:t>
          </w:r>
          <w:r>
            <w:rPr>
              <w:rFonts w:hint="default" w:ascii="Times New Roman" w:hAnsi="Times New Roman" w:eastAsia="黑体" w:cs="Times New Roman"/>
              <w:b w:val="0"/>
              <w:bCs w:val="0"/>
              <w:sz w:val="28"/>
              <w:szCs w:val="28"/>
              <w14:ligatures w14:val="none"/>
            </w:rPr>
            <w:fldChar w:fldCharType="end"/>
          </w:r>
          <w:r>
            <w:rPr>
              <w:rFonts w:hint="default" w:ascii="Times New Roman" w:hAnsi="Times New Roman" w:eastAsia="黑体" w:cs="Times New Roman"/>
              <w:b w:val="0"/>
              <w:bCs w:val="0"/>
              <w:sz w:val="28"/>
              <w:szCs w:val="28"/>
              <w14:ligatures w14:val="none"/>
            </w:rPr>
            <w:fldChar w:fldCharType="end"/>
          </w:r>
        </w:p>
        <w:p w14:paraId="620F07B1">
          <w:pPr>
            <w:pStyle w:val="10"/>
            <w:keepNext w:val="0"/>
            <w:keepLines w:val="0"/>
            <w:pageBreakBefore w:val="0"/>
            <w:widowControl w:val="0"/>
            <w:tabs>
              <w:tab w:val="right" w:leader="dot" w:pos="9184"/>
              <w:tab w:val="clear" w:pos="9174"/>
            </w:tabs>
            <w:kinsoku/>
            <w:wordWrap/>
            <w:overflowPunct/>
            <w:topLinePunct w:val="0"/>
            <w:autoSpaceDE/>
            <w:autoSpaceDN/>
            <w:bidi w:val="0"/>
            <w:adjustRightInd w:val="0"/>
            <w:snapToGrid w:val="0"/>
            <w:spacing w:after="0" w:line="360" w:lineRule="auto"/>
            <w:ind w:left="220" w:leftChars="100"/>
            <w:textAlignment w:val="auto"/>
            <w:rPr>
              <w:rFonts w:hint="default" w:ascii="Times New Roman" w:hAnsi="Times New Roman" w:eastAsia="黑体" w:cs="Times New Roman"/>
              <w:b w:val="0"/>
              <w:bCs w:val="0"/>
              <w:sz w:val="28"/>
              <w:szCs w:val="28"/>
              <w14:ligatures w14:val="none"/>
            </w:rPr>
          </w:pPr>
          <w:r>
            <w:rPr>
              <w:rFonts w:hint="default" w:ascii="Times New Roman" w:hAnsi="Times New Roman" w:eastAsia="黑体" w:cs="Times New Roman"/>
              <w:b w:val="0"/>
              <w:bCs w:val="0"/>
              <w:sz w:val="28"/>
              <w:szCs w:val="28"/>
              <w14:ligatures w14:val="none"/>
            </w:rPr>
            <w:fldChar w:fldCharType="begin"/>
          </w:r>
          <w:r>
            <w:rPr>
              <w:rFonts w:hint="default" w:ascii="Times New Roman" w:hAnsi="Times New Roman" w:eastAsia="黑体" w:cs="Times New Roman"/>
              <w:b w:val="0"/>
              <w:bCs w:val="0"/>
              <w:sz w:val="28"/>
              <w:szCs w:val="28"/>
              <w14:ligatures w14:val="none"/>
            </w:rPr>
            <w:instrText xml:space="preserve"> HYPERLINK \l _Toc28846 </w:instrText>
          </w:r>
          <w:r>
            <w:rPr>
              <w:rFonts w:hint="default" w:ascii="Times New Roman" w:hAnsi="Times New Roman" w:eastAsia="黑体" w:cs="Times New Roman"/>
              <w:b w:val="0"/>
              <w:bCs w:val="0"/>
              <w:sz w:val="28"/>
              <w:szCs w:val="28"/>
              <w14:ligatures w14:val="none"/>
            </w:rPr>
            <w:fldChar w:fldCharType="separate"/>
          </w:r>
          <w:r>
            <w:rPr>
              <w:rFonts w:hint="default" w:ascii="Times New Roman" w:hAnsi="Times New Roman" w:eastAsia="黑体" w:cs="Times New Roman"/>
              <w:b w:val="0"/>
              <w:bCs w:val="0"/>
              <w:sz w:val="28"/>
              <w:szCs w:val="28"/>
              <w14:ligatures w14:val="none"/>
            </w:rPr>
            <w:t>3.2储存经营过程中的危险、有害因素分析</w:t>
          </w:r>
          <w:r>
            <w:rPr>
              <w:rFonts w:hint="default" w:ascii="Times New Roman" w:hAnsi="Times New Roman" w:eastAsia="黑体" w:cs="Times New Roman"/>
              <w:b w:val="0"/>
              <w:bCs w:val="0"/>
              <w:sz w:val="28"/>
              <w:szCs w:val="28"/>
              <w14:ligatures w14:val="none"/>
            </w:rPr>
            <w:tab/>
          </w:r>
          <w:r>
            <w:rPr>
              <w:rFonts w:hint="default" w:ascii="Times New Roman" w:hAnsi="Times New Roman" w:eastAsia="黑体" w:cs="Times New Roman"/>
              <w:b w:val="0"/>
              <w:bCs w:val="0"/>
              <w:sz w:val="28"/>
              <w:szCs w:val="28"/>
              <w14:ligatures w14:val="none"/>
            </w:rPr>
            <w:fldChar w:fldCharType="begin"/>
          </w:r>
          <w:r>
            <w:rPr>
              <w:rFonts w:hint="default" w:ascii="Times New Roman" w:hAnsi="Times New Roman" w:eastAsia="黑体" w:cs="Times New Roman"/>
              <w:b w:val="0"/>
              <w:bCs w:val="0"/>
              <w:sz w:val="28"/>
              <w:szCs w:val="28"/>
              <w14:ligatures w14:val="none"/>
            </w:rPr>
            <w:instrText xml:space="preserve"> PAGEREF _Toc28846 \h </w:instrText>
          </w:r>
          <w:r>
            <w:rPr>
              <w:rFonts w:hint="default" w:ascii="Times New Roman" w:hAnsi="Times New Roman" w:eastAsia="黑体" w:cs="Times New Roman"/>
              <w:b w:val="0"/>
              <w:bCs w:val="0"/>
              <w:sz w:val="28"/>
              <w:szCs w:val="28"/>
              <w14:ligatures w14:val="none"/>
            </w:rPr>
            <w:fldChar w:fldCharType="separate"/>
          </w:r>
          <w:r>
            <w:rPr>
              <w:rFonts w:hint="default" w:ascii="Times New Roman" w:hAnsi="Times New Roman" w:eastAsia="黑体" w:cs="Times New Roman"/>
              <w:b w:val="0"/>
              <w:bCs w:val="0"/>
              <w:sz w:val="28"/>
              <w:szCs w:val="28"/>
              <w14:ligatures w14:val="none"/>
            </w:rPr>
            <w:t>38</w:t>
          </w:r>
          <w:r>
            <w:rPr>
              <w:rFonts w:hint="default" w:ascii="Times New Roman" w:hAnsi="Times New Roman" w:eastAsia="黑体" w:cs="Times New Roman"/>
              <w:b w:val="0"/>
              <w:bCs w:val="0"/>
              <w:sz w:val="28"/>
              <w:szCs w:val="28"/>
              <w14:ligatures w14:val="none"/>
            </w:rPr>
            <w:fldChar w:fldCharType="end"/>
          </w:r>
          <w:r>
            <w:rPr>
              <w:rFonts w:hint="default" w:ascii="Times New Roman" w:hAnsi="Times New Roman" w:eastAsia="黑体" w:cs="Times New Roman"/>
              <w:b w:val="0"/>
              <w:bCs w:val="0"/>
              <w:sz w:val="28"/>
              <w:szCs w:val="28"/>
              <w14:ligatures w14:val="none"/>
            </w:rPr>
            <w:fldChar w:fldCharType="end"/>
          </w:r>
        </w:p>
        <w:p w14:paraId="3DAEBF87">
          <w:pPr>
            <w:pStyle w:val="10"/>
            <w:keepNext w:val="0"/>
            <w:keepLines w:val="0"/>
            <w:pageBreakBefore w:val="0"/>
            <w:widowControl w:val="0"/>
            <w:tabs>
              <w:tab w:val="right" w:leader="dot" w:pos="9184"/>
              <w:tab w:val="clear" w:pos="9174"/>
            </w:tabs>
            <w:kinsoku/>
            <w:wordWrap/>
            <w:overflowPunct/>
            <w:topLinePunct w:val="0"/>
            <w:autoSpaceDE/>
            <w:autoSpaceDN/>
            <w:bidi w:val="0"/>
            <w:adjustRightInd w:val="0"/>
            <w:snapToGrid w:val="0"/>
            <w:spacing w:after="0" w:line="360" w:lineRule="auto"/>
            <w:ind w:left="220" w:leftChars="100"/>
            <w:textAlignment w:val="auto"/>
            <w:rPr>
              <w:rFonts w:hint="default" w:ascii="Times New Roman" w:hAnsi="Times New Roman" w:eastAsia="黑体" w:cs="Times New Roman"/>
              <w:b w:val="0"/>
              <w:bCs w:val="0"/>
              <w:sz w:val="28"/>
              <w:szCs w:val="28"/>
              <w14:ligatures w14:val="none"/>
            </w:rPr>
          </w:pPr>
          <w:r>
            <w:rPr>
              <w:rFonts w:hint="default" w:ascii="Times New Roman" w:hAnsi="Times New Roman" w:eastAsia="黑体" w:cs="Times New Roman"/>
              <w:b w:val="0"/>
              <w:bCs w:val="0"/>
              <w:sz w:val="28"/>
              <w:szCs w:val="28"/>
              <w14:ligatures w14:val="none"/>
            </w:rPr>
            <w:fldChar w:fldCharType="begin"/>
          </w:r>
          <w:r>
            <w:rPr>
              <w:rFonts w:hint="default" w:ascii="Times New Roman" w:hAnsi="Times New Roman" w:eastAsia="黑体" w:cs="Times New Roman"/>
              <w:b w:val="0"/>
              <w:bCs w:val="0"/>
              <w:sz w:val="28"/>
              <w:szCs w:val="28"/>
              <w14:ligatures w14:val="none"/>
            </w:rPr>
            <w:instrText xml:space="preserve"> HYPERLINK \l _Toc1468 </w:instrText>
          </w:r>
          <w:r>
            <w:rPr>
              <w:rFonts w:hint="default" w:ascii="Times New Roman" w:hAnsi="Times New Roman" w:eastAsia="黑体" w:cs="Times New Roman"/>
              <w:b w:val="0"/>
              <w:bCs w:val="0"/>
              <w:sz w:val="28"/>
              <w:szCs w:val="28"/>
              <w14:ligatures w14:val="none"/>
            </w:rPr>
            <w:fldChar w:fldCharType="separate"/>
          </w:r>
          <w:r>
            <w:rPr>
              <w:rFonts w:hint="default" w:ascii="Times New Roman" w:hAnsi="Times New Roman" w:eastAsia="黑体" w:cs="Times New Roman"/>
              <w:b w:val="0"/>
              <w:bCs w:val="0"/>
              <w:sz w:val="28"/>
              <w:szCs w:val="28"/>
              <w14:ligatures w14:val="none"/>
            </w:rPr>
            <w:t>3.3自然条件的危险因素</w:t>
          </w:r>
          <w:r>
            <w:rPr>
              <w:rFonts w:hint="default" w:ascii="Times New Roman" w:hAnsi="Times New Roman" w:eastAsia="黑体" w:cs="Times New Roman"/>
              <w:b w:val="0"/>
              <w:bCs w:val="0"/>
              <w:sz w:val="28"/>
              <w:szCs w:val="28"/>
              <w14:ligatures w14:val="none"/>
            </w:rPr>
            <w:tab/>
          </w:r>
          <w:r>
            <w:rPr>
              <w:rFonts w:hint="default" w:ascii="Times New Roman" w:hAnsi="Times New Roman" w:eastAsia="黑体" w:cs="Times New Roman"/>
              <w:b w:val="0"/>
              <w:bCs w:val="0"/>
              <w:sz w:val="28"/>
              <w:szCs w:val="28"/>
              <w14:ligatures w14:val="none"/>
            </w:rPr>
            <w:fldChar w:fldCharType="begin"/>
          </w:r>
          <w:r>
            <w:rPr>
              <w:rFonts w:hint="default" w:ascii="Times New Roman" w:hAnsi="Times New Roman" w:eastAsia="黑体" w:cs="Times New Roman"/>
              <w:b w:val="0"/>
              <w:bCs w:val="0"/>
              <w:sz w:val="28"/>
              <w:szCs w:val="28"/>
              <w14:ligatures w14:val="none"/>
            </w:rPr>
            <w:instrText xml:space="preserve"> PAGEREF _Toc1468 \h </w:instrText>
          </w:r>
          <w:r>
            <w:rPr>
              <w:rFonts w:hint="default" w:ascii="Times New Roman" w:hAnsi="Times New Roman" w:eastAsia="黑体" w:cs="Times New Roman"/>
              <w:b w:val="0"/>
              <w:bCs w:val="0"/>
              <w:sz w:val="28"/>
              <w:szCs w:val="28"/>
              <w14:ligatures w14:val="none"/>
            </w:rPr>
            <w:fldChar w:fldCharType="separate"/>
          </w:r>
          <w:r>
            <w:rPr>
              <w:rFonts w:hint="default" w:ascii="Times New Roman" w:hAnsi="Times New Roman" w:eastAsia="黑体" w:cs="Times New Roman"/>
              <w:b w:val="0"/>
              <w:bCs w:val="0"/>
              <w:sz w:val="28"/>
              <w:szCs w:val="28"/>
              <w14:ligatures w14:val="none"/>
            </w:rPr>
            <w:t>43</w:t>
          </w:r>
          <w:r>
            <w:rPr>
              <w:rFonts w:hint="default" w:ascii="Times New Roman" w:hAnsi="Times New Roman" w:eastAsia="黑体" w:cs="Times New Roman"/>
              <w:b w:val="0"/>
              <w:bCs w:val="0"/>
              <w:sz w:val="28"/>
              <w:szCs w:val="28"/>
              <w14:ligatures w14:val="none"/>
            </w:rPr>
            <w:fldChar w:fldCharType="end"/>
          </w:r>
          <w:r>
            <w:rPr>
              <w:rFonts w:hint="default" w:ascii="Times New Roman" w:hAnsi="Times New Roman" w:eastAsia="黑体" w:cs="Times New Roman"/>
              <w:b w:val="0"/>
              <w:bCs w:val="0"/>
              <w:sz w:val="28"/>
              <w:szCs w:val="28"/>
              <w14:ligatures w14:val="none"/>
            </w:rPr>
            <w:fldChar w:fldCharType="end"/>
          </w:r>
        </w:p>
        <w:p w14:paraId="7D67675E">
          <w:pPr>
            <w:pStyle w:val="10"/>
            <w:keepNext w:val="0"/>
            <w:keepLines w:val="0"/>
            <w:pageBreakBefore w:val="0"/>
            <w:widowControl w:val="0"/>
            <w:tabs>
              <w:tab w:val="right" w:leader="dot" w:pos="9184"/>
              <w:tab w:val="clear" w:pos="9174"/>
            </w:tabs>
            <w:kinsoku/>
            <w:wordWrap/>
            <w:overflowPunct/>
            <w:topLinePunct w:val="0"/>
            <w:autoSpaceDE/>
            <w:autoSpaceDN/>
            <w:bidi w:val="0"/>
            <w:adjustRightInd w:val="0"/>
            <w:snapToGrid w:val="0"/>
            <w:spacing w:after="0" w:line="360" w:lineRule="auto"/>
            <w:ind w:left="220" w:leftChars="100"/>
            <w:textAlignment w:val="auto"/>
            <w:rPr>
              <w:rFonts w:hint="default" w:ascii="Times New Roman" w:hAnsi="Times New Roman" w:eastAsia="黑体" w:cs="Times New Roman"/>
              <w:b w:val="0"/>
              <w:bCs w:val="0"/>
              <w:sz w:val="28"/>
              <w:szCs w:val="28"/>
              <w14:ligatures w14:val="none"/>
            </w:rPr>
          </w:pPr>
          <w:r>
            <w:rPr>
              <w:rFonts w:hint="default" w:ascii="Times New Roman" w:hAnsi="Times New Roman" w:eastAsia="黑体" w:cs="Times New Roman"/>
              <w:b w:val="0"/>
              <w:bCs w:val="0"/>
              <w:sz w:val="28"/>
              <w:szCs w:val="28"/>
              <w14:ligatures w14:val="none"/>
            </w:rPr>
            <w:fldChar w:fldCharType="begin"/>
          </w:r>
          <w:r>
            <w:rPr>
              <w:rFonts w:hint="default" w:ascii="Times New Roman" w:hAnsi="Times New Roman" w:eastAsia="黑体" w:cs="Times New Roman"/>
              <w:b w:val="0"/>
              <w:bCs w:val="0"/>
              <w:sz w:val="28"/>
              <w:szCs w:val="28"/>
              <w14:ligatures w14:val="none"/>
            </w:rPr>
            <w:instrText xml:space="preserve"> HYPERLINK \l _Toc28462 </w:instrText>
          </w:r>
          <w:r>
            <w:rPr>
              <w:rFonts w:hint="default" w:ascii="Times New Roman" w:hAnsi="Times New Roman" w:eastAsia="黑体" w:cs="Times New Roman"/>
              <w:b w:val="0"/>
              <w:bCs w:val="0"/>
              <w:sz w:val="28"/>
              <w:szCs w:val="28"/>
              <w14:ligatures w14:val="none"/>
            </w:rPr>
            <w:fldChar w:fldCharType="separate"/>
          </w:r>
          <w:r>
            <w:rPr>
              <w:rFonts w:hint="default" w:ascii="Times New Roman" w:hAnsi="Times New Roman" w:eastAsia="黑体" w:cs="Times New Roman"/>
              <w:b w:val="0"/>
              <w:bCs w:val="0"/>
              <w:sz w:val="28"/>
              <w:szCs w:val="28"/>
              <w14:ligatures w14:val="none"/>
            </w:rPr>
            <w:t>3.</w:t>
          </w:r>
          <w:r>
            <w:rPr>
              <w:rFonts w:hint="default" w:ascii="Times New Roman" w:hAnsi="Times New Roman" w:eastAsia="黑体" w:cs="Times New Roman"/>
              <w:b w:val="0"/>
              <w:bCs w:val="0"/>
              <w:sz w:val="28"/>
              <w:szCs w:val="28"/>
              <w:lang w:val="en-US" w:eastAsia="zh-CN"/>
              <w14:ligatures w14:val="none"/>
            </w:rPr>
            <w:t>4</w:t>
          </w:r>
          <w:r>
            <w:rPr>
              <w:rFonts w:hint="default" w:ascii="Times New Roman" w:hAnsi="Times New Roman" w:eastAsia="黑体" w:cs="Times New Roman"/>
              <w:b w:val="0"/>
              <w:bCs w:val="0"/>
              <w:sz w:val="28"/>
              <w:szCs w:val="28"/>
              <w14:ligatures w14:val="none"/>
            </w:rPr>
            <w:t>“两重点、一重大”辨识</w:t>
          </w:r>
          <w:r>
            <w:rPr>
              <w:rFonts w:hint="default" w:ascii="Times New Roman" w:hAnsi="Times New Roman" w:eastAsia="黑体" w:cs="Times New Roman"/>
              <w:b w:val="0"/>
              <w:bCs w:val="0"/>
              <w:sz w:val="28"/>
              <w:szCs w:val="28"/>
              <w14:ligatures w14:val="none"/>
            </w:rPr>
            <w:tab/>
          </w:r>
          <w:r>
            <w:rPr>
              <w:rFonts w:hint="default" w:ascii="Times New Roman" w:hAnsi="Times New Roman" w:eastAsia="黑体" w:cs="Times New Roman"/>
              <w:b w:val="0"/>
              <w:bCs w:val="0"/>
              <w:sz w:val="28"/>
              <w:szCs w:val="28"/>
              <w14:ligatures w14:val="none"/>
            </w:rPr>
            <w:fldChar w:fldCharType="begin"/>
          </w:r>
          <w:r>
            <w:rPr>
              <w:rFonts w:hint="default" w:ascii="Times New Roman" w:hAnsi="Times New Roman" w:eastAsia="黑体" w:cs="Times New Roman"/>
              <w:b w:val="0"/>
              <w:bCs w:val="0"/>
              <w:sz w:val="28"/>
              <w:szCs w:val="28"/>
              <w14:ligatures w14:val="none"/>
            </w:rPr>
            <w:instrText xml:space="preserve"> PAGEREF _Toc28462 \h </w:instrText>
          </w:r>
          <w:r>
            <w:rPr>
              <w:rFonts w:hint="default" w:ascii="Times New Roman" w:hAnsi="Times New Roman" w:eastAsia="黑体" w:cs="Times New Roman"/>
              <w:b w:val="0"/>
              <w:bCs w:val="0"/>
              <w:sz w:val="28"/>
              <w:szCs w:val="28"/>
              <w14:ligatures w14:val="none"/>
            </w:rPr>
            <w:fldChar w:fldCharType="separate"/>
          </w:r>
          <w:r>
            <w:rPr>
              <w:rFonts w:hint="default" w:ascii="Times New Roman" w:hAnsi="Times New Roman" w:eastAsia="黑体" w:cs="Times New Roman"/>
              <w:b w:val="0"/>
              <w:bCs w:val="0"/>
              <w:sz w:val="28"/>
              <w:szCs w:val="28"/>
              <w14:ligatures w14:val="none"/>
            </w:rPr>
            <w:t>44</w:t>
          </w:r>
          <w:r>
            <w:rPr>
              <w:rFonts w:hint="default" w:ascii="Times New Roman" w:hAnsi="Times New Roman" w:eastAsia="黑体" w:cs="Times New Roman"/>
              <w:b w:val="0"/>
              <w:bCs w:val="0"/>
              <w:sz w:val="28"/>
              <w:szCs w:val="28"/>
              <w14:ligatures w14:val="none"/>
            </w:rPr>
            <w:fldChar w:fldCharType="end"/>
          </w:r>
          <w:r>
            <w:rPr>
              <w:rFonts w:hint="default" w:ascii="Times New Roman" w:hAnsi="Times New Roman" w:eastAsia="黑体" w:cs="Times New Roman"/>
              <w:b w:val="0"/>
              <w:bCs w:val="0"/>
              <w:sz w:val="28"/>
              <w:szCs w:val="28"/>
              <w14:ligatures w14:val="none"/>
            </w:rPr>
            <w:fldChar w:fldCharType="end"/>
          </w:r>
        </w:p>
        <w:p w14:paraId="6B3C0C81">
          <w:pPr>
            <w:pStyle w:val="10"/>
            <w:keepNext w:val="0"/>
            <w:keepLines w:val="0"/>
            <w:pageBreakBefore w:val="0"/>
            <w:widowControl w:val="0"/>
            <w:tabs>
              <w:tab w:val="right" w:leader="dot" w:pos="9184"/>
              <w:tab w:val="clear" w:pos="9174"/>
            </w:tabs>
            <w:kinsoku/>
            <w:wordWrap/>
            <w:overflowPunct/>
            <w:topLinePunct w:val="0"/>
            <w:autoSpaceDE/>
            <w:autoSpaceDN/>
            <w:bidi w:val="0"/>
            <w:adjustRightInd w:val="0"/>
            <w:snapToGrid w:val="0"/>
            <w:spacing w:after="0" w:line="360" w:lineRule="auto"/>
            <w:ind w:left="220" w:leftChars="100"/>
            <w:textAlignment w:val="auto"/>
            <w:rPr>
              <w:rFonts w:hint="default" w:ascii="Times New Roman" w:hAnsi="Times New Roman" w:eastAsia="黑体" w:cs="Times New Roman"/>
              <w:b w:val="0"/>
              <w:bCs w:val="0"/>
              <w:sz w:val="28"/>
              <w:szCs w:val="28"/>
              <w:lang w:val="en-US" w:eastAsia="zh-CN"/>
              <w14:ligatures w14:val="none"/>
            </w:rPr>
          </w:pPr>
          <w:r>
            <w:rPr>
              <w:rFonts w:hint="eastAsia" w:ascii="Times New Roman" w:hAnsi="Times New Roman" w:eastAsia="黑体" w:cs="Times New Roman"/>
              <w:b w:val="0"/>
              <w:bCs w:val="0"/>
              <w:sz w:val="28"/>
              <w:szCs w:val="28"/>
              <w:lang w:val="en-US" w:eastAsia="zh-CN"/>
              <w14:ligatures w14:val="none"/>
            </w:rPr>
            <w:t>3.5事故案例分析</w:t>
          </w:r>
          <w:r>
            <w:rPr>
              <w:rFonts w:hint="default" w:ascii="Times New Roman" w:hAnsi="Times New Roman" w:eastAsia="黑体" w:cs="Times New Roman"/>
              <w:b w:val="0"/>
              <w:bCs w:val="0"/>
              <w:sz w:val="28"/>
              <w:szCs w:val="28"/>
              <w14:ligatures w14:val="none"/>
            </w:rPr>
            <w:tab/>
          </w:r>
          <w:r>
            <w:rPr>
              <w:rFonts w:hint="eastAsia" w:cs="Times New Roman"/>
              <w:b w:val="0"/>
              <w:bCs w:val="0"/>
              <w:sz w:val="28"/>
              <w:szCs w:val="28"/>
              <w:lang w:val="en-US" w:eastAsia="zh-CN"/>
              <w14:ligatures w14:val="none"/>
            </w:rPr>
            <w:t>51</w:t>
          </w:r>
        </w:p>
        <w:p w14:paraId="71B1CFE7">
          <w:pPr>
            <w:pStyle w:val="9"/>
            <w:keepNext w:val="0"/>
            <w:keepLines w:val="0"/>
            <w:pageBreakBefore w:val="0"/>
            <w:widowControl w:val="0"/>
            <w:tabs>
              <w:tab w:val="right" w:leader="dot" w:pos="9184"/>
            </w:tabs>
            <w:kinsoku/>
            <w:wordWrap/>
            <w:overflowPunct/>
            <w:topLinePunct w:val="0"/>
            <w:autoSpaceDE/>
            <w:autoSpaceDN/>
            <w:bidi w:val="0"/>
            <w:adjustRightInd w:val="0"/>
            <w:snapToGrid w:val="0"/>
            <w:spacing w:after="0" w:line="360" w:lineRule="auto"/>
            <w:ind w:left="0" w:leftChars="0"/>
            <w:textAlignment w:val="auto"/>
            <w:rPr>
              <w:rFonts w:hint="default" w:ascii="Times New Roman" w:hAnsi="Times New Roman" w:eastAsia="黑体" w:cs="Times New Roman"/>
              <w:b/>
              <w:bCs/>
              <w:sz w:val="28"/>
              <w:szCs w:val="28"/>
            </w:rPr>
          </w:pPr>
          <w:r>
            <w:rPr>
              <w:rFonts w:hint="default" w:ascii="Times New Roman" w:hAnsi="Times New Roman" w:eastAsia="黑体" w:cs="Times New Roman"/>
              <w:b/>
              <w:bCs/>
              <w:sz w:val="28"/>
              <w:szCs w:val="28"/>
            </w:rPr>
            <w:fldChar w:fldCharType="begin"/>
          </w:r>
          <w:r>
            <w:rPr>
              <w:rFonts w:hint="default" w:ascii="Times New Roman" w:hAnsi="Times New Roman" w:eastAsia="黑体" w:cs="Times New Roman"/>
              <w:b/>
              <w:bCs/>
              <w:sz w:val="28"/>
              <w:szCs w:val="28"/>
            </w:rPr>
            <w:instrText xml:space="preserve"> HYPERLINK \l _Toc16504 </w:instrText>
          </w:r>
          <w:r>
            <w:rPr>
              <w:rFonts w:hint="default" w:ascii="Times New Roman" w:hAnsi="Times New Roman" w:eastAsia="黑体" w:cs="Times New Roman"/>
              <w:b/>
              <w:bCs/>
              <w:sz w:val="28"/>
              <w:szCs w:val="28"/>
            </w:rPr>
            <w:fldChar w:fldCharType="separate"/>
          </w:r>
          <w:r>
            <w:rPr>
              <w:rFonts w:hint="default" w:ascii="Times New Roman" w:hAnsi="Times New Roman" w:eastAsia="黑体" w:cs="Times New Roman"/>
              <w:b/>
              <w:bCs/>
              <w:kern w:val="44"/>
              <w:sz w:val="28"/>
              <w:szCs w:val="28"/>
              <w14:ligatures w14:val="none"/>
            </w:rPr>
            <w:t>4评价单元划分及评价方法选择</w:t>
          </w:r>
          <w:r>
            <w:rPr>
              <w:rFonts w:hint="default" w:ascii="Times New Roman" w:hAnsi="Times New Roman" w:eastAsia="黑体" w:cs="Times New Roman"/>
              <w:b/>
              <w:bCs/>
              <w:sz w:val="28"/>
              <w:szCs w:val="28"/>
            </w:rPr>
            <w:tab/>
          </w:r>
          <w:r>
            <w:rPr>
              <w:rFonts w:hint="default" w:ascii="Times New Roman" w:hAnsi="Times New Roman" w:eastAsia="黑体" w:cs="Times New Roman"/>
              <w:b/>
              <w:bCs/>
              <w:sz w:val="28"/>
              <w:szCs w:val="28"/>
            </w:rPr>
            <w:fldChar w:fldCharType="begin"/>
          </w:r>
          <w:r>
            <w:rPr>
              <w:rFonts w:hint="default" w:ascii="Times New Roman" w:hAnsi="Times New Roman" w:eastAsia="黑体" w:cs="Times New Roman"/>
              <w:b/>
              <w:bCs/>
              <w:sz w:val="28"/>
              <w:szCs w:val="28"/>
            </w:rPr>
            <w:instrText xml:space="preserve"> PAGEREF _Toc16504 \h </w:instrText>
          </w:r>
          <w:r>
            <w:rPr>
              <w:rFonts w:hint="default" w:ascii="Times New Roman" w:hAnsi="Times New Roman" w:eastAsia="黑体" w:cs="Times New Roman"/>
              <w:b/>
              <w:bCs/>
              <w:sz w:val="28"/>
              <w:szCs w:val="28"/>
            </w:rPr>
            <w:fldChar w:fldCharType="separate"/>
          </w:r>
          <w:r>
            <w:rPr>
              <w:rFonts w:hint="default" w:ascii="Times New Roman" w:hAnsi="Times New Roman" w:eastAsia="黑体" w:cs="Times New Roman"/>
              <w:b/>
              <w:bCs/>
              <w:sz w:val="28"/>
              <w:szCs w:val="28"/>
            </w:rPr>
            <w:t>48</w:t>
          </w:r>
          <w:r>
            <w:rPr>
              <w:rFonts w:hint="default" w:ascii="Times New Roman" w:hAnsi="Times New Roman" w:eastAsia="黑体" w:cs="Times New Roman"/>
              <w:b/>
              <w:bCs/>
              <w:sz w:val="28"/>
              <w:szCs w:val="28"/>
            </w:rPr>
            <w:fldChar w:fldCharType="end"/>
          </w:r>
          <w:r>
            <w:rPr>
              <w:rFonts w:hint="default" w:ascii="Times New Roman" w:hAnsi="Times New Roman" w:eastAsia="黑体" w:cs="Times New Roman"/>
              <w:b/>
              <w:bCs/>
              <w:sz w:val="28"/>
              <w:szCs w:val="28"/>
            </w:rPr>
            <w:fldChar w:fldCharType="end"/>
          </w:r>
        </w:p>
        <w:p w14:paraId="4DC9840C">
          <w:pPr>
            <w:pStyle w:val="10"/>
            <w:keepNext w:val="0"/>
            <w:keepLines w:val="0"/>
            <w:pageBreakBefore w:val="0"/>
            <w:widowControl w:val="0"/>
            <w:tabs>
              <w:tab w:val="right" w:leader="dot" w:pos="9184"/>
              <w:tab w:val="clear" w:pos="9174"/>
            </w:tabs>
            <w:kinsoku/>
            <w:wordWrap/>
            <w:overflowPunct/>
            <w:topLinePunct w:val="0"/>
            <w:autoSpaceDE/>
            <w:autoSpaceDN/>
            <w:bidi w:val="0"/>
            <w:adjustRightInd w:val="0"/>
            <w:snapToGrid w:val="0"/>
            <w:spacing w:after="0" w:line="360" w:lineRule="auto"/>
            <w:ind w:left="220" w:leftChars="100"/>
            <w:textAlignment w:val="auto"/>
            <w:rPr>
              <w:rFonts w:hint="default" w:ascii="Times New Roman" w:hAnsi="Times New Roman" w:eastAsia="黑体" w:cs="Times New Roman"/>
              <w:b w:val="0"/>
              <w:bCs w:val="0"/>
              <w:sz w:val="28"/>
              <w:szCs w:val="28"/>
              <w14:ligatures w14:val="none"/>
            </w:rPr>
          </w:pPr>
          <w:r>
            <w:rPr>
              <w:rFonts w:hint="default" w:ascii="Times New Roman" w:hAnsi="Times New Roman" w:eastAsia="黑体" w:cs="Times New Roman"/>
              <w:b w:val="0"/>
              <w:bCs w:val="0"/>
              <w:sz w:val="28"/>
              <w:szCs w:val="28"/>
              <w14:ligatures w14:val="none"/>
            </w:rPr>
            <w:fldChar w:fldCharType="begin"/>
          </w:r>
          <w:r>
            <w:rPr>
              <w:rFonts w:hint="default" w:ascii="Times New Roman" w:hAnsi="Times New Roman" w:eastAsia="黑体" w:cs="Times New Roman"/>
              <w:b w:val="0"/>
              <w:bCs w:val="0"/>
              <w:sz w:val="28"/>
              <w:szCs w:val="28"/>
              <w14:ligatures w14:val="none"/>
            </w:rPr>
            <w:instrText xml:space="preserve"> HYPERLINK \l _Toc19822 </w:instrText>
          </w:r>
          <w:r>
            <w:rPr>
              <w:rFonts w:hint="default" w:ascii="Times New Roman" w:hAnsi="Times New Roman" w:eastAsia="黑体" w:cs="Times New Roman"/>
              <w:b w:val="0"/>
              <w:bCs w:val="0"/>
              <w:sz w:val="28"/>
              <w:szCs w:val="28"/>
              <w14:ligatures w14:val="none"/>
            </w:rPr>
            <w:fldChar w:fldCharType="separate"/>
          </w:r>
          <w:r>
            <w:rPr>
              <w:rFonts w:hint="default" w:ascii="Times New Roman" w:hAnsi="Times New Roman" w:eastAsia="黑体" w:cs="Times New Roman"/>
              <w:b w:val="0"/>
              <w:bCs w:val="0"/>
              <w:sz w:val="28"/>
              <w:szCs w:val="28"/>
              <w14:ligatures w14:val="none"/>
            </w:rPr>
            <w:t>4.1评价单元划分和评价方法选择</w:t>
          </w:r>
          <w:r>
            <w:rPr>
              <w:rFonts w:hint="default" w:ascii="Times New Roman" w:hAnsi="Times New Roman" w:eastAsia="黑体" w:cs="Times New Roman"/>
              <w:b w:val="0"/>
              <w:bCs w:val="0"/>
              <w:sz w:val="28"/>
              <w:szCs w:val="28"/>
              <w14:ligatures w14:val="none"/>
            </w:rPr>
            <w:tab/>
          </w:r>
          <w:r>
            <w:rPr>
              <w:rFonts w:hint="default" w:ascii="Times New Roman" w:hAnsi="Times New Roman" w:eastAsia="黑体" w:cs="Times New Roman"/>
              <w:b w:val="0"/>
              <w:bCs w:val="0"/>
              <w:sz w:val="28"/>
              <w:szCs w:val="28"/>
              <w14:ligatures w14:val="none"/>
            </w:rPr>
            <w:fldChar w:fldCharType="begin"/>
          </w:r>
          <w:r>
            <w:rPr>
              <w:rFonts w:hint="default" w:ascii="Times New Roman" w:hAnsi="Times New Roman" w:eastAsia="黑体" w:cs="Times New Roman"/>
              <w:b w:val="0"/>
              <w:bCs w:val="0"/>
              <w:sz w:val="28"/>
              <w:szCs w:val="28"/>
              <w14:ligatures w14:val="none"/>
            </w:rPr>
            <w:instrText xml:space="preserve"> PAGEREF _Toc19822 \h </w:instrText>
          </w:r>
          <w:r>
            <w:rPr>
              <w:rFonts w:hint="default" w:ascii="Times New Roman" w:hAnsi="Times New Roman" w:eastAsia="黑体" w:cs="Times New Roman"/>
              <w:b w:val="0"/>
              <w:bCs w:val="0"/>
              <w:sz w:val="28"/>
              <w:szCs w:val="28"/>
              <w14:ligatures w14:val="none"/>
            </w:rPr>
            <w:fldChar w:fldCharType="separate"/>
          </w:r>
          <w:r>
            <w:rPr>
              <w:rFonts w:hint="default" w:ascii="Times New Roman" w:hAnsi="Times New Roman" w:eastAsia="黑体" w:cs="Times New Roman"/>
              <w:b w:val="0"/>
              <w:bCs w:val="0"/>
              <w:sz w:val="28"/>
              <w:szCs w:val="28"/>
              <w14:ligatures w14:val="none"/>
            </w:rPr>
            <w:t>48</w:t>
          </w:r>
          <w:r>
            <w:rPr>
              <w:rFonts w:hint="default" w:ascii="Times New Roman" w:hAnsi="Times New Roman" w:eastAsia="黑体" w:cs="Times New Roman"/>
              <w:b w:val="0"/>
              <w:bCs w:val="0"/>
              <w:sz w:val="28"/>
              <w:szCs w:val="28"/>
              <w14:ligatures w14:val="none"/>
            </w:rPr>
            <w:fldChar w:fldCharType="end"/>
          </w:r>
          <w:r>
            <w:rPr>
              <w:rFonts w:hint="default" w:ascii="Times New Roman" w:hAnsi="Times New Roman" w:eastAsia="黑体" w:cs="Times New Roman"/>
              <w:b w:val="0"/>
              <w:bCs w:val="0"/>
              <w:sz w:val="28"/>
              <w:szCs w:val="28"/>
              <w14:ligatures w14:val="none"/>
            </w:rPr>
            <w:fldChar w:fldCharType="end"/>
          </w:r>
        </w:p>
        <w:p w14:paraId="338AC62E">
          <w:pPr>
            <w:pStyle w:val="10"/>
            <w:keepNext w:val="0"/>
            <w:keepLines w:val="0"/>
            <w:pageBreakBefore w:val="0"/>
            <w:widowControl w:val="0"/>
            <w:tabs>
              <w:tab w:val="right" w:leader="dot" w:pos="9184"/>
              <w:tab w:val="clear" w:pos="9174"/>
            </w:tabs>
            <w:kinsoku/>
            <w:wordWrap/>
            <w:overflowPunct/>
            <w:topLinePunct w:val="0"/>
            <w:autoSpaceDE/>
            <w:autoSpaceDN/>
            <w:bidi w:val="0"/>
            <w:adjustRightInd w:val="0"/>
            <w:snapToGrid w:val="0"/>
            <w:spacing w:after="0" w:line="360" w:lineRule="auto"/>
            <w:ind w:left="220" w:leftChars="100"/>
            <w:textAlignment w:val="auto"/>
            <w:rPr>
              <w:rFonts w:hint="default" w:ascii="Times New Roman" w:hAnsi="Times New Roman" w:eastAsia="黑体" w:cs="Times New Roman"/>
              <w:b w:val="0"/>
              <w:bCs w:val="0"/>
              <w:sz w:val="28"/>
              <w:szCs w:val="28"/>
              <w14:ligatures w14:val="none"/>
            </w:rPr>
          </w:pPr>
          <w:r>
            <w:rPr>
              <w:rFonts w:hint="default" w:ascii="Times New Roman" w:hAnsi="Times New Roman" w:eastAsia="黑体" w:cs="Times New Roman"/>
              <w:b w:val="0"/>
              <w:bCs w:val="0"/>
              <w:sz w:val="28"/>
              <w:szCs w:val="28"/>
              <w14:ligatures w14:val="none"/>
            </w:rPr>
            <w:fldChar w:fldCharType="begin"/>
          </w:r>
          <w:r>
            <w:rPr>
              <w:rFonts w:hint="default" w:ascii="Times New Roman" w:hAnsi="Times New Roman" w:eastAsia="黑体" w:cs="Times New Roman"/>
              <w:b w:val="0"/>
              <w:bCs w:val="0"/>
              <w:sz w:val="28"/>
              <w:szCs w:val="28"/>
              <w14:ligatures w14:val="none"/>
            </w:rPr>
            <w:instrText xml:space="preserve"> HYPERLINK \l _Toc26366 </w:instrText>
          </w:r>
          <w:r>
            <w:rPr>
              <w:rFonts w:hint="default" w:ascii="Times New Roman" w:hAnsi="Times New Roman" w:eastAsia="黑体" w:cs="Times New Roman"/>
              <w:b w:val="0"/>
              <w:bCs w:val="0"/>
              <w:sz w:val="28"/>
              <w:szCs w:val="28"/>
              <w14:ligatures w14:val="none"/>
            </w:rPr>
            <w:fldChar w:fldCharType="separate"/>
          </w:r>
          <w:r>
            <w:rPr>
              <w:rFonts w:hint="default" w:ascii="Times New Roman" w:hAnsi="Times New Roman" w:eastAsia="黑体" w:cs="Times New Roman"/>
              <w:b w:val="0"/>
              <w:bCs w:val="0"/>
              <w:sz w:val="28"/>
              <w:szCs w:val="28"/>
              <w14:ligatures w14:val="none"/>
            </w:rPr>
            <w:t>4.2评价方法简介</w:t>
          </w:r>
          <w:r>
            <w:rPr>
              <w:rFonts w:hint="default" w:ascii="Times New Roman" w:hAnsi="Times New Roman" w:eastAsia="黑体" w:cs="Times New Roman"/>
              <w:b w:val="0"/>
              <w:bCs w:val="0"/>
              <w:sz w:val="28"/>
              <w:szCs w:val="28"/>
              <w14:ligatures w14:val="none"/>
            </w:rPr>
            <w:tab/>
          </w:r>
          <w:r>
            <w:rPr>
              <w:rFonts w:hint="default" w:ascii="Times New Roman" w:hAnsi="Times New Roman" w:eastAsia="黑体" w:cs="Times New Roman"/>
              <w:b w:val="0"/>
              <w:bCs w:val="0"/>
              <w:sz w:val="28"/>
              <w:szCs w:val="28"/>
              <w14:ligatures w14:val="none"/>
            </w:rPr>
            <w:fldChar w:fldCharType="begin"/>
          </w:r>
          <w:r>
            <w:rPr>
              <w:rFonts w:hint="default" w:ascii="Times New Roman" w:hAnsi="Times New Roman" w:eastAsia="黑体" w:cs="Times New Roman"/>
              <w:b w:val="0"/>
              <w:bCs w:val="0"/>
              <w:sz w:val="28"/>
              <w:szCs w:val="28"/>
              <w14:ligatures w14:val="none"/>
            </w:rPr>
            <w:instrText xml:space="preserve"> PAGEREF _Toc26366 \h </w:instrText>
          </w:r>
          <w:r>
            <w:rPr>
              <w:rFonts w:hint="default" w:ascii="Times New Roman" w:hAnsi="Times New Roman" w:eastAsia="黑体" w:cs="Times New Roman"/>
              <w:b w:val="0"/>
              <w:bCs w:val="0"/>
              <w:sz w:val="28"/>
              <w:szCs w:val="28"/>
              <w14:ligatures w14:val="none"/>
            </w:rPr>
            <w:fldChar w:fldCharType="separate"/>
          </w:r>
          <w:r>
            <w:rPr>
              <w:rFonts w:hint="default" w:ascii="Times New Roman" w:hAnsi="Times New Roman" w:eastAsia="黑体" w:cs="Times New Roman"/>
              <w:b w:val="0"/>
              <w:bCs w:val="0"/>
              <w:sz w:val="28"/>
              <w:szCs w:val="28"/>
              <w14:ligatures w14:val="none"/>
            </w:rPr>
            <w:t>48</w:t>
          </w:r>
          <w:r>
            <w:rPr>
              <w:rFonts w:hint="default" w:ascii="Times New Roman" w:hAnsi="Times New Roman" w:eastAsia="黑体" w:cs="Times New Roman"/>
              <w:b w:val="0"/>
              <w:bCs w:val="0"/>
              <w:sz w:val="28"/>
              <w:szCs w:val="28"/>
              <w14:ligatures w14:val="none"/>
            </w:rPr>
            <w:fldChar w:fldCharType="end"/>
          </w:r>
          <w:r>
            <w:rPr>
              <w:rFonts w:hint="default" w:ascii="Times New Roman" w:hAnsi="Times New Roman" w:eastAsia="黑体" w:cs="Times New Roman"/>
              <w:b w:val="0"/>
              <w:bCs w:val="0"/>
              <w:sz w:val="28"/>
              <w:szCs w:val="28"/>
              <w14:ligatures w14:val="none"/>
            </w:rPr>
            <w:fldChar w:fldCharType="end"/>
          </w:r>
        </w:p>
        <w:p w14:paraId="62B55987">
          <w:pPr>
            <w:pStyle w:val="9"/>
            <w:keepNext w:val="0"/>
            <w:keepLines w:val="0"/>
            <w:pageBreakBefore w:val="0"/>
            <w:widowControl w:val="0"/>
            <w:tabs>
              <w:tab w:val="right" w:leader="dot" w:pos="9184"/>
            </w:tabs>
            <w:kinsoku/>
            <w:wordWrap/>
            <w:overflowPunct/>
            <w:topLinePunct w:val="0"/>
            <w:autoSpaceDE/>
            <w:autoSpaceDN/>
            <w:bidi w:val="0"/>
            <w:adjustRightInd w:val="0"/>
            <w:snapToGrid w:val="0"/>
            <w:spacing w:after="0" w:line="360" w:lineRule="auto"/>
            <w:ind w:left="0" w:leftChars="0"/>
            <w:textAlignment w:val="auto"/>
            <w:rPr>
              <w:rFonts w:hint="default" w:ascii="Times New Roman" w:hAnsi="Times New Roman" w:eastAsia="黑体" w:cs="Times New Roman"/>
              <w:b/>
              <w:bCs/>
              <w:sz w:val="28"/>
              <w:szCs w:val="28"/>
            </w:rPr>
          </w:pPr>
          <w:r>
            <w:rPr>
              <w:rFonts w:hint="default" w:ascii="Times New Roman" w:hAnsi="Times New Roman" w:eastAsia="黑体" w:cs="Times New Roman"/>
              <w:b/>
              <w:bCs/>
              <w:sz w:val="28"/>
              <w:szCs w:val="28"/>
            </w:rPr>
            <w:fldChar w:fldCharType="begin"/>
          </w:r>
          <w:r>
            <w:rPr>
              <w:rFonts w:hint="default" w:ascii="Times New Roman" w:hAnsi="Times New Roman" w:eastAsia="黑体" w:cs="Times New Roman"/>
              <w:b/>
              <w:bCs/>
              <w:sz w:val="28"/>
              <w:szCs w:val="28"/>
            </w:rPr>
            <w:instrText xml:space="preserve"> HYPERLINK \l _Toc20513 </w:instrText>
          </w:r>
          <w:r>
            <w:rPr>
              <w:rFonts w:hint="default" w:ascii="Times New Roman" w:hAnsi="Times New Roman" w:eastAsia="黑体" w:cs="Times New Roman"/>
              <w:b/>
              <w:bCs/>
              <w:sz w:val="28"/>
              <w:szCs w:val="28"/>
            </w:rPr>
            <w:fldChar w:fldCharType="separate"/>
          </w:r>
          <w:r>
            <w:rPr>
              <w:rFonts w:hint="default" w:ascii="Times New Roman" w:hAnsi="Times New Roman" w:eastAsia="黑体" w:cs="Times New Roman"/>
              <w:b/>
              <w:bCs/>
              <w:kern w:val="44"/>
              <w:sz w:val="28"/>
              <w:szCs w:val="28"/>
              <w:highlight w:val="none"/>
              <w14:ligatures w14:val="none"/>
            </w:rPr>
            <w:t>5定性、定量评价</w:t>
          </w:r>
          <w:r>
            <w:rPr>
              <w:rFonts w:hint="default" w:ascii="Times New Roman" w:hAnsi="Times New Roman" w:eastAsia="黑体" w:cs="Times New Roman"/>
              <w:b/>
              <w:bCs/>
              <w:sz w:val="28"/>
              <w:szCs w:val="28"/>
            </w:rPr>
            <w:tab/>
          </w:r>
          <w:r>
            <w:rPr>
              <w:rFonts w:hint="default" w:ascii="Times New Roman" w:hAnsi="Times New Roman" w:eastAsia="黑体" w:cs="Times New Roman"/>
              <w:b/>
              <w:bCs/>
              <w:sz w:val="28"/>
              <w:szCs w:val="28"/>
            </w:rPr>
            <w:fldChar w:fldCharType="begin"/>
          </w:r>
          <w:r>
            <w:rPr>
              <w:rFonts w:hint="default" w:ascii="Times New Roman" w:hAnsi="Times New Roman" w:eastAsia="黑体" w:cs="Times New Roman"/>
              <w:b/>
              <w:bCs/>
              <w:sz w:val="28"/>
              <w:szCs w:val="28"/>
            </w:rPr>
            <w:instrText xml:space="preserve"> PAGEREF _Toc20513 \h </w:instrText>
          </w:r>
          <w:r>
            <w:rPr>
              <w:rFonts w:hint="default" w:ascii="Times New Roman" w:hAnsi="Times New Roman" w:eastAsia="黑体" w:cs="Times New Roman"/>
              <w:b/>
              <w:bCs/>
              <w:sz w:val="28"/>
              <w:szCs w:val="28"/>
            </w:rPr>
            <w:fldChar w:fldCharType="separate"/>
          </w:r>
          <w:r>
            <w:rPr>
              <w:rFonts w:hint="default" w:ascii="Times New Roman" w:hAnsi="Times New Roman" w:eastAsia="黑体" w:cs="Times New Roman"/>
              <w:b/>
              <w:bCs/>
              <w:sz w:val="28"/>
              <w:szCs w:val="28"/>
            </w:rPr>
            <w:t>50</w:t>
          </w:r>
          <w:r>
            <w:rPr>
              <w:rFonts w:hint="default" w:ascii="Times New Roman" w:hAnsi="Times New Roman" w:eastAsia="黑体" w:cs="Times New Roman"/>
              <w:b/>
              <w:bCs/>
              <w:sz w:val="28"/>
              <w:szCs w:val="28"/>
            </w:rPr>
            <w:fldChar w:fldCharType="end"/>
          </w:r>
          <w:r>
            <w:rPr>
              <w:rFonts w:hint="default" w:ascii="Times New Roman" w:hAnsi="Times New Roman" w:eastAsia="黑体" w:cs="Times New Roman"/>
              <w:b/>
              <w:bCs/>
              <w:sz w:val="28"/>
              <w:szCs w:val="28"/>
            </w:rPr>
            <w:fldChar w:fldCharType="end"/>
          </w:r>
        </w:p>
        <w:p w14:paraId="0CC51D52">
          <w:pPr>
            <w:pStyle w:val="10"/>
            <w:keepNext w:val="0"/>
            <w:keepLines w:val="0"/>
            <w:pageBreakBefore w:val="0"/>
            <w:widowControl w:val="0"/>
            <w:tabs>
              <w:tab w:val="right" w:leader="dot" w:pos="9184"/>
              <w:tab w:val="clear" w:pos="9174"/>
            </w:tabs>
            <w:kinsoku/>
            <w:wordWrap/>
            <w:overflowPunct/>
            <w:topLinePunct w:val="0"/>
            <w:autoSpaceDE/>
            <w:autoSpaceDN/>
            <w:bidi w:val="0"/>
            <w:adjustRightInd w:val="0"/>
            <w:snapToGrid w:val="0"/>
            <w:spacing w:after="0" w:line="360" w:lineRule="auto"/>
            <w:ind w:left="220" w:leftChars="100"/>
            <w:textAlignment w:val="auto"/>
            <w:rPr>
              <w:rFonts w:hint="default" w:ascii="Times New Roman" w:hAnsi="Times New Roman" w:eastAsia="黑体" w:cs="Times New Roman"/>
              <w:b w:val="0"/>
              <w:bCs w:val="0"/>
              <w:sz w:val="28"/>
              <w:szCs w:val="28"/>
              <w14:ligatures w14:val="none"/>
            </w:rPr>
          </w:pPr>
          <w:r>
            <w:rPr>
              <w:rFonts w:hint="default" w:ascii="Times New Roman" w:hAnsi="Times New Roman" w:eastAsia="黑体" w:cs="Times New Roman"/>
              <w:b w:val="0"/>
              <w:bCs w:val="0"/>
              <w:sz w:val="28"/>
              <w:szCs w:val="28"/>
              <w14:ligatures w14:val="none"/>
            </w:rPr>
            <w:fldChar w:fldCharType="begin"/>
          </w:r>
          <w:r>
            <w:rPr>
              <w:rFonts w:hint="default" w:ascii="Times New Roman" w:hAnsi="Times New Roman" w:eastAsia="黑体" w:cs="Times New Roman"/>
              <w:b w:val="0"/>
              <w:bCs w:val="0"/>
              <w:sz w:val="28"/>
              <w:szCs w:val="28"/>
              <w14:ligatures w14:val="none"/>
            </w:rPr>
            <w:instrText xml:space="preserve"> HYPERLINK \l _Toc19885 </w:instrText>
          </w:r>
          <w:r>
            <w:rPr>
              <w:rFonts w:hint="default" w:ascii="Times New Roman" w:hAnsi="Times New Roman" w:eastAsia="黑体" w:cs="Times New Roman"/>
              <w:b w:val="0"/>
              <w:bCs w:val="0"/>
              <w:sz w:val="28"/>
              <w:szCs w:val="28"/>
              <w14:ligatures w14:val="none"/>
            </w:rPr>
            <w:fldChar w:fldCharType="separate"/>
          </w:r>
          <w:r>
            <w:rPr>
              <w:rFonts w:hint="default" w:ascii="Times New Roman" w:hAnsi="Times New Roman" w:eastAsia="黑体" w:cs="Times New Roman"/>
              <w:b w:val="0"/>
              <w:bCs w:val="0"/>
              <w:sz w:val="28"/>
              <w:szCs w:val="28"/>
              <w14:ligatures w14:val="none"/>
            </w:rPr>
            <w:t>5.1经营条件及安全管理单元</w:t>
          </w:r>
          <w:r>
            <w:rPr>
              <w:rFonts w:hint="default" w:ascii="Times New Roman" w:hAnsi="Times New Roman" w:eastAsia="黑体" w:cs="Times New Roman"/>
              <w:b w:val="0"/>
              <w:bCs w:val="0"/>
              <w:sz w:val="28"/>
              <w:szCs w:val="28"/>
              <w14:ligatures w14:val="none"/>
            </w:rPr>
            <w:tab/>
          </w:r>
          <w:r>
            <w:rPr>
              <w:rFonts w:hint="default" w:ascii="Times New Roman" w:hAnsi="Times New Roman" w:eastAsia="黑体" w:cs="Times New Roman"/>
              <w:b w:val="0"/>
              <w:bCs w:val="0"/>
              <w:sz w:val="28"/>
              <w:szCs w:val="28"/>
              <w14:ligatures w14:val="none"/>
            </w:rPr>
            <w:fldChar w:fldCharType="begin"/>
          </w:r>
          <w:r>
            <w:rPr>
              <w:rFonts w:hint="default" w:ascii="Times New Roman" w:hAnsi="Times New Roman" w:eastAsia="黑体" w:cs="Times New Roman"/>
              <w:b w:val="0"/>
              <w:bCs w:val="0"/>
              <w:sz w:val="28"/>
              <w:szCs w:val="28"/>
              <w14:ligatures w14:val="none"/>
            </w:rPr>
            <w:instrText xml:space="preserve"> PAGEREF _Toc19885 \h </w:instrText>
          </w:r>
          <w:r>
            <w:rPr>
              <w:rFonts w:hint="default" w:ascii="Times New Roman" w:hAnsi="Times New Roman" w:eastAsia="黑体" w:cs="Times New Roman"/>
              <w:b w:val="0"/>
              <w:bCs w:val="0"/>
              <w:sz w:val="28"/>
              <w:szCs w:val="28"/>
              <w14:ligatures w14:val="none"/>
            </w:rPr>
            <w:fldChar w:fldCharType="separate"/>
          </w:r>
          <w:r>
            <w:rPr>
              <w:rFonts w:hint="default" w:ascii="Times New Roman" w:hAnsi="Times New Roman" w:eastAsia="黑体" w:cs="Times New Roman"/>
              <w:b w:val="0"/>
              <w:bCs w:val="0"/>
              <w:sz w:val="28"/>
              <w:szCs w:val="28"/>
              <w14:ligatures w14:val="none"/>
            </w:rPr>
            <w:t>50</w:t>
          </w:r>
          <w:r>
            <w:rPr>
              <w:rFonts w:hint="default" w:ascii="Times New Roman" w:hAnsi="Times New Roman" w:eastAsia="黑体" w:cs="Times New Roman"/>
              <w:b w:val="0"/>
              <w:bCs w:val="0"/>
              <w:sz w:val="28"/>
              <w:szCs w:val="28"/>
              <w14:ligatures w14:val="none"/>
            </w:rPr>
            <w:fldChar w:fldCharType="end"/>
          </w:r>
          <w:r>
            <w:rPr>
              <w:rFonts w:hint="default" w:ascii="Times New Roman" w:hAnsi="Times New Roman" w:eastAsia="黑体" w:cs="Times New Roman"/>
              <w:b w:val="0"/>
              <w:bCs w:val="0"/>
              <w:sz w:val="28"/>
              <w:szCs w:val="28"/>
              <w14:ligatures w14:val="none"/>
            </w:rPr>
            <w:fldChar w:fldCharType="end"/>
          </w:r>
        </w:p>
        <w:p w14:paraId="15F0312D">
          <w:pPr>
            <w:pStyle w:val="10"/>
            <w:keepNext w:val="0"/>
            <w:keepLines w:val="0"/>
            <w:pageBreakBefore w:val="0"/>
            <w:widowControl w:val="0"/>
            <w:tabs>
              <w:tab w:val="right" w:leader="dot" w:pos="9184"/>
              <w:tab w:val="clear" w:pos="9174"/>
            </w:tabs>
            <w:kinsoku/>
            <w:wordWrap/>
            <w:overflowPunct/>
            <w:topLinePunct w:val="0"/>
            <w:autoSpaceDE/>
            <w:autoSpaceDN/>
            <w:bidi w:val="0"/>
            <w:adjustRightInd w:val="0"/>
            <w:snapToGrid w:val="0"/>
            <w:spacing w:after="0" w:line="360" w:lineRule="auto"/>
            <w:ind w:left="220" w:leftChars="100"/>
            <w:textAlignment w:val="auto"/>
            <w:rPr>
              <w:rFonts w:hint="default" w:ascii="Times New Roman" w:hAnsi="Times New Roman" w:eastAsia="黑体" w:cs="Times New Roman"/>
              <w:b w:val="0"/>
              <w:bCs w:val="0"/>
              <w:sz w:val="28"/>
              <w:szCs w:val="28"/>
              <w14:ligatures w14:val="none"/>
            </w:rPr>
          </w:pPr>
          <w:r>
            <w:rPr>
              <w:rFonts w:hint="default" w:ascii="Times New Roman" w:hAnsi="Times New Roman" w:eastAsia="黑体" w:cs="Times New Roman"/>
              <w:b w:val="0"/>
              <w:bCs w:val="0"/>
              <w:sz w:val="28"/>
              <w:szCs w:val="28"/>
              <w14:ligatures w14:val="none"/>
            </w:rPr>
            <w:fldChar w:fldCharType="begin"/>
          </w:r>
          <w:r>
            <w:rPr>
              <w:rFonts w:hint="default" w:ascii="Times New Roman" w:hAnsi="Times New Roman" w:eastAsia="黑体" w:cs="Times New Roman"/>
              <w:b w:val="0"/>
              <w:bCs w:val="0"/>
              <w:sz w:val="28"/>
              <w:szCs w:val="28"/>
              <w14:ligatures w14:val="none"/>
            </w:rPr>
            <w:instrText xml:space="preserve"> HYPERLINK \l _Toc23261 </w:instrText>
          </w:r>
          <w:r>
            <w:rPr>
              <w:rFonts w:hint="default" w:ascii="Times New Roman" w:hAnsi="Times New Roman" w:eastAsia="黑体" w:cs="Times New Roman"/>
              <w:b w:val="0"/>
              <w:bCs w:val="0"/>
              <w:sz w:val="28"/>
              <w:szCs w:val="28"/>
              <w14:ligatures w14:val="none"/>
            </w:rPr>
            <w:fldChar w:fldCharType="separate"/>
          </w:r>
          <w:r>
            <w:rPr>
              <w:rFonts w:hint="default" w:ascii="Times New Roman" w:hAnsi="Times New Roman" w:eastAsia="黑体" w:cs="Times New Roman"/>
              <w:b w:val="0"/>
              <w:bCs w:val="0"/>
              <w:sz w:val="28"/>
              <w:szCs w:val="28"/>
              <w14:ligatures w14:val="none"/>
            </w:rPr>
            <w:t>5.2周边环境及平面布置单元</w:t>
          </w:r>
          <w:r>
            <w:rPr>
              <w:rFonts w:hint="default" w:ascii="Times New Roman" w:hAnsi="Times New Roman" w:eastAsia="黑体" w:cs="Times New Roman"/>
              <w:b w:val="0"/>
              <w:bCs w:val="0"/>
              <w:sz w:val="28"/>
              <w:szCs w:val="28"/>
              <w14:ligatures w14:val="none"/>
            </w:rPr>
            <w:tab/>
          </w:r>
          <w:r>
            <w:rPr>
              <w:rFonts w:hint="default" w:ascii="Times New Roman" w:hAnsi="Times New Roman" w:eastAsia="黑体" w:cs="Times New Roman"/>
              <w:b w:val="0"/>
              <w:bCs w:val="0"/>
              <w:sz w:val="28"/>
              <w:szCs w:val="28"/>
              <w14:ligatures w14:val="none"/>
            </w:rPr>
            <w:fldChar w:fldCharType="begin"/>
          </w:r>
          <w:r>
            <w:rPr>
              <w:rFonts w:hint="default" w:ascii="Times New Roman" w:hAnsi="Times New Roman" w:eastAsia="黑体" w:cs="Times New Roman"/>
              <w:b w:val="0"/>
              <w:bCs w:val="0"/>
              <w:sz w:val="28"/>
              <w:szCs w:val="28"/>
              <w14:ligatures w14:val="none"/>
            </w:rPr>
            <w:instrText xml:space="preserve"> PAGEREF _Toc23261 \h </w:instrText>
          </w:r>
          <w:r>
            <w:rPr>
              <w:rFonts w:hint="default" w:ascii="Times New Roman" w:hAnsi="Times New Roman" w:eastAsia="黑体" w:cs="Times New Roman"/>
              <w:b w:val="0"/>
              <w:bCs w:val="0"/>
              <w:sz w:val="28"/>
              <w:szCs w:val="28"/>
              <w14:ligatures w14:val="none"/>
            </w:rPr>
            <w:fldChar w:fldCharType="separate"/>
          </w:r>
          <w:r>
            <w:rPr>
              <w:rFonts w:hint="default" w:ascii="Times New Roman" w:hAnsi="Times New Roman" w:eastAsia="黑体" w:cs="Times New Roman"/>
              <w:b w:val="0"/>
              <w:bCs w:val="0"/>
              <w:sz w:val="28"/>
              <w:szCs w:val="28"/>
              <w14:ligatures w14:val="none"/>
            </w:rPr>
            <w:t>52</w:t>
          </w:r>
          <w:r>
            <w:rPr>
              <w:rFonts w:hint="default" w:ascii="Times New Roman" w:hAnsi="Times New Roman" w:eastAsia="黑体" w:cs="Times New Roman"/>
              <w:b w:val="0"/>
              <w:bCs w:val="0"/>
              <w:sz w:val="28"/>
              <w:szCs w:val="28"/>
              <w14:ligatures w14:val="none"/>
            </w:rPr>
            <w:fldChar w:fldCharType="end"/>
          </w:r>
          <w:r>
            <w:rPr>
              <w:rFonts w:hint="default" w:ascii="Times New Roman" w:hAnsi="Times New Roman" w:eastAsia="黑体" w:cs="Times New Roman"/>
              <w:b w:val="0"/>
              <w:bCs w:val="0"/>
              <w:sz w:val="28"/>
              <w:szCs w:val="28"/>
              <w14:ligatures w14:val="none"/>
            </w:rPr>
            <w:fldChar w:fldCharType="end"/>
          </w:r>
        </w:p>
        <w:p w14:paraId="6C5943B9">
          <w:pPr>
            <w:pStyle w:val="10"/>
            <w:keepNext w:val="0"/>
            <w:keepLines w:val="0"/>
            <w:pageBreakBefore w:val="0"/>
            <w:widowControl w:val="0"/>
            <w:tabs>
              <w:tab w:val="right" w:leader="dot" w:pos="9184"/>
              <w:tab w:val="clear" w:pos="9174"/>
            </w:tabs>
            <w:kinsoku/>
            <w:wordWrap/>
            <w:overflowPunct/>
            <w:topLinePunct w:val="0"/>
            <w:autoSpaceDE/>
            <w:autoSpaceDN/>
            <w:bidi w:val="0"/>
            <w:adjustRightInd w:val="0"/>
            <w:snapToGrid w:val="0"/>
            <w:spacing w:after="0" w:line="360" w:lineRule="auto"/>
            <w:ind w:left="220" w:leftChars="100"/>
            <w:textAlignment w:val="auto"/>
            <w:rPr>
              <w:rFonts w:hint="default" w:ascii="Times New Roman" w:hAnsi="Times New Roman" w:eastAsia="黑体" w:cs="Times New Roman"/>
              <w:b w:val="0"/>
              <w:bCs w:val="0"/>
              <w:sz w:val="28"/>
              <w:szCs w:val="28"/>
              <w14:ligatures w14:val="none"/>
            </w:rPr>
          </w:pPr>
          <w:r>
            <w:rPr>
              <w:rFonts w:hint="default" w:ascii="Times New Roman" w:hAnsi="Times New Roman" w:eastAsia="黑体" w:cs="Times New Roman"/>
              <w:b w:val="0"/>
              <w:bCs w:val="0"/>
              <w:sz w:val="28"/>
              <w:szCs w:val="28"/>
              <w14:ligatures w14:val="none"/>
            </w:rPr>
            <w:fldChar w:fldCharType="begin"/>
          </w:r>
          <w:r>
            <w:rPr>
              <w:rFonts w:hint="default" w:ascii="Times New Roman" w:hAnsi="Times New Roman" w:eastAsia="黑体" w:cs="Times New Roman"/>
              <w:b w:val="0"/>
              <w:bCs w:val="0"/>
              <w:sz w:val="28"/>
              <w:szCs w:val="28"/>
              <w14:ligatures w14:val="none"/>
            </w:rPr>
            <w:instrText xml:space="preserve"> HYPERLINK \l _Toc20420 </w:instrText>
          </w:r>
          <w:r>
            <w:rPr>
              <w:rFonts w:hint="default" w:ascii="Times New Roman" w:hAnsi="Times New Roman" w:eastAsia="黑体" w:cs="Times New Roman"/>
              <w:b w:val="0"/>
              <w:bCs w:val="0"/>
              <w:sz w:val="28"/>
              <w:szCs w:val="28"/>
              <w14:ligatures w14:val="none"/>
            </w:rPr>
            <w:fldChar w:fldCharType="separate"/>
          </w:r>
          <w:r>
            <w:rPr>
              <w:rFonts w:hint="default" w:ascii="Times New Roman" w:hAnsi="Times New Roman" w:eastAsia="黑体" w:cs="Times New Roman"/>
              <w:b w:val="0"/>
              <w:bCs w:val="0"/>
              <w:sz w:val="28"/>
              <w:szCs w:val="28"/>
              <w14:ligatures w14:val="none"/>
            </w:rPr>
            <w:t>5.3</w:t>
          </w:r>
          <w:r>
            <w:rPr>
              <w:rFonts w:hint="default" w:ascii="Times New Roman" w:hAnsi="Times New Roman" w:eastAsia="黑体" w:cs="Times New Roman"/>
              <w:b w:val="0"/>
              <w:bCs w:val="0"/>
              <w:sz w:val="28"/>
              <w:szCs w:val="28"/>
              <w:lang w:val="en-US" w:eastAsia="zh-CN"/>
              <w14:ligatures w14:val="none"/>
            </w:rPr>
            <w:t>储存</w:t>
          </w:r>
          <w:r>
            <w:rPr>
              <w:rFonts w:hint="default" w:ascii="Times New Roman" w:hAnsi="Times New Roman" w:eastAsia="黑体" w:cs="Times New Roman"/>
              <w:b w:val="0"/>
              <w:bCs w:val="0"/>
              <w:sz w:val="28"/>
              <w:szCs w:val="28"/>
              <w14:ligatures w14:val="none"/>
            </w:rPr>
            <w:t>单元</w:t>
          </w:r>
          <w:r>
            <w:rPr>
              <w:rFonts w:hint="default" w:ascii="Times New Roman" w:hAnsi="Times New Roman" w:eastAsia="黑体" w:cs="Times New Roman"/>
              <w:b w:val="0"/>
              <w:bCs w:val="0"/>
              <w:sz w:val="28"/>
              <w:szCs w:val="28"/>
              <w14:ligatures w14:val="none"/>
            </w:rPr>
            <w:tab/>
          </w:r>
          <w:r>
            <w:rPr>
              <w:rFonts w:hint="default" w:ascii="Times New Roman" w:hAnsi="Times New Roman" w:eastAsia="黑体" w:cs="Times New Roman"/>
              <w:b w:val="0"/>
              <w:bCs w:val="0"/>
              <w:sz w:val="28"/>
              <w:szCs w:val="28"/>
              <w14:ligatures w14:val="none"/>
            </w:rPr>
            <w:fldChar w:fldCharType="begin"/>
          </w:r>
          <w:r>
            <w:rPr>
              <w:rFonts w:hint="default" w:ascii="Times New Roman" w:hAnsi="Times New Roman" w:eastAsia="黑体" w:cs="Times New Roman"/>
              <w:b w:val="0"/>
              <w:bCs w:val="0"/>
              <w:sz w:val="28"/>
              <w:szCs w:val="28"/>
              <w14:ligatures w14:val="none"/>
            </w:rPr>
            <w:instrText xml:space="preserve"> PAGEREF _Toc20420 \h </w:instrText>
          </w:r>
          <w:r>
            <w:rPr>
              <w:rFonts w:hint="default" w:ascii="Times New Roman" w:hAnsi="Times New Roman" w:eastAsia="黑体" w:cs="Times New Roman"/>
              <w:b w:val="0"/>
              <w:bCs w:val="0"/>
              <w:sz w:val="28"/>
              <w:szCs w:val="28"/>
              <w14:ligatures w14:val="none"/>
            </w:rPr>
            <w:fldChar w:fldCharType="separate"/>
          </w:r>
          <w:r>
            <w:rPr>
              <w:rFonts w:hint="default" w:ascii="Times New Roman" w:hAnsi="Times New Roman" w:eastAsia="黑体" w:cs="Times New Roman"/>
              <w:b w:val="0"/>
              <w:bCs w:val="0"/>
              <w:sz w:val="28"/>
              <w:szCs w:val="28"/>
              <w14:ligatures w14:val="none"/>
            </w:rPr>
            <w:t>54</w:t>
          </w:r>
          <w:r>
            <w:rPr>
              <w:rFonts w:hint="default" w:ascii="Times New Roman" w:hAnsi="Times New Roman" w:eastAsia="黑体" w:cs="Times New Roman"/>
              <w:b w:val="0"/>
              <w:bCs w:val="0"/>
              <w:sz w:val="28"/>
              <w:szCs w:val="28"/>
              <w14:ligatures w14:val="none"/>
            </w:rPr>
            <w:fldChar w:fldCharType="end"/>
          </w:r>
          <w:r>
            <w:rPr>
              <w:rFonts w:hint="default" w:ascii="Times New Roman" w:hAnsi="Times New Roman" w:eastAsia="黑体" w:cs="Times New Roman"/>
              <w:b w:val="0"/>
              <w:bCs w:val="0"/>
              <w:sz w:val="28"/>
              <w:szCs w:val="28"/>
              <w14:ligatures w14:val="none"/>
            </w:rPr>
            <w:fldChar w:fldCharType="end"/>
          </w:r>
        </w:p>
        <w:p w14:paraId="1878C559">
          <w:pPr>
            <w:pStyle w:val="10"/>
            <w:keepNext w:val="0"/>
            <w:keepLines w:val="0"/>
            <w:pageBreakBefore w:val="0"/>
            <w:widowControl w:val="0"/>
            <w:tabs>
              <w:tab w:val="right" w:leader="dot" w:pos="9184"/>
              <w:tab w:val="clear" w:pos="9174"/>
            </w:tabs>
            <w:kinsoku/>
            <w:wordWrap/>
            <w:overflowPunct/>
            <w:topLinePunct w:val="0"/>
            <w:autoSpaceDE/>
            <w:autoSpaceDN/>
            <w:bidi w:val="0"/>
            <w:adjustRightInd w:val="0"/>
            <w:snapToGrid w:val="0"/>
            <w:spacing w:after="0" w:line="360" w:lineRule="auto"/>
            <w:ind w:left="220" w:leftChars="100"/>
            <w:textAlignment w:val="auto"/>
            <w:rPr>
              <w:rFonts w:hint="default" w:ascii="Times New Roman" w:hAnsi="Times New Roman" w:eastAsia="黑体" w:cs="Times New Roman"/>
              <w:b w:val="0"/>
              <w:bCs w:val="0"/>
              <w:sz w:val="28"/>
              <w:szCs w:val="28"/>
              <w14:ligatures w14:val="none"/>
            </w:rPr>
          </w:pPr>
          <w:r>
            <w:rPr>
              <w:rFonts w:hint="default" w:ascii="Times New Roman" w:hAnsi="Times New Roman" w:eastAsia="黑体" w:cs="Times New Roman"/>
              <w:b w:val="0"/>
              <w:bCs w:val="0"/>
              <w:sz w:val="28"/>
              <w:szCs w:val="28"/>
              <w14:ligatures w14:val="none"/>
            </w:rPr>
            <w:fldChar w:fldCharType="begin"/>
          </w:r>
          <w:r>
            <w:rPr>
              <w:rFonts w:hint="default" w:ascii="Times New Roman" w:hAnsi="Times New Roman" w:eastAsia="黑体" w:cs="Times New Roman"/>
              <w:b w:val="0"/>
              <w:bCs w:val="0"/>
              <w:sz w:val="28"/>
              <w:szCs w:val="28"/>
              <w14:ligatures w14:val="none"/>
            </w:rPr>
            <w:instrText xml:space="preserve"> HYPERLINK \l _Toc20952 </w:instrText>
          </w:r>
          <w:r>
            <w:rPr>
              <w:rFonts w:hint="default" w:ascii="Times New Roman" w:hAnsi="Times New Roman" w:eastAsia="黑体" w:cs="Times New Roman"/>
              <w:b w:val="0"/>
              <w:bCs w:val="0"/>
              <w:sz w:val="28"/>
              <w:szCs w:val="28"/>
              <w14:ligatures w14:val="none"/>
            </w:rPr>
            <w:fldChar w:fldCharType="separate"/>
          </w:r>
          <w:r>
            <w:rPr>
              <w:rFonts w:hint="default" w:ascii="Times New Roman" w:hAnsi="Times New Roman" w:eastAsia="黑体" w:cs="Times New Roman"/>
              <w:b w:val="0"/>
              <w:bCs w:val="0"/>
              <w:sz w:val="28"/>
              <w:szCs w:val="28"/>
              <w14:ligatures w14:val="none"/>
            </w:rPr>
            <w:t>5.4公辅工程单元</w:t>
          </w:r>
          <w:r>
            <w:rPr>
              <w:rFonts w:hint="default" w:ascii="Times New Roman" w:hAnsi="Times New Roman" w:eastAsia="黑体" w:cs="Times New Roman"/>
              <w:b w:val="0"/>
              <w:bCs w:val="0"/>
              <w:sz w:val="28"/>
              <w:szCs w:val="28"/>
              <w14:ligatures w14:val="none"/>
            </w:rPr>
            <w:tab/>
          </w:r>
          <w:r>
            <w:rPr>
              <w:rFonts w:hint="default" w:ascii="Times New Roman" w:hAnsi="Times New Roman" w:eastAsia="黑体" w:cs="Times New Roman"/>
              <w:b w:val="0"/>
              <w:bCs w:val="0"/>
              <w:sz w:val="28"/>
              <w:szCs w:val="28"/>
              <w14:ligatures w14:val="none"/>
            </w:rPr>
            <w:fldChar w:fldCharType="begin"/>
          </w:r>
          <w:r>
            <w:rPr>
              <w:rFonts w:hint="default" w:ascii="Times New Roman" w:hAnsi="Times New Roman" w:eastAsia="黑体" w:cs="Times New Roman"/>
              <w:b w:val="0"/>
              <w:bCs w:val="0"/>
              <w:sz w:val="28"/>
              <w:szCs w:val="28"/>
              <w14:ligatures w14:val="none"/>
            </w:rPr>
            <w:instrText xml:space="preserve"> PAGEREF _Toc20952 \h </w:instrText>
          </w:r>
          <w:r>
            <w:rPr>
              <w:rFonts w:hint="default" w:ascii="Times New Roman" w:hAnsi="Times New Roman" w:eastAsia="黑体" w:cs="Times New Roman"/>
              <w:b w:val="0"/>
              <w:bCs w:val="0"/>
              <w:sz w:val="28"/>
              <w:szCs w:val="28"/>
              <w14:ligatures w14:val="none"/>
            </w:rPr>
            <w:fldChar w:fldCharType="separate"/>
          </w:r>
          <w:r>
            <w:rPr>
              <w:rFonts w:hint="default" w:ascii="Times New Roman" w:hAnsi="Times New Roman" w:eastAsia="黑体" w:cs="Times New Roman"/>
              <w:b w:val="0"/>
              <w:bCs w:val="0"/>
              <w:sz w:val="28"/>
              <w:szCs w:val="28"/>
              <w14:ligatures w14:val="none"/>
            </w:rPr>
            <w:t>56</w:t>
          </w:r>
          <w:r>
            <w:rPr>
              <w:rFonts w:hint="default" w:ascii="Times New Roman" w:hAnsi="Times New Roman" w:eastAsia="黑体" w:cs="Times New Roman"/>
              <w:b w:val="0"/>
              <w:bCs w:val="0"/>
              <w:sz w:val="28"/>
              <w:szCs w:val="28"/>
              <w14:ligatures w14:val="none"/>
            </w:rPr>
            <w:fldChar w:fldCharType="end"/>
          </w:r>
          <w:r>
            <w:rPr>
              <w:rFonts w:hint="default" w:ascii="Times New Roman" w:hAnsi="Times New Roman" w:eastAsia="黑体" w:cs="Times New Roman"/>
              <w:b w:val="0"/>
              <w:bCs w:val="0"/>
              <w:sz w:val="28"/>
              <w:szCs w:val="28"/>
              <w14:ligatures w14:val="none"/>
            </w:rPr>
            <w:fldChar w:fldCharType="end"/>
          </w:r>
        </w:p>
        <w:p w14:paraId="0C5B42FE">
          <w:pPr>
            <w:pStyle w:val="10"/>
            <w:keepNext w:val="0"/>
            <w:keepLines w:val="0"/>
            <w:pageBreakBefore w:val="0"/>
            <w:widowControl w:val="0"/>
            <w:tabs>
              <w:tab w:val="right" w:leader="dot" w:pos="9184"/>
              <w:tab w:val="clear" w:pos="9174"/>
            </w:tabs>
            <w:kinsoku/>
            <w:wordWrap/>
            <w:overflowPunct/>
            <w:topLinePunct w:val="0"/>
            <w:autoSpaceDE/>
            <w:autoSpaceDN/>
            <w:bidi w:val="0"/>
            <w:adjustRightInd w:val="0"/>
            <w:snapToGrid w:val="0"/>
            <w:spacing w:after="0" w:line="360" w:lineRule="auto"/>
            <w:ind w:left="220" w:leftChars="100"/>
            <w:textAlignment w:val="auto"/>
            <w:rPr>
              <w:rFonts w:hint="default" w:ascii="Times New Roman" w:hAnsi="Times New Roman" w:eastAsia="黑体" w:cs="Times New Roman"/>
              <w:b w:val="0"/>
              <w:bCs w:val="0"/>
              <w:sz w:val="28"/>
              <w:szCs w:val="28"/>
              <w14:ligatures w14:val="none"/>
            </w:rPr>
          </w:pPr>
          <w:r>
            <w:rPr>
              <w:rFonts w:hint="default" w:ascii="Times New Roman" w:hAnsi="Times New Roman" w:eastAsia="黑体" w:cs="Times New Roman"/>
              <w:b w:val="0"/>
              <w:bCs w:val="0"/>
              <w:sz w:val="28"/>
              <w:szCs w:val="28"/>
              <w14:ligatures w14:val="none"/>
            </w:rPr>
            <w:fldChar w:fldCharType="begin"/>
          </w:r>
          <w:r>
            <w:rPr>
              <w:rFonts w:hint="default" w:ascii="Times New Roman" w:hAnsi="Times New Roman" w:eastAsia="黑体" w:cs="Times New Roman"/>
              <w:b w:val="0"/>
              <w:bCs w:val="0"/>
              <w:sz w:val="28"/>
              <w:szCs w:val="28"/>
              <w14:ligatures w14:val="none"/>
            </w:rPr>
            <w:instrText xml:space="preserve"> HYPERLINK \l _Toc18099 </w:instrText>
          </w:r>
          <w:r>
            <w:rPr>
              <w:rFonts w:hint="default" w:ascii="Times New Roman" w:hAnsi="Times New Roman" w:eastAsia="黑体" w:cs="Times New Roman"/>
              <w:b w:val="0"/>
              <w:bCs w:val="0"/>
              <w:sz w:val="28"/>
              <w:szCs w:val="28"/>
              <w14:ligatures w14:val="none"/>
            </w:rPr>
            <w:fldChar w:fldCharType="separate"/>
          </w:r>
          <w:r>
            <w:rPr>
              <w:rFonts w:hint="default" w:ascii="Times New Roman" w:hAnsi="Times New Roman" w:eastAsia="黑体" w:cs="Times New Roman"/>
              <w:b w:val="0"/>
              <w:bCs w:val="0"/>
              <w:sz w:val="28"/>
              <w:szCs w:val="28"/>
              <w14:ligatures w14:val="none"/>
            </w:rPr>
            <w:t>5.5重大生产安全事故隐患单元</w:t>
          </w:r>
          <w:r>
            <w:rPr>
              <w:rFonts w:hint="default" w:ascii="Times New Roman" w:hAnsi="Times New Roman" w:eastAsia="黑体" w:cs="Times New Roman"/>
              <w:b w:val="0"/>
              <w:bCs w:val="0"/>
              <w:sz w:val="28"/>
              <w:szCs w:val="28"/>
              <w14:ligatures w14:val="none"/>
            </w:rPr>
            <w:tab/>
          </w:r>
          <w:r>
            <w:rPr>
              <w:rFonts w:hint="default" w:ascii="Times New Roman" w:hAnsi="Times New Roman" w:eastAsia="黑体" w:cs="Times New Roman"/>
              <w:b w:val="0"/>
              <w:bCs w:val="0"/>
              <w:sz w:val="28"/>
              <w:szCs w:val="28"/>
              <w14:ligatures w14:val="none"/>
            </w:rPr>
            <w:fldChar w:fldCharType="begin"/>
          </w:r>
          <w:r>
            <w:rPr>
              <w:rFonts w:hint="default" w:ascii="Times New Roman" w:hAnsi="Times New Roman" w:eastAsia="黑体" w:cs="Times New Roman"/>
              <w:b w:val="0"/>
              <w:bCs w:val="0"/>
              <w:sz w:val="28"/>
              <w:szCs w:val="28"/>
              <w14:ligatures w14:val="none"/>
            </w:rPr>
            <w:instrText xml:space="preserve"> PAGEREF _Toc18099 \h </w:instrText>
          </w:r>
          <w:r>
            <w:rPr>
              <w:rFonts w:hint="default" w:ascii="Times New Roman" w:hAnsi="Times New Roman" w:eastAsia="黑体" w:cs="Times New Roman"/>
              <w:b w:val="0"/>
              <w:bCs w:val="0"/>
              <w:sz w:val="28"/>
              <w:szCs w:val="28"/>
              <w14:ligatures w14:val="none"/>
            </w:rPr>
            <w:fldChar w:fldCharType="separate"/>
          </w:r>
          <w:r>
            <w:rPr>
              <w:rFonts w:hint="default" w:ascii="Times New Roman" w:hAnsi="Times New Roman" w:eastAsia="黑体" w:cs="Times New Roman"/>
              <w:b w:val="0"/>
              <w:bCs w:val="0"/>
              <w:sz w:val="28"/>
              <w:szCs w:val="28"/>
              <w14:ligatures w14:val="none"/>
            </w:rPr>
            <w:t>59</w:t>
          </w:r>
          <w:r>
            <w:rPr>
              <w:rFonts w:hint="default" w:ascii="Times New Roman" w:hAnsi="Times New Roman" w:eastAsia="黑体" w:cs="Times New Roman"/>
              <w:b w:val="0"/>
              <w:bCs w:val="0"/>
              <w:sz w:val="28"/>
              <w:szCs w:val="28"/>
              <w14:ligatures w14:val="none"/>
            </w:rPr>
            <w:fldChar w:fldCharType="end"/>
          </w:r>
          <w:r>
            <w:rPr>
              <w:rFonts w:hint="default" w:ascii="Times New Roman" w:hAnsi="Times New Roman" w:eastAsia="黑体" w:cs="Times New Roman"/>
              <w:b w:val="0"/>
              <w:bCs w:val="0"/>
              <w:sz w:val="28"/>
              <w:szCs w:val="28"/>
              <w14:ligatures w14:val="none"/>
            </w:rPr>
            <w:fldChar w:fldCharType="end"/>
          </w:r>
        </w:p>
        <w:p w14:paraId="4DFC06CD">
          <w:pPr>
            <w:pStyle w:val="9"/>
            <w:keepNext w:val="0"/>
            <w:keepLines w:val="0"/>
            <w:pageBreakBefore w:val="0"/>
            <w:widowControl w:val="0"/>
            <w:tabs>
              <w:tab w:val="right" w:leader="dot" w:pos="9184"/>
            </w:tabs>
            <w:kinsoku/>
            <w:wordWrap/>
            <w:overflowPunct/>
            <w:topLinePunct w:val="0"/>
            <w:autoSpaceDE/>
            <w:autoSpaceDN/>
            <w:bidi w:val="0"/>
            <w:adjustRightInd w:val="0"/>
            <w:snapToGrid w:val="0"/>
            <w:spacing w:after="0" w:line="360" w:lineRule="auto"/>
            <w:ind w:left="0" w:leftChars="0"/>
            <w:textAlignment w:val="auto"/>
            <w:rPr>
              <w:rFonts w:hint="default" w:ascii="Times New Roman" w:hAnsi="Times New Roman" w:eastAsia="黑体" w:cs="Times New Roman"/>
              <w:b/>
              <w:bCs/>
              <w:sz w:val="28"/>
              <w:szCs w:val="28"/>
            </w:rPr>
          </w:pPr>
          <w:r>
            <w:rPr>
              <w:rFonts w:hint="default" w:ascii="Times New Roman" w:hAnsi="Times New Roman" w:eastAsia="黑体" w:cs="Times New Roman"/>
              <w:b/>
              <w:bCs/>
              <w:sz w:val="28"/>
              <w:szCs w:val="28"/>
            </w:rPr>
            <w:fldChar w:fldCharType="begin"/>
          </w:r>
          <w:r>
            <w:rPr>
              <w:rFonts w:hint="default" w:ascii="Times New Roman" w:hAnsi="Times New Roman" w:eastAsia="黑体" w:cs="Times New Roman"/>
              <w:b/>
              <w:bCs/>
              <w:sz w:val="28"/>
              <w:szCs w:val="28"/>
            </w:rPr>
            <w:instrText xml:space="preserve"> HYPERLINK \l _Toc24206 </w:instrText>
          </w:r>
          <w:r>
            <w:rPr>
              <w:rFonts w:hint="default" w:ascii="Times New Roman" w:hAnsi="Times New Roman" w:eastAsia="黑体" w:cs="Times New Roman"/>
              <w:b/>
              <w:bCs/>
              <w:sz w:val="28"/>
              <w:szCs w:val="28"/>
            </w:rPr>
            <w:fldChar w:fldCharType="separate"/>
          </w:r>
          <w:r>
            <w:rPr>
              <w:rFonts w:hint="default" w:ascii="Times New Roman" w:hAnsi="Times New Roman" w:eastAsia="黑体" w:cs="Times New Roman"/>
              <w:b/>
              <w:bCs/>
              <w:kern w:val="44"/>
              <w:sz w:val="28"/>
              <w:szCs w:val="28"/>
              <w14:ligatures w14:val="none"/>
            </w:rPr>
            <w:t>6安全对策措施</w:t>
          </w:r>
          <w:r>
            <w:rPr>
              <w:rFonts w:hint="default" w:ascii="Times New Roman" w:hAnsi="Times New Roman" w:eastAsia="黑体" w:cs="Times New Roman"/>
              <w:b/>
              <w:bCs/>
              <w:sz w:val="28"/>
              <w:szCs w:val="28"/>
            </w:rPr>
            <w:tab/>
          </w:r>
          <w:r>
            <w:rPr>
              <w:rFonts w:hint="default" w:ascii="Times New Roman" w:hAnsi="Times New Roman" w:eastAsia="黑体" w:cs="Times New Roman"/>
              <w:b/>
              <w:bCs/>
              <w:sz w:val="28"/>
              <w:szCs w:val="28"/>
            </w:rPr>
            <w:fldChar w:fldCharType="begin"/>
          </w:r>
          <w:r>
            <w:rPr>
              <w:rFonts w:hint="default" w:ascii="Times New Roman" w:hAnsi="Times New Roman" w:eastAsia="黑体" w:cs="Times New Roman"/>
              <w:b/>
              <w:bCs/>
              <w:sz w:val="28"/>
              <w:szCs w:val="28"/>
            </w:rPr>
            <w:instrText xml:space="preserve"> PAGEREF _Toc24206 \h </w:instrText>
          </w:r>
          <w:r>
            <w:rPr>
              <w:rFonts w:hint="default" w:ascii="Times New Roman" w:hAnsi="Times New Roman" w:eastAsia="黑体" w:cs="Times New Roman"/>
              <w:b/>
              <w:bCs/>
              <w:sz w:val="28"/>
              <w:szCs w:val="28"/>
            </w:rPr>
            <w:fldChar w:fldCharType="separate"/>
          </w:r>
          <w:r>
            <w:rPr>
              <w:rFonts w:hint="default" w:ascii="Times New Roman" w:hAnsi="Times New Roman" w:eastAsia="黑体" w:cs="Times New Roman"/>
              <w:b/>
              <w:bCs/>
              <w:sz w:val="28"/>
              <w:szCs w:val="28"/>
            </w:rPr>
            <w:t>62</w:t>
          </w:r>
          <w:r>
            <w:rPr>
              <w:rFonts w:hint="default" w:ascii="Times New Roman" w:hAnsi="Times New Roman" w:eastAsia="黑体" w:cs="Times New Roman"/>
              <w:b/>
              <w:bCs/>
              <w:sz w:val="28"/>
              <w:szCs w:val="28"/>
            </w:rPr>
            <w:fldChar w:fldCharType="end"/>
          </w:r>
          <w:r>
            <w:rPr>
              <w:rFonts w:hint="default" w:ascii="Times New Roman" w:hAnsi="Times New Roman" w:eastAsia="黑体" w:cs="Times New Roman"/>
              <w:b/>
              <w:bCs/>
              <w:sz w:val="28"/>
              <w:szCs w:val="28"/>
            </w:rPr>
            <w:fldChar w:fldCharType="end"/>
          </w:r>
        </w:p>
        <w:p w14:paraId="4ECD9C83">
          <w:pPr>
            <w:pStyle w:val="9"/>
            <w:keepNext w:val="0"/>
            <w:keepLines w:val="0"/>
            <w:pageBreakBefore w:val="0"/>
            <w:widowControl w:val="0"/>
            <w:tabs>
              <w:tab w:val="right" w:leader="dot" w:pos="9184"/>
            </w:tabs>
            <w:kinsoku/>
            <w:wordWrap/>
            <w:overflowPunct/>
            <w:topLinePunct w:val="0"/>
            <w:autoSpaceDE/>
            <w:autoSpaceDN/>
            <w:bidi w:val="0"/>
            <w:adjustRightInd w:val="0"/>
            <w:snapToGrid w:val="0"/>
            <w:spacing w:after="0" w:line="360" w:lineRule="auto"/>
            <w:ind w:left="0" w:leftChars="0"/>
            <w:textAlignment w:val="auto"/>
            <w:rPr>
              <w:rFonts w:hint="default" w:ascii="Times New Roman" w:hAnsi="Times New Roman" w:eastAsia="黑体" w:cs="Times New Roman"/>
              <w:b/>
              <w:bCs/>
              <w:sz w:val="28"/>
              <w:szCs w:val="28"/>
            </w:rPr>
          </w:pPr>
          <w:r>
            <w:rPr>
              <w:rFonts w:hint="default" w:ascii="Times New Roman" w:hAnsi="Times New Roman" w:eastAsia="黑体" w:cs="Times New Roman"/>
              <w:b/>
              <w:bCs/>
              <w:sz w:val="28"/>
              <w:szCs w:val="28"/>
            </w:rPr>
            <w:fldChar w:fldCharType="begin"/>
          </w:r>
          <w:r>
            <w:rPr>
              <w:rFonts w:hint="default" w:ascii="Times New Roman" w:hAnsi="Times New Roman" w:eastAsia="黑体" w:cs="Times New Roman"/>
              <w:b/>
              <w:bCs/>
              <w:sz w:val="28"/>
              <w:szCs w:val="28"/>
            </w:rPr>
            <w:instrText xml:space="preserve"> HYPERLINK \l _Toc15479 </w:instrText>
          </w:r>
          <w:r>
            <w:rPr>
              <w:rFonts w:hint="default" w:ascii="Times New Roman" w:hAnsi="Times New Roman" w:eastAsia="黑体" w:cs="Times New Roman"/>
              <w:b/>
              <w:bCs/>
              <w:sz w:val="28"/>
              <w:szCs w:val="28"/>
            </w:rPr>
            <w:fldChar w:fldCharType="separate"/>
          </w:r>
          <w:r>
            <w:rPr>
              <w:rFonts w:hint="default" w:ascii="Times New Roman" w:hAnsi="Times New Roman" w:eastAsia="黑体" w:cs="Times New Roman"/>
              <w:b/>
              <w:bCs/>
              <w:kern w:val="44"/>
              <w:sz w:val="28"/>
              <w:szCs w:val="28"/>
              <w14:ligatures w14:val="none"/>
            </w:rPr>
            <w:t>7评价结论</w:t>
          </w:r>
          <w:r>
            <w:rPr>
              <w:rFonts w:hint="default" w:ascii="Times New Roman" w:hAnsi="Times New Roman" w:eastAsia="黑体" w:cs="Times New Roman"/>
              <w:b/>
              <w:bCs/>
              <w:sz w:val="28"/>
              <w:szCs w:val="28"/>
            </w:rPr>
            <w:tab/>
          </w:r>
          <w:r>
            <w:rPr>
              <w:rFonts w:hint="default" w:ascii="Times New Roman" w:hAnsi="Times New Roman" w:eastAsia="黑体" w:cs="Times New Roman"/>
              <w:b/>
              <w:bCs/>
              <w:sz w:val="28"/>
              <w:szCs w:val="28"/>
            </w:rPr>
            <w:fldChar w:fldCharType="begin"/>
          </w:r>
          <w:r>
            <w:rPr>
              <w:rFonts w:hint="default" w:ascii="Times New Roman" w:hAnsi="Times New Roman" w:eastAsia="黑体" w:cs="Times New Roman"/>
              <w:b/>
              <w:bCs/>
              <w:sz w:val="28"/>
              <w:szCs w:val="28"/>
            </w:rPr>
            <w:instrText xml:space="preserve"> PAGEREF _Toc15479 \h </w:instrText>
          </w:r>
          <w:r>
            <w:rPr>
              <w:rFonts w:hint="default" w:ascii="Times New Roman" w:hAnsi="Times New Roman" w:eastAsia="黑体" w:cs="Times New Roman"/>
              <w:b/>
              <w:bCs/>
              <w:sz w:val="28"/>
              <w:szCs w:val="28"/>
            </w:rPr>
            <w:fldChar w:fldCharType="separate"/>
          </w:r>
          <w:r>
            <w:rPr>
              <w:rFonts w:hint="default" w:ascii="Times New Roman" w:hAnsi="Times New Roman" w:eastAsia="黑体" w:cs="Times New Roman"/>
              <w:b/>
              <w:bCs/>
              <w:sz w:val="28"/>
              <w:szCs w:val="28"/>
            </w:rPr>
            <w:t>65</w:t>
          </w:r>
          <w:r>
            <w:rPr>
              <w:rFonts w:hint="default" w:ascii="Times New Roman" w:hAnsi="Times New Roman" w:eastAsia="黑体" w:cs="Times New Roman"/>
              <w:b/>
              <w:bCs/>
              <w:sz w:val="28"/>
              <w:szCs w:val="28"/>
            </w:rPr>
            <w:fldChar w:fldCharType="end"/>
          </w:r>
          <w:r>
            <w:rPr>
              <w:rFonts w:hint="default" w:ascii="Times New Roman" w:hAnsi="Times New Roman" w:eastAsia="黑体" w:cs="Times New Roman"/>
              <w:b/>
              <w:bCs/>
              <w:sz w:val="28"/>
              <w:szCs w:val="28"/>
            </w:rPr>
            <w:fldChar w:fldCharType="end"/>
          </w:r>
        </w:p>
        <w:p w14:paraId="63CC736C">
          <w:pPr>
            <w:pStyle w:val="10"/>
            <w:keepNext w:val="0"/>
            <w:keepLines w:val="0"/>
            <w:pageBreakBefore w:val="0"/>
            <w:widowControl w:val="0"/>
            <w:tabs>
              <w:tab w:val="right" w:leader="dot" w:pos="9184"/>
              <w:tab w:val="clear" w:pos="9174"/>
            </w:tabs>
            <w:kinsoku/>
            <w:wordWrap/>
            <w:overflowPunct/>
            <w:topLinePunct w:val="0"/>
            <w:autoSpaceDE/>
            <w:autoSpaceDN/>
            <w:bidi w:val="0"/>
            <w:adjustRightInd w:val="0"/>
            <w:snapToGrid w:val="0"/>
            <w:spacing w:after="0" w:line="360" w:lineRule="auto"/>
            <w:ind w:left="220" w:leftChars="100"/>
            <w:textAlignment w:val="auto"/>
            <w:rPr>
              <w:rFonts w:hint="default" w:ascii="Times New Roman" w:hAnsi="Times New Roman" w:eastAsia="黑体" w:cs="Times New Roman"/>
              <w:b w:val="0"/>
              <w:bCs w:val="0"/>
              <w:sz w:val="28"/>
              <w:szCs w:val="28"/>
              <w14:ligatures w14:val="none"/>
            </w:rPr>
          </w:pPr>
          <w:r>
            <w:rPr>
              <w:rFonts w:hint="default" w:ascii="Times New Roman" w:hAnsi="Times New Roman" w:eastAsia="黑体" w:cs="Times New Roman"/>
              <w:b w:val="0"/>
              <w:bCs w:val="0"/>
              <w:sz w:val="28"/>
              <w:szCs w:val="28"/>
              <w14:ligatures w14:val="none"/>
            </w:rPr>
            <w:fldChar w:fldCharType="begin"/>
          </w:r>
          <w:r>
            <w:rPr>
              <w:rFonts w:hint="default" w:ascii="Times New Roman" w:hAnsi="Times New Roman" w:eastAsia="黑体" w:cs="Times New Roman"/>
              <w:b w:val="0"/>
              <w:bCs w:val="0"/>
              <w:sz w:val="28"/>
              <w:szCs w:val="28"/>
              <w14:ligatures w14:val="none"/>
            </w:rPr>
            <w:instrText xml:space="preserve"> HYPERLINK \l _Toc15947 </w:instrText>
          </w:r>
          <w:r>
            <w:rPr>
              <w:rFonts w:hint="default" w:ascii="Times New Roman" w:hAnsi="Times New Roman" w:eastAsia="黑体" w:cs="Times New Roman"/>
              <w:b w:val="0"/>
              <w:bCs w:val="0"/>
              <w:sz w:val="28"/>
              <w:szCs w:val="28"/>
              <w14:ligatures w14:val="none"/>
            </w:rPr>
            <w:fldChar w:fldCharType="separate"/>
          </w:r>
          <w:r>
            <w:rPr>
              <w:rFonts w:hint="default" w:ascii="Times New Roman" w:hAnsi="Times New Roman" w:eastAsia="黑体" w:cs="Times New Roman"/>
              <w:b w:val="0"/>
              <w:bCs w:val="0"/>
              <w:sz w:val="28"/>
              <w:szCs w:val="28"/>
              <w14:ligatures w14:val="none"/>
            </w:rPr>
            <w:t>7.1主要危险有害因素评价结果</w:t>
          </w:r>
          <w:r>
            <w:rPr>
              <w:rFonts w:hint="default" w:ascii="Times New Roman" w:hAnsi="Times New Roman" w:eastAsia="黑体" w:cs="Times New Roman"/>
              <w:b w:val="0"/>
              <w:bCs w:val="0"/>
              <w:sz w:val="28"/>
              <w:szCs w:val="28"/>
              <w14:ligatures w14:val="none"/>
            </w:rPr>
            <w:tab/>
          </w:r>
          <w:r>
            <w:rPr>
              <w:rFonts w:hint="default" w:ascii="Times New Roman" w:hAnsi="Times New Roman" w:eastAsia="黑体" w:cs="Times New Roman"/>
              <w:b w:val="0"/>
              <w:bCs w:val="0"/>
              <w:sz w:val="28"/>
              <w:szCs w:val="28"/>
              <w14:ligatures w14:val="none"/>
            </w:rPr>
            <w:fldChar w:fldCharType="begin"/>
          </w:r>
          <w:r>
            <w:rPr>
              <w:rFonts w:hint="default" w:ascii="Times New Roman" w:hAnsi="Times New Roman" w:eastAsia="黑体" w:cs="Times New Roman"/>
              <w:b w:val="0"/>
              <w:bCs w:val="0"/>
              <w:sz w:val="28"/>
              <w:szCs w:val="28"/>
              <w14:ligatures w14:val="none"/>
            </w:rPr>
            <w:instrText xml:space="preserve"> PAGEREF _Toc15947 \h </w:instrText>
          </w:r>
          <w:r>
            <w:rPr>
              <w:rFonts w:hint="default" w:ascii="Times New Roman" w:hAnsi="Times New Roman" w:eastAsia="黑体" w:cs="Times New Roman"/>
              <w:b w:val="0"/>
              <w:bCs w:val="0"/>
              <w:sz w:val="28"/>
              <w:szCs w:val="28"/>
              <w14:ligatures w14:val="none"/>
            </w:rPr>
            <w:fldChar w:fldCharType="separate"/>
          </w:r>
          <w:r>
            <w:rPr>
              <w:rFonts w:hint="default" w:ascii="Times New Roman" w:hAnsi="Times New Roman" w:eastAsia="黑体" w:cs="Times New Roman"/>
              <w:b w:val="0"/>
              <w:bCs w:val="0"/>
              <w:sz w:val="28"/>
              <w:szCs w:val="28"/>
              <w14:ligatures w14:val="none"/>
            </w:rPr>
            <w:t>65</w:t>
          </w:r>
          <w:r>
            <w:rPr>
              <w:rFonts w:hint="default" w:ascii="Times New Roman" w:hAnsi="Times New Roman" w:eastAsia="黑体" w:cs="Times New Roman"/>
              <w:b w:val="0"/>
              <w:bCs w:val="0"/>
              <w:sz w:val="28"/>
              <w:szCs w:val="28"/>
              <w14:ligatures w14:val="none"/>
            </w:rPr>
            <w:fldChar w:fldCharType="end"/>
          </w:r>
          <w:r>
            <w:rPr>
              <w:rFonts w:hint="default" w:ascii="Times New Roman" w:hAnsi="Times New Roman" w:eastAsia="黑体" w:cs="Times New Roman"/>
              <w:b w:val="0"/>
              <w:bCs w:val="0"/>
              <w:sz w:val="28"/>
              <w:szCs w:val="28"/>
              <w14:ligatures w14:val="none"/>
            </w:rPr>
            <w:fldChar w:fldCharType="end"/>
          </w:r>
        </w:p>
        <w:p w14:paraId="2B38880A">
          <w:pPr>
            <w:pStyle w:val="10"/>
            <w:keepNext w:val="0"/>
            <w:keepLines w:val="0"/>
            <w:pageBreakBefore w:val="0"/>
            <w:widowControl w:val="0"/>
            <w:tabs>
              <w:tab w:val="right" w:leader="dot" w:pos="9184"/>
              <w:tab w:val="clear" w:pos="9174"/>
            </w:tabs>
            <w:kinsoku/>
            <w:wordWrap/>
            <w:overflowPunct/>
            <w:topLinePunct w:val="0"/>
            <w:autoSpaceDE/>
            <w:autoSpaceDN/>
            <w:bidi w:val="0"/>
            <w:adjustRightInd w:val="0"/>
            <w:snapToGrid w:val="0"/>
            <w:spacing w:after="0" w:line="360" w:lineRule="auto"/>
            <w:ind w:left="220" w:leftChars="100"/>
            <w:textAlignment w:val="auto"/>
            <w:rPr>
              <w:rFonts w:hint="default" w:ascii="Times New Roman" w:hAnsi="Times New Roman" w:eastAsia="黑体" w:cs="Times New Roman"/>
              <w:b w:val="0"/>
              <w:bCs w:val="0"/>
              <w:sz w:val="28"/>
              <w:szCs w:val="28"/>
              <w14:ligatures w14:val="none"/>
            </w:rPr>
          </w:pPr>
          <w:r>
            <w:rPr>
              <w:rFonts w:hint="default" w:ascii="Times New Roman" w:hAnsi="Times New Roman" w:eastAsia="黑体" w:cs="Times New Roman"/>
              <w:b w:val="0"/>
              <w:bCs w:val="0"/>
              <w:sz w:val="28"/>
              <w:szCs w:val="28"/>
              <w14:ligatures w14:val="none"/>
            </w:rPr>
            <w:fldChar w:fldCharType="begin"/>
          </w:r>
          <w:r>
            <w:rPr>
              <w:rFonts w:hint="default" w:ascii="Times New Roman" w:hAnsi="Times New Roman" w:eastAsia="黑体" w:cs="Times New Roman"/>
              <w:b w:val="0"/>
              <w:bCs w:val="0"/>
              <w:sz w:val="28"/>
              <w:szCs w:val="28"/>
              <w14:ligatures w14:val="none"/>
            </w:rPr>
            <w:instrText xml:space="preserve"> HYPERLINK \l _Toc29330 </w:instrText>
          </w:r>
          <w:r>
            <w:rPr>
              <w:rFonts w:hint="default" w:ascii="Times New Roman" w:hAnsi="Times New Roman" w:eastAsia="黑体" w:cs="Times New Roman"/>
              <w:b w:val="0"/>
              <w:bCs w:val="0"/>
              <w:sz w:val="28"/>
              <w:szCs w:val="28"/>
              <w14:ligatures w14:val="none"/>
            </w:rPr>
            <w:fldChar w:fldCharType="separate"/>
          </w:r>
          <w:r>
            <w:rPr>
              <w:rFonts w:hint="default" w:ascii="Times New Roman" w:hAnsi="Times New Roman" w:eastAsia="黑体" w:cs="Times New Roman"/>
              <w:b w:val="0"/>
              <w:bCs w:val="0"/>
              <w:sz w:val="28"/>
              <w:szCs w:val="28"/>
              <w14:ligatures w14:val="none"/>
            </w:rPr>
            <w:t>7.2定性定量分析结果</w:t>
          </w:r>
          <w:r>
            <w:rPr>
              <w:rFonts w:hint="default" w:ascii="Times New Roman" w:hAnsi="Times New Roman" w:eastAsia="黑体" w:cs="Times New Roman"/>
              <w:b w:val="0"/>
              <w:bCs w:val="0"/>
              <w:sz w:val="28"/>
              <w:szCs w:val="28"/>
              <w14:ligatures w14:val="none"/>
            </w:rPr>
            <w:tab/>
          </w:r>
          <w:r>
            <w:rPr>
              <w:rFonts w:hint="default" w:ascii="Times New Roman" w:hAnsi="Times New Roman" w:eastAsia="黑体" w:cs="Times New Roman"/>
              <w:b w:val="0"/>
              <w:bCs w:val="0"/>
              <w:sz w:val="28"/>
              <w:szCs w:val="28"/>
              <w14:ligatures w14:val="none"/>
            </w:rPr>
            <w:fldChar w:fldCharType="begin"/>
          </w:r>
          <w:r>
            <w:rPr>
              <w:rFonts w:hint="default" w:ascii="Times New Roman" w:hAnsi="Times New Roman" w:eastAsia="黑体" w:cs="Times New Roman"/>
              <w:b w:val="0"/>
              <w:bCs w:val="0"/>
              <w:sz w:val="28"/>
              <w:szCs w:val="28"/>
              <w14:ligatures w14:val="none"/>
            </w:rPr>
            <w:instrText xml:space="preserve"> PAGEREF _Toc29330 \h </w:instrText>
          </w:r>
          <w:r>
            <w:rPr>
              <w:rFonts w:hint="default" w:ascii="Times New Roman" w:hAnsi="Times New Roman" w:eastAsia="黑体" w:cs="Times New Roman"/>
              <w:b w:val="0"/>
              <w:bCs w:val="0"/>
              <w:sz w:val="28"/>
              <w:szCs w:val="28"/>
              <w14:ligatures w14:val="none"/>
            </w:rPr>
            <w:fldChar w:fldCharType="separate"/>
          </w:r>
          <w:r>
            <w:rPr>
              <w:rFonts w:hint="default" w:ascii="Times New Roman" w:hAnsi="Times New Roman" w:eastAsia="黑体" w:cs="Times New Roman"/>
              <w:b w:val="0"/>
              <w:bCs w:val="0"/>
              <w:sz w:val="28"/>
              <w:szCs w:val="28"/>
              <w14:ligatures w14:val="none"/>
            </w:rPr>
            <w:t>65</w:t>
          </w:r>
          <w:r>
            <w:rPr>
              <w:rFonts w:hint="default" w:ascii="Times New Roman" w:hAnsi="Times New Roman" w:eastAsia="黑体" w:cs="Times New Roman"/>
              <w:b w:val="0"/>
              <w:bCs w:val="0"/>
              <w:sz w:val="28"/>
              <w:szCs w:val="28"/>
              <w14:ligatures w14:val="none"/>
            </w:rPr>
            <w:fldChar w:fldCharType="end"/>
          </w:r>
          <w:r>
            <w:rPr>
              <w:rFonts w:hint="default" w:ascii="Times New Roman" w:hAnsi="Times New Roman" w:eastAsia="黑体" w:cs="Times New Roman"/>
              <w:b w:val="0"/>
              <w:bCs w:val="0"/>
              <w:sz w:val="28"/>
              <w:szCs w:val="28"/>
              <w14:ligatures w14:val="none"/>
            </w:rPr>
            <w:fldChar w:fldCharType="end"/>
          </w:r>
        </w:p>
        <w:p w14:paraId="0DA6180A">
          <w:pPr>
            <w:pStyle w:val="10"/>
            <w:keepNext w:val="0"/>
            <w:keepLines w:val="0"/>
            <w:pageBreakBefore w:val="0"/>
            <w:widowControl w:val="0"/>
            <w:tabs>
              <w:tab w:val="right" w:leader="dot" w:pos="9184"/>
              <w:tab w:val="clear" w:pos="9174"/>
            </w:tabs>
            <w:kinsoku/>
            <w:wordWrap/>
            <w:overflowPunct/>
            <w:topLinePunct w:val="0"/>
            <w:autoSpaceDE/>
            <w:autoSpaceDN/>
            <w:bidi w:val="0"/>
            <w:adjustRightInd w:val="0"/>
            <w:snapToGrid w:val="0"/>
            <w:spacing w:after="0" w:line="360" w:lineRule="auto"/>
            <w:ind w:left="220" w:leftChars="100"/>
            <w:textAlignment w:val="auto"/>
            <w:rPr>
              <w:rFonts w:hint="default" w:ascii="Times New Roman" w:hAnsi="Times New Roman" w:eastAsia="黑体" w:cs="Times New Roman"/>
              <w:b w:val="0"/>
              <w:bCs w:val="0"/>
              <w:sz w:val="28"/>
              <w:szCs w:val="28"/>
              <w14:ligatures w14:val="none"/>
            </w:rPr>
          </w:pPr>
          <w:r>
            <w:rPr>
              <w:rFonts w:hint="default" w:ascii="Times New Roman" w:hAnsi="Times New Roman" w:eastAsia="黑体" w:cs="Times New Roman"/>
              <w:b w:val="0"/>
              <w:bCs w:val="0"/>
              <w:sz w:val="28"/>
              <w:szCs w:val="28"/>
              <w14:ligatures w14:val="none"/>
            </w:rPr>
            <w:fldChar w:fldCharType="begin"/>
          </w:r>
          <w:r>
            <w:rPr>
              <w:rFonts w:hint="default" w:ascii="Times New Roman" w:hAnsi="Times New Roman" w:eastAsia="黑体" w:cs="Times New Roman"/>
              <w:b w:val="0"/>
              <w:bCs w:val="0"/>
              <w:sz w:val="28"/>
              <w:szCs w:val="28"/>
              <w14:ligatures w14:val="none"/>
            </w:rPr>
            <w:instrText xml:space="preserve"> HYPERLINK \l _Toc27812 </w:instrText>
          </w:r>
          <w:r>
            <w:rPr>
              <w:rFonts w:hint="default" w:ascii="Times New Roman" w:hAnsi="Times New Roman" w:eastAsia="黑体" w:cs="Times New Roman"/>
              <w:b w:val="0"/>
              <w:bCs w:val="0"/>
              <w:sz w:val="28"/>
              <w:szCs w:val="28"/>
              <w14:ligatures w14:val="none"/>
            </w:rPr>
            <w:fldChar w:fldCharType="separate"/>
          </w:r>
          <w:r>
            <w:rPr>
              <w:rFonts w:hint="default" w:ascii="Times New Roman" w:hAnsi="Times New Roman" w:eastAsia="黑体" w:cs="Times New Roman"/>
              <w:b w:val="0"/>
              <w:bCs w:val="0"/>
              <w:sz w:val="28"/>
              <w:szCs w:val="28"/>
              <w14:ligatures w14:val="none"/>
            </w:rPr>
            <w:t>7.3评价结论</w:t>
          </w:r>
          <w:r>
            <w:rPr>
              <w:rFonts w:hint="default" w:ascii="Times New Roman" w:hAnsi="Times New Roman" w:eastAsia="黑体" w:cs="Times New Roman"/>
              <w:b w:val="0"/>
              <w:bCs w:val="0"/>
              <w:sz w:val="28"/>
              <w:szCs w:val="28"/>
              <w14:ligatures w14:val="none"/>
            </w:rPr>
            <w:tab/>
          </w:r>
          <w:r>
            <w:rPr>
              <w:rFonts w:hint="default" w:ascii="Times New Roman" w:hAnsi="Times New Roman" w:eastAsia="黑体" w:cs="Times New Roman"/>
              <w:b w:val="0"/>
              <w:bCs w:val="0"/>
              <w:sz w:val="28"/>
              <w:szCs w:val="28"/>
              <w14:ligatures w14:val="none"/>
            </w:rPr>
            <w:fldChar w:fldCharType="begin"/>
          </w:r>
          <w:r>
            <w:rPr>
              <w:rFonts w:hint="default" w:ascii="Times New Roman" w:hAnsi="Times New Roman" w:eastAsia="黑体" w:cs="Times New Roman"/>
              <w:b w:val="0"/>
              <w:bCs w:val="0"/>
              <w:sz w:val="28"/>
              <w:szCs w:val="28"/>
              <w14:ligatures w14:val="none"/>
            </w:rPr>
            <w:instrText xml:space="preserve"> PAGEREF _Toc27812 \h </w:instrText>
          </w:r>
          <w:r>
            <w:rPr>
              <w:rFonts w:hint="default" w:ascii="Times New Roman" w:hAnsi="Times New Roman" w:eastAsia="黑体" w:cs="Times New Roman"/>
              <w:b w:val="0"/>
              <w:bCs w:val="0"/>
              <w:sz w:val="28"/>
              <w:szCs w:val="28"/>
              <w14:ligatures w14:val="none"/>
            </w:rPr>
            <w:fldChar w:fldCharType="separate"/>
          </w:r>
          <w:r>
            <w:rPr>
              <w:rFonts w:hint="default" w:ascii="Times New Roman" w:hAnsi="Times New Roman" w:eastAsia="黑体" w:cs="Times New Roman"/>
              <w:b w:val="0"/>
              <w:bCs w:val="0"/>
              <w:sz w:val="28"/>
              <w:szCs w:val="28"/>
              <w14:ligatures w14:val="none"/>
            </w:rPr>
            <w:t>66</w:t>
          </w:r>
          <w:r>
            <w:rPr>
              <w:rFonts w:hint="default" w:ascii="Times New Roman" w:hAnsi="Times New Roman" w:eastAsia="黑体" w:cs="Times New Roman"/>
              <w:b w:val="0"/>
              <w:bCs w:val="0"/>
              <w:sz w:val="28"/>
              <w:szCs w:val="28"/>
              <w14:ligatures w14:val="none"/>
            </w:rPr>
            <w:fldChar w:fldCharType="end"/>
          </w:r>
          <w:r>
            <w:rPr>
              <w:rFonts w:hint="default" w:ascii="Times New Roman" w:hAnsi="Times New Roman" w:eastAsia="黑体" w:cs="Times New Roman"/>
              <w:b w:val="0"/>
              <w:bCs w:val="0"/>
              <w:sz w:val="28"/>
              <w:szCs w:val="28"/>
              <w14:ligatures w14:val="none"/>
            </w:rPr>
            <w:fldChar w:fldCharType="end"/>
          </w:r>
        </w:p>
        <w:p w14:paraId="1CC9BB56">
          <w:pPr>
            <w:pStyle w:val="9"/>
            <w:keepNext w:val="0"/>
            <w:keepLines w:val="0"/>
            <w:pageBreakBefore w:val="0"/>
            <w:widowControl w:val="0"/>
            <w:tabs>
              <w:tab w:val="right" w:leader="dot" w:pos="9184"/>
            </w:tabs>
            <w:kinsoku/>
            <w:wordWrap/>
            <w:overflowPunct/>
            <w:topLinePunct w:val="0"/>
            <w:autoSpaceDE/>
            <w:autoSpaceDN/>
            <w:bidi w:val="0"/>
            <w:adjustRightInd w:val="0"/>
            <w:snapToGrid w:val="0"/>
            <w:spacing w:after="0" w:line="360" w:lineRule="auto"/>
            <w:ind w:left="0" w:leftChars="0"/>
            <w:textAlignment w:val="auto"/>
            <w:rPr>
              <w:rFonts w:hint="default" w:ascii="Times New Roman" w:hAnsi="Times New Roman" w:eastAsia="黑体" w:cs="Times New Roman"/>
              <w:b/>
              <w:bCs/>
              <w:sz w:val="28"/>
              <w:szCs w:val="28"/>
            </w:rPr>
          </w:pPr>
          <w:r>
            <w:rPr>
              <w:rFonts w:hint="default" w:ascii="Times New Roman" w:hAnsi="Times New Roman" w:eastAsia="黑体" w:cs="Times New Roman"/>
              <w:b/>
              <w:bCs/>
              <w:sz w:val="28"/>
              <w:szCs w:val="28"/>
            </w:rPr>
            <w:fldChar w:fldCharType="begin"/>
          </w:r>
          <w:r>
            <w:rPr>
              <w:rFonts w:hint="default" w:ascii="Times New Roman" w:hAnsi="Times New Roman" w:eastAsia="黑体" w:cs="Times New Roman"/>
              <w:b/>
              <w:bCs/>
              <w:sz w:val="28"/>
              <w:szCs w:val="28"/>
            </w:rPr>
            <w:instrText xml:space="preserve"> HYPERLINK \l _Toc11565 </w:instrText>
          </w:r>
          <w:r>
            <w:rPr>
              <w:rFonts w:hint="default" w:ascii="Times New Roman" w:hAnsi="Times New Roman" w:eastAsia="黑体" w:cs="Times New Roman"/>
              <w:b/>
              <w:bCs/>
              <w:sz w:val="28"/>
              <w:szCs w:val="28"/>
            </w:rPr>
            <w:fldChar w:fldCharType="separate"/>
          </w:r>
          <w:r>
            <w:rPr>
              <w:rFonts w:hint="default" w:ascii="Times New Roman" w:hAnsi="Times New Roman" w:eastAsia="黑体" w:cs="Times New Roman"/>
              <w:b/>
              <w:bCs/>
              <w:kern w:val="44"/>
              <w:sz w:val="28"/>
              <w:szCs w:val="28"/>
              <w14:ligatures w14:val="none"/>
            </w:rPr>
            <w:t>附件</w:t>
          </w:r>
          <w:r>
            <w:rPr>
              <w:rFonts w:hint="default" w:ascii="Times New Roman" w:hAnsi="Times New Roman" w:eastAsia="黑体" w:cs="Times New Roman"/>
              <w:b/>
              <w:bCs/>
              <w:sz w:val="28"/>
              <w:szCs w:val="28"/>
            </w:rPr>
            <w:tab/>
          </w:r>
          <w:r>
            <w:rPr>
              <w:rFonts w:hint="default" w:ascii="Times New Roman" w:hAnsi="Times New Roman" w:eastAsia="黑体" w:cs="Times New Roman"/>
              <w:b/>
              <w:bCs/>
              <w:sz w:val="28"/>
              <w:szCs w:val="28"/>
            </w:rPr>
            <w:fldChar w:fldCharType="begin"/>
          </w:r>
          <w:r>
            <w:rPr>
              <w:rFonts w:hint="default" w:ascii="Times New Roman" w:hAnsi="Times New Roman" w:eastAsia="黑体" w:cs="Times New Roman"/>
              <w:b/>
              <w:bCs/>
              <w:sz w:val="28"/>
              <w:szCs w:val="28"/>
            </w:rPr>
            <w:instrText xml:space="preserve"> PAGEREF _Toc11565 \h </w:instrText>
          </w:r>
          <w:r>
            <w:rPr>
              <w:rFonts w:hint="default" w:ascii="Times New Roman" w:hAnsi="Times New Roman" w:eastAsia="黑体" w:cs="Times New Roman"/>
              <w:b/>
              <w:bCs/>
              <w:sz w:val="28"/>
              <w:szCs w:val="28"/>
            </w:rPr>
            <w:fldChar w:fldCharType="separate"/>
          </w:r>
          <w:r>
            <w:rPr>
              <w:rFonts w:hint="default" w:ascii="Times New Roman" w:hAnsi="Times New Roman" w:eastAsia="黑体" w:cs="Times New Roman"/>
              <w:b/>
              <w:bCs/>
              <w:sz w:val="28"/>
              <w:szCs w:val="28"/>
            </w:rPr>
            <w:t>67</w:t>
          </w:r>
          <w:r>
            <w:rPr>
              <w:rFonts w:hint="default" w:ascii="Times New Roman" w:hAnsi="Times New Roman" w:eastAsia="黑体" w:cs="Times New Roman"/>
              <w:b/>
              <w:bCs/>
              <w:sz w:val="28"/>
              <w:szCs w:val="28"/>
            </w:rPr>
            <w:fldChar w:fldCharType="end"/>
          </w:r>
          <w:r>
            <w:rPr>
              <w:rFonts w:hint="default" w:ascii="Times New Roman" w:hAnsi="Times New Roman" w:eastAsia="黑体" w:cs="Times New Roman"/>
              <w:b/>
              <w:bCs/>
              <w:sz w:val="28"/>
              <w:szCs w:val="28"/>
            </w:rPr>
            <w:fldChar w:fldCharType="end"/>
          </w:r>
        </w:p>
        <w:p w14:paraId="1CE8CC4E">
          <w:pPr>
            <w:keepNext w:val="0"/>
            <w:keepLines w:val="0"/>
            <w:pageBreakBefore w:val="0"/>
            <w:widowControl w:val="0"/>
            <w:kinsoku/>
            <w:wordWrap/>
            <w:overflowPunct/>
            <w:topLinePunct w:val="0"/>
            <w:autoSpaceDE/>
            <w:autoSpaceDN/>
            <w:bidi w:val="0"/>
            <w:adjustRightInd w:val="0"/>
            <w:snapToGrid w:val="0"/>
            <w:spacing w:after="0" w:line="360" w:lineRule="auto"/>
            <w:ind w:left="0" w:leftChars="0"/>
            <w:jc w:val="both"/>
            <w:textAlignment w:val="auto"/>
            <w:rPr>
              <w:rFonts w:hint="default" w:ascii="Times New Roman" w:hAnsi="Times New Roman" w:eastAsia="黑体" w:cs="Times New Roman"/>
              <w:sz w:val="28"/>
              <w:szCs w:val="28"/>
            </w:rPr>
          </w:pPr>
          <w:r>
            <w:rPr>
              <w:rFonts w:hint="default" w:ascii="Times New Roman" w:hAnsi="Times New Roman" w:eastAsia="黑体" w:cs="Times New Roman"/>
              <w:b/>
              <w:bCs/>
              <w:sz w:val="28"/>
              <w:szCs w:val="28"/>
            </w:rPr>
            <w:fldChar w:fldCharType="end"/>
          </w:r>
        </w:p>
      </w:sdtContent>
    </w:sdt>
    <w:p w14:paraId="0975073F">
      <w:pPr>
        <w:adjustRightInd w:val="0"/>
        <w:snapToGrid w:val="0"/>
        <w:spacing w:before="156" w:beforeLines="50" w:after="156" w:afterLines="50" w:line="360" w:lineRule="auto"/>
        <w:jc w:val="center"/>
        <w:rPr>
          <w:rFonts w:ascii="Times New Roman" w:hAnsi="Times New Roman" w:eastAsia="黑体" w:cs="Times New Roman"/>
          <w:b/>
          <w:kern w:val="44"/>
          <w:sz w:val="32"/>
          <w:szCs w:val="44"/>
          <w14:ligatures w14:val="none"/>
        </w:rPr>
      </w:pPr>
    </w:p>
    <w:p w14:paraId="46BAB2C0">
      <w:pPr>
        <w:adjustRightInd w:val="0"/>
        <w:snapToGrid w:val="0"/>
        <w:spacing w:before="156" w:beforeLines="50" w:after="156" w:afterLines="50" w:line="360" w:lineRule="auto"/>
        <w:jc w:val="center"/>
        <w:rPr>
          <w:rFonts w:ascii="Times New Roman" w:hAnsi="Times New Roman" w:eastAsia="黑体" w:cs="Times New Roman"/>
          <w:b/>
          <w:kern w:val="44"/>
          <w:sz w:val="32"/>
          <w:szCs w:val="44"/>
          <w14:ligatures w14:val="none"/>
        </w:rPr>
        <w:sectPr>
          <w:pgSz w:w="11906" w:h="16838"/>
          <w:pgMar w:top="1418" w:right="1134" w:bottom="1134" w:left="1588" w:header="851" w:footer="992" w:gutter="0"/>
          <w:pgBorders>
            <w:top w:val="none" w:sz="0" w:space="0"/>
            <w:left w:val="none" w:sz="0" w:space="0"/>
            <w:bottom w:val="none" w:sz="0" w:space="0"/>
            <w:right w:val="none" w:sz="0" w:space="0"/>
          </w:pgBorders>
          <w:cols w:space="425" w:num="1"/>
          <w:docGrid w:type="lines" w:linePitch="312" w:charSpace="0"/>
        </w:sectPr>
      </w:pPr>
    </w:p>
    <w:p w14:paraId="7252529D">
      <w:pPr>
        <w:adjustRightInd w:val="0"/>
        <w:snapToGrid w:val="0"/>
        <w:spacing w:before="468" w:beforeLines="150" w:after="468" w:afterLines="150" w:line="360" w:lineRule="auto"/>
        <w:jc w:val="center"/>
        <w:outlineLvl w:val="0"/>
        <w:rPr>
          <w:rFonts w:ascii="Times New Roman" w:hAnsi="Times New Roman" w:eastAsia="黑体" w:cs="黑体"/>
          <w:b/>
          <w:kern w:val="44"/>
          <w:sz w:val="32"/>
          <w:szCs w:val="44"/>
          <w14:ligatures w14:val="none"/>
        </w:rPr>
      </w:pPr>
      <w:bookmarkStart w:id="21" w:name="_Toc21105"/>
      <w:bookmarkStart w:id="22" w:name="_Toc163051340"/>
      <w:bookmarkStart w:id="23" w:name="_Toc492367633"/>
      <w:bookmarkStart w:id="24" w:name="_Toc527536689"/>
      <w:bookmarkStart w:id="25" w:name="_Toc457295089"/>
      <w:bookmarkStart w:id="26" w:name="_Toc454542367"/>
      <w:bookmarkStart w:id="27" w:name="_Toc454542164"/>
      <w:bookmarkStart w:id="28" w:name="_Toc457294993"/>
      <w:r>
        <w:rPr>
          <w:rFonts w:hint="eastAsia" w:ascii="Times New Roman" w:hAnsi="Times New Roman" w:eastAsia="黑体" w:cs="黑体"/>
          <w:b/>
          <w:kern w:val="44"/>
          <w:sz w:val="32"/>
          <w:szCs w:val="44"/>
          <w14:ligatures w14:val="none"/>
        </w:rPr>
        <w:t>1概述</w:t>
      </w:r>
      <w:bookmarkEnd w:id="21"/>
      <w:bookmarkEnd w:id="22"/>
      <w:bookmarkEnd w:id="23"/>
      <w:bookmarkEnd w:id="24"/>
    </w:p>
    <w:p w14:paraId="5B3841BA">
      <w:pPr>
        <w:adjustRightInd w:val="0"/>
        <w:snapToGrid w:val="0"/>
        <w:spacing w:before="312" w:beforeLines="100" w:after="312" w:afterLines="100" w:line="360" w:lineRule="auto"/>
        <w:jc w:val="center"/>
        <w:outlineLvl w:val="1"/>
        <w:rPr>
          <w:rFonts w:ascii="Times New Roman" w:hAnsi="Times New Roman" w:eastAsia="楷体" w:cs="黑体"/>
          <w:b/>
          <w:sz w:val="32"/>
          <w:szCs w:val="32"/>
          <w14:ligatures w14:val="none"/>
        </w:rPr>
      </w:pPr>
      <w:bookmarkStart w:id="29" w:name="_Toc492367634"/>
      <w:bookmarkStart w:id="30" w:name="_Toc527536690"/>
      <w:bookmarkStart w:id="31" w:name="_Toc31271"/>
      <w:bookmarkStart w:id="32" w:name="_Toc163051341"/>
      <w:r>
        <w:rPr>
          <w:rFonts w:hint="eastAsia" w:ascii="Times New Roman" w:hAnsi="Times New Roman" w:eastAsia="楷体" w:cs="黑体"/>
          <w:b/>
          <w:sz w:val="32"/>
          <w:szCs w:val="32"/>
          <w14:ligatures w14:val="none"/>
        </w:rPr>
        <w:t>1.1评价目的</w:t>
      </w:r>
      <w:bookmarkEnd w:id="29"/>
      <w:bookmarkEnd w:id="30"/>
      <w:bookmarkEnd w:id="31"/>
      <w:bookmarkEnd w:id="32"/>
    </w:p>
    <w:p w14:paraId="183E5D9B">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ascii="Times New Roman" w:hAnsi="Times New Roman" w:eastAsia="宋体" w:cs="Times New Roman"/>
          <w:sz w:val="28"/>
          <w:szCs w:val="28"/>
          <w14:ligatures w14:val="none"/>
        </w:rPr>
        <w:t>安全评价是以实现工程、系统安全为目的，应用安全系统工程原理和方法，对工程、系统中存在的危险、有害因素进行辨识与分析，判断工程、系统发生事故和职业危害的可能性及其严重程度，从而为制定安全防范措施和管理决策提供科学依据。</w:t>
      </w:r>
    </w:p>
    <w:p w14:paraId="2B99BF67">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ascii="Times New Roman" w:hAnsi="Times New Roman" w:eastAsia="宋体" w:cs="Times New Roman"/>
          <w:sz w:val="28"/>
          <w:szCs w:val="28"/>
          <w14:ligatures w14:val="none"/>
        </w:rPr>
        <w:t>本次安全评价的目的是：通过对</w:t>
      </w:r>
      <w:r>
        <w:rPr>
          <w:rFonts w:hint="eastAsia" w:ascii="Times New Roman" w:hAnsi="Times New Roman" w:eastAsia="宋体" w:cs="Times New Roman"/>
          <w:sz w:val="28"/>
          <w:szCs w:val="28"/>
          <w:lang w:eastAsia="zh-CN"/>
          <w14:ligatures w14:val="none"/>
        </w:rPr>
        <w:t>朝阳金达钛业股份有限公司</w:t>
      </w:r>
      <w:r>
        <w:rPr>
          <w:rFonts w:ascii="Times New Roman" w:hAnsi="Times New Roman" w:eastAsia="宋体" w:cs="Times New Roman"/>
          <w:sz w:val="28"/>
          <w:szCs w:val="28"/>
          <w:highlight w:val="none"/>
          <w14:ligatures w14:val="none"/>
        </w:rPr>
        <w:t>储存、经营危险化学品的过程中存在的危险和有害因素的分析，按照国家对危</w:t>
      </w:r>
      <w:r>
        <w:rPr>
          <w:rFonts w:ascii="Times New Roman" w:hAnsi="Times New Roman" w:eastAsia="宋体" w:cs="Times New Roman"/>
          <w:sz w:val="28"/>
          <w:szCs w:val="28"/>
          <w14:ligatures w14:val="none"/>
        </w:rPr>
        <w:t>险化学品经营企业的有关规定和技术标准的具体要求，评价其经营所必需的法律文书、安全管理规章制度及危险化学品事故应急预案等是否具备经营条件。对安全评价过程中发现的问题，依据有关规定和技术标准的要求，提出合理可行的安全对策措施和整改建议，以不断提高其危险化学品经营安全管理水平，同时，也为当地应急管理部门日常监管提供技术支撑。</w:t>
      </w:r>
    </w:p>
    <w:p w14:paraId="44509FD2">
      <w:pPr>
        <w:adjustRightInd w:val="0"/>
        <w:snapToGrid w:val="0"/>
        <w:spacing w:before="312" w:beforeLines="100" w:after="312" w:afterLines="100" w:line="360" w:lineRule="auto"/>
        <w:jc w:val="center"/>
        <w:outlineLvl w:val="1"/>
        <w:rPr>
          <w:rFonts w:ascii="Times New Roman" w:hAnsi="Times New Roman" w:eastAsia="楷体" w:cs="黑体"/>
          <w:b/>
          <w:sz w:val="32"/>
          <w:szCs w:val="32"/>
          <w14:ligatures w14:val="none"/>
        </w:rPr>
      </w:pPr>
      <w:bookmarkStart w:id="33" w:name="_Toc163051342"/>
      <w:bookmarkStart w:id="34" w:name="_Toc18677"/>
      <w:bookmarkStart w:id="35" w:name="_Toc492367635"/>
      <w:bookmarkStart w:id="36" w:name="_Toc527536691"/>
      <w:r>
        <w:rPr>
          <w:rFonts w:ascii="Times New Roman" w:hAnsi="Times New Roman" w:eastAsia="楷体" w:cs="黑体"/>
          <w:b/>
          <w:sz w:val="32"/>
          <w:szCs w:val="32"/>
          <w14:ligatures w14:val="none"/>
        </w:rPr>
        <w:t>1.2评价依据</w:t>
      </w:r>
      <w:bookmarkEnd w:id="33"/>
      <w:bookmarkEnd w:id="34"/>
      <w:bookmarkEnd w:id="35"/>
      <w:bookmarkEnd w:id="36"/>
    </w:p>
    <w:p w14:paraId="6410071D">
      <w:pPr>
        <w:tabs>
          <w:tab w:val="left" w:pos="840"/>
          <w:tab w:val="left" w:pos="1260"/>
        </w:tabs>
        <w:adjustRightInd w:val="0"/>
        <w:snapToGrid w:val="0"/>
        <w:spacing w:before="156" w:beforeLines="50" w:after="156" w:afterLines="50" w:line="360" w:lineRule="auto"/>
        <w:ind w:firstLine="562" w:firstLineChars="200"/>
        <w:jc w:val="both"/>
        <w:outlineLvl w:val="2"/>
        <w:rPr>
          <w:rFonts w:ascii="Times New Roman" w:hAnsi="Times New Roman" w:eastAsia="黑体" w:cs="Times New Roman"/>
          <w:b/>
          <w:sz w:val="28"/>
          <w:szCs w:val="32"/>
          <w14:ligatures w14:val="none"/>
        </w:rPr>
      </w:pPr>
      <w:bookmarkStart w:id="37" w:name="_Toc457295092"/>
      <w:r>
        <w:rPr>
          <w:rFonts w:ascii="Times New Roman" w:hAnsi="Times New Roman" w:eastAsia="黑体" w:cs="Times New Roman"/>
          <w:b/>
          <w:sz w:val="28"/>
          <w:szCs w:val="32"/>
          <w14:ligatures w14:val="none"/>
        </w:rPr>
        <w:t>1.2.1</w:t>
      </w:r>
      <w:r>
        <w:rPr>
          <w:rFonts w:hint="eastAsia" w:ascii="宋体" w:hAnsi="宋体" w:eastAsia="宋体" w:cs="宋体"/>
          <w:b/>
          <w:sz w:val="28"/>
          <w:szCs w:val="32"/>
          <w14:ligatures w14:val="none"/>
        </w:rPr>
        <w:t>法律</w:t>
      </w:r>
      <w:bookmarkEnd w:id="37"/>
      <w:bookmarkStart w:id="38" w:name="_Toc153443056"/>
      <w:bookmarkStart w:id="39" w:name="_Toc152859488"/>
      <w:bookmarkStart w:id="40" w:name="_Toc153443521"/>
      <w:bookmarkStart w:id="41" w:name="_Toc154566294"/>
      <w:bookmarkStart w:id="42" w:name="_Toc151221629"/>
      <w:bookmarkStart w:id="43" w:name="_Toc153525454"/>
    </w:p>
    <w:bookmarkEnd w:id="38"/>
    <w:bookmarkEnd w:id="39"/>
    <w:bookmarkEnd w:id="40"/>
    <w:bookmarkEnd w:id="41"/>
    <w:bookmarkEnd w:id="42"/>
    <w:bookmarkEnd w:id="43"/>
    <w:p w14:paraId="649717F0">
      <w:pPr>
        <w:pStyle w:val="20"/>
        <w:numPr>
          <w:ilvl w:val="0"/>
          <w:numId w:val="1"/>
        </w:numPr>
        <w:tabs>
          <w:tab w:val="left" w:pos="840"/>
        </w:tabs>
        <w:adjustRightInd w:val="0"/>
        <w:snapToGrid w:val="0"/>
        <w:spacing w:after="0" w:line="360" w:lineRule="auto"/>
        <w:ind w:left="0" w:firstLine="560"/>
        <w:jc w:val="both"/>
        <w:rPr>
          <w:rFonts w:hint="eastAsia" w:ascii="Times New Roman" w:hAnsi="Times New Roman" w:eastAsia="宋体" w:cs="Times New Roman"/>
          <w:sz w:val="28"/>
          <w:szCs w:val="28"/>
          <w14:ligatures w14:val="none"/>
        </w:rPr>
      </w:pPr>
      <w:bookmarkStart w:id="44" w:name="_Toc457295093"/>
      <w:r>
        <w:rPr>
          <w:rFonts w:hint="eastAsia" w:ascii="Times New Roman" w:hAnsi="Times New Roman" w:eastAsia="宋体" w:cs="Times New Roman"/>
          <w:sz w:val="28"/>
          <w:szCs w:val="28"/>
          <w14:ligatures w14:val="none"/>
        </w:rPr>
        <w:t>《中华人民共和国安全生产法》（中华人民共和国主席令[2021]第八十八号，2021年09月01日实施）</w:t>
      </w:r>
    </w:p>
    <w:p w14:paraId="5EAE696D">
      <w:pPr>
        <w:pStyle w:val="20"/>
        <w:numPr>
          <w:ilvl w:val="0"/>
          <w:numId w:val="1"/>
        </w:numPr>
        <w:tabs>
          <w:tab w:val="left" w:pos="840"/>
        </w:tabs>
        <w:adjustRightInd w:val="0"/>
        <w:snapToGrid w:val="0"/>
        <w:spacing w:after="0" w:line="360" w:lineRule="auto"/>
        <w:ind w:left="0" w:firstLine="56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《中华人民共和国消防法》（中华人民共和国主席令[2021]第八十一号，20121年04月29日实施）</w:t>
      </w:r>
    </w:p>
    <w:p w14:paraId="32A2FE79">
      <w:pPr>
        <w:pStyle w:val="20"/>
        <w:numPr>
          <w:ilvl w:val="0"/>
          <w:numId w:val="1"/>
        </w:numPr>
        <w:tabs>
          <w:tab w:val="left" w:pos="840"/>
        </w:tabs>
        <w:adjustRightInd w:val="0"/>
        <w:snapToGrid w:val="0"/>
        <w:spacing w:after="0" w:line="360" w:lineRule="auto"/>
        <w:ind w:left="0" w:firstLine="56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《中华人民共和国职业病防治法》（中华人民共和国主席令[2018]第二十四号，2018年12月29日实施）</w:t>
      </w:r>
    </w:p>
    <w:p w14:paraId="6A607DB6">
      <w:pPr>
        <w:pStyle w:val="20"/>
        <w:numPr>
          <w:ilvl w:val="0"/>
          <w:numId w:val="1"/>
        </w:numPr>
        <w:tabs>
          <w:tab w:val="left" w:pos="840"/>
        </w:tabs>
        <w:adjustRightInd w:val="0"/>
        <w:snapToGrid w:val="0"/>
        <w:spacing w:after="0" w:line="360" w:lineRule="auto"/>
        <w:ind w:left="0" w:firstLine="56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《中华人民共和国气象法》（中华人民共和国主席令[2016]第五十七号，2016年11月07日实施）</w:t>
      </w:r>
    </w:p>
    <w:p w14:paraId="6F4C4971">
      <w:pPr>
        <w:pStyle w:val="20"/>
        <w:numPr>
          <w:ilvl w:val="0"/>
          <w:numId w:val="1"/>
        </w:numPr>
        <w:tabs>
          <w:tab w:val="left" w:pos="840"/>
        </w:tabs>
        <w:adjustRightInd w:val="0"/>
        <w:snapToGrid w:val="0"/>
        <w:spacing w:after="0" w:line="360" w:lineRule="auto"/>
        <w:ind w:left="0" w:firstLine="56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《中华人民共和国突发事件应对法》（中华人民共和国主席令[2024]第二十五号，2024年11月01日实施）</w:t>
      </w:r>
    </w:p>
    <w:p w14:paraId="563B780C">
      <w:pPr>
        <w:pStyle w:val="20"/>
        <w:numPr>
          <w:ilvl w:val="0"/>
          <w:numId w:val="1"/>
        </w:numPr>
        <w:tabs>
          <w:tab w:val="left" w:pos="840"/>
        </w:tabs>
        <w:adjustRightInd w:val="0"/>
        <w:snapToGrid w:val="0"/>
        <w:spacing w:after="0" w:line="360" w:lineRule="auto"/>
        <w:ind w:left="0" w:firstLine="56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《中华人民共和国环境保护法》（中华人民共和国主席令[2014]第九号，2015年01月01日实施）</w:t>
      </w:r>
    </w:p>
    <w:p w14:paraId="68D6DBAE">
      <w:pPr>
        <w:pStyle w:val="20"/>
        <w:numPr>
          <w:ilvl w:val="0"/>
          <w:numId w:val="1"/>
        </w:numPr>
        <w:tabs>
          <w:tab w:val="left" w:pos="840"/>
        </w:tabs>
        <w:adjustRightInd w:val="0"/>
        <w:snapToGrid w:val="0"/>
        <w:spacing w:after="0" w:line="360" w:lineRule="auto"/>
        <w:ind w:left="0" w:firstLine="56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《中华人民共和国水污染防治法》（中华人民共和国主席令[2017]第七十号，2018年01月01日实施）</w:t>
      </w:r>
    </w:p>
    <w:p w14:paraId="5074ABD7">
      <w:pPr>
        <w:pStyle w:val="20"/>
        <w:numPr>
          <w:ilvl w:val="0"/>
          <w:numId w:val="1"/>
        </w:numPr>
        <w:tabs>
          <w:tab w:val="left" w:pos="840"/>
        </w:tabs>
        <w:adjustRightInd w:val="0"/>
        <w:snapToGrid w:val="0"/>
        <w:spacing w:after="0" w:line="360" w:lineRule="auto"/>
        <w:ind w:left="0" w:firstLine="56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《中华人民共和国大气污染防治法》（中华人民共和国主席令[2018]第十六号，2018年10月26日实施）</w:t>
      </w:r>
    </w:p>
    <w:p w14:paraId="5CA8C253">
      <w:pPr>
        <w:pStyle w:val="20"/>
        <w:numPr>
          <w:ilvl w:val="0"/>
          <w:numId w:val="1"/>
        </w:numPr>
        <w:tabs>
          <w:tab w:val="left" w:pos="840"/>
        </w:tabs>
        <w:adjustRightInd w:val="0"/>
        <w:snapToGrid w:val="0"/>
        <w:spacing w:after="0" w:line="360" w:lineRule="auto"/>
        <w:ind w:left="0" w:firstLine="56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《中华人民共和国土壤污染防治法》（中华人民共和国主席令[2018]第八号，2019年01月01日实施）</w:t>
      </w:r>
    </w:p>
    <w:p w14:paraId="06465300">
      <w:pPr>
        <w:pStyle w:val="20"/>
        <w:numPr>
          <w:ilvl w:val="0"/>
          <w:numId w:val="1"/>
        </w:numPr>
        <w:tabs>
          <w:tab w:val="left" w:pos="840"/>
        </w:tabs>
        <w:adjustRightInd w:val="0"/>
        <w:snapToGrid w:val="0"/>
        <w:spacing w:after="0" w:line="360" w:lineRule="auto"/>
        <w:ind w:left="0" w:firstLine="56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《中华人民共和国劳动法（20</w:t>
      </w:r>
      <w:r>
        <w:rPr>
          <w:rFonts w:hint="eastAsia" w:ascii="Times New Roman" w:hAnsi="Times New Roman" w:eastAsia="宋体" w:cs="Times New Roman"/>
          <w:sz w:val="28"/>
          <w:szCs w:val="28"/>
          <w:lang w:val="en-US" w:eastAsia="zh-CN"/>
          <w14:ligatures w14:val="none"/>
        </w:rPr>
        <w:t>18</w:t>
      </w:r>
      <w:r>
        <w:rPr>
          <w:rFonts w:hint="eastAsia" w:ascii="Times New Roman" w:hAnsi="Times New Roman" w:eastAsia="宋体" w:cs="Times New Roman"/>
          <w:sz w:val="28"/>
          <w:szCs w:val="28"/>
          <w14:ligatures w14:val="none"/>
        </w:rPr>
        <w:t>修正</w:t>
      </w:r>
      <w:r>
        <w:rPr>
          <w:rFonts w:hint="eastAsia" w:ascii="Times New Roman" w:hAnsi="Times New Roman" w:eastAsia="宋体" w:cs="Times New Roman"/>
          <w:sz w:val="28"/>
          <w:szCs w:val="28"/>
          <w:lang w:val="en-US" w:eastAsia="zh-CN"/>
          <w14:ligatures w14:val="none"/>
        </w:rPr>
        <w:t>二</w:t>
      </w:r>
      <w:r>
        <w:rPr>
          <w:rFonts w:hint="eastAsia" w:ascii="Times New Roman" w:hAnsi="Times New Roman" w:eastAsia="宋体" w:cs="Times New Roman"/>
          <w:sz w:val="28"/>
          <w:szCs w:val="28"/>
          <w14:ligatures w14:val="none"/>
        </w:rPr>
        <w:t>）》(中华人民共和国主席令[</w:t>
      </w:r>
      <w:r>
        <w:rPr>
          <w:rFonts w:hint="eastAsia" w:ascii="Times New Roman" w:hAnsi="Times New Roman" w:eastAsia="宋体" w:cs="Times New Roman"/>
          <w:sz w:val="28"/>
          <w:szCs w:val="28"/>
          <w:lang w:val="en-US" w:eastAsia="zh-CN"/>
          <w14:ligatures w14:val="none"/>
        </w:rPr>
        <w:t>2018</w:t>
      </w:r>
      <w:r>
        <w:rPr>
          <w:rFonts w:hint="eastAsia" w:ascii="Times New Roman" w:hAnsi="Times New Roman" w:eastAsia="宋体" w:cs="Times New Roman"/>
          <w:sz w:val="28"/>
          <w:szCs w:val="28"/>
          <w14:ligatures w14:val="none"/>
        </w:rPr>
        <w:t>]第</w:t>
      </w:r>
      <w:r>
        <w:rPr>
          <w:rFonts w:hint="eastAsia" w:ascii="Times New Roman" w:hAnsi="Times New Roman" w:eastAsia="宋体" w:cs="Times New Roman"/>
          <w:sz w:val="28"/>
          <w:szCs w:val="28"/>
          <w:lang w:val="en-US" w:eastAsia="zh-CN"/>
          <w14:ligatures w14:val="none"/>
        </w:rPr>
        <w:t>二十四</w:t>
      </w:r>
      <w:r>
        <w:rPr>
          <w:rFonts w:hint="eastAsia" w:ascii="Times New Roman" w:hAnsi="Times New Roman" w:eastAsia="宋体" w:cs="Times New Roman"/>
          <w:sz w:val="28"/>
          <w:szCs w:val="28"/>
          <w14:ligatures w14:val="none"/>
        </w:rPr>
        <w:t>号</w:t>
      </w:r>
      <w:r>
        <w:rPr>
          <w:rFonts w:hint="eastAsia" w:ascii="Times New Roman" w:hAnsi="Times New Roman" w:eastAsia="宋体" w:cs="Times New Roman"/>
          <w:sz w:val="28"/>
          <w:szCs w:val="28"/>
          <w:lang w:eastAsia="zh-CN"/>
          <w14:ligatures w14:val="none"/>
        </w:rPr>
        <w:t>，</w:t>
      </w:r>
      <w:r>
        <w:rPr>
          <w:rFonts w:hint="eastAsia" w:ascii="Times New Roman" w:hAnsi="Times New Roman" w:eastAsia="宋体" w:cs="Times New Roman"/>
          <w:sz w:val="28"/>
          <w:szCs w:val="28"/>
          <w:lang w:val="en-US" w:eastAsia="zh-CN"/>
          <w14:ligatures w14:val="none"/>
        </w:rPr>
        <w:t>2018年12月29日实施</w:t>
      </w:r>
      <w:r>
        <w:rPr>
          <w:rFonts w:hint="eastAsia" w:ascii="Times New Roman" w:hAnsi="Times New Roman" w:eastAsia="宋体" w:cs="Times New Roman"/>
          <w:sz w:val="28"/>
          <w:szCs w:val="28"/>
          <w14:ligatures w14:val="none"/>
        </w:rPr>
        <w:t>)</w:t>
      </w:r>
    </w:p>
    <w:p w14:paraId="2728FDBD">
      <w:pPr>
        <w:tabs>
          <w:tab w:val="left" w:pos="840"/>
          <w:tab w:val="left" w:pos="1260"/>
        </w:tabs>
        <w:adjustRightInd w:val="0"/>
        <w:snapToGrid w:val="0"/>
        <w:spacing w:before="156" w:beforeLines="50" w:after="156" w:afterLines="50" w:line="360" w:lineRule="auto"/>
        <w:ind w:firstLine="562" w:firstLineChars="200"/>
        <w:jc w:val="both"/>
        <w:outlineLvl w:val="2"/>
        <w:rPr>
          <w:rFonts w:ascii="Times New Roman" w:hAnsi="Times New Roman" w:eastAsia="黑体" w:cs="Times New Roman"/>
          <w:b/>
          <w:sz w:val="28"/>
          <w:szCs w:val="32"/>
          <w14:ligatures w14:val="none"/>
        </w:rPr>
      </w:pPr>
      <w:r>
        <w:rPr>
          <w:rFonts w:ascii="Times New Roman" w:hAnsi="Times New Roman" w:eastAsia="黑体" w:cs="Times New Roman"/>
          <w:b/>
          <w:sz w:val="28"/>
          <w:szCs w:val="32"/>
          <w14:ligatures w14:val="none"/>
        </w:rPr>
        <w:t>1.2.2</w:t>
      </w:r>
      <w:r>
        <w:rPr>
          <w:rFonts w:hint="eastAsia" w:ascii="Times New Roman" w:hAnsi="Times New Roman" w:eastAsia="黑体" w:cs="Times New Roman"/>
          <w:b/>
          <w:sz w:val="28"/>
          <w:szCs w:val="32"/>
          <w14:ligatures w14:val="none"/>
        </w:rPr>
        <w:t>法规</w:t>
      </w:r>
      <w:bookmarkEnd w:id="44"/>
    </w:p>
    <w:p w14:paraId="6B7285F8">
      <w:pPr>
        <w:pStyle w:val="20"/>
        <w:numPr>
          <w:ilvl w:val="0"/>
          <w:numId w:val="2"/>
        </w:numPr>
        <w:tabs>
          <w:tab w:val="left" w:pos="840"/>
        </w:tabs>
        <w:adjustRightInd w:val="0"/>
        <w:snapToGrid w:val="0"/>
        <w:spacing w:after="0" w:line="360" w:lineRule="auto"/>
        <w:ind w:left="0" w:firstLine="560"/>
        <w:jc w:val="both"/>
        <w:rPr>
          <w:rFonts w:hint="eastAsia" w:ascii="Times New Roman" w:hAnsi="Times New Roman" w:eastAsia="宋体" w:cs="Times New Roman"/>
          <w:sz w:val="28"/>
          <w:szCs w:val="28"/>
          <w14:ligatures w14:val="none"/>
        </w:rPr>
      </w:pPr>
      <w:bookmarkStart w:id="45" w:name="OLE_LINK4"/>
      <w:bookmarkStart w:id="46" w:name="OLE_LINK3"/>
      <w:bookmarkStart w:id="47" w:name="_Toc457295094"/>
      <w:r>
        <w:rPr>
          <w:rFonts w:hint="eastAsia" w:ascii="Times New Roman" w:hAnsi="Times New Roman" w:eastAsia="宋体" w:cs="Times New Roman"/>
          <w:sz w:val="28"/>
          <w:szCs w:val="28"/>
          <w14:ligatures w14:val="none"/>
        </w:rPr>
        <w:t>《危险化学品安全管理条例》（国务院令第591号，2013年12月7日第645号令修订，2013年12月07日实施）</w:t>
      </w:r>
    </w:p>
    <w:p w14:paraId="182BEEC3">
      <w:pPr>
        <w:pStyle w:val="20"/>
        <w:numPr>
          <w:ilvl w:val="0"/>
          <w:numId w:val="2"/>
        </w:numPr>
        <w:tabs>
          <w:tab w:val="left" w:pos="840"/>
        </w:tabs>
        <w:adjustRightInd w:val="0"/>
        <w:snapToGrid w:val="0"/>
        <w:spacing w:after="0" w:line="360" w:lineRule="auto"/>
        <w:ind w:left="0" w:firstLine="56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《生产安全事故应急条例》（国务院令第708号，2019年04月01日实施）</w:t>
      </w:r>
    </w:p>
    <w:p w14:paraId="5D262221">
      <w:pPr>
        <w:pStyle w:val="20"/>
        <w:numPr>
          <w:ilvl w:val="0"/>
          <w:numId w:val="2"/>
        </w:numPr>
        <w:tabs>
          <w:tab w:val="left" w:pos="840"/>
        </w:tabs>
        <w:adjustRightInd w:val="0"/>
        <w:snapToGrid w:val="0"/>
        <w:spacing w:after="0" w:line="360" w:lineRule="auto"/>
        <w:ind w:left="0" w:firstLine="56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《突发事件应急预案管理办法》（国办发〔2024〕5号，2024年01月31日实施）</w:t>
      </w:r>
    </w:p>
    <w:p w14:paraId="785847E8">
      <w:pPr>
        <w:pStyle w:val="20"/>
        <w:numPr>
          <w:ilvl w:val="0"/>
          <w:numId w:val="2"/>
        </w:numPr>
        <w:tabs>
          <w:tab w:val="left" w:pos="840"/>
        </w:tabs>
        <w:adjustRightInd w:val="0"/>
        <w:snapToGrid w:val="0"/>
        <w:spacing w:after="0" w:line="360" w:lineRule="auto"/>
        <w:ind w:left="0" w:firstLine="56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《生产安全事故报告和调查处理条例》（国务院令第493号，2007年06月01日实施）</w:t>
      </w:r>
    </w:p>
    <w:p w14:paraId="51D68207">
      <w:pPr>
        <w:pStyle w:val="20"/>
        <w:numPr>
          <w:ilvl w:val="0"/>
          <w:numId w:val="2"/>
        </w:numPr>
        <w:tabs>
          <w:tab w:val="left" w:pos="840"/>
        </w:tabs>
        <w:adjustRightInd w:val="0"/>
        <w:snapToGrid w:val="0"/>
        <w:spacing w:after="0" w:line="360" w:lineRule="auto"/>
        <w:ind w:left="0" w:firstLine="56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《工伤保险条例》（国务院令第586号，2011年01月01日实施）</w:t>
      </w:r>
    </w:p>
    <w:p w14:paraId="03A94136">
      <w:pPr>
        <w:pStyle w:val="20"/>
        <w:numPr>
          <w:ilvl w:val="0"/>
          <w:numId w:val="2"/>
        </w:numPr>
        <w:tabs>
          <w:tab w:val="left" w:pos="840"/>
        </w:tabs>
        <w:adjustRightInd w:val="0"/>
        <w:snapToGrid w:val="0"/>
        <w:spacing w:after="0" w:line="360" w:lineRule="auto"/>
        <w:ind w:left="0" w:firstLine="56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《气象灾害防御条例》（国务院令第687号，2017年10月07日实施）</w:t>
      </w:r>
    </w:p>
    <w:p w14:paraId="0C69773C">
      <w:pPr>
        <w:pStyle w:val="20"/>
        <w:numPr>
          <w:ilvl w:val="0"/>
          <w:numId w:val="2"/>
        </w:numPr>
        <w:tabs>
          <w:tab w:val="left" w:pos="840"/>
        </w:tabs>
        <w:adjustRightInd w:val="0"/>
        <w:snapToGrid w:val="0"/>
        <w:spacing w:after="0" w:line="360" w:lineRule="auto"/>
        <w:ind w:left="0" w:firstLine="56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《辽宁省安全生产条例》（辽宁省第十四届人民代表大会常务委员会第十六次会议修订，自2025年05月29日实施）</w:t>
      </w:r>
    </w:p>
    <w:p w14:paraId="28B1A8E2">
      <w:pPr>
        <w:pStyle w:val="20"/>
        <w:numPr>
          <w:ilvl w:val="0"/>
          <w:numId w:val="2"/>
        </w:numPr>
        <w:tabs>
          <w:tab w:val="left" w:pos="840"/>
        </w:tabs>
        <w:adjustRightInd w:val="0"/>
        <w:snapToGrid w:val="0"/>
        <w:spacing w:after="0" w:line="360" w:lineRule="auto"/>
        <w:ind w:left="0" w:firstLine="56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《辽宁省突发事件应对条例》（辽宁省十三届大会常委会第十七次会议修订，自2020年3月30日起实施）</w:t>
      </w:r>
    </w:p>
    <w:p w14:paraId="31536472">
      <w:pPr>
        <w:pStyle w:val="20"/>
        <w:numPr>
          <w:ilvl w:val="0"/>
          <w:numId w:val="2"/>
        </w:numPr>
        <w:tabs>
          <w:tab w:val="left" w:pos="840"/>
        </w:tabs>
        <w:adjustRightInd w:val="0"/>
        <w:snapToGrid w:val="0"/>
        <w:spacing w:after="0" w:line="360" w:lineRule="auto"/>
        <w:ind w:left="0" w:firstLine="56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《辽宁省消防条例（2022年修订）》（辽宁省第十三届人民代表大会常务委员会第二十五次会议修订，自2022年11月9日起</w:t>
      </w:r>
      <w:r>
        <w:rPr>
          <w:rFonts w:hint="eastAsia" w:ascii="Times New Roman" w:hAnsi="Times New Roman" w:eastAsia="宋体" w:cs="Times New Roman"/>
          <w:sz w:val="28"/>
          <w:szCs w:val="28"/>
          <w:lang w:val="en-US" w:eastAsia="zh-CN"/>
          <w14:ligatures w14:val="none"/>
        </w:rPr>
        <w:t>实施</w:t>
      </w:r>
      <w:r>
        <w:rPr>
          <w:rFonts w:hint="eastAsia" w:ascii="Times New Roman" w:hAnsi="Times New Roman" w:eastAsia="宋体" w:cs="Times New Roman"/>
          <w:sz w:val="28"/>
          <w:szCs w:val="28"/>
          <w14:ligatures w14:val="none"/>
        </w:rPr>
        <w:t>）</w:t>
      </w:r>
    </w:p>
    <w:p w14:paraId="70677008">
      <w:pPr>
        <w:pStyle w:val="20"/>
        <w:numPr>
          <w:ilvl w:val="0"/>
          <w:numId w:val="2"/>
        </w:numPr>
        <w:tabs>
          <w:tab w:val="left" w:pos="840"/>
        </w:tabs>
        <w:adjustRightInd w:val="0"/>
        <w:snapToGrid w:val="0"/>
        <w:spacing w:after="0" w:line="360" w:lineRule="auto"/>
        <w:ind w:left="0" w:firstLine="56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《辽宁省防震减灾条例》（辽宁省第十一届人大常委会第二十二次会议审议通过，2011年06月01日</w:t>
      </w:r>
      <w:r>
        <w:rPr>
          <w:rFonts w:hint="eastAsia" w:ascii="Times New Roman" w:hAnsi="Times New Roman" w:eastAsia="宋体" w:cs="Times New Roman"/>
          <w:sz w:val="28"/>
          <w:szCs w:val="28"/>
          <w:lang w:val="en-US" w:eastAsia="zh-CN"/>
          <w14:ligatures w14:val="none"/>
        </w:rPr>
        <w:t>实施</w:t>
      </w:r>
      <w:r>
        <w:rPr>
          <w:rFonts w:hint="eastAsia" w:ascii="Times New Roman" w:hAnsi="Times New Roman" w:eastAsia="宋体" w:cs="Times New Roman"/>
          <w:sz w:val="28"/>
          <w:szCs w:val="28"/>
          <w14:ligatures w14:val="none"/>
        </w:rPr>
        <w:t>）</w:t>
      </w:r>
    </w:p>
    <w:p w14:paraId="51BFCAE2">
      <w:pPr>
        <w:pStyle w:val="20"/>
        <w:numPr>
          <w:ilvl w:val="0"/>
          <w:numId w:val="2"/>
        </w:numPr>
        <w:tabs>
          <w:tab w:val="left" w:pos="840"/>
        </w:tabs>
        <w:adjustRightInd w:val="0"/>
        <w:snapToGrid w:val="0"/>
        <w:spacing w:after="0" w:line="360" w:lineRule="auto"/>
        <w:ind w:left="0" w:firstLine="56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《易制毒化学品管理条例 (2018修正三)》（国务院令第</w:t>
      </w:r>
      <w:r>
        <w:rPr>
          <w:rFonts w:hint="eastAsia" w:ascii="Times New Roman" w:hAnsi="Times New Roman" w:eastAsia="宋体" w:cs="Times New Roman"/>
          <w:sz w:val="28"/>
          <w:szCs w:val="28"/>
          <w:lang w:val="en-US" w:eastAsia="zh-CN"/>
          <w14:ligatures w14:val="none"/>
        </w:rPr>
        <w:t>703</w:t>
      </w:r>
      <w:r>
        <w:rPr>
          <w:rFonts w:hint="eastAsia" w:ascii="Times New Roman" w:hAnsi="Times New Roman" w:eastAsia="宋体" w:cs="Times New Roman"/>
          <w:sz w:val="28"/>
          <w:szCs w:val="28"/>
          <w14:ligatures w14:val="none"/>
        </w:rPr>
        <w:t>号，201</w:t>
      </w:r>
      <w:r>
        <w:rPr>
          <w:rFonts w:hint="eastAsia" w:ascii="Times New Roman" w:hAnsi="Times New Roman" w:eastAsia="宋体" w:cs="Times New Roman"/>
          <w:sz w:val="28"/>
          <w:szCs w:val="28"/>
          <w:lang w:val="en-US" w:eastAsia="zh-CN"/>
          <w14:ligatures w14:val="none"/>
        </w:rPr>
        <w:t>8</w:t>
      </w:r>
      <w:r>
        <w:rPr>
          <w:rFonts w:hint="eastAsia" w:ascii="Times New Roman" w:hAnsi="Times New Roman" w:eastAsia="宋体" w:cs="Times New Roman"/>
          <w:sz w:val="28"/>
          <w:szCs w:val="28"/>
          <w14:ligatures w14:val="none"/>
        </w:rPr>
        <w:t>年0</w:t>
      </w:r>
      <w:r>
        <w:rPr>
          <w:rFonts w:hint="eastAsia" w:ascii="Times New Roman" w:hAnsi="Times New Roman" w:eastAsia="宋体" w:cs="Times New Roman"/>
          <w:sz w:val="28"/>
          <w:szCs w:val="28"/>
          <w:lang w:val="en-US" w:eastAsia="zh-CN"/>
          <w14:ligatures w14:val="none"/>
        </w:rPr>
        <w:t>9</w:t>
      </w:r>
      <w:r>
        <w:rPr>
          <w:rFonts w:hint="eastAsia" w:ascii="Times New Roman" w:hAnsi="Times New Roman" w:eastAsia="宋体" w:cs="Times New Roman"/>
          <w:sz w:val="28"/>
          <w:szCs w:val="28"/>
          <w14:ligatures w14:val="none"/>
        </w:rPr>
        <w:t>月</w:t>
      </w:r>
      <w:r>
        <w:rPr>
          <w:rFonts w:hint="eastAsia" w:ascii="Times New Roman" w:hAnsi="Times New Roman" w:eastAsia="宋体" w:cs="Times New Roman"/>
          <w:sz w:val="28"/>
          <w:szCs w:val="28"/>
          <w:lang w:val="en-US" w:eastAsia="zh-CN"/>
          <w14:ligatures w14:val="none"/>
        </w:rPr>
        <w:t>28</w:t>
      </w:r>
      <w:r>
        <w:rPr>
          <w:rFonts w:hint="eastAsia" w:ascii="Times New Roman" w:hAnsi="Times New Roman" w:eastAsia="宋体" w:cs="Times New Roman"/>
          <w:sz w:val="28"/>
          <w:szCs w:val="28"/>
          <w14:ligatures w14:val="none"/>
        </w:rPr>
        <w:t>日实施</w:t>
      </w:r>
      <w:r>
        <w:rPr>
          <w:rFonts w:hint="eastAsia" w:ascii="Times New Roman" w:hAnsi="Times New Roman" w:eastAsia="宋体" w:cs="Times New Roman"/>
          <w:sz w:val="28"/>
          <w:szCs w:val="28"/>
          <w:lang w:eastAsia="zh-CN"/>
          <w14:ligatures w14:val="none"/>
        </w:rPr>
        <w:t>）</w:t>
      </w:r>
    </w:p>
    <w:p w14:paraId="4B41E176">
      <w:pPr>
        <w:tabs>
          <w:tab w:val="left" w:pos="840"/>
          <w:tab w:val="left" w:pos="1260"/>
        </w:tabs>
        <w:adjustRightInd w:val="0"/>
        <w:snapToGrid w:val="0"/>
        <w:spacing w:before="156" w:beforeLines="50" w:after="156" w:afterLines="50" w:line="360" w:lineRule="auto"/>
        <w:ind w:firstLine="562" w:firstLineChars="200"/>
        <w:jc w:val="both"/>
        <w:outlineLvl w:val="2"/>
        <w:rPr>
          <w:rFonts w:ascii="Times New Roman" w:hAnsi="Times New Roman" w:eastAsia="黑体" w:cs="Times New Roman"/>
          <w:b/>
          <w:sz w:val="28"/>
          <w:szCs w:val="32"/>
          <w14:ligatures w14:val="none"/>
        </w:rPr>
      </w:pPr>
      <w:r>
        <w:rPr>
          <w:rFonts w:ascii="Times New Roman" w:hAnsi="Times New Roman" w:eastAsia="黑体" w:cs="Times New Roman"/>
          <w:b/>
          <w:sz w:val="28"/>
          <w:szCs w:val="32"/>
          <w14:ligatures w14:val="none"/>
        </w:rPr>
        <w:t>1.2.3</w:t>
      </w:r>
      <w:bookmarkEnd w:id="45"/>
      <w:bookmarkEnd w:id="46"/>
      <w:r>
        <w:rPr>
          <w:rFonts w:hint="eastAsia" w:ascii="Times New Roman" w:hAnsi="Times New Roman" w:eastAsia="黑体" w:cs="Times New Roman"/>
          <w:b/>
          <w:sz w:val="28"/>
          <w:szCs w:val="32"/>
          <w14:ligatures w14:val="none"/>
        </w:rPr>
        <w:t>规章</w:t>
      </w:r>
      <w:bookmarkEnd w:id="47"/>
    </w:p>
    <w:p w14:paraId="7E82C917">
      <w:pPr>
        <w:pStyle w:val="20"/>
        <w:numPr>
          <w:ilvl w:val="0"/>
          <w:numId w:val="3"/>
        </w:numPr>
        <w:tabs>
          <w:tab w:val="left" w:pos="840"/>
        </w:tabs>
        <w:adjustRightInd w:val="0"/>
        <w:snapToGrid w:val="0"/>
        <w:spacing w:after="0" w:line="360" w:lineRule="auto"/>
        <w:ind w:left="0" w:firstLine="560"/>
        <w:jc w:val="both"/>
        <w:rPr>
          <w:rFonts w:hint="eastAsia" w:ascii="Times New Roman" w:hAnsi="Times New Roman" w:eastAsia="宋体" w:cs="Times New Roman"/>
          <w:sz w:val="28"/>
          <w:szCs w:val="28"/>
          <w14:ligatures w14:val="none"/>
        </w:rPr>
      </w:pPr>
      <w:bookmarkStart w:id="48" w:name="OLE_LINK9"/>
      <w:bookmarkStart w:id="49" w:name="OLE_LINK10"/>
      <w:bookmarkStart w:id="50" w:name="_Toc457295095"/>
      <w:bookmarkStart w:id="51" w:name="_Toc312653019"/>
      <w:bookmarkStart w:id="52" w:name="_Toc312653184"/>
      <w:bookmarkStart w:id="53" w:name="_Toc312652854"/>
      <w:bookmarkStart w:id="54" w:name="_Toc312652893"/>
      <w:bookmarkStart w:id="55" w:name="_Toc312653267"/>
      <w:bookmarkStart w:id="56" w:name="_Toc312653223"/>
      <w:bookmarkStart w:id="57" w:name="_Toc312653306"/>
      <w:bookmarkStart w:id="58" w:name="_Toc268242646"/>
      <w:bookmarkStart w:id="59" w:name="_Toc312653346"/>
      <w:bookmarkStart w:id="60" w:name="_Toc312653145"/>
      <w:bookmarkStart w:id="61" w:name="_Toc268244142"/>
      <w:bookmarkStart w:id="62" w:name="_Toc312653084"/>
      <w:bookmarkStart w:id="63" w:name="_Toc312652980"/>
      <w:bookmarkStart w:id="64" w:name="_Toc312652933"/>
      <w:r>
        <w:rPr>
          <w:rFonts w:hint="eastAsia" w:ascii="Times New Roman" w:hAnsi="Times New Roman" w:eastAsia="宋体" w:cs="Times New Roman"/>
          <w:sz w:val="28"/>
          <w:szCs w:val="28"/>
          <w14:ligatures w14:val="none"/>
        </w:rPr>
        <w:t>《危险化学品经营许可证管理办法》（国家安全生产监督管理总局第55号，国家安全生产监督管理总局令第79号修正，2015年07月01日实施）</w:t>
      </w:r>
    </w:p>
    <w:p w14:paraId="7B1C9A81">
      <w:pPr>
        <w:pStyle w:val="20"/>
        <w:numPr>
          <w:ilvl w:val="0"/>
          <w:numId w:val="3"/>
        </w:numPr>
        <w:tabs>
          <w:tab w:val="left" w:pos="840"/>
        </w:tabs>
        <w:adjustRightInd w:val="0"/>
        <w:snapToGrid w:val="0"/>
        <w:spacing w:after="0" w:line="360" w:lineRule="auto"/>
        <w:ind w:left="0" w:firstLine="56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《生产安全事故应急预案管理办法》（应急管理部令第2号修正，2019年09月01日实施）</w:t>
      </w:r>
    </w:p>
    <w:p w14:paraId="4A93C6D3">
      <w:pPr>
        <w:pStyle w:val="20"/>
        <w:numPr>
          <w:ilvl w:val="0"/>
          <w:numId w:val="3"/>
        </w:numPr>
        <w:tabs>
          <w:tab w:val="left" w:pos="840"/>
        </w:tabs>
        <w:adjustRightInd w:val="0"/>
        <w:snapToGrid w:val="0"/>
        <w:spacing w:after="0" w:line="360" w:lineRule="auto"/>
        <w:ind w:left="0" w:firstLine="56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《安全生产事故隐患排查治理暂行规定》（国家安全生产监督管理总局令[2007]第16号，2008年02月01日实施）</w:t>
      </w:r>
    </w:p>
    <w:p w14:paraId="39AA4436">
      <w:pPr>
        <w:pStyle w:val="20"/>
        <w:numPr>
          <w:ilvl w:val="0"/>
          <w:numId w:val="3"/>
        </w:numPr>
        <w:tabs>
          <w:tab w:val="left" w:pos="840"/>
        </w:tabs>
        <w:adjustRightInd w:val="0"/>
        <w:snapToGrid w:val="0"/>
        <w:spacing w:after="0" w:line="360" w:lineRule="auto"/>
        <w:ind w:left="0" w:firstLine="560"/>
        <w:jc w:val="both"/>
        <w:rPr>
          <w:rFonts w:hint="eastAsia" w:ascii="Times New Roman" w:hAnsi="Times New Roman" w:eastAsia="宋体" w:cs="Times New Roman"/>
          <w:sz w:val="28"/>
          <w:szCs w:val="28"/>
          <w:highlight w:val="none"/>
          <w14:ligatures w14:val="none"/>
        </w:rPr>
      </w:pPr>
      <w:r>
        <w:rPr>
          <w:rFonts w:hint="eastAsia" w:ascii="Times New Roman" w:hAnsi="Times New Roman" w:eastAsia="宋体" w:cs="Times New Roman"/>
          <w:sz w:val="28"/>
          <w:szCs w:val="28"/>
          <w:highlight w:val="none"/>
          <w14:ligatures w14:val="none"/>
        </w:rPr>
        <w:t>《安全生产培训管理办法》（国家安全生产监督管理总局令第44号，国家安全生产监督管理总局令第80号修正，2015年07月01日实施）</w:t>
      </w:r>
    </w:p>
    <w:p w14:paraId="590B654D">
      <w:pPr>
        <w:pStyle w:val="20"/>
        <w:numPr>
          <w:ilvl w:val="0"/>
          <w:numId w:val="3"/>
        </w:numPr>
        <w:tabs>
          <w:tab w:val="left" w:pos="840"/>
        </w:tabs>
        <w:adjustRightInd w:val="0"/>
        <w:snapToGrid w:val="0"/>
        <w:spacing w:after="0" w:line="360" w:lineRule="auto"/>
        <w:ind w:left="0" w:firstLine="560"/>
        <w:jc w:val="both"/>
        <w:rPr>
          <w:rFonts w:hint="eastAsia" w:ascii="Times New Roman" w:hAnsi="Times New Roman" w:eastAsia="宋体" w:cs="Times New Roman"/>
          <w:sz w:val="28"/>
          <w:szCs w:val="28"/>
          <w:highlight w:val="none"/>
          <w14:ligatures w14:val="none"/>
        </w:rPr>
      </w:pPr>
      <w:r>
        <w:rPr>
          <w:rFonts w:hint="eastAsia" w:ascii="Times New Roman" w:hAnsi="Times New Roman" w:eastAsia="宋体" w:cs="Times New Roman"/>
          <w:sz w:val="28"/>
          <w:szCs w:val="28"/>
          <w:highlight w:val="none"/>
          <w14:ligatures w14:val="none"/>
        </w:rPr>
        <w:t>《生产经营单位安全培训规定》（国家安全生产监督管理总局令第3号，国家安全生产监督管理总局令第80号修正，2015年07月01日实施）</w:t>
      </w:r>
    </w:p>
    <w:p w14:paraId="0AFF8A17">
      <w:pPr>
        <w:pStyle w:val="20"/>
        <w:numPr>
          <w:ilvl w:val="0"/>
          <w:numId w:val="3"/>
        </w:numPr>
        <w:tabs>
          <w:tab w:val="left" w:pos="840"/>
        </w:tabs>
        <w:adjustRightInd w:val="0"/>
        <w:snapToGrid w:val="0"/>
        <w:spacing w:after="0" w:line="360" w:lineRule="auto"/>
        <w:ind w:left="0" w:firstLine="560"/>
        <w:jc w:val="both"/>
        <w:rPr>
          <w:rFonts w:hint="eastAsia" w:ascii="Times New Roman" w:hAnsi="Times New Roman" w:eastAsia="宋体" w:cs="Times New Roman"/>
          <w:sz w:val="28"/>
          <w:szCs w:val="28"/>
          <w:highlight w:val="none"/>
          <w14:ligatures w14:val="none"/>
        </w:rPr>
      </w:pPr>
      <w:r>
        <w:rPr>
          <w:rFonts w:hint="eastAsia" w:ascii="Times New Roman" w:hAnsi="Times New Roman" w:eastAsia="宋体" w:cs="Times New Roman"/>
          <w:sz w:val="28"/>
          <w:szCs w:val="28"/>
          <w:highlight w:val="none"/>
          <w14:ligatures w14:val="none"/>
        </w:rPr>
        <w:t>《特种作业人员安全技术培训考核管理规定》（国家安全生产监督管理总局令第30号，国家安全生产监督管理总局令第80号修正，2015年07月01日实施）</w:t>
      </w:r>
    </w:p>
    <w:p w14:paraId="468F98EA">
      <w:pPr>
        <w:pStyle w:val="20"/>
        <w:numPr>
          <w:ilvl w:val="0"/>
          <w:numId w:val="3"/>
        </w:numPr>
        <w:tabs>
          <w:tab w:val="left" w:pos="840"/>
        </w:tabs>
        <w:adjustRightInd w:val="0"/>
        <w:snapToGrid w:val="0"/>
        <w:spacing w:after="0" w:line="360" w:lineRule="auto"/>
        <w:ind w:left="0" w:firstLine="560"/>
        <w:jc w:val="both"/>
        <w:rPr>
          <w:rFonts w:hint="eastAsia" w:ascii="Times New Roman" w:hAnsi="Times New Roman" w:eastAsia="宋体" w:cs="Times New Roman"/>
          <w:sz w:val="28"/>
          <w:szCs w:val="28"/>
          <w:highlight w:val="none"/>
          <w14:ligatures w14:val="none"/>
        </w:rPr>
      </w:pPr>
      <w:r>
        <w:rPr>
          <w:rFonts w:hint="eastAsia" w:ascii="Times New Roman" w:hAnsi="Times New Roman" w:eastAsia="宋体" w:cs="Times New Roman"/>
          <w:sz w:val="28"/>
          <w:szCs w:val="28"/>
          <w:highlight w:val="none"/>
          <w14:ligatures w14:val="none"/>
        </w:rPr>
        <w:t>《特种设备作业人员监督管理办法（2011修订）》（国家质量监督检验检疫总局令第140号，2011年07月01日实施）</w:t>
      </w:r>
    </w:p>
    <w:p w14:paraId="7ADF5692">
      <w:pPr>
        <w:pStyle w:val="20"/>
        <w:numPr>
          <w:ilvl w:val="0"/>
          <w:numId w:val="3"/>
        </w:numPr>
        <w:tabs>
          <w:tab w:val="left" w:pos="840"/>
        </w:tabs>
        <w:adjustRightInd w:val="0"/>
        <w:snapToGrid w:val="0"/>
        <w:spacing w:after="0" w:line="360" w:lineRule="auto"/>
        <w:ind w:left="0" w:firstLine="56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highlight w:val="none"/>
          <w14:ligatures w14:val="none"/>
        </w:rPr>
        <w:t>《产业结构调整指导目录（2024年本）》（国家发展和</w:t>
      </w:r>
      <w:r>
        <w:rPr>
          <w:rFonts w:hint="eastAsia" w:ascii="Times New Roman" w:hAnsi="Times New Roman" w:eastAsia="宋体" w:cs="Times New Roman"/>
          <w:sz w:val="28"/>
          <w:szCs w:val="28"/>
          <w14:ligatures w14:val="none"/>
        </w:rPr>
        <w:t>改革委员会令[2023]第7号，2024年02月01日实施）</w:t>
      </w:r>
    </w:p>
    <w:p w14:paraId="020EEC37">
      <w:pPr>
        <w:pStyle w:val="20"/>
        <w:numPr>
          <w:ilvl w:val="0"/>
          <w:numId w:val="3"/>
        </w:numPr>
        <w:tabs>
          <w:tab w:val="left" w:pos="840"/>
        </w:tabs>
        <w:adjustRightInd w:val="0"/>
        <w:snapToGrid w:val="0"/>
        <w:spacing w:after="0" w:line="360" w:lineRule="auto"/>
        <w:ind w:left="0" w:firstLine="56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《机关、团体、企业、事业单位消防安全管理规定》（公安部令第61号，2002年05月01日施行）</w:t>
      </w:r>
    </w:p>
    <w:p w14:paraId="122E07C5">
      <w:pPr>
        <w:pStyle w:val="20"/>
        <w:numPr>
          <w:ilvl w:val="0"/>
          <w:numId w:val="3"/>
        </w:numPr>
        <w:tabs>
          <w:tab w:val="left" w:pos="840"/>
        </w:tabs>
        <w:adjustRightInd w:val="0"/>
        <w:snapToGrid w:val="0"/>
        <w:spacing w:after="0" w:line="360" w:lineRule="auto"/>
        <w:ind w:left="0" w:firstLine="56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《防雷减灾管理办法》（中国气象局令[202</w:t>
      </w:r>
      <w:r>
        <w:rPr>
          <w:rFonts w:hint="eastAsia" w:ascii="Times New Roman" w:hAnsi="Times New Roman" w:eastAsia="宋体" w:cs="Times New Roman"/>
          <w:sz w:val="28"/>
          <w:szCs w:val="28"/>
          <w:lang w:val="en-US" w:eastAsia="zh-CN"/>
          <w14:ligatures w14:val="none"/>
        </w:rPr>
        <w:t>5</w:t>
      </w:r>
      <w:r>
        <w:rPr>
          <w:rFonts w:hint="eastAsia" w:ascii="Times New Roman" w:hAnsi="Times New Roman" w:eastAsia="宋体" w:cs="Times New Roman"/>
          <w:sz w:val="28"/>
          <w:szCs w:val="28"/>
          <w14:ligatures w14:val="none"/>
        </w:rPr>
        <w:t>]第</w:t>
      </w:r>
      <w:r>
        <w:rPr>
          <w:rFonts w:hint="eastAsia" w:ascii="Times New Roman" w:hAnsi="Times New Roman" w:eastAsia="宋体" w:cs="Times New Roman"/>
          <w:sz w:val="28"/>
          <w:szCs w:val="28"/>
          <w:lang w:val="en-US" w:eastAsia="zh-CN"/>
          <w14:ligatures w14:val="none"/>
        </w:rPr>
        <w:t>44</w:t>
      </w:r>
      <w:r>
        <w:rPr>
          <w:rFonts w:hint="eastAsia" w:ascii="Times New Roman" w:hAnsi="Times New Roman" w:eastAsia="宋体" w:cs="Times New Roman"/>
          <w:sz w:val="28"/>
          <w:szCs w:val="28"/>
          <w14:ligatures w14:val="none"/>
        </w:rPr>
        <w:t>号，20</w:t>
      </w:r>
      <w:r>
        <w:rPr>
          <w:rFonts w:hint="eastAsia" w:ascii="Times New Roman" w:hAnsi="Times New Roman" w:eastAsia="宋体" w:cs="Times New Roman"/>
          <w:sz w:val="28"/>
          <w:szCs w:val="28"/>
          <w:lang w:val="en-US" w:eastAsia="zh-CN"/>
          <w14:ligatures w14:val="none"/>
        </w:rPr>
        <w:t>25</w:t>
      </w:r>
      <w:r>
        <w:rPr>
          <w:rFonts w:hint="eastAsia" w:ascii="Times New Roman" w:hAnsi="Times New Roman" w:eastAsia="宋体" w:cs="Times New Roman"/>
          <w:sz w:val="28"/>
          <w:szCs w:val="28"/>
          <w14:ligatures w14:val="none"/>
        </w:rPr>
        <w:t>年06月01日实施）</w:t>
      </w:r>
    </w:p>
    <w:p w14:paraId="33C4B632">
      <w:pPr>
        <w:pStyle w:val="20"/>
        <w:numPr>
          <w:ilvl w:val="0"/>
          <w:numId w:val="3"/>
        </w:numPr>
        <w:tabs>
          <w:tab w:val="left" w:pos="840"/>
        </w:tabs>
        <w:adjustRightInd w:val="0"/>
        <w:snapToGrid w:val="0"/>
        <w:spacing w:after="0" w:line="360" w:lineRule="auto"/>
        <w:ind w:left="0" w:firstLine="56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《辽宁省雷电灾害防御管理规定（2018年修正）》（辽宁省人民政府令[2018]324号，2018年12月4日起施行）</w:t>
      </w:r>
    </w:p>
    <w:p w14:paraId="0AA8C116">
      <w:pPr>
        <w:pStyle w:val="20"/>
        <w:numPr>
          <w:ilvl w:val="0"/>
          <w:numId w:val="3"/>
        </w:numPr>
        <w:tabs>
          <w:tab w:val="left" w:pos="840"/>
        </w:tabs>
        <w:adjustRightInd w:val="0"/>
        <w:snapToGrid w:val="0"/>
        <w:spacing w:after="0" w:line="360" w:lineRule="auto"/>
        <w:ind w:left="0" w:firstLine="56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《辽宁省企业安全生产主体责任规定（2021修改）》（辽宁省人民政府令[2021]第341号，自2021年05月18日起施行）</w:t>
      </w:r>
    </w:p>
    <w:p w14:paraId="781BB18C">
      <w:pPr>
        <w:pStyle w:val="20"/>
        <w:numPr>
          <w:ilvl w:val="0"/>
          <w:numId w:val="3"/>
        </w:numPr>
        <w:tabs>
          <w:tab w:val="left" w:pos="840"/>
        </w:tabs>
        <w:adjustRightInd w:val="0"/>
        <w:snapToGrid w:val="0"/>
        <w:spacing w:after="0" w:line="360" w:lineRule="auto"/>
        <w:ind w:left="0" w:firstLine="56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《辽宁省工伤保险实施办法》（辽宁省人民政府令第316号，2018年2月1日施行）</w:t>
      </w:r>
    </w:p>
    <w:p w14:paraId="50321EA9">
      <w:pPr>
        <w:pStyle w:val="20"/>
        <w:numPr>
          <w:ilvl w:val="0"/>
          <w:numId w:val="3"/>
        </w:numPr>
        <w:tabs>
          <w:tab w:val="left" w:pos="840"/>
        </w:tabs>
        <w:adjustRightInd w:val="0"/>
        <w:snapToGrid w:val="0"/>
        <w:spacing w:after="0" w:line="360" w:lineRule="auto"/>
        <w:ind w:left="0" w:firstLine="56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《工作场所职业卫生管理规定》（国家卫生健康委员会令[2020]第5号，2021年02月01日施行）。</w:t>
      </w:r>
    </w:p>
    <w:p w14:paraId="597736AD">
      <w:pPr>
        <w:tabs>
          <w:tab w:val="left" w:pos="840"/>
          <w:tab w:val="left" w:pos="1260"/>
        </w:tabs>
        <w:adjustRightInd w:val="0"/>
        <w:snapToGrid w:val="0"/>
        <w:spacing w:before="156" w:beforeLines="50" w:after="156" w:afterLines="50" w:line="360" w:lineRule="auto"/>
        <w:ind w:firstLine="562" w:firstLineChars="200"/>
        <w:jc w:val="both"/>
        <w:outlineLvl w:val="2"/>
        <w:rPr>
          <w:rFonts w:hint="eastAsia" w:ascii="Times New Roman" w:hAnsi="Times New Roman" w:eastAsia="黑体" w:cs="Times New Roman"/>
          <w:b/>
          <w:sz w:val="28"/>
          <w:szCs w:val="32"/>
          <w14:ligatures w14:val="none"/>
        </w:rPr>
      </w:pPr>
      <w:r>
        <w:rPr>
          <w:rFonts w:ascii="Times New Roman" w:hAnsi="Times New Roman" w:eastAsia="黑体" w:cs="Times New Roman"/>
          <w:b/>
          <w:sz w:val="28"/>
          <w:szCs w:val="32"/>
          <w14:ligatures w14:val="none"/>
        </w:rPr>
        <w:t>1.2.4</w:t>
      </w:r>
      <w:bookmarkEnd w:id="48"/>
      <w:bookmarkEnd w:id="49"/>
      <w:r>
        <w:rPr>
          <w:rFonts w:hint="eastAsia" w:ascii="Times New Roman" w:hAnsi="Times New Roman" w:eastAsia="黑体" w:cs="Times New Roman"/>
          <w:b/>
          <w:sz w:val="28"/>
          <w:szCs w:val="32"/>
          <w14:ligatures w14:val="none"/>
        </w:rPr>
        <w:t>规范性文件</w:t>
      </w:r>
      <w:bookmarkEnd w:id="50"/>
    </w:p>
    <w:p w14:paraId="2AC9CD88">
      <w:pPr>
        <w:pStyle w:val="20"/>
        <w:keepNext w:val="0"/>
        <w:keepLines w:val="0"/>
        <w:pageBreakBefore w:val="0"/>
        <w:widowControl w:val="0"/>
        <w:numPr>
          <w:ilvl w:val="0"/>
          <w:numId w:val="4"/>
        </w:numPr>
        <w:tabs>
          <w:tab w:val="left" w:pos="840"/>
        </w:tabs>
        <w:kinsoku/>
        <w:wordWrap/>
        <w:overflowPunct/>
        <w:topLinePunct w:val="0"/>
        <w:autoSpaceDE/>
        <w:autoSpaceDN/>
        <w:bidi w:val="0"/>
        <w:adjustRightInd w:val="0"/>
        <w:snapToGrid w:val="0"/>
        <w:spacing w:after="0" w:line="360" w:lineRule="auto"/>
        <w:ind w:left="0" w:firstLine="56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《国务院关于进一步加强安全生产工作的决定》（国发[2004]2号，2004年1月9日施行）</w:t>
      </w:r>
    </w:p>
    <w:p w14:paraId="523FB932">
      <w:pPr>
        <w:pStyle w:val="20"/>
        <w:keepNext w:val="0"/>
        <w:keepLines w:val="0"/>
        <w:pageBreakBefore w:val="0"/>
        <w:widowControl w:val="0"/>
        <w:numPr>
          <w:ilvl w:val="0"/>
          <w:numId w:val="4"/>
        </w:numPr>
        <w:tabs>
          <w:tab w:val="left" w:pos="840"/>
        </w:tabs>
        <w:kinsoku/>
        <w:wordWrap/>
        <w:overflowPunct/>
        <w:topLinePunct w:val="0"/>
        <w:autoSpaceDE/>
        <w:autoSpaceDN/>
        <w:bidi w:val="0"/>
        <w:adjustRightInd w:val="0"/>
        <w:snapToGrid w:val="0"/>
        <w:spacing w:after="0" w:line="360" w:lineRule="auto"/>
        <w:ind w:left="0" w:firstLine="56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《国务院关于进一步加强企业安全生产工作的通知》（国发[2010]第23号，2010年7月19日施行）</w:t>
      </w:r>
    </w:p>
    <w:p w14:paraId="62A8D21C">
      <w:pPr>
        <w:pStyle w:val="20"/>
        <w:keepNext w:val="0"/>
        <w:keepLines w:val="0"/>
        <w:pageBreakBefore w:val="0"/>
        <w:widowControl w:val="0"/>
        <w:numPr>
          <w:ilvl w:val="0"/>
          <w:numId w:val="4"/>
        </w:numPr>
        <w:tabs>
          <w:tab w:val="left" w:pos="840"/>
        </w:tabs>
        <w:kinsoku/>
        <w:wordWrap/>
        <w:overflowPunct/>
        <w:topLinePunct w:val="0"/>
        <w:autoSpaceDE/>
        <w:autoSpaceDN/>
        <w:bidi w:val="0"/>
        <w:adjustRightInd w:val="0"/>
        <w:snapToGrid w:val="0"/>
        <w:spacing w:after="0" w:line="360" w:lineRule="auto"/>
        <w:ind w:left="0" w:firstLine="56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《国务院关于全面加强应急管理工作的意见》（国发[2006]24号，2006年6月15日施行）</w:t>
      </w:r>
    </w:p>
    <w:p w14:paraId="01916167">
      <w:pPr>
        <w:pStyle w:val="20"/>
        <w:keepNext w:val="0"/>
        <w:keepLines w:val="0"/>
        <w:pageBreakBefore w:val="0"/>
        <w:widowControl w:val="0"/>
        <w:numPr>
          <w:ilvl w:val="0"/>
          <w:numId w:val="4"/>
        </w:numPr>
        <w:tabs>
          <w:tab w:val="left" w:pos="840"/>
        </w:tabs>
        <w:kinsoku/>
        <w:wordWrap/>
        <w:overflowPunct/>
        <w:topLinePunct w:val="0"/>
        <w:autoSpaceDE/>
        <w:autoSpaceDN/>
        <w:bidi w:val="0"/>
        <w:adjustRightInd w:val="0"/>
        <w:snapToGrid w:val="0"/>
        <w:spacing w:after="0" w:line="360" w:lineRule="auto"/>
        <w:ind w:left="0" w:firstLine="56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《国务院安全生产委员会关于印发&lt;全国危险化学品安全风险集中治理方案&gt;的通知》（安委[2021]12号，2021年12月31日实施）</w:t>
      </w:r>
    </w:p>
    <w:p w14:paraId="41526F1B">
      <w:pPr>
        <w:pStyle w:val="20"/>
        <w:keepNext w:val="0"/>
        <w:keepLines w:val="0"/>
        <w:pageBreakBefore w:val="0"/>
        <w:widowControl w:val="0"/>
        <w:numPr>
          <w:ilvl w:val="0"/>
          <w:numId w:val="4"/>
        </w:numPr>
        <w:tabs>
          <w:tab w:val="left" w:pos="840"/>
        </w:tabs>
        <w:kinsoku/>
        <w:wordWrap/>
        <w:overflowPunct/>
        <w:topLinePunct w:val="0"/>
        <w:autoSpaceDE/>
        <w:autoSpaceDN/>
        <w:bidi w:val="0"/>
        <w:adjustRightInd w:val="0"/>
        <w:snapToGrid w:val="0"/>
        <w:spacing w:after="0" w:line="360" w:lineRule="auto"/>
        <w:ind w:left="0" w:firstLine="56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《国务院安全生产委员会印发&lt;关于进一步强化安全生产责任落实坚决防范遏制重特大事故的若干措施&gt;的通知》（安委[2022]6号，2022年04月02日实施）</w:t>
      </w:r>
    </w:p>
    <w:p w14:paraId="127D2B9D">
      <w:pPr>
        <w:pStyle w:val="20"/>
        <w:keepNext w:val="0"/>
        <w:keepLines w:val="0"/>
        <w:pageBreakBefore w:val="0"/>
        <w:widowControl w:val="0"/>
        <w:numPr>
          <w:ilvl w:val="0"/>
          <w:numId w:val="4"/>
        </w:numPr>
        <w:tabs>
          <w:tab w:val="left" w:pos="840"/>
        </w:tabs>
        <w:kinsoku/>
        <w:wordWrap/>
        <w:overflowPunct/>
        <w:topLinePunct w:val="0"/>
        <w:autoSpaceDE/>
        <w:autoSpaceDN/>
        <w:bidi w:val="0"/>
        <w:adjustRightInd w:val="0"/>
        <w:snapToGrid w:val="0"/>
        <w:spacing w:after="0" w:line="360" w:lineRule="auto"/>
        <w:ind w:left="0" w:firstLine="56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《国家安全生产监督管理总局、国家发展改革委员会、工业和信息化部、住房和城乡建设部关于开展提升危险化学品领域本质安全水平专项行动的通知》（安监总管三〔2012〕87号，2012年06月29日实施）</w:t>
      </w:r>
    </w:p>
    <w:p w14:paraId="0963E50B">
      <w:pPr>
        <w:pStyle w:val="20"/>
        <w:keepNext w:val="0"/>
        <w:keepLines w:val="0"/>
        <w:pageBreakBefore w:val="0"/>
        <w:widowControl w:val="0"/>
        <w:numPr>
          <w:ilvl w:val="0"/>
          <w:numId w:val="4"/>
        </w:numPr>
        <w:tabs>
          <w:tab w:val="left" w:pos="840"/>
        </w:tabs>
        <w:kinsoku/>
        <w:wordWrap/>
        <w:overflowPunct/>
        <w:topLinePunct w:val="0"/>
        <w:autoSpaceDE/>
        <w:autoSpaceDN/>
        <w:bidi w:val="0"/>
        <w:adjustRightInd w:val="0"/>
        <w:snapToGrid w:val="0"/>
        <w:spacing w:after="0" w:line="360" w:lineRule="auto"/>
        <w:ind w:left="0" w:firstLine="56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《危险化学品安全专项整治三年行动实施方案》（国家安委〔2020〕3号，2020年04月01日实施）</w:t>
      </w:r>
    </w:p>
    <w:p w14:paraId="58568C6B">
      <w:pPr>
        <w:pStyle w:val="20"/>
        <w:keepNext w:val="0"/>
        <w:keepLines w:val="0"/>
        <w:pageBreakBefore w:val="0"/>
        <w:widowControl w:val="0"/>
        <w:numPr>
          <w:ilvl w:val="0"/>
          <w:numId w:val="4"/>
        </w:numPr>
        <w:tabs>
          <w:tab w:val="left" w:pos="840"/>
        </w:tabs>
        <w:kinsoku/>
        <w:wordWrap/>
        <w:overflowPunct/>
        <w:topLinePunct w:val="0"/>
        <w:autoSpaceDE/>
        <w:autoSpaceDN/>
        <w:bidi w:val="0"/>
        <w:adjustRightInd w:val="0"/>
        <w:snapToGrid w:val="0"/>
        <w:spacing w:after="0" w:line="360" w:lineRule="auto"/>
        <w:ind w:left="0" w:firstLine="56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《应急管理部办公厅关于印发&lt;危险化学品企业生产安全事故应急准备指南&gt;的通知》（应急厅〔2019〕62号，2019年12月31日施行）</w:t>
      </w:r>
    </w:p>
    <w:p w14:paraId="0B55D245">
      <w:pPr>
        <w:pStyle w:val="20"/>
        <w:keepNext w:val="0"/>
        <w:keepLines w:val="0"/>
        <w:pageBreakBefore w:val="0"/>
        <w:widowControl w:val="0"/>
        <w:numPr>
          <w:ilvl w:val="0"/>
          <w:numId w:val="4"/>
        </w:numPr>
        <w:tabs>
          <w:tab w:val="left" w:pos="840"/>
        </w:tabs>
        <w:kinsoku/>
        <w:wordWrap/>
        <w:overflowPunct/>
        <w:topLinePunct w:val="0"/>
        <w:autoSpaceDE/>
        <w:autoSpaceDN/>
        <w:bidi w:val="0"/>
        <w:adjustRightInd w:val="0"/>
        <w:snapToGrid w:val="0"/>
        <w:spacing w:after="0" w:line="360" w:lineRule="auto"/>
        <w:ind w:left="0" w:firstLine="56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《关于全面加强危险化学品安全生产工作的意见》（中共中央办公厅 国务院办公厅[2020]3号，2020年02月26日施行）</w:t>
      </w:r>
    </w:p>
    <w:p w14:paraId="33621851">
      <w:pPr>
        <w:pStyle w:val="20"/>
        <w:keepNext w:val="0"/>
        <w:keepLines w:val="0"/>
        <w:pageBreakBefore w:val="0"/>
        <w:widowControl w:val="0"/>
        <w:numPr>
          <w:ilvl w:val="0"/>
          <w:numId w:val="4"/>
        </w:numPr>
        <w:tabs>
          <w:tab w:val="left" w:pos="840"/>
        </w:tabs>
        <w:kinsoku/>
        <w:wordWrap/>
        <w:overflowPunct/>
        <w:topLinePunct w:val="0"/>
        <w:autoSpaceDE/>
        <w:autoSpaceDN/>
        <w:bidi w:val="0"/>
        <w:adjustRightInd w:val="0"/>
        <w:snapToGrid w:val="0"/>
        <w:spacing w:after="0" w:line="360" w:lineRule="auto"/>
        <w:ind w:left="0" w:firstLine="56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《应急管理部关于印发〈化工园区安全风险排查治理导则（试行）〉和〈危险化学品企业安全风险隐患排查治理导则〉的通知》（应急〔2019〕78号，2019年8月12日实施）</w:t>
      </w:r>
    </w:p>
    <w:p w14:paraId="4F879D3C">
      <w:pPr>
        <w:pStyle w:val="20"/>
        <w:keepNext w:val="0"/>
        <w:keepLines w:val="0"/>
        <w:pageBreakBefore w:val="0"/>
        <w:widowControl w:val="0"/>
        <w:numPr>
          <w:ilvl w:val="0"/>
          <w:numId w:val="4"/>
        </w:numPr>
        <w:tabs>
          <w:tab w:val="left" w:pos="840"/>
        </w:tabs>
        <w:kinsoku/>
        <w:wordWrap/>
        <w:overflowPunct/>
        <w:topLinePunct w:val="0"/>
        <w:autoSpaceDE/>
        <w:autoSpaceDN/>
        <w:bidi w:val="0"/>
        <w:adjustRightInd w:val="0"/>
        <w:snapToGrid w:val="0"/>
        <w:spacing w:after="0" w:line="360" w:lineRule="auto"/>
        <w:ind w:left="0" w:firstLine="56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《应急管理部关于全面实施危险化学品企业安全风险研判与承诺公告制度的通知》（应急〔2018〕74号，2018年09月04日实施）</w:t>
      </w:r>
    </w:p>
    <w:p w14:paraId="20A7EA3B">
      <w:pPr>
        <w:pStyle w:val="20"/>
        <w:keepNext w:val="0"/>
        <w:keepLines w:val="0"/>
        <w:pageBreakBefore w:val="0"/>
        <w:widowControl w:val="0"/>
        <w:numPr>
          <w:ilvl w:val="0"/>
          <w:numId w:val="4"/>
        </w:numPr>
        <w:tabs>
          <w:tab w:val="left" w:pos="840"/>
        </w:tabs>
        <w:kinsoku/>
        <w:wordWrap/>
        <w:overflowPunct/>
        <w:topLinePunct w:val="0"/>
        <w:autoSpaceDE/>
        <w:autoSpaceDN/>
        <w:bidi w:val="0"/>
        <w:adjustRightInd w:val="0"/>
        <w:snapToGrid w:val="0"/>
        <w:spacing w:after="0" w:line="360" w:lineRule="auto"/>
        <w:ind w:left="0" w:firstLine="56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《应急管理部关于印发危险化学品企业安全分类整治目录（2020年）的通知》（应急〔2020〕84号，2020年10月31日实施）</w:t>
      </w:r>
    </w:p>
    <w:p w14:paraId="64D18E55">
      <w:pPr>
        <w:pStyle w:val="20"/>
        <w:keepNext w:val="0"/>
        <w:keepLines w:val="0"/>
        <w:pageBreakBefore w:val="0"/>
        <w:widowControl w:val="0"/>
        <w:numPr>
          <w:ilvl w:val="0"/>
          <w:numId w:val="4"/>
        </w:numPr>
        <w:tabs>
          <w:tab w:val="left" w:pos="840"/>
        </w:tabs>
        <w:kinsoku/>
        <w:wordWrap/>
        <w:overflowPunct/>
        <w:topLinePunct w:val="0"/>
        <w:autoSpaceDE/>
        <w:autoSpaceDN/>
        <w:bidi w:val="0"/>
        <w:adjustRightInd w:val="0"/>
        <w:snapToGrid w:val="0"/>
        <w:spacing w:after="0" w:line="360" w:lineRule="auto"/>
        <w:ind w:left="0" w:firstLine="56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《危险化学品目录（2015版）》（国家安全生产监督管理总局等十部门公告2015年第5号，2015年02月27日实施）</w:t>
      </w:r>
    </w:p>
    <w:p w14:paraId="564E35DC">
      <w:pPr>
        <w:pStyle w:val="20"/>
        <w:keepNext w:val="0"/>
        <w:keepLines w:val="0"/>
        <w:pageBreakBefore w:val="0"/>
        <w:widowControl w:val="0"/>
        <w:numPr>
          <w:ilvl w:val="0"/>
          <w:numId w:val="4"/>
        </w:numPr>
        <w:tabs>
          <w:tab w:val="left" w:pos="840"/>
        </w:tabs>
        <w:kinsoku/>
        <w:wordWrap/>
        <w:overflowPunct/>
        <w:topLinePunct w:val="0"/>
        <w:autoSpaceDE/>
        <w:autoSpaceDN/>
        <w:bidi w:val="0"/>
        <w:adjustRightInd w:val="0"/>
        <w:snapToGrid w:val="0"/>
        <w:spacing w:after="0" w:line="360" w:lineRule="auto"/>
        <w:ind w:left="0" w:firstLine="56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《国家安全监管总局办公厅关于印发危险化学品目录（2015版）实施指南（试行）的通知》（安监总厅管三[2015]80号，2015年8月19日发布）</w:t>
      </w:r>
    </w:p>
    <w:p w14:paraId="117510BE">
      <w:pPr>
        <w:pStyle w:val="20"/>
        <w:keepNext w:val="0"/>
        <w:keepLines w:val="0"/>
        <w:pageBreakBefore w:val="0"/>
        <w:widowControl w:val="0"/>
        <w:numPr>
          <w:ilvl w:val="0"/>
          <w:numId w:val="4"/>
        </w:numPr>
        <w:tabs>
          <w:tab w:val="left" w:pos="840"/>
        </w:tabs>
        <w:kinsoku/>
        <w:wordWrap/>
        <w:overflowPunct/>
        <w:topLinePunct w:val="0"/>
        <w:autoSpaceDE/>
        <w:autoSpaceDN/>
        <w:bidi w:val="0"/>
        <w:adjustRightInd w:val="0"/>
        <w:snapToGrid w:val="0"/>
        <w:spacing w:after="0" w:line="360" w:lineRule="auto"/>
        <w:ind w:left="0" w:firstLine="56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《关于调整危险化学品目录（2015版）的公告》（应急管理部等十部门公告2022年第8号，2023年01月01日实施）</w:t>
      </w:r>
    </w:p>
    <w:p w14:paraId="530FF801">
      <w:pPr>
        <w:pStyle w:val="20"/>
        <w:keepNext w:val="0"/>
        <w:keepLines w:val="0"/>
        <w:pageBreakBefore w:val="0"/>
        <w:widowControl w:val="0"/>
        <w:numPr>
          <w:ilvl w:val="0"/>
          <w:numId w:val="4"/>
        </w:numPr>
        <w:tabs>
          <w:tab w:val="left" w:pos="840"/>
        </w:tabs>
        <w:kinsoku/>
        <w:wordWrap/>
        <w:overflowPunct/>
        <w:topLinePunct w:val="0"/>
        <w:autoSpaceDE/>
        <w:autoSpaceDN/>
        <w:bidi w:val="0"/>
        <w:adjustRightInd w:val="0"/>
        <w:snapToGrid w:val="0"/>
        <w:spacing w:after="0" w:line="360" w:lineRule="auto"/>
        <w:ind w:left="0" w:firstLine="56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《应急管理部办公厅关于修改&lt;危险化学品名录（2015版）实施指南&gt;（试行）涉及柴油部分内容的通知》（应急厅〔2022〕300号，2023年1月1日实施）</w:t>
      </w:r>
    </w:p>
    <w:p w14:paraId="26AA13EF">
      <w:pPr>
        <w:pStyle w:val="20"/>
        <w:keepNext w:val="0"/>
        <w:keepLines w:val="0"/>
        <w:pageBreakBefore w:val="0"/>
        <w:widowControl w:val="0"/>
        <w:numPr>
          <w:ilvl w:val="0"/>
          <w:numId w:val="4"/>
        </w:numPr>
        <w:tabs>
          <w:tab w:val="left" w:pos="840"/>
        </w:tabs>
        <w:kinsoku/>
        <w:wordWrap/>
        <w:overflowPunct/>
        <w:topLinePunct w:val="0"/>
        <w:autoSpaceDE/>
        <w:autoSpaceDN/>
        <w:bidi w:val="0"/>
        <w:adjustRightInd w:val="0"/>
        <w:snapToGrid w:val="0"/>
        <w:spacing w:after="0" w:line="360" w:lineRule="auto"/>
        <w:ind w:left="0" w:firstLine="56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《特别管控危险化学品目录（第一版）》（应急管理部、工业和信息化部、公安部、交通运输部联合公告2020年第</w:t>
      </w:r>
      <w:r>
        <w:rPr>
          <w:rFonts w:hint="eastAsia" w:ascii="Times New Roman" w:hAnsi="Times New Roman" w:eastAsia="宋体" w:cs="Times New Roman"/>
          <w:sz w:val="28"/>
          <w:szCs w:val="28"/>
          <w:lang w:val="en-US" w:eastAsia="zh-CN"/>
          <w14:ligatures w14:val="none"/>
        </w:rPr>
        <w:t>1</w:t>
      </w:r>
      <w:r>
        <w:rPr>
          <w:rFonts w:hint="eastAsia" w:ascii="Times New Roman" w:hAnsi="Times New Roman" w:eastAsia="宋体" w:cs="Times New Roman"/>
          <w:sz w:val="28"/>
          <w:szCs w:val="28"/>
          <w14:ligatures w14:val="none"/>
        </w:rPr>
        <w:t>号，2020年5月30日施行）</w:t>
      </w:r>
    </w:p>
    <w:p w14:paraId="03195145">
      <w:pPr>
        <w:pStyle w:val="20"/>
        <w:keepNext w:val="0"/>
        <w:keepLines w:val="0"/>
        <w:pageBreakBefore w:val="0"/>
        <w:widowControl w:val="0"/>
        <w:numPr>
          <w:ilvl w:val="0"/>
          <w:numId w:val="4"/>
        </w:numPr>
        <w:tabs>
          <w:tab w:val="left" w:pos="840"/>
        </w:tabs>
        <w:kinsoku/>
        <w:wordWrap/>
        <w:overflowPunct/>
        <w:topLinePunct w:val="0"/>
        <w:autoSpaceDE/>
        <w:autoSpaceDN/>
        <w:bidi w:val="0"/>
        <w:adjustRightInd w:val="0"/>
        <w:snapToGrid w:val="0"/>
        <w:spacing w:after="0" w:line="360" w:lineRule="auto"/>
        <w:ind w:left="0" w:firstLine="56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《高毒物品目录》（卫法监发〔2003〕142号，2003年06月10日实施）</w:t>
      </w:r>
    </w:p>
    <w:p w14:paraId="65CB7BEF">
      <w:pPr>
        <w:pStyle w:val="20"/>
        <w:keepNext w:val="0"/>
        <w:keepLines w:val="0"/>
        <w:pageBreakBefore w:val="0"/>
        <w:widowControl w:val="0"/>
        <w:numPr>
          <w:ilvl w:val="0"/>
          <w:numId w:val="4"/>
        </w:numPr>
        <w:tabs>
          <w:tab w:val="left" w:pos="840"/>
        </w:tabs>
        <w:kinsoku/>
        <w:wordWrap/>
        <w:overflowPunct/>
        <w:topLinePunct w:val="0"/>
        <w:autoSpaceDE/>
        <w:autoSpaceDN/>
        <w:bidi w:val="0"/>
        <w:adjustRightInd w:val="0"/>
        <w:snapToGrid w:val="0"/>
        <w:spacing w:after="0" w:line="360" w:lineRule="auto"/>
        <w:ind w:left="0" w:firstLine="56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《国家安全监管总局关于公布首批重点监管的危险化学品名录的通知》（安监总厅管三[2011]95号，2011年06月21日实施）</w:t>
      </w:r>
    </w:p>
    <w:p w14:paraId="4A5E5DEF">
      <w:pPr>
        <w:pStyle w:val="20"/>
        <w:keepNext w:val="0"/>
        <w:keepLines w:val="0"/>
        <w:pageBreakBefore w:val="0"/>
        <w:widowControl w:val="0"/>
        <w:numPr>
          <w:ilvl w:val="0"/>
          <w:numId w:val="4"/>
        </w:numPr>
        <w:tabs>
          <w:tab w:val="left" w:pos="840"/>
        </w:tabs>
        <w:kinsoku/>
        <w:wordWrap/>
        <w:overflowPunct/>
        <w:topLinePunct w:val="0"/>
        <w:autoSpaceDE/>
        <w:autoSpaceDN/>
        <w:bidi w:val="0"/>
        <w:adjustRightInd w:val="0"/>
        <w:snapToGrid w:val="0"/>
        <w:spacing w:after="0" w:line="360" w:lineRule="auto"/>
        <w:ind w:left="0" w:firstLine="56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《国家安全监管总局办公厅关于印发首批重点监管的危险化学品安全措施和应急处置原则的通知》（安监总厅管三[2011]142号，2011年07月01日实施）</w:t>
      </w:r>
    </w:p>
    <w:p w14:paraId="2146790F">
      <w:pPr>
        <w:pStyle w:val="20"/>
        <w:keepNext w:val="0"/>
        <w:keepLines w:val="0"/>
        <w:pageBreakBefore w:val="0"/>
        <w:widowControl w:val="0"/>
        <w:numPr>
          <w:ilvl w:val="0"/>
          <w:numId w:val="4"/>
        </w:numPr>
        <w:tabs>
          <w:tab w:val="left" w:pos="840"/>
        </w:tabs>
        <w:kinsoku/>
        <w:wordWrap/>
        <w:overflowPunct/>
        <w:topLinePunct w:val="0"/>
        <w:autoSpaceDE/>
        <w:autoSpaceDN/>
        <w:bidi w:val="0"/>
        <w:adjustRightInd w:val="0"/>
        <w:snapToGrid w:val="0"/>
        <w:spacing w:after="0" w:line="360" w:lineRule="auto"/>
        <w:ind w:left="0" w:firstLine="56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《国家安全监管总局关于公布第二批重点监管危险化学品名录的通知》（安监总管三[2013]12号，2013年02月05日实施）</w:t>
      </w:r>
    </w:p>
    <w:p w14:paraId="279F091F">
      <w:pPr>
        <w:pStyle w:val="20"/>
        <w:keepNext w:val="0"/>
        <w:keepLines w:val="0"/>
        <w:pageBreakBefore w:val="0"/>
        <w:widowControl w:val="0"/>
        <w:numPr>
          <w:ilvl w:val="0"/>
          <w:numId w:val="4"/>
        </w:numPr>
        <w:tabs>
          <w:tab w:val="left" w:pos="840"/>
        </w:tabs>
        <w:kinsoku/>
        <w:wordWrap/>
        <w:overflowPunct/>
        <w:topLinePunct w:val="0"/>
        <w:autoSpaceDE/>
        <w:autoSpaceDN/>
        <w:bidi w:val="0"/>
        <w:adjustRightInd w:val="0"/>
        <w:snapToGrid w:val="0"/>
        <w:spacing w:after="0" w:line="360" w:lineRule="auto"/>
        <w:ind w:left="0" w:firstLine="56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《国家安全监管总局关于公布首批重点监管的危险化工工艺目录的通知》（安监总管三[2009]116号，2009年06月12日实施）</w:t>
      </w:r>
    </w:p>
    <w:p w14:paraId="1B2DA77B">
      <w:pPr>
        <w:pStyle w:val="20"/>
        <w:keepNext w:val="0"/>
        <w:keepLines w:val="0"/>
        <w:pageBreakBefore w:val="0"/>
        <w:widowControl w:val="0"/>
        <w:numPr>
          <w:ilvl w:val="0"/>
          <w:numId w:val="4"/>
        </w:numPr>
        <w:tabs>
          <w:tab w:val="left" w:pos="840"/>
        </w:tabs>
        <w:kinsoku/>
        <w:wordWrap/>
        <w:overflowPunct/>
        <w:topLinePunct w:val="0"/>
        <w:autoSpaceDE/>
        <w:autoSpaceDN/>
        <w:bidi w:val="0"/>
        <w:adjustRightInd w:val="0"/>
        <w:snapToGrid w:val="0"/>
        <w:spacing w:after="0" w:line="360" w:lineRule="auto"/>
        <w:ind w:left="0" w:firstLine="56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《国家安全监管总局关于公布第二批重点监管危险化工工艺目录和调整首批重点监管危险化工工艺中部分典型工艺的通知》（安监总管三[2013]3号，2013年1月15日实施）</w:t>
      </w:r>
    </w:p>
    <w:p w14:paraId="417EDC85">
      <w:pPr>
        <w:pStyle w:val="20"/>
        <w:keepNext w:val="0"/>
        <w:keepLines w:val="0"/>
        <w:pageBreakBefore w:val="0"/>
        <w:widowControl w:val="0"/>
        <w:numPr>
          <w:ilvl w:val="0"/>
          <w:numId w:val="4"/>
        </w:numPr>
        <w:tabs>
          <w:tab w:val="left" w:pos="840"/>
        </w:tabs>
        <w:kinsoku/>
        <w:wordWrap/>
        <w:overflowPunct/>
        <w:topLinePunct w:val="0"/>
        <w:autoSpaceDE/>
        <w:autoSpaceDN/>
        <w:bidi w:val="0"/>
        <w:adjustRightInd w:val="0"/>
        <w:snapToGrid w:val="0"/>
        <w:spacing w:after="0" w:line="360" w:lineRule="auto"/>
        <w:ind w:left="0" w:firstLine="56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《国务院关于进一步加强企业安全生产工作的通知》（国发[2010]23号，2010年07月19日实施）</w:t>
      </w:r>
    </w:p>
    <w:p w14:paraId="3ADEB50E">
      <w:pPr>
        <w:pStyle w:val="20"/>
        <w:keepNext w:val="0"/>
        <w:keepLines w:val="0"/>
        <w:pageBreakBefore w:val="0"/>
        <w:widowControl w:val="0"/>
        <w:numPr>
          <w:ilvl w:val="0"/>
          <w:numId w:val="4"/>
        </w:numPr>
        <w:tabs>
          <w:tab w:val="left" w:pos="840"/>
        </w:tabs>
        <w:kinsoku/>
        <w:wordWrap/>
        <w:overflowPunct/>
        <w:topLinePunct w:val="0"/>
        <w:autoSpaceDE/>
        <w:autoSpaceDN/>
        <w:bidi w:val="0"/>
        <w:adjustRightInd w:val="0"/>
        <w:snapToGrid w:val="0"/>
        <w:spacing w:after="0" w:line="360" w:lineRule="auto"/>
        <w:ind w:left="0" w:firstLine="56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《国家安全监管总局、工业和信息化部关于危险化学品企业贯彻落实&lt;国务院关于进一步加强企业安全生产工作的通知&gt;的实施意见》（安监总管三〔2010〕第186号，2010年11月03日实施）</w:t>
      </w:r>
    </w:p>
    <w:p w14:paraId="0CD4B2A8">
      <w:pPr>
        <w:pStyle w:val="20"/>
        <w:keepNext w:val="0"/>
        <w:keepLines w:val="0"/>
        <w:pageBreakBefore w:val="0"/>
        <w:widowControl w:val="0"/>
        <w:numPr>
          <w:ilvl w:val="0"/>
          <w:numId w:val="4"/>
        </w:numPr>
        <w:tabs>
          <w:tab w:val="left" w:pos="840"/>
        </w:tabs>
        <w:kinsoku/>
        <w:wordWrap/>
        <w:overflowPunct/>
        <w:topLinePunct w:val="0"/>
        <w:autoSpaceDE/>
        <w:autoSpaceDN/>
        <w:bidi w:val="0"/>
        <w:adjustRightInd w:val="0"/>
        <w:snapToGrid w:val="0"/>
        <w:spacing w:after="0" w:line="360" w:lineRule="auto"/>
        <w:ind w:left="0" w:firstLine="56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国家安全监管总局关于印发&lt;化工和危险化学品生产经营单位重大生产安全事故隐患判定标准（试行）&gt;和&lt;烟花爆竹生产经营单位重大生产安全事故隐患判定标准（试行）&gt;的通知》（安监总管三〔2017〕121号，2017年11月13日实施）</w:t>
      </w:r>
    </w:p>
    <w:p w14:paraId="56D67EF8">
      <w:pPr>
        <w:pStyle w:val="20"/>
        <w:keepNext w:val="0"/>
        <w:keepLines w:val="0"/>
        <w:pageBreakBefore w:val="0"/>
        <w:widowControl w:val="0"/>
        <w:numPr>
          <w:ilvl w:val="0"/>
          <w:numId w:val="4"/>
        </w:numPr>
        <w:tabs>
          <w:tab w:val="left" w:pos="840"/>
        </w:tabs>
        <w:kinsoku/>
        <w:wordWrap/>
        <w:overflowPunct/>
        <w:topLinePunct w:val="0"/>
        <w:autoSpaceDE/>
        <w:autoSpaceDN/>
        <w:bidi w:val="0"/>
        <w:adjustRightInd w:val="0"/>
        <w:snapToGrid w:val="0"/>
        <w:spacing w:after="0" w:line="360" w:lineRule="auto"/>
        <w:ind w:left="0" w:firstLine="56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《关于印发&lt;企业安全生产费用提取和使用管理办法&gt;的通知》（财政部 应急部 财资[2022]136号，2022年11月21日起实施）</w:t>
      </w:r>
    </w:p>
    <w:p w14:paraId="7DD1C2D0">
      <w:pPr>
        <w:pStyle w:val="20"/>
        <w:keepNext w:val="0"/>
        <w:keepLines w:val="0"/>
        <w:pageBreakBefore w:val="0"/>
        <w:widowControl w:val="0"/>
        <w:numPr>
          <w:ilvl w:val="0"/>
          <w:numId w:val="4"/>
        </w:numPr>
        <w:tabs>
          <w:tab w:val="left" w:pos="840"/>
        </w:tabs>
        <w:kinsoku/>
        <w:wordWrap/>
        <w:overflowPunct/>
        <w:topLinePunct w:val="0"/>
        <w:autoSpaceDE/>
        <w:autoSpaceDN/>
        <w:bidi w:val="0"/>
        <w:adjustRightInd w:val="0"/>
        <w:snapToGrid w:val="0"/>
        <w:spacing w:after="0" w:line="360" w:lineRule="auto"/>
        <w:ind w:left="0" w:firstLine="56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《国家安全监管总局办公厅关于印发&lt;提升危险化学品领域本质安全水平专项行动等三项重点工作督查方案&gt;的通知》（安监总管三〔2012〕103号，2015年07月14日实施）</w:t>
      </w:r>
    </w:p>
    <w:p w14:paraId="69D140FC">
      <w:pPr>
        <w:pStyle w:val="20"/>
        <w:keepNext w:val="0"/>
        <w:keepLines w:val="0"/>
        <w:pageBreakBefore w:val="0"/>
        <w:widowControl w:val="0"/>
        <w:numPr>
          <w:ilvl w:val="0"/>
          <w:numId w:val="4"/>
        </w:numPr>
        <w:tabs>
          <w:tab w:val="left" w:pos="840"/>
        </w:tabs>
        <w:kinsoku/>
        <w:wordWrap/>
        <w:overflowPunct/>
        <w:topLinePunct w:val="0"/>
        <w:autoSpaceDE/>
        <w:autoSpaceDN/>
        <w:bidi w:val="0"/>
        <w:adjustRightInd w:val="0"/>
        <w:snapToGrid w:val="0"/>
        <w:spacing w:after="0" w:line="360" w:lineRule="auto"/>
        <w:ind w:left="0" w:firstLine="56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《国家安全监管总局关于加强化工过程安全管理的指导意见》（安监总管三〔2013〕88号，2013年07月29日实施）</w:t>
      </w:r>
    </w:p>
    <w:p w14:paraId="1BB701F4">
      <w:pPr>
        <w:pStyle w:val="20"/>
        <w:keepNext w:val="0"/>
        <w:keepLines w:val="0"/>
        <w:pageBreakBefore w:val="0"/>
        <w:widowControl w:val="0"/>
        <w:numPr>
          <w:ilvl w:val="0"/>
          <w:numId w:val="4"/>
        </w:numPr>
        <w:tabs>
          <w:tab w:val="left" w:pos="840"/>
        </w:tabs>
        <w:kinsoku/>
        <w:wordWrap/>
        <w:overflowPunct/>
        <w:topLinePunct w:val="0"/>
        <w:autoSpaceDE/>
        <w:autoSpaceDN/>
        <w:bidi w:val="0"/>
        <w:adjustRightInd w:val="0"/>
        <w:snapToGrid w:val="0"/>
        <w:spacing w:after="0" w:line="360" w:lineRule="auto"/>
        <w:ind w:left="0" w:firstLine="56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《国家安全监管总局关于加强化工安全仪表系统管理的指导意见》（安监总管三〔2014〕116号，2014年11月13日实施）</w:t>
      </w:r>
    </w:p>
    <w:p w14:paraId="6BF1513F">
      <w:pPr>
        <w:pStyle w:val="20"/>
        <w:keepNext w:val="0"/>
        <w:keepLines w:val="0"/>
        <w:pageBreakBefore w:val="0"/>
        <w:widowControl w:val="0"/>
        <w:numPr>
          <w:ilvl w:val="0"/>
          <w:numId w:val="4"/>
        </w:numPr>
        <w:tabs>
          <w:tab w:val="left" w:pos="840"/>
        </w:tabs>
        <w:kinsoku/>
        <w:wordWrap/>
        <w:overflowPunct/>
        <w:topLinePunct w:val="0"/>
        <w:autoSpaceDE/>
        <w:autoSpaceDN/>
        <w:bidi w:val="0"/>
        <w:adjustRightInd w:val="0"/>
        <w:snapToGrid w:val="0"/>
        <w:spacing w:after="0" w:line="360" w:lineRule="auto"/>
        <w:ind w:left="0" w:firstLine="56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《应急管理部办公厅关于印发&lt;危险化学品企业生产安全事故应急准备指南&gt;的通知》（应急厅[2019]62号，2019年12月26日实施）</w:t>
      </w:r>
    </w:p>
    <w:p w14:paraId="1C2C6D98">
      <w:pPr>
        <w:pStyle w:val="20"/>
        <w:keepNext w:val="0"/>
        <w:keepLines w:val="0"/>
        <w:pageBreakBefore w:val="0"/>
        <w:widowControl w:val="0"/>
        <w:numPr>
          <w:ilvl w:val="0"/>
          <w:numId w:val="4"/>
        </w:numPr>
        <w:tabs>
          <w:tab w:val="left" w:pos="840"/>
        </w:tabs>
        <w:kinsoku/>
        <w:wordWrap/>
        <w:overflowPunct/>
        <w:topLinePunct w:val="0"/>
        <w:autoSpaceDE/>
        <w:autoSpaceDN/>
        <w:bidi w:val="0"/>
        <w:adjustRightInd w:val="0"/>
        <w:snapToGrid w:val="0"/>
        <w:spacing w:after="0" w:line="360" w:lineRule="auto"/>
        <w:ind w:left="0" w:firstLine="56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《国家安全监管总局关于印发遏制危险化学品和烟花爆竹重特大事故工作意见的通知》（安监总管三[2016]62号，2016年06月03日实施）</w:t>
      </w:r>
    </w:p>
    <w:p w14:paraId="6F7527FF">
      <w:pPr>
        <w:pStyle w:val="20"/>
        <w:keepNext w:val="0"/>
        <w:keepLines w:val="0"/>
        <w:pageBreakBefore w:val="0"/>
        <w:widowControl w:val="0"/>
        <w:numPr>
          <w:ilvl w:val="0"/>
          <w:numId w:val="4"/>
        </w:numPr>
        <w:tabs>
          <w:tab w:val="left" w:pos="840"/>
        </w:tabs>
        <w:kinsoku/>
        <w:wordWrap/>
        <w:overflowPunct/>
        <w:topLinePunct w:val="0"/>
        <w:autoSpaceDE/>
        <w:autoSpaceDN/>
        <w:bidi w:val="0"/>
        <w:adjustRightInd w:val="0"/>
        <w:snapToGrid w:val="0"/>
        <w:spacing w:after="0" w:line="360" w:lineRule="auto"/>
        <w:ind w:left="0" w:firstLine="56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《国家安全监管总局关于印发淘汰落后安全技术装备目录（2015年第一批）的通知》（安监总科技[2015]75号，2015年07月10日实施）</w:t>
      </w:r>
    </w:p>
    <w:p w14:paraId="7C8C6249">
      <w:pPr>
        <w:pStyle w:val="20"/>
        <w:keepNext w:val="0"/>
        <w:keepLines w:val="0"/>
        <w:pageBreakBefore w:val="0"/>
        <w:widowControl w:val="0"/>
        <w:numPr>
          <w:ilvl w:val="0"/>
          <w:numId w:val="4"/>
        </w:numPr>
        <w:tabs>
          <w:tab w:val="left" w:pos="840"/>
        </w:tabs>
        <w:kinsoku/>
        <w:wordWrap/>
        <w:overflowPunct/>
        <w:topLinePunct w:val="0"/>
        <w:autoSpaceDE/>
        <w:autoSpaceDN/>
        <w:bidi w:val="0"/>
        <w:adjustRightInd w:val="0"/>
        <w:snapToGrid w:val="0"/>
        <w:spacing w:after="0" w:line="360" w:lineRule="auto"/>
        <w:ind w:left="0" w:firstLine="56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《国家安全监管总局关于印发淘汰落后安全技术工艺、设备目录（2016年）的通知》（安监总科技[2016]137号，2016年12月16日实施）</w:t>
      </w:r>
    </w:p>
    <w:p w14:paraId="30A38614">
      <w:pPr>
        <w:pStyle w:val="20"/>
        <w:keepNext w:val="0"/>
        <w:keepLines w:val="0"/>
        <w:pageBreakBefore w:val="0"/>
        <w:widowControl w:val="0"/>
        <w:numPr>
          <w:ilvl w:val="0"/>
          <w:numId w:val="4"/>
        </w:numPr>
        <w:tabs>
          <w:tab w:val="left" w:pos="840"/>
        </w:tabs>
        <w:kinsoku/>
        <w:wordWrap/>
        <w:overflowPunct/>
        <w:topLinePunct w:val="0"/>
        <w:autoSpaceDE/>
        <w:autoSpaceDN/>
        <w:bidi w:val="0"/>
        <w:adjustRightInd w:val="0"/>
        <w:snapToGrid w:val="0"/>
        <w:spacing w:after="0" w:line="360" w:lineRule="auto"/>
        <w:ind w:left="0" w:firstLine="56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《推广先进与淘汰落后安全技术装备目录（第二批）》（原国家安全监管总局、科技部、工业和信息化部公告[2017]第19号，2017年12月31日实施）</w:t>
      </w:r>
    </w:p>
    <w:p w14:paraId="0C5B74FA">
      <w:pPr>
        <w:pStyle w:val="20"/>
        <w:keepNext w:val="0"/>
        <w:keepLines w:val="0"/>
        <w:pageBreakBefore w:val="0"/>
        <w:widowControl w:val="0"/>
        <w:numPr>
          <w:ilvl w:val="0"/>
          <w:numId w:val="4"/>
        </w:numPr>
        <w:tabs>
          <w:tab w:val="left" w:pos="840"/>
        </w:tabs>
        <w:kinsoku/>
        <w:wordWrap/>
        <w:overflowPunct/>
        <w:topLinePunct w:val="0"/>
        <w:autoSpaceDE/>
        <w:autoSpaceDN/>
        <w:bidi w:val="0"/>
        <w:adjustRightInd w:val="0"/>
        <w:snapToGrid w:val="0"/>
        <w:spacing w:after="0" w:line="360" w:lineRule="auto"/>
        <w:ind w:left="0" w:firstLine="56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《应急管理部办公厅关于印发&lt;淘汰落后危险化学品安全生产工艺技术设备目录（第一批）&gt;的通知》（应急厅[2020]38号，2020年10月23日实施）</w:t>
      </w:r>
    </w:p>
    <w:p w14:paraId="2BA347C7">
      <w:pPr>
        <w:pStyle w:val="20"/>
        <w:keepNext w:val="0"/>
        <w:keepLines w:val="0"/>
        <w:pageBreakBefore w:val="0"/>
        <w:widowControl w:val="0"/>
        <w:numPr>
          <w:ilvl w:val="0"/>
          <w:numId w:val="4"/>
        </w:numPr>
        <w:tabs>
          <w:tab w:val="left" w:pos="840"/>
        </w:tabs>
        <w:kinsoku/>
        <w:wordWrap/>
        <w:overflowPunct/>
        <w:topLinePunct w:val="0"/>
        <w:autoSpaceDE/>
        <w:autoSpaceDN/>
        <w:bidi w:val="0"/>
        <w:adjustRightInd w:val="0"/>
        <w:snapToGrid w:val="0"/>
        <w:spacing w:after="0" w:line="360" w:lineRule="auto"/>
        <w:ind w:left="0" w:firstLine="56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《应急管理部办公厅关于印发&lt;淘汰落后危险化学品安全生产工艺技术设备目录（第二批）&gt;的通知》（应急厅[2024]86号，2024年03月12日实施）</w:t>
      </w:r>
    </w:p>
    <w:p w14:paraId="3F3DE172">
      <w:pPr>
        <w:pStyle w:val="20"/>
        <w:keepNext w:val="0"/>
        <w:keepLines w:val="0"/>
        <w:pageBreakBefore w:val="0"/>
        <w:widowControl w:val="0"/>
        <w:numPr>
          <w:ilvl w:val="0"/>
          <w:numId w:val="4"/>
        </w:numPr>
        <w:tabs>
          <w:tab w:val="left" w:pos="840"/>
        </w:tabs>
        <w:kinsoku/>
        <w:wordWrap/>
        <w:overflowPunct/>
        <w:topLinePunct w:val="0"/>
        <w:autoSpaceDE/>
        <w:autoSpaceDN/>
        <w:bidi w:val="0"/>
        <w:adjustRightInd w:val="0"/>
        <w:snapToGrid w:val="0"/>
        <w:spacing w:after="0" w:line="360" w:lineRule="auto"/>
        <w:ind w:left="0" w:firstLine="56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《辽宁省安监局关于印发辽宁省安全生产监督管理局贯彻落实〈生产安全事故应急预案管理办法〉实施细则的通知》（辽安监应急〔2017〕5号，2017年09月13日施行）</w:t>
      </w:r>
    </w:p>
    <w:p w14:paraId="43FE9DA4">
      <w:pPr>
        <w:pStyle w:val="20"/>
        <w:keepNext w:val="0"/>
        <w:keepLines w:val="0"/>
        <w:pageBreakBefore w:val="0"/>
        <w:widowControl w:val="0"/>
        <w:numPr>
          <w:ilvl w:val="0"/>
          <w:numId w:val="4"/>
        </w:numPr>
        <w:tabs>
          <w:tab w:val="left" w:pos="840"/>
        </w:tabs>
        <w:kinsoku/>
        <w:wordWrap/>
        <w:overflowPunct/>
        <w:topLinePunct w:val="0"/>
        <w:autoSpaceDE/>
        <w:autoSpaceDN/>
        <w:bidi w:val="0"/>
        <w:adjustRightInd w:val="0"/>
        <w:snapToGrid w:val="0"/>
        <w:spacing w:after="0" w:line="360" w:lineRule="auto"/>
        <w:ind w:left="0" w:firstLine="56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《辽宁省安全生产监督管理局关于印发辽宁省遏制危险化学品和烟花爆竹重特大事故实施方案的通知》（辽安监管三〔2016〕11号，2016年07月06日施行）</w:t>
      </w:r>
    </w:p>
    <w:p w14:paraId="19F28482">
      <w:pPr>
        <w:pStyle w:val="20"/>
        <w:keepNext w:val="0"/>
        <w:keepLines w:val="0"/>
        <w:pageBreakBefore w:val="0"/>
        <w:widowControl w:val="0"/>
        <w:numPr>
          <w:ilvl w:val="0"/>
          <w:numId w:val="4"/>
        </w:numPr>
        <w:tabs>
          <w:tab w:val="left" w:pos="840"/>
        </w:tabs>
        <w:kinsoku/>
        <w:wordWrap/>
        <w:overflowPunct/>
        <w:topLinePunct w:val="0"/>
        <w:autoSpaceDE/>
        <w:autoSpaceDN/>
        <w:bidi w:val="0"/>
        <w:adjustRightInd w:val="0"/>
        <w:snapToGrid w:val="0"/>
        <w:spacing w:after="0" w:line="360" w:lineRule="auto"/>
        <w:ind w:left="0" w:firstLine="56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《辽宁省应急管理厅关于进一步推进执行危险化学品企业安全风险隐患排查治理导则的通知》（辽应急危化[2020]5号，2020年3月27日）</w:t>
      </w:r>
    </w:p>
    <w:p w14:paraId="07D2203C">
      <w:pPr>
        <w:pStyle w:val="20"/>
        <w:keepNext w:val="0"/>
        <w:keepLines w:val="0"/>
        <w:pageBreakBefore w:val="0"/>
        <w:widowControl w:val="0"/>
        <w:numPr>
          <w:ilvl w:val="0"/>
          <w:numId w:val="4"/>
        </w:numPr>
        <w:tabs>
          <w:tab w:val="left" w:pos="840"/>
        </w:tabs>
        <w:kinsoku/>
        <w:wordWrap/>
        <w:overflowPunct/>
        <w:topLinePunct w:val="0"/>
        <w:autoSpaceDE/>
        <w:autoSpaceDN/>
        <w:bidi w:val="0"/>
        <w:adjustRightInd w:val="0"/>
        <w:snapToGrid w:val="0"/>
        <w:spacing w:after="0" w:line="360" w:lineRule="auto"/>
        <w:ind w:left="0" w:firstLine="56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《关于修改关于加强全省化工企业检维修作业安全管理的指导意见的通知》（辽安监危化〔2017〕22号，2017年11月28日施行）</w:t>
      </w:r>
    </w:p>
    <w:p w14:paraId="706C4CB5">
      <w:pPr>
        <w:pStyle w:val="20"/>
        <w:keepNext w:val="0"/>
        <w:keepLines w:val="0"/>
        <w:pageBreakBefore w:val="0"/>
        <w:widowControl w:val="0"/>
        <w:numPr>
          <w:ilvl w:val="0"/>
          <w:numId w:val="4"/>
        </w:numPr>
        <w:tabs>
          <w:tab w:val="left" w:pos="840"/>
        </w:tabs>
        <w:kinsoku/>
        <w:wordWrap/>
        <w:overflowPunct/>
        <w:topLinePunct w:val="0"/>
        <w:autoSpaceDE/>
        <w:autoSpaceDN/>
        <w:bidi w:val="0"/>
        <w:adjustRightInd w:val="0"/>
        <w:snapToGrid w:val="0"/>
        <w:spacing w:after="0" w:line="360" w:lineRule="auto"/>
        <w:ind w:left="0" w:firstLine="56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《关于做好危险化学品经营许可证办法管理有关工作的通知》（辽安监管三[2012]144号，2012年8月30日实施）</w:t>
      </w:r>
    </w:p>
    <w:p w14:paraId="16206DDC">
      <w:pPr>
        <w:pStyle w:val="20"/>
        <w:keepNext w:val="0"/>
        <w:keepLines w:val="0"/>
        <w:pageBreakBefore w:val="0"/>
        <w:widowControl w:val="0"/>
        <w:numPr>
          <w:ilvl w:val="0"/>
          <w:numId w:val="4"/>
        </w:numPr>
        <w:tabs>
          <w:tab w:val="left" w:pos="840"/>
        </w:tabs>
        <w:kinsoku/>
        <w:wordWrap/>
        <w:overflowPunct/>
        <w:topLinePunct w:val="0"/>
        <w:autoSpaceDE/>
        <w:autoSpaceDN/>
        <w:bidi w:val="0"/>
        <w:adjustRightInd w:val="0"/>
        <w:snapToGrid w:val="0"/>
        <w:spacing w:after="0" w:line="360" w:lineRule="auto"/>
        <w:ind w:left="0" w:firstLine="56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《辽宁省安全生产监督管理局转发国家安全监管总局关于印发&lt;化工（危险化学品）企业安全检查重点指导目录&gt;的通知》（辽安监管三[2016]3号，2016年02月05日施行）</w:t>
      </w:r>
    </w:p>
    <w:p w14:paraId="19A47D95">
      <w:pPr>
        <w:tabs>
          <w:tab w:val="left" w:pos="840"/>
          <w:tab w:val="left" w:pos="1260"/>
        </w:tabs>
        <w:adjustRightInd w:val="0"/>
        <w:snapToGrid w:val="0"/>
        <w:spacing w:before="156" w:beforeLines="50" w:after="156" w:afterLines="50" w:line="360" w:lineRule="auto"/>
        <w:ind w:firstLine="562" w:firstLineChars="200"/>
        <w:jc w:val="both"/>
        <w:outlineLvl w:val="2"/>
        <w:rPr>
          <w:rFonts w:hint="eastAsia" w:ascii="Times New Roman" w:hAnsi="Times New Roman" w:eastAsia="黑体" w:cs="Times New Roman"/>
          <w:b/>
          <w:sz w:val="28"/>
          <w:szCs w:val="32"/>
          <w14:ligatures w14:val="none"/>
        </w:rPr>
      </w:pPr>
      <w:bookmarkStart w:id="65" w:name="_Toc457295096"/>
      <w:r>
        <w:rPr>
          <w:rFonts w:ascii="Times New Roman" w:hAnsi="Times New Roman" w:eastAsia="黑体" w:cs="Times New Roman"/>
          <w:b/>
          <w:sz w:val="28"/>
          <w:szCs w:val="32"/>
          <w14:ligatures w14:val="none"/>
        </w:rPr>
        <w:t>1.2.5</w:t>
      </w:r>
      <w:r>
        <w:rPr>
          <w:rFonts w:hint="eastAsia" w:ascii="Times New Roman" w:hAnsi="Times New Roman" w:eastAsia="黑体" w:cs="Times New Roman"/>
          <w:b/>
          <w:sz w:val="28"/>
          <w:szCs w:val="32"/>
          <w14:ligatures w14:val="none"/>
        </w:rPr>
        <w:t>标准、规范</w:t>
      </w:r>
      <w:bookmarkEnd w:id="65"/>
    </w:p>
    <w:bookmarkEnd w:id="51"/>
    <w:bookmarkEnd w:id="52"/>
    <w:bookmarkEnd w:id="53"/>
    <w:bookmarkEnd w:id="54"/>
    <w:bookmarkEnd w:id="55"/>
    <w:bookmarkEnd w:id="56"/>
    <w:bookmarkEnd w:id="57"/>
    <w:bookmarkEnd w:id="58"/>
    <w:bookmarkEnd w:id="59"/>
    <w:bookmarkEnd w:id="60"/>
    <w:bookmarkEnd w:id="61"/>
    <w:bookmarkEnd w:id="62"/>
    <w:bookmarkEnd w:id="63"/>
    <w:bookmarkEnd w:id="64"/>
    <w:p w14:paraId="53B6DD29">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《安全评价通则》（AQ 8001-2007）</w:t>
      </w:r>
    </w:p>
    <w:p w14:paraId="02D77BC5">
      <w:pPr>
        <w:keepNext w:val="0"/>
        <w:keepLines w:val="0"/>
        <w:pageBreakBefore w:val="0"/>
        <w:widowControl w:val="0"/>
        <w:numPr>
          <w:ilvl w:val="0"/>
          <w:numId w:val="5"/>
        </w:numPr>
        <w:tabs>
          <w:tab w:val="left" w:pos="126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《化工企业总图运输设计规范》（GB 50489-2009）</w:t>
      </w:r>
    </w:p>
    <w:p w14:paraId="0BAAAED1">
      <w:pPr>
        <w:keepNext w:val="0"/>
        <w:keepLines w:val="0"/>
        <w:pageBreakBefore w:val="0"/>
        <w:widowControl w:val="0"/>
        <w:numPr>
          <w:ilvl w:val="0"/>
          <w:numId w:val="5"/>
        </w:numPr>
        <w:tabs>
          <w:tab w:val="left" w:pos="126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lang w:eastAsia="zh-CN"/>
        </w:rPr>
        <w:t>《化工企业安全卫生设计规范》（</w:t>
      </w:r>
      <w:r>
        <w:rPr>
          <w:rFonts w:hint="default" w:ascii="Times New Roman" w:hAnsi="Times New Roman" w:eastAsia="宋体" w:cs="Times New Roman"/>
          <w:color w:val="auto"/>
          <w:sz w:val="28"/>
          <w:szCs w:val="28"/>
          <w:highlight w:val="none"/>
          <w:lang w:val="en-US" w:eastAsia="zh-CN"/>
        </w:rPr>
        <w:t>HG 20571-2014</w:t>
      </w:r>
      <w:r>
        <w:rPr>
          <w:rFonts w:hint="default" w:ascii="Times New Roman" w:hAnsi="Times New Roman" w:eastAsia="宋体" w:cs="Times New Roman"/>
          <w:color w:val="auto"/>
          <w:sz w:val="28"/>
          <w:szCs w:val="28"/>
          <w:highlight w:val="none"/>
          <w:lang w:eastAsia="zh-CN"/>
        </w:rPr>
        <w:t>）</w:t>
      </w:r>
    </w:p>
    <w:p w14:paraId="6C4904CC">
      <w:pPr>
        <w:keepNext w:val="0"/>
        <w:keepLines w:val="0"/>
        <w:pageBreakBefore w:val="0"/>
        <w:widowControl w:val="0"/>
        <w:numPr>
          <w:ilvl w:val="0"/>
          <w:numId w:val="5"/>
        </w:numPr>
        <w:tabs>
          <w:tab w:val="left" w:pos="126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《工业企业总平面设计规范》（GB 50187-2012）</w:t>
      </w:r>
    </w:p>
    <w:p w14:paraId="53F24C9D">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《工业企业设计卫生标准》（GBZ 1-2010）</w:t>
      </w:r>
    </w:p>
    <w:p w14:paraId="3A3D3117">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《生产过程安全卫生要求总则》（GB/T 12801-2008）</w:t>
      </w:r>
    </w:p>
    <w:p w14:paraId="770B1DD9">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《生产设备安全卫生设计总则》（GB 5083-</w:t>
      </w:r>
      <w:r>
        <w:rPr>
          <w:rFonts w:hint="eastAsia" w:ascii="Times New Roman" w:hAnsi="Times New Roman" w:eastAsia="宋体" w:cs="Times New Roman"/>
          <w:color w:val="auto"/>
          <w:sz w:val="28"/>
          <w:szCs w:val="28"/>
          <w:highlight w:val="none"/>
          <w:lang w:val="en-US" w:eastAsia="zh-CN"/>
        </w:rPr>
        <w:t>2023</w:t>
      </w:r>
      <w:r>
        <w:rPr>
          <w:rFonts w:hint="default" w:ascii="Times New Roman" w:hAnsi="Times New Roman" w:eastAsia="宋体" w:cs="Times New Roman"/>
          <w:color w:val="auto"/>
          <w:sz w:val="28"/>
          <w:szCs w:val="28"/>
          <w:highlight w:val="none"/>
        </w:rPr>
        <w:t>）</w:t>
      </w:r>
    </w:p>
    <w:p w14:paraId="6DD90BDC">
      <w:pPr>
        <w:keepNext w:val="0"/>
        <w:keepLines w:val="0"/>
        <w:pageBreakBefore w:val="0"/>
        <w:widowControl w:val="0"/>
        <w:numPr>
          <w:ilvl w:val="0"/>
          <w:numId w:val="5"/>
        </w:numPr>
        <w:tabs>
          <w:tab w:val="left" w:pos="126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lang w:eastAsia="zh-CN"/>
        </w:rPr>
      </w:pPr>
      <w:r>
        <w:rPr>
          <w:rFonts w:hint="eastAsia" w:ascii="Times New Roman" w:hAnsi="Times New Roman" w:eastAsia="宋体" w:cs="Times New Roman"/>
          <w:color w:val="auto"/>
          <w:sz w:val="28"/>
          <w:szCs w:val="28"/>
          <w:highlight w:val="none"/>
          <w:lang w:eastAsia="zh-CN"/>
        </w:rPr>
        <w:t>《</w:t>
      </w:r>
      <w:r>
        <w:rPr>
          <w:rFonts w:hint="default" w:ascii="Times New Roman" w:hAnsi="Times New Roman" w:eastAsia="宋体" w:cs="Times New Roman"/>
          <w:color w:val="auto"/>
          <w:sz w:val="28"/>
          <w:szCs w:val="28"/>
          <w:highlight w:val="none"/>
          <w:lang w:eastAsia="zh-CN"/>
        </w:rPr>
        <w:t>工业企业厂内铁路、道路运输安全规程</w:t>
      </w:r>
      <w:r>
        <w:rPr>
          <w:rFonts w:hint="eastAsia" w:ascii="Times New Roman" w:hAnsi="Times New Roman" w:eastAsia="宋体" w:cs="Times New Roman"/>
          <w:color w:val="auto"/>
          <w:sz w:val="28"/>
          <w:szCs w:val="28"/>
          <w:highlight w:val="none"/>
          <w:lang w:eastAsia="zh-CN"/>
        </w:rPr>
        <w:t>》（</w:t>
      </w:r>
      <w:r>
        <w:rPr>
          <w:rFonts w:hint="eastAsia" w:ascii="Times New Roman" w:hAnsi="Times New Roman" w:eastAsia="宋体" w:cs="Times New Roman"/>
          <w:color w:val="auto"/>
          <w:sz w:val="28"/>
          <w:szCs w:val="28"/>
          <w:highlight w:val="none"/>
          <w:lang w:val="en-US" w:eastAsia="zh-CN"/>
        </w:rPr>
        <w:t>GB 4387-2008</w:t>
      </w:r>
      <w:r>
        <w:rPr>
          <w:rFonts w:hint="eastAsia" w:ascii="Times New Roman" w:hAnsi="Times New Roman" w:eastAsia="宋体" w:cs="Times New Roman"/>
          <w:color w:val="auto"/>
          <w:sz w:val="28"/>
          <w:szCs w:val="28"/>
          <w:highlight w:val="none"/>
          <w:lang w:eastAsia="zh-CN"/>
        </w:rPr>
        <w:t>）</w:t>
      </w:r>
    </w:p>
    <w:p w14:paraId="39FBF6F2">
      <w:pPr>
        <w:keepNext w:val="0"/>
        <w:keepLines w:val="0"/>
        <w:pageBreakBefore w:val="0"/>
        <w:widowControl w:val="0"/>
        <w:numPr>
          <w:ilvl w:val="0"/>
          <w:numId w:val="5"/>
        </w:numPr>
        <w:tabs>
          <w:tab w:val="left" w:pos="126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《建筑设计防火规范（2018年</w:t>
      </w:r>
      <w:r>
        <w:rPr>
          <w:rFonts w:hint="eastAsia" w:ascii="Times New Roman" w:hAnsi="Times New Roman" w:eastAsia="宋体" w:cs="Times New Roman"/>
          <w:color w:val="auto"/>
          <w:sz w:val="28"/>
          <w:szCs w:val="28"/>
          <w:highlight w:val="none"/>
          <w:lang w:val="en-US" w:eastAsia="zh-CN"/>
        </w:rPr>
        <w:t>版</w:t>
      </w:r>
      <w:r>
        <w:rPr>
          <w:rFonts w:hint="default" w:ascii="Times New Roman" w:hAnsi="Times New Roman" w:eastAsia="宋体" w:cs="Times New Roman"/>
          <w:color w:val="auto"/>
          <w:sz w:val="28"/>
          <w:szCs w:val="28"/>
          <w:highlight w:val="none"/>
        </w:rPr>
        <w:t>）》（GB50016-2014）</w:t>
      </w:r>
    </w:p>
    <w:p w14:paraId="56223DBA">
      <w:pPr>
        <w:keepNext w:val="0"/>
        <w:keepLines w:val="0"/>
        <w:pageBreakBefore w:val="0"/>
        <w:widowControl w:val="0"/>
        <w:numPr>
          <w:ilvl w:val="0"/>
          <w:numId w:val="5"/>
        </w:numPr>
        <w:tabs>
          <w:tab w:val="left" w:pos="126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lang w:eastAsia="zh-CN"/>
        </w:rPr>
        <w:t>《石油化工企业设计防火标准（2018年版）》（GB50160-2008）</w:t>
      </w:r>
    </w:p>
    <w:p w14:paraId="1318A603">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lang w:eastAsia="zh-CN"/>
        </w:rPr>
        <w:t>《</w:t>
      </w:r>
      <w:r>
        <w:rPr>
          <w:rFonts w:hint="default" w:ascii="Times New Roman" w:hAnsi="Times New Roman" w:eastAsia="宋体" w:cs="Times New Roman"/>
          <w:color w:val="auto"/>
          <w:sz w:val="28"/>
          <w:szCs w:val="28"/>
          <w:highlight w:val="none"/>
        </w:rPr>
        <w:t>建筑防火通用规范</w:t>
      </w:r>
      <w:r>
        <w:rPr>
          <w:rFonts w:hint="default" w:ascii="Times New Roman" w:hAnsi="Times New Roman" w:eastAsia="宋体" w:cs="Times New Roman"/>
          <w:color w:val="auto"/>
          <w:sz w:val="28"/>
          <w:szCs w:val="28"/>
          <w:highlight w:val="none"/>
          <w:lang w:eastAsia="zh-CN"/>
        </w:rPr>
        <w:t>》（</w:t>
      </w:r>
      <w:r>
        <w:rPr>
          <w:rFonts w:hint="default" w:ascii="Times New Roman" w:hAnsi="Times New Roman" w:eastAsia="宋体" w:cs="Times New Roman"/>
          <w:color w:val="auto"/>
          <w:sz w:val="28"/>
          <w:szCs w:val="28"/>
          <w:highlight w:val="none"/>
          <w:lang w:val="en-US" w:eastAsia="zh-CN"/>
        </w:rPr>
        <w:t>GB55037-2022</w:t>
      </w:r>
      <w:r>
        <w:rPr>
          <w:rFonts w:hint="default" w:ascii="Times New Roman" w:hAnsi="Times New Roman" w:eastAsia="宋体" w:cs="Times New Roman"/>
          <w:color w:val="auto"/>
          <w:sz w:val="28"/>
          <w:szCs w:val="28"/>
          <w:highlight w:val="none"/>
          <w:lang w:eastAsia="zh-CN"/>
        </w:rPr>
        <w:t>）</w:t>
      </w:r>
    </w:p>
    <w:p w14:paraId="07FB4906">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《室外给水设计标准》（GB50013-2018）</w:t>
      </w:r>
    </w:p>
    <w:p w14:paraId="7BAB5EDF">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《室外排水设计标准》（GB50014-20</w:t>
      </w:r>
      <w:r>
        <w:rPr>
          <w:rFonts w:hint="default" w:ascii="Times New Roman" w:hAnsi="Times New Roman" w:eastAsia="宋体" w:cs="Times New Roman"/>
          <w:color w:val="auto"/>
          <w:sz w:val="28"/>
          <w:szCs w:val="28"/>
          <w:highlight w:val="none"/>
          <w:lang w:val="en-US" w:eastAsia="zh-CN"/>
        </w:rPr>
        <w:t>21</w:t>
      </w:r>
      <w:r>
        <w:rPr>
          <w:rFonts w:hint="default" w:ascii="Times New Roman" w:hAnsi="Times New Roman" w:eastAsia="宋体" w:cs="Times New Roman"/>
          <w:color w:val="auto"/>
          <w:sz w:val="28"/>
          <w:szCs w:val="28"/>
          <w:highlight w:val="none"/>
        </w:rPr>
        <w:t>）</w:t>
      </w:r>
    </w:p>
    <w:p w14:paraId="45D6EB3C">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《建筑给水排水设计标准》（GB50015-20</w:t>
      </w:r>
      <w:r>
        <w:rPr>
          <w:rFonts w:hint="default" w:ascii="Times New Roman" w:hAnsi="Times New Roman" w:eastAsia="宋体" w:cs="Times New Roman"/>
          <w:color w:val="auto"/>
          <w:sz w:val="28"/>
          <w:szCs w:val="28"/>
          <w:highlight w:val="none"/>
          <w:lang w:val="en-US" w:eastAsia="zh-CN"/>
        </w:rPr>
        <w:t>19</w:t>
      </w:r>
      <w:r>
        <w:rPr>
          <w:rFonts w:hint="default" w:ascii="Times New Roman" w:hAnsi="Times New Roman" w:eastAsia="宋体" w:cs="Times New Roman"/>
          <w:color w:val="auto"/>
          <w:sz w:val="28"/>
          <w:szCs w:val="28"/>
          <w:highlight w:val="none"/>
        </w:rPr>
        <w:t>）</w:t>
      </w:r>
    </w:p>
    <w:p w14:paraId="2D3506B3">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eastAsia" w:ascii="Times New Roman" w:hAnsi="Times New Roman" w:eastAsia="宋体" w:cs="Times New Roman"/>
          <w:color w:val="auto"/>
          <w:sz w:val="28"/>
          <w:szCs w:val="28"/>
          <w:highlight w:val="none"/>
          <w:lang w:eastAsia="zh-CN"/>
        </w:rPr>
        <w:t>《城市给水工程项目规范》（</w:t>
      </w:r>
      <w:r>
        <w:rPr>
          <w:rFonts w:hint="eastAsia" w:ascii="Times New Roman" w:hAnsi="Times New Roman" w:eastAsia="宋体" w:cs="Times New Roman"/>
          <w:color w:val="auto"/>
          <w:sz w:val="28"/>
          <w:szCs w:val="28"/>
          <w:highlight w:val="none"/>
          <w:lang w:val="en-US" w:eastAsia="zh-CN"/>
        </w:rPr>
        <w:t>GB 55026-2022）</w:t>
      </w:r>
    </w:p>
    <w:p w14:paraId="5C63EACB">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eastAsia" w:ascii="Times New Roman" w:hAnsi="Times New Roman" w:eastAsia="宋体" w:cs="Times New Roman"/>
          <w:color w:val="auto"/>
          <w:sz w:val="28"/>
          <w:szCs w:val="28"/>
          <w:highlight w:val="none"/>
          <w:lang w:eastAsia="zh-CN"/>
        </w:rPr>
        <w:t>《</w:t>
      </w:r>
      <w:r>
        <w:rPr>
          <w:rFonts w:hint="default" w:ascii="Times New Roman" w:hAnsi="Times New Roman" w:eastAsia="宋体" w:cs="Times New Roman"/>
          <w:color w:val="auto"/>
          <w:sz w:val="28"/>
          <w:szCs w:val="28"/>
          <w:highlight w:val="none"/>
        </w:rPr>
        <w:t>城乡排水工程项目规范</w:t>
      </w:r>
      <w:r>
        <w:rPr>
          <w:rFonts w:hint="eastAsia" w:ascii="Times New Roman" w:hAnsi="Times New Roman" w:eastAsia="宋体" w:cs="Times New Roman"/>
          <w:color w:val="auto"/>
          <w:sz w:val="28"/>
          <w:szCs w:val="28"/>
          <w:highlight w:val="none"/>
          <w:lang w:eastAsia="zh-CN"/>
        </w:rPr>
        <w:t>》（</w:t>
      </w:r>
      <w:r>
        <w:rPr>
          <w:rFonts w:hint="default" w:ascii="Times New Roman" w:hAnsi="Times New Roman" w:eastAsia="宋体" w:cs="Times New Roman"/>
          <w:color w:val="auto"/>
          <w:sz w:val="28"/>
          <w:szCs w:val="28"/>
          <w:highlight w:val="none"/>
        </w:rPr>
        <w:t>GB 55027-2022</w:t>
      </w:r>
      <w:r>
        <w:rPr>
          <w:rFonts w:hint="eastAsia" w:ascii="Times New Roman" w:hAnsi="Times New Roman" w:eastAsia="宋体" w:cs="Times New Roman"/>
          <w:color w:val="auto"/>
          <w:sz w:val="28"/>
          <w:szCs w:val="28"/>
          <w:highlight w:val="none"/>
          <w:lang w:eastAsia="zh-CN"/>
        </w:rPr>
        <w:t>）</w:t>
      </w:r>
    </w:p>
    <w:p w14:paraId="3CA04677">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eastAsia" w:ascii="Times New Roman" w:hAnsi="Times New Roman" w:eastAsia="宋体" w:cs="Times New Roman"/>
          <w:color w:val="auto"/>
          <w:sz w:val="28"/>
          <w:szCs w:val="28"/>
          <w:highlight w:val="none"/>
          <w:lang w:eastAsia="zh-CN"/>
        </w:rPr>
        <w:t>《</w:t>
      </w:r>
      <w:r>
        <w:rPr>
          <w:rFonts w:hint="default" w:ascii="Times New Roman" w:hAnsi="Times New Roman" w:eastAsia="宋体" w:cs="Times New Roman"/>
          <w:color w:val="auto"/>
          <w:sz w:val="28"/>
          <w:szCs w:val="28"/>
          <w:highlight w:val="none"/>
        </w:rPr>
        <w:t>建筑给水排水与节水通用规范</w:t>
      </w:r>
      <w:r>
        <w:rPr>
          <w:rFonts w:hint="eastAsia" w:ascii="Times New Roman" w:hAnsi="Times New Roman" w:eastAsia="宋体" w:cs="Times New Roman"/>
          <w:color w:val="auto"/>
          <w:sz w:val="28"/>
          <w:szCs w:val="28"/>
          <w:highlight w:val="none"/>
          <w:lang w:eastAsia="zh-CN"/>
        </w:rPr>
        <w:t>》</w:t>
      </w:r>
      <w:r>
        <w:rPr>
          <w:rFonts w:hint="default" w:ascii="Times New Roman" w:hAnsi="Times New Roman" w:eastAsia="宋体" w:cs="Times New Roman"/>
          <w:color w:val="auto"/>
          <w:sz w:val="28"/>
          <w:szCs w:val="28"/>
          <w:highlight w:val="none"/>
        </w:rPr>
        <w:t xml:space="preserve"> </w:t>
      </w:r>
      <w:r>
        <w:rPr>
          <w:rFonts w:hint="eastAsia" w:ascii="Times New Roman" w:hAnsi="Times New Roman" w:eastAsia="宋体" w:cs="Times New Roman"/>
          <w:color w:val="auto"/>
          <w:sz w:val="28"/>
          <w:szCs w:val="28"/>
          <w:highlight w:val="none"/>
          <w:lang w:eastAsia="zh-CN"/>
        </w:rPr>
        <w:t>（</w:t>
      </w:r>
      <w:r>
        <w:rPr>
          <w:rFonts w:hint="default" w:ascii="Times New Roman" w:hAnsi="Times New Roman" w:eastAsia="宋体" w:cs="Times New Roman"/>
          <w:color w:val="auto"/>
          <w:sz w:val="28"/>
          <w:szCs w:val="28"/>
          <w:highlight w:val="none"/>
        </w:rPr>
        <w:t>GB 55020-2021</w:t>
      </w:r>
      <w:r>
        <w:rPr>
          <w:rFonts w:hint="eastAsia" w:ascii="Times New Roman" w:hAnsi="Times New Roman" w:eastAsia="宋体" w:cs="Times New Roman"/>
          <w:color w:val="auto"/>
          <w:sz w:val="28"/>
          <w:szCs w:val="28"/>
          <w:highlight w:val="none"/>
          <w:lang w:eastAsia="zh-CN"/>
        </w:rPr>
        <w:t>）</w:t>
      </w:r>
    </w:p>
    <w:p w14:paraId="2A41D4F1">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《建筑照明设计标准》（GB</w:t>
      </w:r>
      <w:r>
        <w:rPr>
          <w:rFonts w:hint="eastAsia" w:ascii="Times New Roman" w:hAnsi="Times New Roman" w:eastAsia="宋体" w:cs="Times New Roman"/>
          <w:color w:val="auto"/>
          <w:sz w:val="28"/>
          <w:szCs w:val="28"/>
          <w:highlight w:val="none"/>
          <w:lang w:val="en-US" w:eastAsia="zh-CN"/>
        </w:rPr>
        <w:t>/T</w:t>
      </w:r>
      <w:r>
        <w:rPr>
          <w:rFonts w:hint="default" w:ascii="Times New Roman" w:hAnsi="Times New Roman" w:eastAsia="宋体" w:cs="Times New Roman"/>
          <w:color w:val="auto"/>
          <w:sz w:val="28"/>
          <w:szCs w:val="28"/>
          <w:highlight w:val="none"/>
        </w:rPr>
        <w:t xml:space="preserve"> 50034-20</w:t>
      </w:r>
      <w:r>
        <w:rPr>
          <w:rFonts w:hint="eastAsia" w:ascii="Times New Roman" w:hAnsi="Times New Roman" w:eastAsia="宋体" w:cs="Times New Roman"/>
          <w:color w:val="auto"/>
          <w:sz w:val="28"/>
          <w:szCs w:val="28"/>
          <w:highlight w:val="none"/>
          <w:lang w:val="en-US" w:eastAsia="zh-CN"/>
        </w:rPr>
        <w:t>24</w:t>
      </w:r>
      <w:r>
        <w:rPr>
          <w:rFonts w:hint="default" w:ascii="Times New Roman" w:hAnsi="Times New Roman" w:eastAsia="宋体" w:cs="Times New Roman"/>
          <w:color w:val="auto"/>
          <w:sz w:val="28"/>
          <w:szCs w:val="28"/>
          <w:highlight w:val="none"/>
        </w:rPr>
        <w:t>）</w:t>
      </w:r>
    </w:p>
    <w:p w14:paraId="5A323632">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《建筑物防雷设计规范》（GB 50057-2010）</w:t>
      </w:r>
    </w:p>
    <w:p w14:paraId="2C8F3460">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lang w:eastAsia="zh-CN"/>
        </w:rPr>
        <w:t>《</w:t>
      </w:r>
      <w:r>
        <w:rPr>
          <w:rFonts w:hint="default" w:ascii="Times New Roman" w:hAnsi="Times New Roman" w:eastAsia="宋体" w:cs="Times New Roman"/>
          <w:color w:val="auto"/>
          <w:sz w:val="28"/>
          <w:szCs w:val="28"/>
          <w:highlight w:val="none"/>
        </w:rPr>
        <w:t>钢结构通用规范</w:t>
      </w:r>
      <w:r>
        <w:rPr>
          <w:rFonts w:hint="default" w:ascii="Times New Roman" w:hAnsi="Times New Roman" w:eastAsia="宋体" w:cs="Times New Roman"/>
          <w:color w:val="auto"/>
          <w:sz w:val="28"/>
          <w:szCs w:val="28"/>
          <w:highlight w:val="none"/>
          <w:lang w:eastAsia="zh-CN"/>
        </w:rPr>
        <w:t>》（</w:t>
      </w:r>
      <w:r>
        <w:rPr>
          <w:rFonts w:hint="default" w:ascii="Times New Roman" w:hAnsi="Times New Roman" w:eastAsia="宋体" w:cs="Times New Roman"/>
          <w:color w:val="auto"/>
          <w:sz w:val="28"/>
          <w:szCs w:val="28"/>
          <w:highlight w:val="none"/>
        </w:rPr>
        <w:t>GB 55006-2021</w:t>
      </w:r>
      <w:r>
        <w:rPr>
          <w:rFonts w:hint="default" w:ascii="Times New Roman" w:hAnsi="Times New Roman" w:eastAsia="宋体" w:cs="Times New Roman"/>
          <w:color w:val="auto"/>
          <w:sz w:val="28"/>
          <w:szCs w:val="28"/>
          <w:highlight w:val="none"/>
          <w:lang w:eastAsia="zh-CN"/>
        </w:rPr>
        <w:t>）</w:t>
      </w:r>
    </w:p>
    <w:p w14:paraId="41C2D849">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《化学工业建（构）筑物抗震设防分类标准》（GB 50914-2013）</w:t>
      </w:r>
    </w:p>
    <w:p w14:paraId="4539BDB2">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《建筑抗震设计</w:t>
      </w:r>
      <w:r>
        <w:rPr>
          <w:rFonts w:hint="eastAsia" w:ascii="Times New Roman" w:hAnsi="Times New Roman" w:eastAsia="宋体" w:cs="Times New Roman"/>
          <w:color w:val="auto"/>
          <w:sz w:val="28"/>
          <w:szCs w:val="28"/>
          <w:highlight w:val="none"/>
          <w:lang w:val="en-US" w:eastAsia="zh-CN"/>
        </w:rPr>
        <w:t>标准</w:t>
      </w:r>
      <w:r>
        <w:rPr>
          <w:rFonts w:hint="default" w:ascii="Times New Roman" w:hAnsi="Times New Roman" w:eastAsia="宋体" w:cs="Times New Roman"/>
          <w:color w:val="auto"/>
          <w:sz w:val="28"/>
          <w:szCs w:val="28"/>
          <w:highlight w:val="none"/>
        </w:rPr>
        <w:t>（</w:t>
      </w:r>
      <w:r>
        <w:rPr>
          <w:rFonts w:hint="eastAsia" w:ascii="Times New Roman" w:hAnsi="Times New Roman" w:eastAsia="宋体" w:cs="Times New Roman"/>
          <w:color w:val="auto"/>
          <w:sz w:val="28"/>
          <w:szCs w:val="28"/>
          <w:highlight w:val="none"/>
          <w:lang w:val="en-US" w:eastAsia="zh-CN"/>
        </w:rPr>
        <w:t>2024年版</w:t>
      </w:r>
      <w:r>
        <w:rPr>
          <w:rFonts w:hint="default" w:ascii="Times New Roman" w:hAnsi="Times New Roman" w:eastAsia="宋体" w:cs="Times New Roman"/>
          <w:color w:val="auto"/>
          <w:sz w:val="28"/>
          <w:szCs w:val="28"/>
          <w:highlight w:val="none"/>
        </w:rPr>
        <w:t>）》（GB</w:t>
      </w:r>
      <w:r>
        <w:rPr>
          <w:rFonts w:hint="eastAsia" w:ascii="Times New Roman" w:hAnsi="Times New Roman" w:eastAsia="宋体" w:cs="Times New Roman"/>
          <w:color w:val="auto"/>
          <w:sz w:val="28"/>
          <w:szCs w:val="28"/>
          <w:highlight w:val="none"/>
          <w:lang w:val="en-US" w:eastAsia="zh-CN"/>
        </w:rPr>
        <w:t>/T</w:t>
      </w:r>
      <w:r>
        <w:rPr>
          <w:rFonts w:hint="default" w:ascii="Times New Roman" w:hAnsi="Times New Roman" w:eastAsia="宋体" w:cs="Times New Roman"/>
          <w:color w:val="auto"/>
          <w:sz w:val="28"/>
          <w:szCs w:val="28"/>
          <w:highlight w:val="none"/>
        </w:rPr>
        <w:t xml:space="preserve"> 50011-2010）</w:t>
      </w:r>
    </w:p>
    <w:p w14:paraId="1A82EB60">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《工业建筑防腐蚀设计标准》（GB</w:t>
      </w:r>
      <w:r>
        <w:rPr>
          <w:rFonts w:hint="eastAsia" w:ascii="Times New Roman" w:hAnsi="Times New Roman" w:eastAsia="宋体" w:cs="Times New Roman"/>
          <w:color w:val="auto"/>
          <w:sz w:val="28"/>
          <w:szCs w:val="28"/>
          <w:highlight w:val="none"/>
          <w:lang w:val="en-US" w:eastAsia="zh-CN"/>
        </w:rPr>
        <w:t>/T</w:t>
      </w:r>
      <w:r>
        <w:rPr>
          <w:rFonts w:hint="default" w:ascii="Times New Roman" w:hAnsi="Times New Roman" w:eastAsia="宋体" w:cs="Times New Roman"/>
          <w:color w:val="auto"/>
          <w:sz w:val="28"/>
          <w:szCs w:val="28"/>
          <w:highlight w:val="none"/>
        </w:rPr>
        <w:t xml:space="preserve"> 50046-2018）</w:t>
      </w:r>
    </w:p>
    <w:p w14:paraId="2209991D">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《化工采暖通风与空气调节设计规范》（HG/T 20698-2009）</w:t>
      </w:r>
    </w:p>
    <w:p w14:paraId="2000F6E2">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eastAsia" w:ascii="Times New Roman" w:hAnsi="Times New Roman" w:eastAsia="宋体" w:cs="Times New Roman"/>
          <w:color w:val="auto"/>
          <w:sz w:val="28"/>
          <w:szCs w:val="28"/>
          <w:highlight w:val="none"/>
          <w:lang w:eastAsia="zh-CN"/>
        </w:rPr>
        <w:t>《</w:t>
      </w:r>
      <w:r>
        <w:rPr>
          <w:rFonts w:hint="eastAsia" w:ascii="Times New Roman" w:hAnsi="Times New Roman" w:eastAsia="宋体" w:cs="Times New Roman"/>
          <w:color w:val="auto"/>
          <w:sz w:val="28"/>
          <w:szCs w:val="28"/>
          <w:highlight w:val="none"/>
          <w:lang w:val="en-US" w:eastAsia="zh-CN"/>
        </w:rPr>
        <w:t>石油化工采暖通风与空气调节设计规范</w:t>
      </w:r>
      <w:r>
        <w:rPr>
          <w:rFonts w:hint="eastAsia" w:ascii="Times New Roman" w:hAnsi="Times New Roman" w:eastAsia="宋体" w:cs="Times New Roman"/>
          <w:color w:val="auto"/>
          <w:sz w:val="28"/>
          <w:szCs w:val="28"/>
          <w:highlight w:val="none"/>
          <w:lang w:eastAsia="zh-CN"/>
        </w:rPr>
        <w:t>》（</w:t>
      </w:r>
      <w:r>
        <w:rPr>
          <w:rFonts w:hint="eastAsia" w:ascii="Times New Roman" w:hAnsi="Times New Roman" w:eastAsia="宋体" w:cs="Times New Roman"/>
          <w:color w:val="auto"/>
          <w:sz w:val="28"/>
          <w:szCs w:val="28"/>
          <w:highlight w:val="none"/>
          <w:lang w:val="en-US" w:eastAsia="zh-CN"/>
        </w:rPr>
        <w:t>SH/T 3004-2011</w:t>
      </w:r>
      <w:r>
        <w:rPr>
          <w:rFonts w:hint="eastAsia" w:ascii="Times New Roman" w:hAnsi="Times New Roman" w:eastAsia="宋体" w:cs="Times New Roman"/>
          <w:color w:val="auto"/>
          <w:sz w:val="28"/>
          <w:szCs w:val="28"/>
          <w:highlight w:val="none"/>
          <w:lang w:eastAsia="zh-CN"/>
        </w:rPr>
        <w:t>）</w:t>
      </w:r>
    </w:p>
    <w:p w14:paraId="593EAD5C">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《工业建筑供暖通风与空气调节设计规范》（GB 50019-2015</w:t>
      </w:r>
      <w:r>
        <w:rPr>
          <w:rFonts w:hint="eastAsia" w:ascii="Times New Roman" w:hAnsi="Times New Roman" w:eastAsia="宋体" w:cs="Times New Roman"/>
          <w:color w:val="auto"/>
          <w:sz w:val="28"/>
          <w:szCs w:val="28"/>
          <w:highlight w:val="none"/>
          <w:lang w:eastAsia="zh-CN"/>
        </w:rPr>
        <w:t>）</w:t>
      </w:r>
    </w:p>
    <w:p w14:paraId="30BA80E0">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《危险化学品重大危险源辨识》（GB 18218-2018）</w:t>
      </w:r>
    </w:p>
    <w:p w14:paraId="63F71728">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《危险化学品生产装置和储存设施风险基准》（GB 36894-2018）</w:t>
      </w:r>
    </w:p>
    <w:p w14:paraId="727D9834">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jc w:val="left"/>
        <w:textAlignment w:val="auto"/>
        <w:rPr>
          <w:rFonts w:hint="default" w:ascii="Times New Roman" w:hAnsi="Times New Roman" w:eastAsia="宋体" w:cs="Times New Roman"/>
          <w:color w:val="auto"/>
          <w:sz w:val="28"/>
          <w:szCs w:val="28"/>
          <w:highlight w:val="none"/>
          <w:lang w:val="en-US" w:eastAsia="zh-CN"/>
        </w:rPr>
      </w:pPr>
      <w:r>
        <w:rPr>
          <w:rFonts w:hint="default" w:ascii="Times New Roman" w:hAnsi="Times New Roman" w:eastAsia="宋体" w:cs="Times New Roman"/>
          <w:color w:val="auto"/>
          <w:sz w:val="28"/>
          <w:szCs w:val="28"/>
          <w:highlight w:val="none"/>
        </w:rPr>
        <w:t>《危险化学品生产装置和储存设施外部安全防护距离确定方法》（GB/T 37243-2019）</w:t>
      </w:r>
    </w:p>
    <w:p w14:paraId="0B2C1729">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《石油化工建筑物抗爆设计标准》</w:t>
      </w:r>
      <w:r>
        <w:rPr>
          <w:rFonts w:hint="default" w:ascii="Times New Roman" w:hAnsi="Times New Roman" w:eastAsia="宋体" w:cs="Times New Roman"/>
          <w:color w:val="auto"/>
          <w:sz w:val="28"/>
          <w:szCs w:val="28"/>
          <w:highlight w:val="none"/>
          <w:lang w:eastAsia="zh-CN"/>
        </w:rPr>
        <w:t>（GB/T 50779-2022）</w:t>
      </w:r>
    </w:p>
    <w:p w14:paraId="5E753877">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eastAsia" w:ascii="Times New Roman" w:hAnsi="Times New Roman" w:eastAsia="宋体" w:cs="Times New Roman"/>
          <w:color w:val="auto"/>
          <w:sz w:val="28"/>
          <w:szCs w:val="28"/>
          <w:highlight w:val="none"/>
          <w:lang w:eastAsia="zh-CN"/>
        </w:rPr>
        <w:t>《</w:t>
      </w:r>
      <w:r>
        <w:rPr>
          <w:rFonts w:hint="eastAsia" w:ascii="Times New Roman" w:hAnsi="Times New Roman" w:eastAsia="宋体" w:cs="Times New Roman"/>
          <w:color w:val="auto"/>
          <w:sz w:val="28"/>
          <w:szCs w:val="28"/>
          <w:highlight w:val="none"/>
          <w:lang w:val="en-US" w:eastAsia="zh-CN"/>
        </w:rPr>
        <w:t>控制室设计规范</w:t>
      </w:r>
      <w:r>
        <w:rPr>
          <w:rFonts w:hint="eastAsia" w:ascii="Times New Roman" w:hAnsi="Times New Roman" w:eastAsia="宋体" w:cs="Times New Roman"/>
          <w:color w:val="auto"/>
          <w:sz w:val="28"/>
          <w:szCs w:val="28"/>
          <w:highlight w:val="none"/>
          <w:lang w:eastAsia="zh-CN"/>
        </w:rPr>
        <w:t>》（</w:t>
      </w:r>
      <w:r>
        <w:rPr>
          <w:rFonts w:hint="eastAsia" w:ascii="Times New Roman" w:hAnsi="Times New Roman" w:eastAsia="宋体" w:cs="Times New Roman"/>
          <w:color w:val="auto"/>
          <w:sz w:val="28"/>
          <w:szCs w:val="28"/>
          <w:highlight w:val="none"/>
          <w:lang w:val="en-US" w:eastAsia="zh-CN"/>
        </w:rPr>
        <w:t>HG/T 20508-2014</w:t>
      </w:r>
      <w:r>
        <w:rPr>
          <w:rFonts w:hint="eastAsia" w:ascii="Times New Roman" w:hAnsi="Times New Roman" w:eastAsia="宋体" w:cs="Times New Roman"/>
          <w:color w:val="auto"/>
          <w:sz w:val="28"/>
          <w:szCs w:val="28"/>
          <w:highlight w:val="none"/>
          <w:lang w:eastAsia="zh-CN"/>
        </w:rPr>
        <w:t>）</w:t>
      </w:r>
    </w:p>
    <w:p w14:paraId="706EF677">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eastAsia" w:ascii="Times New Roman" w:hAnsi="Times New Roman" w:eastAsia="宋体" w:cs="Times New Roman"/>
          <w:color w:val="auto"/>
          <w:sz w:val="28"/>
          <w:szCs w:val="28"/>
          <w:highlight w:val="none"/>
          <w:lang w:eastAsia="zh-CN"/>
        </w:rPr>
        <w:t>《</w:t>
      </w:r>
      <w:r>
        <w:rPr>
          <w:rFonts w:hint="eastAsia" w:ascii="Times New Roman" w:hAnsi="Times New Roman" w:eastAsia="宋体" w:cs="Times New Roman"/>
          <w:color w:val="auto"/>
          <w:sz w:val="28"/>
          <w:szCs w:val="28"/>
          <w:highlight w:val="none"/>
          <w:lang w:val="en-US" w:eastAsia="zh-CN"/>
        </w:rPr>
        <w:t>消防控制室通用技术要求</w:t>
      </w:r>
      <w:r>
        <w:rPr>
          <w:rFonts w:hint="eastAsia" w:ascii="Times New Roman" w:hAnsi="Times New Roman" w:eastAsia="宋体" w:cs="Times New Roman"/>
          <w:color w:val="auto"/>
          <w:sz w:val="28"/>
          <w:szCs w:val="28"/>
          <w:highlight w:val="none"/>
          <w:lang w:eastAsia="zh-CN"/>
        </w:rPr>
        <w:t>》（</w:t>
      </w:r>
      <w:r>
        <w:rPr>
          <w:rFonts w:hint="eastAsia" w:ascii="Times New Roman" w:hAnsi="Times New Roman" w:eastAsia="宋体" w:cs="Times New Roman"/>
          <w:color w:val="auto"/>
          <w:sz w:val="28"/>
          <w:szCs w:val="28"/>
          <w:highlight w:val="none"/>
          <w:lang w:val="en-US" w:eastAsia="zh-CN"/>
        </w:rPr>
        <w:t>GB 25506-2010</w:t>
      </w:r>
      <w:r>
        <w:rPr>
          <w:rFonts w:hint="eastAsia" w:ascii="Times New Roman" w:hAnsi="Times New Roman" w:eastAsia="宋体" w:cs="Times New Roman"/>
          <w:color w:val="auto"/>
          <w:sz w:val="28"/>
          <w:szCs w:val="28"/>
          <w:highlight w:val="none"/>
          <w:lang w:eastAsia="zh-CN"/>
        </w:rPr>
        <w:t>）</w:t>
      </w:r>
    </w:p>
    <w:p w14:paraId="2C01FE9A">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《石油化工安全仪表系统设计规范》（GB/T 50770-2013）</w:t>
      </w:r>
    </w:p>
    <w:p w14:paraId="3AE49CFA">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《仓储场所消防安全管理通则》（XF1131-2014）</w:t>
      </w:r>
    </w:p>
    <w:p w14:paraId="47206F67">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《易燃易爆性商品储存养护技术条件》（GB 17914-2013）</w:t>
      </w:r>
    </w:p>
    <w:p w14:paraId="0F50AC29">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《腐蚀性商品储存养护技术条件》（GB 17915-2013）</w:t>
      </w:r>
    </w:p>
    <w:p w14:paraId="546E2753">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lang w:eastAsia="zh-CN"/>
        </w:rPr>
        <w:t>《毒害性商品储存养护技术条件》</w:t>
      </w:r>
      <w:r>
        <w:rPr>
          <w:rFonts w:hint="default" w:ascii="Times New Roman" w:hAnsi="Times New Roman" w:eastAsia="宋体" w:cs="Times New Roman"/>
          <w:color w:val="auto"/>
          <w:sz w:val="28"/>
          <w:szCs w:val="28"/>
          <w:highlight w:val="none"/>
        </w:rPr>
        <w:t>（GB 1791</w:t>
      </w:r>
      <w:r>
        <w:rPr>
          <w:rFonts w:hint="default" w:ascii="Times New Roman" w:hAnsi="Times New Roman" w:eastAsia="宋体" w:cs="Times New Roman"/>
          <w:color w:val="auto"/>
          <w:sz w:val="28"/>
          <w:szCs w:val="28"/>
          <w:highlight w:val="none"/>
          <w:lang w:val="en-US" w:eastAsia="zh-CN"/>
        </w:rPr>
        <w:t>6</w:t>
      </w:r>
      <w:r>
        <w:rPr>
          <w:rFonts w:hint="default" w:ascii="Times New Roman" w:hAnsi="Times New Roman" w:eastAsia="宋体" w:cs="Times New Roman"/>
          <w:color w:val="auto"/>
          <w:sz w:val="28"/>
          <w:szCs w:val="28"/>
          <w:highlight w:val="none"/>
        </w:rPr>
        <w:t>-2013）</w:t>
      </w:r>
    </w:p>
    <w:p w14:paraId="0A9A0EA7">
      <w:pPr>
        <w:keepNext w:val="0"/>
        <w:keepLines w:val="0"/>
        <w:pageBreakBefore w:val="0"/>
        <w:widowControl w:val="0"/>
        <w:numPr>
          <w:ilvl w:val="0"/>
          <w:numId w:val="5"/>
        </w:numPr>
        <w:tabs>
          <w:tab w:val="left" w:pos="1260"/>
          <w:tab w:val="left" w:pos="1480"/>
        </w:tabs>
        <w:kinsoku w:val="0"/>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cs="Times New Roman"/>
          <w:iCs/>
          <w:color w:val="auto"/>
          <w:sz w:val="28"/>
          <w:highlight w:val="none"/>
        </w:rPr>
      </w:pPr>
      <w:r>
        <w:rPr>
          <w:rFonts w:hint="default" w:ascii="Times New Roman" w:hAnsi="Times New Roman" w:eastAsia="宋体" w:cs="Times New Roman"/>
          <w:color w:val="auto"/>
          <w:sz w:val="28"/>
          <w:szCs w:val="28"/>
          <w:highlight w:val="none"/>
        </w:rPr>
        <w:t>《化学品安全技术说明书 内容和项目顺序》（GB 16483-2008）</w:t>
      </w:r>
    </w:p>
    <w:p w14:paraId="2441EFCD">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Times New Roman" w:cs="Times New Roman"/>
          <w:bCs/>
          <w:color w:val="auto"/>
          <w:kern w:val="2"/>
          <w:sz w:val="28"/>
          <w:szCs w:val="28"/>
          <w:highlight w:val="none"/>
          <w:lang w:eastAsia="zh-CN" w:bidi="ar-SA"/>
        </w:rPr>
      </w:pPr>
      <w:r>
        <w:rPr>
          <w:rFonts w:hint="eastAsia" w:ascii="Times New Roman" w:hAnsi="Times New Roman" w:eastAsia="宋体" w:cs="Times New Roman"/>
          <w:color w:val="auto"/>
          <w:sz w:val="28"/>
          <w:szCs w:val="28"/>
          <w:highlight w:val="none"/>
          <w:lang w:eastAsia="zh-CN"/>
        </w:rPr>
        <w:t>《</w:t>
      </w:r>
      <w:r>
        <w:rPr>
          <w:rFonts w:hint="eastAsia" w:ascii="Times New Roman" w:hAnsi="Times New Roman" w:eastAsia="宋体" w:cs="Times New Roman"/>
          <w:color w:val="auto"/>
          <w:sz w:val="28"/>
          <w:szCs w:val="28"/>
          <w:highlight w:val="none"/>
          <w:lang w:val="en-US" w:eastAsia="zh-CN"/>
        </w:rPr>
        <w:t>安全防范工程技术标准</w:t>
      </w:r>
      <w:r>
        <w:rPr>
          <w:rFonts w:hint="eastAsia" w:ascii="Times New Roman" w:hAnsi="Times New Roman" w:eastAsia="宋体" w:cs="Times New Roman"/>
          <w:color w:val="auto"/>
          <w:sz w:val="28"/>
          <w:szCs w:val="28"/>
          <w:highlight w:val="none"/>
          <w:lang w:eastAsia="zh-CN"/>
        </w:rPr>
        <w:t>》</w:t>
      </w:r>
      <w:r>
        <w:rPr>
          <w:rFonts w:hint="default" w:ascii="Times New Roman" w:hAnsi="Times New Roman" w:cs="Times New Roman"/>
          <w:color w:val="auto"/>
          <w:sz w:val="28"/>
          <w:szCs w:val="28"/>
          <w:highlight w:val="none"/>
          <w:lang w:val="en-US" w:eastAsia="zh-CN"/>
        </w:rPr>
        <w:t>（GB 50348-2018）</w:t>
      </w:r>
    </w:p>
    <w:p w14:paraId="17E14A24">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Times New Roman" w:cs="Times New Roman"/>
          <w:bCs/>
          <w:color w:val="auto"/>
          <w:kern w:val="2"/>
          <w:sz w:val="28"/>
          <w:szCs w:val="28"/>
          <w:highlight w:val="none"/>
          <w:lang w:eastAsia="zh-CN" w:bidi="ar-SA"/>
        </w:rPr>
      </w:pPr>
      <w:r>
        <w:rPr>
          <w:rFonts w:hint="default" w:ascii="Times New Roman" w:hAnsi="Times New Roman" w:eastAsia="宋体" w:cs="Times New Roman"/>
          <w:color w:val="auto"/>
          <w:sz w:val="28"/>
          <w:szCs w:val="28"/>
          <w:highlight w:val="none"/>
        </w:rPr>
        <w:t>《安全防范工程通用规范》</w:t>
      </w:r>
      <w:r>
        <w:rPr>
          <w:rFonts w:hint="eastAsia" w:ascii="Times New Roman" w:hAnsi="Times New Roman" w:eastAsia="宋体" w:cs="Times New Roman"/>
          <w:color w:val="auto"/>
          <w:sz w:val="28"/>
          <w:szCs w:val="28"/>
          <w:highlight w:val="none"/>
          <w:lang w:eastAsia="zh-CN"/>
        </w:rPr>
        <w:t>（</w:t>
      </w:r>
      <w:r>
        <w:rPr>
          <w:rFonts w:hint="default" w:ascii="Times New Roman" w:hAnsi="Times New Roman" w:eastAsia="宋体" w:cs="Times New Roman"/>
          <w:color w:val="auto"/>
          <w:sz w:val="28"/>
          <w:szCs w:val="28"/>
          <w:highlight w:val="none"/>
        </w:rPr>
        <w:t>GB 55029-2022</w:t>
      </w:r>
      <w:r>
        <w:rPr>
          <w:rFonts w:hint="eastAsia" w:ascii="Times New Roman" w:hAnsi="Times New Roman" w:eastAsia="宋体" w:cs="Times New Roman"/>
          <w:color w:val="auto"/>
          <w:sz w:val="28"/>
          <w:szCs w:val="28"/>
          <w:highlight w:val="none"/>
          <w:lang w:eastAsia="zh-CN"/>
        </w:rPr>
        <w:t>）</w:t>
      </w:r>
    </w:p>
    <w:p w14:paraId="2AF4DFF6">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lang w:val="en-US" w:eastAsia="zh-CN"/>
        </w:rPr>
      </w:pPr>
      <w:r>
        <w:rPr>
          <w:rFonts w:hint="default" w:ascii="Times New Roman" w:hAnsi="Times New Roman" w:eastAsia="宋体" w:cs="Times New Roman"/>
          <w:color w:val="auto"/>
          <w:sz w:val="28"/>
          <w:szCs w:val="28"/>
          <w:highlight w:val="none"/>
          <w:lang w:val="en-US" w:eastAsia="zh-CN"/>
        </w:rPr>
        <w:t>《视频安防监控系统工程设计规范》（GB 50395-2007）</w:t>
      </w:r>
    </w:p>
    <w:p w14:paraId="735ACFA8">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《入侵报警系统工程设计规范》（GB 50394-2007）</w:t>
      </w:r>
    </w:p>
    <w:p w14:paraId="4CA45852">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《工业设备</w:t>
      </w:r>
      <w:r>
        <w:rPr>
          <w:rFonts w:hint="eastAsia" w:ascii="Times New Roman" w:hAnsi="Times New Roman" w:eastAsia="宋体" w:cs="Times New Roman"/>
          <w:color w:val="auto"/>
          <w:sz w:val="28"/>
          <w:szCs w:val="28"/>
          <w:highlight w:val="none"/>
          <w:lang w:val="en-US" w:eastAsia="zh-CN"/>
        </w:rPr>
        <w:t>及管道绝热工程设计规范</w:t>
      </w:r>
      <w:r>
        <w:rPr>
          <w:rFonts w:hint="default" w:ascii="Times New Roman" w:hAnsi="Times New Roman" w:eastAsia="宋体" w:cs="Times New Roman"/>
          <w:color w:val="auto"/>
          <w:sz w:val="28"/>
          <w:szCs w:val="28"/>
          <w:highlight w:val="none"/>
        </w:rPr>
        <w:t>》（GB 50264-2013）</w:t>
      </w:r>
    </w:p>
    <w:p w14:paraId="62FE43A8">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《爆炸危险环境电力装置设计规范》（GB 50058-2014）</w:t>
      </w:r>
    </w:p>
    <w:p w14:paraId="2629AC2D">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《电气装置安装工程 爆炸和火灾危险环境电气装置施工及验收规范》（GB 50257-2014）</w:t>
      </w:r>
    </w:p>
    <w:p w14:paraId="037A0F08">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《20kV及以下变电所设计规范》（GB 50053-2013）</w:t>
      </w:r>
    </w:p>
    <w:p w14:paraId="2238AC23">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《供配电系统设计规范》（GB 50052-2009）</w:t>
      </w:r>
    </w:p>
    <w:p w14:paraId="0FA4ED5E">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《低压配电设计规范》（GB 50054-2011）</w:t>
      </w:r>
    </w:p>
    <w:p w14:paraId="528B2422">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《用电安全导则》（GB/T 13869-2017）</w:t>
      </w:r>
    </w:p>
    <w:p w14:paraId="33A4B3F5">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《剩余电流动作保护装置安装和运行》（GB/T 13955-2017）</w:t>
      </w:r>
    </w:p>
    <w:p w14:paraId="28E7CC77">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《石油化工静电接地设计规范》（SH/T 3097-2017）</w:t>
      </w:r>
    </w:p>
    <w:p w14:paraId="0DA76363">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《化工企业静电接地设计规程》（HG/T 20675-1990）</w:t>
      </w:r>
    </w:p>
    <w:p w14:paraId="02394334">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eastAsia" w:ascii="Times New Roman" w:hAnsi="Times New Roman" w:eastAsia="宋体" w:cs="Times New Roman"/>
          <w:color w:val="auto"/>
          <w:sz w:val="28"/>
          <w:szCs w:val="28"/>
          <w:highlight w:val="none"/>
          <w:lang w:eastAsia="zh-CN"/>
        </w:rPr>
        <w:t>《</w:t>
      </w:r>
      <w:r>
        <w:rPr>
          <w:rFonts w:hint="eastAsia" w:ascii="Times New Roman" w:hAnsi="Times New Roman" w:eastAsia="宋体" w:cs="Times New Roman"/>
          <w:color w:val="auto"/>
          <w:sz w:val="28"/>
          <w:szCs w:val="28"/>
          <w:highlight w:val="none"/>
          <w:lang w:val="en-US" w:eastAsia="zh-CN"/>
        </w:rPr>
        <w:t>防止静电事故通用要求</w:t>
      </w:r>
      <w:r>
        <w:rPr>
          <w:rFonts w:hint="eastAsia" w:ascii="Times New Roman" w:hAnsi="Times New Roman" w:eastAsia="宋体" w:cs="Times New Roman"/>
          <w:color w:val="auto"/>
          <w:sz w:val="28"/>
          <w:szCs w:val="28"/>
          <w:highlight w:val="none"/>
          <w:lang w:eastAsia="zh-CN"/>
        </w:rPr>
        <w:t>》（</w:t>
      </w:r>
      <w:r>
        <w:rPr>
          <w:rFonts w:hint="eastAsia" w:ascii="Times New Roman" w:hAnsi="Times New Roman" w:eastAsia="宋体" w:cs="Times New Roman"/>
          <w:color w:val="auto"/>
          <w:sz w:val="28"/>
          <w:szCs w:val="28"/>
          <w:highlight w:val="none"/>
          <w:lang w:val="en-US" w:eastAsia="zh-CN"/>
        </w:rPr>
        <w:t>GB 12158-2024</w:t>
      </w:r>
      <w:r>
        <w:rPr>
          <w:rFonts w:hint="eastAsia" w:ascii="Times New Roman" w:hAnsi="Times New Roman" w:eastAsia="宋体" w:cs="Times New Roman"/>
          <w:color w:val="auto"/>
          <w:sz w:val="28"/>
          <w:szCs w:val="28"/>
          <w:highlight w:val="none"/>
          <w:lang w:eastAsia="zh-CN"/>
        </w:rPr>
        <w:t>）</w:t>
      </w:r>
    </w:p>
    <w:p w14:paraId="0CBCE0C9">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《导（防）静电地面设计规范》（GB50515-2010）</w:t>
      </w:r>
    </w:p>
    <w:p w14:paraId="2FB4792F">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《系统接地的型式及安全技术要求》（GB14050-2008）</w:t>
      </w:r>
    </w:p>
    <w:p w14:paraId="7D2C117B">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《石油化工可燃气体和有毒气体检测报警设计标准》（GB/T 50493-2019）</w:t>
      </w:r>
    </w:p>
    <w:p w14:paraId="31BF80E1">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《火灾自动报警系统设计规范》（GB 50116-2013）</w:t>
      </w:r>
    </w:p>
    <w:p w14:paraId="279900D3">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lang w:eastAsia="zh-CN"/>
        </w:rPr>
        <w:t>《消防设施通用规范》（</w:t>
      </w:r>
      <w:r>
        <w:rPr>
          <w:rFonts w:hint="default" w:ascii="Times New Roman" w:hAnsi="Times New Roman" w:eastAsia="宋体" w:cs="Times New Roman"/>
          <w:color w:val="auto"/>
          <w:sz w:val="28"/>
          <w:szCs w:val="28"/>
          <w:highlight w:val="none"/>
          <w:lang w:val="en-US" w:eastAsia="zh-CN"/>
        </w:rPr>
        <w:t>GB55036-2022</w:t>
      </w:r>
      <w:r>
        <w:rPr>
          <w:rFonts w:hint="default" w:ascii="Times New Roman" w:hAnsi="Times New Roman" w:eastAsia="宋体" w:cs="Times New Roman"/>
          <w:color w:val="auto"/>
          <w:sz w:val="28"/>
          <w:szCs w:val="28"/>
          <w:highlight w:val="none"/>
          <w:lang w:eastAsia="zh-CN"/>
        </w:rPr>
        <w:t>）</w:t>
      </w:r>
    </w:p>
    <w:p w14:paraId="1885ED5F">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《消防给水及消火栓系统技术规范》（GB 50974-2014）</w:t>
      </w:r>
    </w:p>
    <w:p w14:paraId="5C878014">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eastAsia" w:ascii="Times New Roman" w:hAnsi="Times New Roman" w:eastAsia="宋体" w:cs="Times New Roman"/>
          <w:color w:val="auto"/>
          <w:sz w:val="28"/>
          <w:szCs w:val="28"/>
          <w:highlight w:val="none"/>
          <w:lang w:eastAsia="zh-CN"/>
        </w:rPr>
        <w:t>《</w:t>
      </w:r>
      <w:r>
        <w:rPr>
          <w:rFonts w:hint="eastAsia" w:ascii="Times New Roman" w:hAnsi="Times New Roman" w:eastAsia="宋体" w:cs="Times New Roman"/>
          <w:color w:val="auto"/>
          <w:sz w:val="28"/>
          <w:szCs w:val="28"/>
          <w:highlight w:val="none"/>
          <w:lang w:val="en-US" w:eastAsia="zh-CN"/>
        </w:rPr>
        <w:t>泡沫灭火系统技术标准</w:t>
      </w:r>
      <w:r>
        <w:rPr>
          <w:rFonts w:hint="eastAsia" w:ascii="Times New Roman" w:hAnsi="Times New Roman" w:eastAsia="宋体" w:cs="Times New Roman"/>
          <w:color w:val="auto"/>
          <w:sz w:val="28"/>
          <w:szCs w:val="28"/>
          <w:highlight w:val="none"/>
          <w:lang w:eastAsia="zh-CN"/>
        </w:rPr>
        <w:t>》（</w:t>
      </w:r>
      <w:r>
        <w:rPr>
          <w:rFonts w:hint="eastAsia" w:ascii="Times New Roman" w:hAnsi="Times New Roman" w:eastAsia="宋体" w:cs="Times New Roman"/>
          <w:color w:val="auto"/>
          <w:sz w:val="28"/>
          <w:szCs w:val="28"/>
          <w:highlight w:val="none"/>
          <w:lang w:val="en-US" w:eastAsia="zh-CN"/>
        </w:rPr>
        <w:t>GB 50151-2021</w:t>
      </w:r>
      <w:r>
        <w:rPr>
          <w:rFonts w:hint="eastAsia" w:ascii="Times New Roman" w:hAnsi="Times New Roman" w:eastAsia="宋体" w:cs="Times New Roman"/>
          <w:color w:val="auto"/>
          <w:sz w:val="28"/>
          <w:szCs w:val="28"/>
          <w:highlight w:val="none"/>
          <w:lang w:eastAsia="zh-CN"/>
        </w:rPr>
        <w:t>）</w:t>
      </w:r>
    </w:p>
    <w:p w14:paraId="6EE72E9B">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《建筑灭火器配置设计规范》（GB 50140-2005）</w:t>
      </w:r>
    </w:p>
    <w:p w14:paraId="15D1BFEC">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eastAsia" w:ascii="Times New Roman" w:hAnsi="Times New Roman" w:eastAsia="宋体" w:cs="Times New Roman"/>
          <w:color w:val="auto"/>
          <w:sz w:val="28"/>
          <w:szCs w:val="28"/>
          <w:highlight w:val="none"/>
          <w:lang w:eastAsia="zh-CN"/>
        </w:rPr>
        <w:t>《</w:t>
      </w:r>
      <w:r>
        <w:rPr>
          <w:rFonts w:hint="eastAsia" w:ascii="Times New Roman" w:hAnsi="Times New Roman" w:eastAsia="宋体" w:cs="Times New Roman"/>
          <w:color w:val="auto"/>
          <w:sz w:val="28"/>
          <w:szCs w:val="28"/>
          <w:highlight w:val="none"/>
          <w:lang w:val="en-US" w:eastAsia="zh-CN"/>
        </w:rPr>
        <w:t>消防应急照明和疏散指示系统</w:t>
      </w:r>
      <w:r>
        <w:rPr>
          <w:rFonts w:hint="eastAsia" w:ascii="Times New Roman" w:hAnsi="Times New Roman" w:eastAsia="宋体" w:cs="Times New Roman"/>
          <w:color w:val="auto"/>
          <w:sz w:val="28"/>
          <w:szCs w:val="28"/>
          <w:highlight w:val="none"/>
          <w:lang w:eastAsia="zh-CN"/>
        </w:rPr>
        <w:t>》（</w:t>
      </w:r>
      <w:r>
        <w:rPr>
          <w:rFonts w:hint="eastAsia" w:ascii="Times New Roman" w:hAnsi="Times New Roman" w:eastAsia="宋体" w:cs="Times New Roman"/>
          <w:color w:val="auto"/>
          <w:sz w:val="28"/>
          <w:szCs w:val="28"/>
          <w:highlight w:val="none"/>
          <w:lang w:val="en-US" w:eastAsia="zh-CN"/>
        </w:rPr>
        <w:t>GB 17945-2024</w:t>
      </w:r>
      <w:r>
        <w:rPr>
          <w:rFonts w:hint="eastAsia" w:ascii="Times New Roman" w:hAnsi="Times New Roman" w:eastAsia="宋体" w:cs="Times New Roman"/>
          <w:color w:val="auto"/>
          <w:sz w:val="28"/>
          <w:szCs w:val="28"/>
          <w:highlight w:val="none"/>
          <w:lang w:eastAsia="zh-CN"/>
        </w:rPr>
        <w:t>）</w:t>
      </w:r>
    </w:p>
    <w:p w14:paraId="3A2A91A6">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《气体防护站设计规范》（SY/T 6772-2009）</w:t>
      </w:r>
    </w:p>
    <w:p w14:paraId="67B34B37">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《固定式钢梯及平台安全要求 第1部分：钢直梯》（GB 4053.1-2009）</w:t>
      </w:r>
    </w:p>
    <w:p w14:paraId="0CB8DDD8">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《固定式钢梯及平台安全要求 第2部分：钢斜梯》（GB 4053.2-2009）</w:t>
      </w:r>
    </w:p>
    <w:p w14:paraId="3BBF9C29">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《固定式钢梯及平台安全要求 第3部分：工业防护栏杆及钢平台》（GB 4053.3-2009）</w:t>
      </w:r>
    </w:p>
    <w:p w14:paraId="40463AB9">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cs="Times New Roman"/>
          <w:iCs/>
          <w:color w:val="auto"/>
          <w:sz w:val="28"/>
          <w:highlight w:val="none"/>
        </w:rPr>
      </w:pPr>
      <w:r>
        <w:rPr>
          <w:rFonts w:hint="default" w:ascii="Times New Roman" w:hAnsi="Times New Roman" w:eastAsia="宋体" w:cs="Times New Roman"/>
          <w:color w:val="auto"/>
          <w:sz w:val="28"/>
          <w:szCs w:val="28"/>
          <w:highlight w:val="none"/>
        </w:rPr>
        <w:t xml:space="preserve">《机械安全 </w:t>
      </w:r>
      <w:r>
        <w:rPr>
          <w:rFonts w:hint="eastAsia" w:ascii="Times New Roman" w:hAnsi="Times New Roman" w:eastAsia="宋体" w:cs="Times New Roman"/>
          <w:color w:val="auto"/>
          <w:sz w:val="28"/>
          <w:szCs w:val="28"/>
          <w:highlight w:val="none"/>
          <w:lang w:val="en-US" w:eastAsia="zh-CN"/>
        </w:rPr>
        <w:t>防止人体部位挤压的最小间距</w:t>
      </w:r>
      <w:r>
        <w:rPr>
          <w:rFonts w:hint="default" w:ascii="Times New Roman" w:hAnsi="Times New Roman" w:eastAsia="宋体" w:cs="Times New Roman"/>
          <w:color w:val="auto"/>
          <w:sz w:val="28"/>
          <w:szCs w:val="28"/>
          <w:highlight w:val="none"/>
        </w:rPr>
        <w:t>》（GB</w:t>
      </w:r>
      <w:r>
        <w:rPr>
          <w:rFonts w:hint="eastAsia" w:ascii="Times New Roman" w:hAnsi="Times New Roman" w:eastAsia="宋体" w:cs="Times New Roman"/>
          <w:color w:val="auto"/>
          <w:sz w:val="28"/>
          <w:szCs w:val="28"/>
          <w:highlight w:val="none"/>
          <w:lang w:val="en-US" w:eastAsia="zh-CN"/>
        </w:rPr>
        <w:t>/T</w:t>
      </w:r>
      <w:r>
        <w:rPr>
          <w:rFonts w:hint="default" w:ascii="Times New Roman" w:hAnsi="Times New Roman" w:eastAsia="宋体" w:cs="Times New Roman"/>
          <w:color w:val="auto"/>
          <w:sz w:val="28"/>
          <w:szCs w:val="28"/>
          <w:highlight w:val="none"/>
        </w:rPr>
        <w:t xml:space="preserve"> 12265-</w:t>
      </w:r>
      <w:r>
        <w:rPr>
          <w:rFonts w:hint="eastAsia" w:ascii="Times New Roman" w:hAnsi="Times New Roman" w:eastAsia="宋体" w:cs="Times New Roman"/>
          <w:color w:val="auto"/>
          <w:sz w:val="28"/>
          <w:szCs w:val="28"/>
          <w:highlight w:val="none"/>
          <w:lang w:val="en-US" w:eastAsia="zh-CN"/>
        </w:rPr>
        <w:t>2021</w:t>
      </w:r>
      <w:r>
        <w:rPr>
          <w:rFonts w:hint="default" w:ascii="Times New Roman" w:hAnsi="Times New Roman" w:eastAsia="宋体" w:cs="Times New Roman"/>
          <w:color w:val="auto"/>
          <w:sz w:val="28"/>
          <w:szCs w:val="28"/>
          <w:highlight w:val="none"/>
        </w:rPr>
        <w:t>）</w:t>
      </w:r>
    </w:p>
    <w:p w14:paraId="226A5737">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《固定式压力容器安全技术监察规程 行业标准第1号修改单》（TSG 21-2016/XG1-2020）</w:t>
      </w:r>
    </w:p>
    <w:p w14:paraId="39DB81D3">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《工业管道的基本识别色、识别符号和安全标识》（GB 7231-2003）</w:t>
      </w:r>
    </w:p>
    <w:p w14:paraId="01366ED3">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《高处作业分级》（GB/T 3608-2008）</w:t>
      </w:r>
    </w:p>
    <w:p w14:paraId="6617F0DF">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《工作场所有害因素职业接触限值第1部分：化学有害因素》（GBZ 2.1-2019</w:t>
      </w:r>
      <w:r>
        <w:rPr>
          <w:rFonts w:hint="eastAsia" w:ascii="Times New Roman" w:hAnsi="Times New Roman" w:eastAsia="宋体" w:cs="Times New Roman"/>
          <w:color w:val="auto"/>
          <w:sz w:val="28"/>
          <w:szCs w:val="28"/>
          <w:highlight w:val="none"/>
          <w:lang w:val="en-US" w:eastAsia="zh-CN"/>
        </w:rPr>
        <w:t>/XG2-2024）（2025年5月1日实施）</w:t>
      </w:r>
    </w:p>
    <w:p w14:paraId="78BE1CA7">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《工作场所有害因素职业接触限值第2部分：物理因素》（GBZ 2.2-2007）</w:t>
      </w:r>
    </w:p>
    <w:p w14:paraId="30246A48">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《职业性接触毒物危害程度分级》（GBZ</w:t>
      </w:r>
      <w:r>
        <w:rPr>
          <w:rFonts w:hint="eastAsia" w:ascii="Times New Roman" w:hAnsi="Times New Roman" w:eastAsia="宋体" w:cs="Times New Roman"/>
          <w:color w:val="auto"/>
          <w:sz w:val="28"/>
          <w:szCs w:val="28"/>
          <w:highlight w:val="none"/>
          <w:lang w:val="en-US" w:eastAsia="zh-CN"/>
        </w:rPr>
        <w:t>/T</w:t>
      </w:r>
      <w:r>
        <w:rPr>
          <w:rFonts w:hint="default" w:ascii="Times New Roman" w:hAnsi="Times New Roman" w:eastAsia="宋体" w:cs="Times New Roman"/>
          <w:color w:val="auto"/>
          <w:sz w:val="28"/>
          <w:szCs w:val="28"/>
          <w:highlight w:val="none"/>
        </w:rPr>
        <w:t xml:space="preserve"> 230-2010）</w:t>
      </w:r>
    </w:p>
    <w:p w14:paraId="07EC4538">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w:t>
      </w:r>
      <w:r>
        <w:rPr>
          <w:rFonts w:hint="eastAsia" w:ascii="Times New Roman" w:hAnsi="Times New Roman" w:eastAsia="宋体" w:cs="Times New Roman"/>
          <w:color w:val="auto"/>
          <w:sz w:val="28"/>
          <w:szCs w:val="28"/>
          <w:highlight w:val="none"/>
          <w:lang w:val="en-US" w:eastAsia="zh-CN"/>
        </w:rPr>
        <w:t>中华人民共和国劳动部</w:t>
      </w:r>
      <w:r>
        <w:rPr>
          <w:rFonts w:hint="default" w:ascii="Times New Roman" w:hAnsi="Times New Roman" w:eastAsia="宋体" w:cs="Times New Roman"/>
          <w:color w:val="auto"/>
          <w:sz w:val="28"/>
          <w:szCs w:val="28"/>
          <w:highlight w:val="none"/>
        </w:rPr>
        <w:t>噪声作业分级》（LD 80-1995）</w:t>
      </w:r>
    </w:p>
    <w:p w14:paraId="3758B766">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《企业职工伤亡事故分类》（GB 6441-1986）</w:t>
      </w:r>
    </w:p>
    <w:p w14:paraId="6BF5E4E3">
      <w:pPr>
        <w:keepNext w:val="0"/>
        <w:keepLines w:val="0"/>
        <w:pageBreakBefore w:val="0"/>
        <w:widowControl w:val="0"/>
        <w:numPr>
          <w:ilvl w:val="0"/>
          <w:numId w:val="5"/>
        </w:numPr>
        <w:tabs>
          <w:tab w:val="left" w:pos="1260"/>
          <w:tab w:val="left" w:pos="1480"/>
        </w:tabs>
        <w:kinsoku w:val="0"/>
        <w:wordWrap/>
        <w:overflowPunct w:val="0"/>
        <w:topLinePunct w:val="0"/>
        <w:autoSpaceDE/>
        <w:autoSpaceDN/>
        <w:bidi w:val="0"/>
        <w:adjustRightInd w:val="0"/>
        <w:snapToGrid w:val="0"/>
        <w:spacing w:after="0" w:line="360" w:lineRule="auto"/>
        <w:ind w:left="0" w:leftChars="0" w:firstLine="560" w:firstLineChars="200"/>
        <w:jc w:val="left"/>
        <w:textAlignment w:val="auto"/>
        <w:rPr>
          <w:rFonts w:hint="default" w:ascii="Times New Roman" w:hAnsi="Times New Roman" w:eastAsia="宋体" w:cs="Times New Roman"/>
          <w:color w:val="auto"/>
          <w:sz w:val="28"/>
          <w:szCs w:val="28"/>
          <w:highlight w:val="none"/>
        </w:rPr>
      </w:pPr>
      <w:r>
        <w:rPr>
          <w:rFonts w:hint="eastAsia" w:ascii="Times New Roman" w:hAnsi="Times New Roman" w:eastAsia="宋体" w:cs="Times New Roman"/>
          <w:color w:val="auto"/>
          <w:sz w:val="28"/>
          <w:szCs w:val="28"/>
          <w:highlight w:val="none"/>
          <w:lang w:val="en-US" w:eastAsia="zh-CN"/>
        </w:rPr>
        <w:t>《生产过程危险和有害因素分类与代码》（GB/T13861-2022）</w:t>
      </w:r>
    </w:p>
    <w:p w14:paraId="1E0EAF28">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eastAsia" w:ascii="Times New Roman" w:hAnsi="Times New Roman" w:eastAsia="宋体" w:cs="Times New Roman"/>
          <w:color w:val="auto"/>
          <w:sz w:val="28"/>
          <w:szCs w:val="28"/>
          <w:highlight w:val="none"/>
          <w:lang w:val="en-US" w:eastAsia="zh-CN"/>
        </w:rPr>
        <w:t>《化工过程安全管理导则》（AQ/T3034-2022）</w:t>
      </w:r>
    </w:p>
    <w:p w14:paraId="6F792DAE">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eastAsia" w:ascii="Times New Roman" w:hAnsi="Times New Roman" w:eastAsia="宋体" w:cs="Times New Roman"/>
          <w:color w:val="auto"/>
          <w:sz w:val="28"/>
          <w:szCs w:val="28"/>
          <w:highlight w:val="none"/>
        </w:rPr>
        <w:t>《</w:t>
      </w:r>
      <w:r>
        <w:rPr>
          <w:rFonts w:hint="eastAsia" w:ascii="Times New Roman" w:hAnsi="Times New Roman" w:eastAsia="宋体" w:cs="Times New Roman"/>
          <w:color w:val="auto"/>
          <w:sz w:val="28"/>
          <w:szCs w:val="28"/>
          <w:highlight w:val="none"/>
          <w:lang w:eastAsia="zh-CN"/>
        </w:rPr>
        <w:t>危险化学品企业特殊作业安全规范</w:t>
      </w:r>
      <w:r>
        <w:rPr>
          <w:rFonts w:hint="eastAsia" w:ascii="Times New Roman" w:hAnsi="Times New Roman" w:eastAsia="宋体" w:cs="Times New Roman"/>
          <w:color w:val="auto"/>
          <w:sz w:val="28"/>
          <w:szCs w:val="28"/>
          <w:highlight w:val="none"/>
        </w:rPr>
        <w:t>》（GB30871-20</w:t>
      </w:r>
      <w:r>
        <w:rPr>
          <w:rFonts w:hint="eastAsia" w:ascii="Times New Roman" w:hAnsi="Times New Roman" w:eastAsia="宋体" w:cs="Times New Roman"/>
          <w:color w:val="auto"/>
          <w:sz w:val="28"/>
          <w:szCs w:val="28"/>
          <w:highlight w:val="none"/>
          <w:lang w:val="en-US" w:eastAsia="zh-CN"/>
        </w:rPr>
        <w:t>22</w:t>
      </w:r>
      <w:r>
        <w:rPr>
          <w:rFonts w:hint="eastAsia" w:ascii="Times New Roman" w:hAnsi="Times New Roman" w:eastAsia="宋体" w:cs="Times New Roman"/>
          <w:color w:val="auto"/>
          <w:sz w:val="28"/>
          <w:szCs w:val="28"/>
          <w:highlight w:val="none"/>
        </w:rPr>
        <w:t>）</w:t>
      </w:r>
    </w:p>
    <w:p w14:paraId="704387D8">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《危险化学品单位应急救援物资配备要求》（GB 30077-20</w:t>
      </w:r>
      <w:r>
        <w:rPr>
          <w:rFonts w:hint="eastAsia" w:ascii="Times New Roman" w:hAnsi="Times New Roman" w:eastAsia="宋体" w:cs="Times New Roman"/>
          <w:color w:val="auto"/>
          <w:sz w:val="28"/>
          <w:szCs w:val="28"/>
          <w:highlight w:val="none"/>
          <w:lang w:val="en-US" w:eastAsia="zh-CN"/>
        </w:rPr>
        <w:t>2</w:t>
      </w:r>
      <w:r>
        <w:rPr>
          <w:rFonts w:hint="default" w:ascii="Times New Roman" w:hAnsi="Times New Roman" w:eastAsia="宋体" w:cs="Times New Roman"/>
          <w:color w:val="auto"/>
          <w:sz w:val="28"/>
          <w:szCs w:val="28"/>
          <w:highlight w:val="none"/>
        </w:rPr>
        <w:t>3）</w:t>
      </w:r>
    </w:p>
    <w:p w14:paraId="3E0854E1">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《个体防护装备配备规范 第1部分 总则》（GB39800.1-2020）</w:t>
      </w:r>
    </w:p>
    <w:p w14:paraId="44EA51D2">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lang w:val="en-US" w:eastAsia="zh-CN"/>
        </w:rPr>
      </w:pPr>
      <w:r>
        <w:rPr>
          <w:rFonts w:hint="default" w:ascii="Times New Roman" w:hAnsi="Times New Roman" w:eastAsia="宋体" w:cs="Times New Roman"/>
          <w:color w:val="auto"/>
          <w:sz w:val="28"/>
          <w:szCs w:val="28"/>
          <w:highlight w:val="none"/>
        </w:rPr>
        <w:t>《个体防护装备配备规范 第2部分 石油、化工、天然气》（GB 39800.2-2020）</w:t>
      </w:r>
    </w:p>
    <w:p w14:paraId="3B767618">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lang w:val="en-US" w:eastAsia="zh-CN"/>
        </w:rPr>
      </w:pPr>
      <w:r>
        <w:rPr>
          <w:rFonts w:hint="default" w:ascii="Times New Roman" w:hAnsi="Times New Roman" w:eastAsia="宋体" w:cs="Times New Roman"/>
          <w:color w:val="auto"/>
          <w:sz w:val="28"/>
          <w:szCs w:val="28"/>
          <w:highlight w:val="none"/>
        </w:rPr>
        <w:t>《安全色》（GB 2893-2008）</w:t>
      </w:r>
    </w:p>
    <w:p w14:paraId="3A1974E0">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lang w:val="en-US" w:eastAsia="zh-CN"/>
        </w:rPr>
      </w:pPr>
      <w:r>
        <w:rPr>
          <w:rFonts w:hint="eastAsia" w:ascii="Times New Roman" w:hAnsi="Times New Roman" w:eastAsia="宋体" w:cs="Times New Roman"/>
          <w:color w:val="auto"/>
          <w:sz w:val="28"/>
          <w:szCs w:val="28"/>
          <w:highlight w:val="none"/>
          <w:lang w:val="en-US" w:eastAsia="zh-CN"/>
        </w:rPr>
        <w:t>《</w:t>
      </w:r>
      <w:r>
        <w:rPr>
          <w:rFonts w:hint="default" w:ascii="Times New Roman" w:hAnsi="Times New Roman" w:eastAsia="宋体" w:cs="Times New Roman"/>
          <w:color w:val="auto"/>
          <w:sz w:val="28"/>
          <w:szCs w:val="28"/>
          <w:highlight w:val="none"/>
          <w:lang w:val="en-US" w:eastAsia="zh-CN"/>
        </w:rPr>
        <w:t>图形符号 安全色和安全标志 第5部分：安全标志使用原则与要求</w:t>
      </w:r>
      <w:r>
        <w:rPr>
          <w:rFonts w:hint="eastAsia" w:ascii="Times New Roman" w:hAnsi="Times New Roman" w:eastAsia="宋体" w:cs="Times New Roman"/>
          <w:color w:val="auto"/>
          <w:sz w:val="28"/>
          <w:szCs w:val="28"/>
          <w:highlight w:val="none"/>
          <w:lang w:val="en-US" w:eastAsia="zh-CN"/>
        </w:rPr>
        <w:t>》（</w:t>
      </w:r>
      <w:r>
        <w:rPr>
          <w:rFonts w:hint="default" w:ascii="Times New Roman" w:hAnsi="Times New Roman" w:eastAsia="宋体" w:cs="Times New Roman"/>
          <w:color w:val="auto"/>
          <w:sz w:val="28"/>
          <w:szCs w:val="28"/>
          <w:highlight w:val="none"/>
          <w:lang w:val="en-US" w:eastAsia="zh-CN"/>
        </w:rPr>
        <w:t>GB/T 2893.5-2020</w:t>
      </w:r>
      <w:r>
        <w:rPr>
          <w:rFonts w:hint="eastAsia" w:ascii="Times New Roman" w:hAnsi="Times New Roman" w:eastAsia="宋体" w:cs="Times New Roman"/>
          <w:color w:val="auto"/>
          <w:sz w:val="28"/>
          <w:szCs w:val="28"/>
          <w:highlight w:val="none"/>
          <w:lang w:val="en-US" w:eastAsia="zh-CN"/>
        </w:rPr>
        <w:t>）</w:t>
      </w:r>
    </w:p>
    <w:p w14:paraId="7FCCDFB9">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《化学品作业场所安全警示标志规范》（AQ3047-2013）</w:t>
      </w:r>
    </w:p>
    <w:p w14:paraId="33A43356">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《危险化学品从业单位安全标准化通用规范》（AQ 3013-2008）</w:t>
      </w:r>
    </w:p>
    <w:p w14:paraId="5E163D27">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《安全标志及其使用导则》（GB 2894-2008）</w:t>
      </w:r>
    </w:p>
    <w:p w14:paraId="5884D640">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《消防安全标志设置要求》（GB 15630-1995）</w:t>
      </w:r>
    </w:p>
    <w:p w14:paraId="26E7FB44">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《生产经营单位生产安全事故应急预案编制导则》（GB/T 29639-2020）</w:t>
      </w:r>
    </w:p>
    <w:p w14:paraId="21A48215">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default" w:ascii="Times New Roman" w:hAnsi="Times New Roman" w:eastAsia="宋体" w:cs="Times New Roman"/>
          <w:color w:val="auto"/>
          <w:sz w:val="28"/>
          <w:szCs w:val="28"/>
          <w:highlight w:val="none"/>
        </w:rPr>
        <w:t>《生产安全事故应急演练基本规范》（</w:t>
      </w:r>
      <w:r>
        <w:rPr>
          <w:rFonts w:hint="eastAsia" w:ascii="Times New Roman" w:hAnsi="Times New Roman" w:eastAsia="宋体" w:cs="Times New Roman"/>
          <w:color w:val="auto"/>
          <w:sz w:val="28"/>
          <w:szCs w:val="28"/>
          <w:highlight w:val="none"/>
          <w:lang w:val="en-US" w:eastAsia="zh-CN"/>
        </w:rPr>
        <w:t>YJ</w:t>
      </w:r>
      <w:r>
        <w:rPr>
          <w:rFonts w:hint="default" w:ascii="Times New Roman" w:hAnsi="Times New Roman" w:eastAsia="宋体" w:cs="Times New Roman"/>
          <w:color w:val="auto"/>
          <w:sz w:val="28"/>
          <w:szCs w:val="28"/>
          <w:highlight w:val="none"/>
        </w:rPr>
        <w:t>/T 9007-2019）</w:t>
      </w:r>
    </w:p>
    <w:p w14:paraId="751B2BA7">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eastAsia" w:ascii="Times New Roman" w:hAnsi="Times New Roman" w:eastAsia="宋体" w:cs="Times New Roman"/>
          <w:color w:val="auto"/>
          <w:sz w:val="28"/>
          <w:szCs w:val="28"/>
          <w:highlight w:val="none"/>
          <w:lang w:eastAsia="zh-CN"/>
        </w:rPr>
        <w:t>《</w:t>
      </w:r>
      <w:r>
        <w:rPr>
          <w:rFonts w:hint="eastAsia" w:ascii="Times New Roman" w:hAnsi="Times New Roman" w:eastAsia="宋体" w:cs="Times New Roman"/>
          <w:color w:val="auto"/>
          <w:sz w:val="28"/>
          <w:szCs w:val="28"/>
          <w:highlight w:val="none"/>
          <w:lang w:val="en-US" w:eastAsia="zh-CN"/>
        </w:rPr>
        <w:t>生产安全事故应急演练评估规范</w:t>
      </w:r>
      <w:r>
        <w:rPr>
          <w:rFonts w:hint="eastAsia" w:ascii="Times New Roman" w:hAnsi="Times New Roman" w:eastAsia="宋体" w:cs="Times New Roman"/>
          <w:color w:val="auto"/>
          <w:sz w:val="28"/>
          <w:szCs w:val="28"/>
          <w:highlight w:val="none"/>
          <w:lang w:eastAsia="zh-CN"/>
        </w:rPr>
        <w:t>》（</w:t>
      </w:r>
      <w:r>
        <w:rPr>
          <w:rFonts w:hint="eastAsia" w:ascii="Times New Roman" w:hAnsi="Times New Roman" w:cs="Times New Roman"/>
          <w:iCs/>
          <w:color w:val="auto"/>
          <w:sz w:val="28"/>
          <w:highlight w:val="none"/>
          <w:lang w:val="en-US" w:eastAsia="zh-CN"/>
        </w:rPr>
        <w:t>YJ</w:t>
      </w:r>
      <w:r>
        <w:rPr>
          <w:rFonts w:hint="default" w:ascii="Times New Roman" w:hAnsi="Times New Roman" w:cs="Times New Roman"/>
          <w:iCs/>
          <w:color w:val="auto"/>
          <w:sz w:val="28"/>
          <w:highlight w:val="none"/>
        </w:rPr>
        <w:t>/T 900</w:t>
      </w:r>
      <w:r>
        <w:rPr>
          <w:rFonts w:hint="eastAsia" w:ascii="Times New Roman" w:hAnsi="Times New Roman" w:cs="Times New Roman"/>
          <w:iCs/>
          <w:color w:val="auto"/>
          <w:sz w:val="28"/>
          <w:highlight w:val="none"/>
          <w:lang w:val="en-US" w:eastAsia="zh-CN"/>
        </w:rPr>
        <w:t>9</w:t>
      </w:r>
      <w:r>
        <w:rPr>
          <w:rFonts w:hint="default" w:ascii="Times New Roman" w:hAnsi="Times New Roman" w:cs="Times New Roman"/>
          <w:iCs/>
          <w:color w:val="auto"/>
          <w:sz w:val="28"/>
          <w:highlight w:val="none"/>
        </w:rPr>
        <w:t>-201</w:t>
      </w:r>
      <w:r>
        <w:rPr>
          <w:rFonts w:hint="eastAsia" w:ascii="Times New Roman" w:hAnsi="Times New Roman" w:cs="Times New Roman"/>
          <w:iCs/>
          <w:color w:val="auto"/>
          <w:sz w:val="28"/>
          <w:highlight w:val="none"/>
          <w:lang w:val="en-US" w:eastAsia="zh-CN"/>
        </w:rPr>
        <w:t>5</w:t>
      </w:r>
      <w:r>
        <w:rPr>
          <w:rFonts w:hint="eastAsia" w:ascii="Times New Roman" w:hAnsi="Times New Roman" w:eastAsia="宋体" w:cs="Times New Roman"/>
          <w:color w:val="auto"/>
          <w:sz w:val="28"/>
          <w:szCs w:val="28"/>
          <w:highlight w:val="none"/>
          <w:lang w:eastAsia="zh-CN"/>
        </w:rPr>
        <w:t>）</w:t>
      </w:r>
    </w:p>
    <w:p w14:paraId="71C45247">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eastAsia" w:ascii="Times New Roman" w:hAnsi="Times New Roman" w:eastAsia="宋体" w:cs="Times New Roman"/>
          <w:color w:val="auto"/>
          <w:sz w:val="28"/>
          <w:szCs w:val="28"/>
          <w:highlight w:val="none"/>
          <w:lang w:eastAsia="zh-CN"/>
        </w:rPr>
        <w:t>《</w:t>
      </w:r>
      <w:r>
        <w:rPr>
          <w:rFonts w:hint="eastAsia" w:ascii="Times New Roman" w:hAnsi="Times New Roman" w:eastAsia="宋体" w:cs="Times New Roman"/>
          <w:color w:val="auto"/>
          <w:sz w:val="28"/>
          <w:szCs w:val="28"/>
          <w:highlight w:val="none"/>
          <w:lang w:val="en-US" w:eastAsia="zh-CN"/>
        </w:rPr>
        <w:t>生产经营单位生产安全事故应急预案评估指南</w:t>
      </w:r>
      <w:r>
        <w:rPr>
          <w:rFonts w:hint="eastAsia" w:ascii="Times New Roman" w:hAnsi="Times New Roman" w:eastAsia="宋体" w:cs="Times New Roman"/>
          <w:color w:val="auto"/>
          <w:sz w:val="28"/>
          <w:szCs w:val="28"/>
          <w:highlight w:val="none"/>
          <w:lang w:eastAsia="zh-CN"/>
        </w:rPr>
        <w:t>》（</w:t>
      </w:r>
      <w:r>
        <w:rPr>
          <w:rFonts w:hint="eastAsia" w:ascii="Times New Roman" w:hAnsi="Times New Roman" w:cs="Times New Roman"/>
          <w:iCs/>
          <w:color w:val="auto"/>
          <w:sz w:val="28"/>
          <w:highlight w:val="none"/>
          <w:lang w:val="en-US" w:eastAsia="zh-CN"/>
        </w:rPr>
        <w:t>YJ</w:t>
      </w:r>
      <w:r>
        <w:rPr>
          <w:rFonts w:hint="default" w:ascii="Times New Roman" w:hAnsi="Times New Roman" w:cs="Times New Roman"/>
          <w:iCs/>
          <w:color w:val="auto"/>
          <w:sz w:val="28"/>
          <w:highlight w:val="none"/>
        </w:rPr>
        <w:t>/T 90</w:t>
      </w:r>
      <w:r>
        <w:rPr>
          <w:rFonts w:hint="eastAsia" w:ascii="Times New Roman" w:hAnsi="Times New Roman" w:cs="Times New Roman"/>
          <w:iCs/>
          <w:color w:val="auto"/>
          <w:sz w:val="28"/>
          <w:highlight w:val="none"/>
          <w:lang w:val="en-US" w:eastAsia="zh-CN"/>
        </w:rPr>
        <w:t>11</w:t>
      </w:r>
      <w:r>
        <w:rPr>
          <w:rFonts w:hint="default" w:ascii="Times New Roman" w:hAnsi="Times New Roman" w:cs="Times New Roman"/>
          <w:iCs/>
          <w:color w:val="auto"/>
          <w:sz w:val="28"/>
          <w:highlight w:val="none"/>
        </w:rPr>
        <w:t>-201</w:t>
      </w:r>
      <w:r>
        <w:rPr>
          <w:rFonts w:hint="eastAsia" w:ascii="Times New Roman" w:hAnsi="Times New Roman" w:cs="Times New Roman"/>
          <w:iCs/>
          <w:color w:val="auto"/>
          <w:sz w:val="28"/>
          <w:highlight w:val="none"/>
          <w:lang w:val="en-US" w:eastAsia="zh-CN"/>
        </w:rPr>
        <w:t>9</w:t>
      </w:r>
      <w:r>
        <w:rPr>
          <w:rFonts w:hint="eastAsia" w:ascii="Times New Roman" w:hAnsi="Times New Roman" w:eastAsia="宋体" w:cs="Times New Roman"/>
          <w:color w:val="auto"/>
          <w:sz w:val="28"/>
          <w:szCs w:val="28"/>
          <w:highlight w:val="none"/>
          <w:lang w:eastAsia="zh-CN"/>
        </w:rPr>
        <w:t>）</w:t>
      </w:r>
    </w:p>
    <w:p w14:paraId="4C03BC38">
      <w:pPr>
        <w:keepNext w:val="0"/>
        <w:keepLines w:val="0"/>
        <w:pageBreakBefore w:val="0"/>
        <w:widowControl w:val="0"/>
        <w:numPr>
          <w:ilvl w:val="0"/>
          <w:numId w:val="5"/>
        </w:numPr>
        <w:tabs>
          <w:tab w:val="left" w:pos="1260"/>
          <w:tab w:val="left" w:pos="1480"/>
        </w:tabs>
        <w:kinsoku/>
        <w:wordWrap/>
        <w:overflowPunct/>
        <w:topLinePunct w:val="0"/>
        <w:autoSpaceDE/>
        <w:autoSpaceDN/>
        <w:bidi w:val="0"/>
        <w:adjustRightInd w:val="0"/>
        <w:snapToGrid w:val="0"/>
        <w:spacing w:after="0" w:line="360" w:lineRule="auto"/>
        <w:ind w:left="0" w:leftChars="0" w:firstLine="560" w:firstLineChars="200"/>
        <w:textAlignment w:val="auto"/>
        <w:rPr>
          <w:rFonts w:hint="default" w:ascii="Times New Roman" w:hAnsi="Times New Roman" w:eastAsia="宋体" w:cs="Times New Roman"/>
          <w:color w:val="auto"/>
          <w:sz w:val="28"/>
          <w:szCs w:val="28"/>
          <w:highlight w:val="none"/>
        </w:rPr>
      </w:pPr>
      <w:r>
        <w:rPr>
          <w:rFonts w:hint="eastAsia" w:ascii="Times New Roman" w:hAnsi="Times New Roman" w:eastAsia="宋体" w:cs="Times New Roman"/>
          <w:color w:val="auto"/>
          <w:sz w:val="28"/>
          <w:szCs w:val="28"/>
          <w:highlight w:val="none"/>
          <w:lang w:eastAsia="zh-CN"/>
        </w:rPr>
        <w:t>《</w:t>
      </w:r>
      <w:r>
        <w:rPr>
          <w:rFonts w:hint="eastAsia" w:ascii="Times New Roman" w:hAnsi="Times New Roman" w:eastAsia="宋体" w:cs="Times New Roman"/>
          <w:color w:val="auto"/>
          <w:sz w:val="28"/>
          <w:szCs w:val="28"/>
          <w:highlight w:val="none"/>
          <w:lang w:val="en-US" w:eastAsia="zh-CN"/>
        </w:rPr>
        <w:t>危险化学品事故应急救援指挥导则</w:t>
      </w:r>
      <w:r>
        <w:rPr>
          <w:rFonts w:hint="eastAsia" w:ascii="Times New Roman" w:hAnsi="Times New Roman" w:eastAsia="宋体" w:cs="Times New Roman"/>
          <w:color w:val="auto"/>
          <w:sz w:val="28"/>
          <w:szCs w:val="28"/>
          <w:highlight w:val="none"/>
          <w:lang w:eastAsia="zh-CN"/>
        </w:rPr>
        <w:t>》（</w:t>
      </w:r>
      <w:r>
        <w:rPr>
          <w:rFonts w:hint="eastAsia" w:ascii="Times New Roman" w:hAnsi="Times New Roman" w:cs="Times New Roman"/>
          <w:iCs/>
          <w:color w:val="auto"/>
          <w:sz w:val="28"/>
          <w:highlight w:val="none"/>
          <w:lang w:val="en-US" w:eastAsia="zh-CN"/>
        </w:rPr>
        <w:t>YJ</w:t>
      </w:r>
      <w:r>
        <w:rPr>
          <w:rFonts w:hint="default" w:ascii="Times New Roman" w:hAnsi="Times New Roman" w:cs="Times New Roman"/>
          <w:iCs/>
          <w:color w:val="auto"/>
          <w:sz w:val="28"/>
          <w:highlight w:val="none"/>
        </w:rPr>
        <w:t xml:space="preserve">/T </w:t>
      </w:r>
      <w:r>
        <w:rPr>
          <w:rFonts w:hint="eastAsia" w:ascii="Times New Roman" w:hAnsi="Times New Roman" w:cs="Times New Roman"/>
          <w:iCs/>
          <w:color w:val="auto"/>
          <w:sz w:val="28"/>
          <w:highlight w:val="none"/>
          <w:lang w:val="en-US" w:eastAsia="zh-CN"/>
        </w:rPr>
        <w:t>3052</w:t>
      </w:r>
      <w:r>
        <w:rPr>
          <w:rFonts w:hint="default" w:ascii="Times New Roman" w:hAnsi="Times New Roman" w:cs="Times New Roman"/>
          <w:iCs/>
          <w:color w:val="auto"/>
          <w:sz w:val="28"/>
          <w:highlight w:val="none"/>
        </w:rPr>
        <w:t>-201</w:t>
      </w:r>
      <w:r>
        <w:rPr>
          <w:rFonts w:hint="eastAsia" w:ascii="Times New Roman" w:hAnsi="Times New Roman" w:cs="Times New Roman"/>
          <w:iCs/>
          <w:color w:val="auto"/>
          <w:sz w:val="28"/>
          <w:highlight w:val="none"/>
          <w:lang w:val="en-US" w:eastAsia="zh-CN"/>
        </w:rPr>
        <w:t>5</w:t>
      </w:r>
      <w:r>
        <w:rPr>
          <w:rFonts w:hint="eastAsia" w:ascii="Times New Roman" w:hAnsi="Times New Roman" w:eastAsia="宋体" w:cs="Times New Roman"/>
          <w:color w:val="auto"/>
          <w:sz w:val="28"/>
          <w:szCs w:val="28"/>
          <w:highlight w:val="none"/>
          <w:lang w:eastAsia="zh-CN"/>
        </w:rPr>
        <w:t>）</w:t>
      </w:r>
    </w:p>
    <w:p w14:paraId="76F0AB0B">
      <w:pPr>
        <w:tabs>
          <w:tab w:val="left" w:pos="840"/>
          <w:tab w:val="left" w:pos="1260"/>
        </w:tabs>
        <w:adjustRightInd w:val="0"/>
        <w:snapToGrid w:val="0"/>
        <w:spacing w:before="156" w:beforeLines="50" w:after="156" w:afterLines="50" w:line="360" w:lineRule="auto"/>
        <w:ind w:firstLine="562" w:firstLineChars="200"/>
        <w:jc w:val="both"/>
        <w:outlineLvl w:val="2"/>
        <w:rPr>
          <w:rFonts w:ascii="Times New Roman" w:hAnsi="Times New Roman" w:eastAsia="黑体" w:cs="Times New Roman"/>
          <w:b/>
          <w:sz w:val="28"/>
          <w:szCs w:val="32"/>
          <w14:ligatures w14:val="none"/>
        </w:rPr>
      </w:pPr>
      <w:r>
        <w:rPr>
          <w:rFonts w:ascii="Times New Roman" w:hAnsi="Times New Roman" w:eastAsia="黑体" w:cs="Times New Roman"/>
          <w:b/>
          <w:sz w:val="28"/>
          <w:szCs w:val="32"/>
          <w14:ligatures w14:val="none"/>
        </w:rPr>
        <w:t>1.2.6</w:t>
      </w:r>
      <w:r>
        <w:rPr>
          <w:rFonts w:hint="eastAsia" w:ascii="Times New Roman" w:hAnsi="Times New Roman" w:eastAsia="黑体" w:cs="Times New Roman"/>
          <w:b/>
          <w:sz w:val="28"/>
          <w:szCs w:val="32"/>
          <w14:ligatures w14:val="none"/>
        </w:rPr>
        <w:t>技术文件和有关资料</w:t>
      </w:r>
    </w:p>
    <w:p w14:paraId="09DEB2EB">
      <w:pPr>
        <w:pStyle w:val="20"/>
        <w:numPr>
          <w:ilvl w:val="0"/>
          <w:numId w:val="6"/>
        </w:numPr>
        <w:tabs>
          <w:tab w:val="left" w:pos="840"/>
        </w:tabs>
        <w:adjustRightInd w:val="0"/>
        <w:snapToGrid w:val="0"/>
        <w:spacing w:after="0" w:line="360" w:lineRule="auto"/>
        <w:ind w:left="0" w:firstLine="56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lang w:eastAsia="zh-CN"/>
          <w14:ligatures w14:val="none"/>
        </w:rPr>
        <w:t>朝阳金达钛业股份有限公司</w:t>
      </w:r>
      <w:r>
        <w:rPr>
          <w:rFonts w:ascii="Times New Roman" w:hAnsi="Times New Roman" w:eastAsia="宋体" w:cs="Times New Roman"/>
          <w:sz w:val="28"/>
          <w:szCs w:val="28"/>
          <w14:ligatures w14:val="none"/>
        </w:rPr>
        <w:t>和</w:t>
      </w:r>
      <w:r>
        <w:rPr>
          <w:rFonts w:hint="eastAsia" w:ascii="Times New Roman" w:hAnsi="Times New Roman" w:eastAsia="宋体" w:cs="Times New Roman"/>
          <w:sz w:val="28"/>
          <w:szCs w:val="28"/>
          <w14:ligatures w14:val="none"/>
        </w:rPr>
        <w:t>辽宁诺诚安全科技有限公司</w:t>
      </w:r>
      <w:r>
        <w:rPr>
          <w:rFonts w:ascii="Times New Roman" w:hAnsi="Times New Roman" w:eastAsia="宋体" w:cs="Times New Roman"/>
          <w:sz w:val="28"/>
          <w:szCs w:val="28"/>
          <w14:ligatures w14:val="none"/>
        </w:rPr>
        <w:t>双方签订的《安全评价技术服务合同》；</w:t>
      </w:r>
    </w:p>
    <w:p w14:paraId="3F82A6D4">
      <w:pPr>
        <w:pStyle w:val="20"/>
        <w:numPr>
          <w:ilvl w:val="0"/>
          <w:numId w:val="6"/>
        </w:numPr>
        <w:tabs>
          <w:tab w:val="left" w:pos="840"/>
        </w:tabs>
        <w:adjustRightInd w:val="0"/>
        <w:snapToGrid w:val="0"/>
        <w:spacing w:after="0" w:line="360" w:lineRule="auto"/>
        <w:ind w:left="0" w:firstLine="56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lang w:eastAsia="zh-CN"/>
          <w14:ligatures w14:val="none"/>
        </w:rPr>
        <w:t>朝阳金达钛业股份有限公司</w:t>
      </w:r>
      <w:r>
        <w:rPr>
          <w:rFonts w:ascii="Times New Roman" w:hAnsi="Times New Roman" w:eastAsia="宋体" w:cs="Times New Roman"/>
          <w:sz w:val="28"/>
          <w:szCs w:val="28"/>
          <w14:ligatures w14:val="none"/>
        </w:rPr>
        <w:t>提供的有关书面资料、文件和数据</w:t>
      </w:r>
      <w:r>
        <w:rPr>
          <w:rFonts w:hint="eastAsia" w:ascii="Times New Roman" w:hAnsi="Times New Roman" w:eastAsia="宋体" w:cs="Times New Roman"/>
          <w:sz w:val="28"/>
          <w:szCs w:val="28"/>
          <w14:ligatures w14:val="none"/>
        </w:rPr>
        <w:t>；</w:t>
      </w:r>
    </w:p>
    <w:bookmarkEnd w:id="25"/>
    <w:bookmarkEnd w:id="26"/>
    <w:bookmarkEnd w:id="27"/>
    <w:bookmarkEnd w:id="28"/>
    <w:p w14:paraId="0A69DC82">
      <w:pPr>
        <w:adjustRightInd w:val="0"/>
        <w:snapToGrid w:val="0"/>
        <w:spacing w:before="312" w:beforeLines="100" w:after="312" w:afterLines="100" w:line="360" w:lineRule="auto"/>
        <w:jc w:val="center"/>
        <w:outlineLvl w:val="1"/>
        <w:rPr>
          <w:rFonts w:ascii="Times New Roman" w:hAnsi="Times New Roman" w:eastAsia="楷体" w:cs="黑体"/>
          <w:b/>
          <w:sz w:val="32"/>
          <w:szCs w:val="32"/>
          <w14:ligatures w14:val="none"/>
        </w:rPr>
      </w:pPr>
      <w:bookmarkStart w:id="66" w:name="_Toc492367636"/>
      <w:bookmarkStart w:id="67" w:name="_Toc163051343"/>
      <w:bookmarkStart w:id="68" w:name="_Toc286933816"/>
      <w:bookmarkStart w:id="69" w:name="_Toc268880205"/>
      <w:bookmarkStart w:id="70" w:name="_Toc527536692"/>
      <w:bookmarkStart w:id="71" w:name="_Toc425"/>
      <w:r>
        <w:rPr>
          <w:rFonts w:ascii="Times New Roman" w:hAnsi="Times New Roman" w:eastAsia="楷体" w:cs="黑体"/>
          <w:b/>
          <w:sz w:val="32"/>
          <w:szCs w:val="32"/>
          <w14:ligatures w14:val="none"/>
        </w:rPr>
        <w:t>1.3</w:t>
      </w:r>
      <w:bookmarkEnd w:id="66"/>
      <w:bookmarkEnd w:id="67"/>
      <w:bookmarkEnd w:id="68"/>
      <w:bookmarkEnd w:id="69"/>
      <w:bookmarkEnd w:id="70"/>
      <w:r>
        <w:rPr>
          <w:rFonts w:hint="default" w:ascii="Times New Roman" w:hAnsi="Times New Roman" w:eastAsia="楷体" w:cs="Times New Roman"/>
          <w:b/>
          <w:color w:val="auto"/>
          <w:kern w:val="28"/>
          <w:sz w:val="32"/>
          <w:highlight w:val="none"/>
          <w:lang w:val="en-US" w:eastAsia="zh-CN"/>
        </w:rPr>
        <w:t>评价</w:t>
      </w:r>
      <w:r>
        <w:rPr>
          <w:rFonts w:hint="eastAsia" w:ascii="Times New Roman" w:hAnsi="Times New Roman" w:eastAsia="楷体" w:cs="Times New Roman"/>
          <w:b/>
          <w:color w:val="auto"/>
          <w:kern w:val="28"/>
          <w:sz w:val="32"/>
          <w:highlight w:val="none"/>
          <w:lang w:val="en-US" w:eastAsia="zh-CN"/>
        </w:rPr>
        <w:t>对象与评价内容</w:t>
      </w:r>
      <w:bookmarkEnd w:id="71"/>
    </w:p>
    <w:p w14:paraId="3A102FFE">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sz w:val="28"/>
          <w:szCs w:val="28"/>
          <w:lang w:val="en-US" w:eastAsia="zh-CN"/>
          <w14:ligatures w14:val="none"/>
        </w:rPr>
      </w:pPr>
      <w:bookmarkStart w:id="72" w:name="_Toc178849886"/>
      <w:bookmarkStart w:id="73" w:name="_Toc169854317"/>
      <w:bookmarkStart w:id="74" w:name="_Toc167603103"/>
      <w:r>
        <w:rPr>
          <w:rFonts w:hint="eastAsia" w:ascii="Times New Roman" w:hAnsi="Times New Roman" w:eastAsia="宋体" w:cs="Times New Roman"/>
          <w:sz w:val="28"/>
          <w:szCs w:val="28"/>
          <w:lang w:eastAsia="zh-CN"/>
          <w14:ligatures w14:val="none"/>
        </w:rPr>
        <w:t>评价对象：朝阳金达钛业股份有限公司</w:t>
      </w:r>
      <w:r>
        <w:rPr>
          <w:rFonts w:hint="eastAsia" w:ascii="Times New Roman" w:hAnsi="Times New Roman" w:eastAsia="宋体" w:cs="Times New Roman"/>
          <w:sz w:val="28"/>
          <w:szCs w:val="28"/>
          <w:lang w:val="en-US" w:eastAsia="zh-CN"/>
          <w14:ligatures w14:val="none"/>
        </w:rPr>
        <w:t>有储存装置经营的盐酸、次氯酸钠、高硅四氯化钛以及无储存经营的硫酸。</w:t>
      </w:r>
    </w:p>
    <w:p w14:paraId="1A3D0B6B">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eastAsia" w:ascii="Times New Roman" w:hAnsi="Times New Roman" w:eastAsia="宋体" w:cs="Times New Roman"/>
          <w:sz w:val="28"/>
          <w:szCs w:val="28"/>
          <w14:ligatures w14:val="none"/>
        </w:rPr>
      </w:pPr>
      <w:r>
        <w:rPr>
          <w:rFonts w:hint="default" w:ascii="Times New Roman" w:hAnsi="Times New Roman" w:eastAsia="宋体" w:cs="Times New Roman"/>
          <w:sz w:val="28"/>
          <w:szCs w:val="28"/>
          <w14:ligatures w14:val="none"/>
        </w:rPr>
        <w:t>评价</w:t>
      </w:r>
      <w:r>
        <w:rPr>
          <w:rFonts w:hint="eastAsia" w:ascii="Times New Roman" w:hAnsi="Times New Roman" w:eastAsia="宋体" w:cs="Times New Roman"/>
          <w:sz w:val="28"/>
          <w:szCs w:val="28"/>
          <w:lang w:val="en-US" w:eastAsia="zh-CN"/>
          <w14:ligatures w14:val="none"/>
        </w:rPr>
        <w:t>范围</w:t>
      </w:r>
      <w:r>
        <w:rPr>
          <w:rFonts w:hint="default" w:ascii="Times New Roman" w:hAnsi="Times New Roman" w:eastAsia="宋体" w:cs="Times New Roman"/>
          <w:sz w:val="28"/>
          <w:szCs w:val="28"/>
          <w14:ligatures w14:val="none"/>
        </w:rPr>
        <w:t>：</w:t>
      </w:r>
      <w:bookmarkEnd w:id="72"/>
      <w:bookmarkEnd w:id="73"/>
      <w:bookmarkEnd w:id="74"/>
      <w:r>
        <w:rPr>
          <w:rFonts w:hint="default" w:ascii="Times New Roman" w:hAnsi="Times New Roman" w:eastAsia="宋体" w:cs="Times New Roman"/>
          <w:sz w:val="28"/>
          <w:szCs w:val="28"/>
          <w14:ligatures w14:val="none"/>
        </w:rPr>
        <w:t>经营条件及安全管理</w:t>
      </w:r>
      <w:r>
        <w:rPr>
          <w:rFonts w:hint="eastAsia" w:ascii="Times New Roman" w:hAnsi="Times New Roman" w:eastAsia="宋体" w:cs="Times New Roman"/>
          <w:sz w:val="28"/>
          <w:szCs w:val="28"/>
          <w:lang w:eastAsia="zh-CN"/>
          <w14:ligatures w14:val="none"/>
        </w:rPr>
        <w:t>、</w:t>
      </w:r>
      <w:r>
        <w:rPr>
          <w:rFonts w:hint="default" w:ascii="Times New Roman" w:hAnsi="Times New Roman" w:eastAsia="宋体" w:cs="Times New Roman"/>
          <w:sz w:val="28"/>
          <w:szCs w:val="28"/>
          <w14:ligatures w14:val="none"/>
        </w:rPr>
        <w:t>周边环境及平面布置</w:t>
      </w:r>
      <w:r>
        <w:rPr>
          <w:rFonts w:hint="eastAsia" w:ascii="Times New Roman" w:hAnsi="Times New Roman" w:eastAsia="宋体" w:cs="Times New Roman"/>
          <w:sz w:val="28"/>
          <w:szCs w:val="28"/>
          <w:lang w:eastAsia="zh-CN"/>
          <w14:ligatures w14:val="none"/>
        </w:rPr>
        <w:t>、</w:t>
      </w:r>
      <w:r>
        <w:rPr>
          <w:rFonts w:hint="eastAsia" w:ascii="Times New Roman" w:hAnsi="Times New Roman" w:eastAsia="宋体" w:cs="Times New Roman"/>
          <w:sz w:val="28"/>
          <w:szCs w:val="28"/>
          <w:lang w:val="en-US" w:eastAsia="zh-CN"/>
          <w14:ligatures w14:val="none"/>
        </w:rPr>
        <w:t>储存设施</w:t>
      </w:r>
      <w:r>
        <w:rPr>
          <w:rFonts w:hint="eastAsia" w:ascii="Times New Roman" w:hAnsi="Times New Roman" w:eastAsia="宋体" w:cs="Times New Roman"/>
          <w:sz w:val="28"/>
          <w:szCs w:val="28"/>
          <w:lang w:eastAsia="zh-CN"/>
          <w14:ligatures w14:val="none"/>
        </w:rPr>
        <w:t>、</w:t>
      </w:r>
      <w:r>
        <w:rPr>
          <w:rFonts w:hint="default" w:ascii="Times New Roman" w:hAnsi="Times New Roman" w:eastAsia="宋体" w:cs="Times New Roman"/>
          <w:sz w:val="28"/>
          <w:szCs w:val="28"/>
          <w14:ligatures w14:val="none"/>
        </w:rPr>
        <w:t>公辅工程</w:t>
      </w:r>
      <w:r>
        <w:rPr>
          <w:rFonts w:hint="eastAsia" w:ascii="Times New Roman" w:hAnsi="Times New Roman" w:eastAsia="宋体" w:cs="Times New Roman"/>
          <w:sz w:val="28"/>
          <w:szCs w:val="28"/>
          <w:lang w:val="en-US" w:eastAsia="zh-CN"/>
          <w14:ligatures w14:val="none"/>
        </w:rPr>
        <w:t>等</w:t>
      </w:r>
      <w:r>
        <w:rPr>
          <w:rFonts w:hint="eastAsia" w:ascii="Times New Roman" w:hAnsi="Times New Roman" w:eastAsia="宋体" w:cs="Times New Roman"/>
          <w:sz w:val="28"/>
          <w:szCs w:val="28"/>
          <w14:ligatures w14:val="none"/>
        </w:rPr>
        <w:t>。</w:t>
      </w:r>
    </w:p>
    <w:p w14:paraId="4C022B79">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eastAsia" w:ascii="Times New Roman" w:hAnsi="Times New Roman" w:eastAsia="宋体" w:cs="Times New Roman"/>
          <w:kern w:val="2"/>
          <w:sz w:val="28"/>
          <w:szCs w:val="28"/>
          <w:highlight w:val="yellow"/>
          <w:lang w:val="en-US" w:eastAsia="zh-CN" w:bidi="ar-SA"/>
          <w14:ligatures w14:val="none"/>
        </w:rPr>
      </w:pPr>
      <w:r>
        <w:rPr>
          <w:rFonts w:hint="eastAsia" w:ascii="Times New Roman" w:hAnsi="Times New Roman" w:eastAsia="宋体" w:cs="Times New Roman"/>
          <w:sz w:val="28"/>
          <w:szCs w:val="28"/>
          <w:lang w:val="en-US" w:eastAsia="zh-CN"/>
          <w14:ligatures w14:val="none"/>
        </w:rPr>
        <w:t>评价内容：盐酸储罐、次氯酸钠储罐、高硅四氯化钛储罐、装卸设施等。本次评价只评价储存和装卸设施，生产四氯化钛以及原料的工艺流程及其他原辅料不在本次评价范围内</w:t>
      </w:r>
      <w:r>
        <w:rPr>
          <w:rFonts w:hint="eastAsia" w:ascii="Times New Roman" w:hAnsi="Times New Roman" w:eastAsia="宋体" w:cs="Times New Roman"/>
          <w:kern w:val="2"/>
          <w:sz w:val="28"/>
          <w:szCs w:val="28"/>
          <w:highlight w:val="none"/>
          <w:lang w:val="en-US" w:eastAsia="zh-CN" w:bidi="ar-SA"/>
          <w14:ligatures w14:val="none"/>
        </w:rPr>
        <w:t>。</w:t>
      </w:r>
    </w:p>
    <w:p w14:paraId="1CB50682">
      <w:pPr>
        <w:adjustRightInd w:val="0"/>
        <w:snapToGrid w:val="0"/>
        <w:spacing w:before="312" w:beforeLines="100" w:after="312" w:afterLines="100" w:line="360" w:lineRule="auto"/>
        <w:jc w:val="center"/>
        <w:outlineLvl w:val="1"/>
        <w:rPr>
          <w:rFonts w:ascii="Times New Roman" w:hAnsi="Times New Roman" w:eastAsia="楷体" w:cs="黑体"/>
          <w:b/>
          <w:sz w:val="32"/>
          <w:szCs w:val="32"/>
          <w14:ligatures w14:val="none"/>
        </w:rPr>
      </w:pPr>
      <w:bookmarkStart w:id="75" w:name="_Toc527536693"/>
      <w:bookmarkStart w:id="76" w:name="_Toc17254"/>
      <w:bookmarkStart w:id="77" w:name="_Toc504394760"/>
      <w:bookmarkStart w:id="78" w:name="_Toc163051344"/>
      <w:r>
        <w:rPr>
          <w:rFonts w:ascii="Times New Roman" w:hAnsi="Times New Roman" w:eastAsia="楷体" w:cs="黑体"/>
          <w:b/>
          <w:sz w:val="32"/>
          <w:szCs w:val="32"/>
          <w14:ligatures w14:val="none"/>
        </w:rPr>
        <w:t>1.4评价程序</w:t>
      </w:r>
      <w:bookmarkEnd w:id="75"/>
      <w:bookmarkEnd w:id="76"/>
      <w:bookmarkEnd w:id="77"/>
      <w:bookmarkEnd w:id="78"/>
    </w:p>
    <w:p w14:paraId="67C777C0">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ascii="Times New Roman" w:hAnsi="Times New Roman" w:eastAsia="宋体" w:cs="Times New Roman"/>
          <w:sz w:val="28"/>
          <w:szCs w:val="28"/>
          <w:lang w:val="zh-CN"/>
          <w14:ligatures w14:val="none"/>
        </w:rPr>
        <w:t>安全现状评价程序为：</w:t>
      </w:r>
      <w:r>
        <w:rPr>
          <w:rFonts w:hint="eastAsia" w:ascii="Times New Roman" w:hAnsi="Times New Roman" w:eastAsia="宋体" w:cs="Times New Roman"/>
          <w:sz w:val="28"/>
          <w:szCs w:val="28"/>
          <w:lang w:val="zh-CN"/>
          <w14:ligatures w14:val="none"/>
        </w:rPr>
        <w:t>前期准备、辨识与分析危险、有害因素，划分评价单元，定性、定量评价，分析安全条件，提出安全对策措施建议，做出评价结论，编制安全评价报告</w:t>
      </w:r>
      <w:r>
        <w:rPr>
          <w:rFonts w:ascii="Times New Roman" w:hAnsi="Times New Roman" w:eastAsia="宋体" w:cs="Times New Roman"/>
          <w:sz w:val="28"/>
          <w:szCs w:val="28"/>
          <w:lang w:val="zh-CN"/>
          <w14:ligatures w14:val="none"/>
        </w:rPr>
        <w:t>等。本次安全现状评价工作程序</w:t>
      </w:r>
      <w:r>
        <w:rPr>
          <w:rFonts w:ascii="Times New Roman" w:hAnsi="Times New Roman" w:eastAsia="宋体" w:cs="Times New Roman"/>
          <w:sz w:val="28"/>
          <w:szCs w:val="28"/>
          <w14:ligatures w14:val="none"/>
        </w:rPr>
        <w:t>如图1.4-1所示。</w:t>
      </w:r>
    </w:p>
    <w:p w14:paraId="127AF20B">
      <w:pPr>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p>
    <w:p w14:paraId="7613B362">
      <w:pPr>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p>
    <w:p w14:paraId="2477D472">
      <w:pPr>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p>
    <w:p w14:paraId="395E6A8E">
      <w:pPr>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p>
    <w:p w14:paraId="63B7885E">
      <w:pPr>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p>
    <w:p w14:paraId="583B7C7C">
      <w:pPr>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p>
    <w:p w14:paraId="6E225A15">
      <w:pPr>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p>
    <w:p w14:paraId="38E88DF3">
      <w:pPr>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p>
    <w:p w14:paraId="58E7B24A">
      <w:pPr>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p>
    <w:p w14:paraId="4594AF72">
      <w:pPr>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p>
    <w:p w14:paraId="475081C6">
      <w:pPr>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p>
    <w:p w14:paraId="5E98141B">
      <w:pPr>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p>
    <w:p w14:paraId="77833760">
      <w:pPr>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p>
    <w:p w14:paraId="4AF5F9DA">
      <w:pPr>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p>
    <w:p w14:paraId="550E7EF4">
      <w:pPr>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p>
    <w:p w14:paraId="6E5ABA2A">
      <w:pPr>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r>
        <w:rPr>
          <w:sz w:val="20"/>
        </w:rPr>
        <mc:AlternateContent>
          <mc:Choice Requires="wpg">
            <w:drawing>
              <wp:anchor distT="0" distB="0" distL="114300" distR="114300" simplePos="0" relativeHeight="251663360" behindDoc="0" locked="0" layoutInCell="1" allowOverlap="1">
                <wp:simplePos x="0" y="0"/>
                <wp:positionH relativeFrom="column">
                  <wp:posOffset>1852930</wp:posOffset>
                </wp:positionH>
                <wp:positionV relativeFrom="paragraph">
                  <wp:posOffset>131445</wp:posOffset>
                </wp:positionV>
                <wp:extent cx="2001520" cy="4682490"/>
                <wp:effectExtent l="4445" t="4445" r="13335" b="18415"/>
                <wp:wrapNone/>
                <wp:docPr id="143" name="组合 143"/>
                <wp:cNvGraphicFramePr/>
                <a:graphic xmlns:a="http://schemas.openxmlformats.org/drawingml/2006/main">
                  <a:graphicData uri="http://schemas.microsoft.com/office/word/2010/wordprocessingGroup">
                    <wpg:wgp>
                      <wpg:cNvGrpSpPr/>
                      <wpg:grpSpPr>
                        <a:xfrm>
                          <a:off x="0" y="0"/>
                          <a:ext cx="2001520" cy="4682490"/>
                          <a:chOff x="17798" y="138768"/>
                          <a:chExt cx="3152" cy="7374"/>
                        </a:xfrm>
                      </wpg:grpSpPr>
                      <wps:wsp>
                        <wps:cNvPr id="57" name="矩形 57"/>
                        <wps:cNvSpPr/>
                        <wps:spPr>
                          <a:xfrm>
                            <a:off x="17817" y="138768"/>
                            <a:ext cx="3118" cy="454"/>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FCD3427">
                              <w:pPr>
                                <w:adjustRightInd w:val="0"/>
                                <w:snapToGrid w:val="0"/>
                                <w:spacing w:line="240" w:lineRule="auto"/>
                                <w:jc w:val="center"/>
                                <w:rPr>
                                  <w:rFonts w:hint="eastAsia"/>
                                  <w:snapToGrid w:val="0"/>
                                  <w:kern w:val="21"/>
                                  <w:sz w:val="24"/>
                                </w:rPr>
                              </w:pPr>
                              <w:r>
                                <w:rPr>
                                  <w:rFonts w:hint="eastAsia"/>
                                  <w:sz w:val="24"/>
                                </w:rPr>
                                <w:t>前期准备</w:t>
                              </w:r>
                            </w:p>
                          </w:txbxContent>
                        </wps:txbx>
                        <wps:bodyPr upright="1"/>
                      </wps:wsp>
                      <wps:wsp>
                        <wps:cNvPr id="76" name="直接连接符 76"/>
                        <wps:cNvCnPr/>
                        <wps:spPr>
                          <a:xfrm>
                            <a:off x="19334" y="139221"/>
                            <a:ext cx="0" cy="381"/>
                          </a:xfrm>
                          <a:prstGeom prst="line">
                            <a:avLst/>
                          </a:prstGeom>
                          <a:ln w="9525" cap="flat" cmpd="sng">
                            <a:solidFill>
                              <a:srgbClr val="000000"/>
                            </a:solidFill>
                            <a:prstDash val="solid"/>
                            <a:headEnd type="none" w="med" len="med"/>
                            <a:tailEnd type="triangle" w="med" len="med"/>
                          </a:ln>
                        </wps:spPr>
                        <wps:bodyPr upright="1"/>
                      </wps:wsp>
                      <wps:wsp>
                        <wps:cNvPr id="80" name="直接连接符 80"/>
                        <wps:cNvCnPr/>
                        <wps:spPr>
                          <a:xfrm>
                            <a:off x="19335" y="140061"/>
                            <a:ext cx="0" cy="381"/>
                          </a:xfrm>
                          <a:prstGeom prst="line">
                            <a:avLst/>
                          </a:prstGeom>
                          <a:ln w="9525" cap="flat" cmpd="sng">
                            <a:solidFill>
                              <a:srgbClr val="000000"/>
                            </a:solidFill>
                            <a:prstDash val="solid"/>
                            <a:headEnd type="none" w="med" len="med"/>
                            <a:tailEnd type="triangle" w="med" len="med"/>
                          </a:ln>
                        </wps:spPr>
                        <wps:bodyPr upright="1"/>
                      </wps:wsp>
                      <wps:wsp>
                        <wps:cNvPr id="81" name="矩形 81"/>
                        <wps:cNvSpPr/>
                        <wps:spPr>
                          <a:xfrm>
                            <a:off x="17798" y="139602"/>
                            <a:ext cx="3118" cy="454"/>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138711B">
                              <w:pPr>
                                <w:snapToGrid w:val="0"/>
                                <w:spacing w:line="240" w:lineRule="auto"/>
                                <w:jc w:val="center"/>
                                <w:rPr>
                                  <w:rFonts w:hint="eastAsia"/>
                                  <w:sz w:val="24"/>
                                </w:rPr>
                              </w:pPr>
                              <w:r>
                                <w:rPr>
                                  <w:rFonts w:hint="eastAsia" w:ascii="宋体" w:hAnsi="宋体"/>
                                  <w:color w:val="000000"/>
                                  <w:sz w:val="24"/>
                                </w:rPr>
                                <w:t>辨识与分析危险、有害因素</w:t>
                              </w:r>
                            </w:p>
                          </w:txbxContent>
                        </wps:txbx>
                        <wps:bodyPr upright="1"/>
                      </wps:wsp>
                      <wps:wsp>
                        <wps:cNvPr id="123" name="矩形 123"/>
                        <wps:cNvSpPr/>
                        <wps:spPr>
                          <a:xfrm>
                            <a:off x="17814" y="140442"/>
                            <a:ext cx="3118" cy="454"/>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3B95A53B">
                              <w:pPr>
                                <w:snapToGrid w:val="0"/>
                                <w:spacing w:line="240" w:lineRule="auto"/>
                                <w:jc w:val="center"/>
                                <w:rPr>
                                  <w:rFonts w:hint="eastAsia"/>
                                  <w:sz w:val="24"/>
                                </w:rPr>
                              </w:pPr>
                              <w:r>
                                <w:rPr>
                                  <w:rFonts w:hint="eastAsia" w:ascii="宋体" w:hAnsi="宋体"/>
                                  <w:color w:val="000000"/>
                                  <w:sz w:val="24"/>
                                </w:rPr>
                                <w:t>划分评价单元</w:t>
                              </w:r>
                            </w:p>
                          </w:txbxContent>
                        </wps:txbx>
                        <wps:bodyPr upright="1"/>
                      </wps:wsp>
                      <wps:wsp>
                        <wps:cNvPr id="125" name="矩形 125"/>
                        <wps:cNvSpPr/>
                        <wps:spPr>
                          <a:xfrm>
                            <a:off x="17817" y="141273"/>
                            <a:ext cx="3118" cy="454"/>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DFFB233">
                              <w:pPr>
                                <w:snapToGrid w:val="0"/>
                                <w:spacing w:line="240" w:lineRule="auto"/>
                                <w:jc w:val="center"/>
                                <w:rPr>
                                  <w:rFonts w:hint="eastAsia"/>
                                  <w:sz w:val="24"/>
                                </w:rPr>
                              </w:pPr>
                              <w:r>
                                <w:rPr>
                                  <w:rFonts w:hint="eastAsia" w:ascii="宋体" w:hAnsi="宋体"/>
                                  <w:color w:val="000000"/>
                                  <w:sz w:val="24"/>
                                </w:rPr>
                                <w:t>评价方法选择</w:t>
                              </w:r>
                            </w:p>
                          </w:txbxContent>
                        </wps:txbx>
                        <wps:bodyPr upright="1"/>
                      </wps:wsp>
                      <wps:wsp>
                        <wps:cNvPr id="126" name="直接连接符 126"/>
                        <wps:cNvCnPr/>
                        <wps:spPr>
                          <a:xfrm>
                            <a:off x="19330" y="140896"/>
                            <a:ext cx="0" cy="381"/>
                          </a:xfrm>
                          <a:prstGeom prst="line">
                            <a:avLst/>
                          </a:prstGeom>
                          <a:ln w="9525" cap="flat" cmpd="sng">
                            <a:solidFill>
                              <a:srgbClr val="000000"/>
                            </a:solidFill>
                            <a:prstDash val="solid"/>
                            <a:headEnd type="none" w="med" len="med"/>
                            <a:tailEnd type="triangle" w="med" len="med"/>
                          </a:ln>
                        </wps:spPr>
                        <wps:bodyPr upright="1"/>
                      </wps:wsp>
                      <wps:wsp>
                        <wps:cNvPr id="133" name="直接连接符 133"/>
                        <wps:cNvCnPr/>
                        <wps:spPr>
                          <a:xfrm>
                            <a:off x="19339" y="141727"/>
                            <a:ext cx="0" cy="381"/>
                          </a:xfrm>
                          <a:prstGeom prst="line">
                            <a:avLst/>
                          </a:prstGeom>
                          <a:ln w="9525" cap="flat" cmpd="sng">
                            <a:solidFill>
                              <a:srgbClr val="000000"/>
                            </a:solidFill>
                            <a:prstDash val="solid"/>
                            <a:headEnd type="none" w="med" len="med"/>
                            <a:tailEnd type="triangle" w="med" len="med"/>
                          </a:ln>
                        </wps:spPr>
                        <wps:bodyPr upright="1"/>
                      </wps:wsp>
                      <wps:wsp>
                        <wps:cNvPr id="134" name="矩形 134"/>
                        <wps:cNvSpPr/>
                        <wps:spPr>
                          <a:xfrm>
                            <a:off x="17804" y="142114"/>
                            <a:ext cx="3118" cy="454"/>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F66E5BB">
                              <w:pPr>
                                <w:snapToGrid w:val="0"/>
                                <w:spacing w:line="240" w:lineRule="auto"/>
                                <w:jc w:val="center"/>
                                <w:rPr>
                                  <w:rFonts w:hint="eastAsia"/>
                                  <w:sz w:val="24"/>
                                </w:rPr>
                              </w:pPr>
                              <w:r>
                                <w:rPr>
                                  <w:rFonts w:hint="eastAsia"/>
                                  <w:sz w:val="24"/>
                                </w:rPr>
                                <w:t>定性、定量评价</w:t>
                              </w:r>
                            </w:p>
                          </w:txbxContent>
                        </wps:txbx>
                        <wps:bodyPr upright="1"/>
                      </wps:wsp>
                      <wps:wsp>
                        <wps:cNvPr id="135" name="矩形 135"/>
                        <wps:cNvSpPr/>
                        <wps:spPr>
                          <a:xfrm>
                            <a:off x="17810" y="143846"/>
                            <a:ext cx="3118" cy="454"/>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50E5019E">
                              <w:pPr>
                                <w:snapToGrid w:val="0"/>
                                <w:spacing w:line="240" w:lineRule="auto"/>
                                <w:jc w:val="center"/>
                                <w:rPr>
                                  <w:rFonts w:hint="eastAsia"/>
                                  <w:sz w:val="24"/>
                                </w:rPr>
                              </w:pPr>
                              <w:r>
                                <w:rPr>
                                  <w:rFonts w:hint="eastAsia"/>
                                  <w:sz w:val="24"/>
                                </w:rPr>
                                <w:t>提出安全对策措施建议</w:t>
                              </w:r>
                            </w:p>
                          </w:txbxContent>
                        </wps:txbx>
                        <wps:bodyPr upright="1"/>
                      </wps:wsp>
                      <wps:wsp>
                        <wps:cNvPr id="136" name="直接连接符 136"/>
                        <wps:cNvCnPr/>
                        <wps:spPr>
                          <a:xfrm>
                            <a:off x="19340" y="142578"/>
                            <a:ext cx="0" cy="381"/>
                          </a:xfrm>
                          <a:prstGeom prst="line">
                            <a:avLst/>
                          </a:prstGeom>
                          <a:ln w="9525" cap="flat" cmpd="sng">
                            <a:solidFill>
                              <a:srgbClr val="000000"/>
                            </a:solidFill>
                            <a:prstDash val="solid"/>
                            <a:headEnd type="none" w="med" len="med"/>
                            <a:tailEnd type="triangle" w="med" len="med"/>
                          </a:ln>
                        </wps:spPr>
                        <wps:bodyPr upright="1"/>
                      </wps:wsp>
                      <wps:wsp>
                        <wps:cNvPr id="137" name="直接连接符 137"/>
                        <wps:cNvCnPr/>
                        <wps:spPr>
                          <a:xfrm>
                            <a:off x="19348" y="144340"/>
                            <a:ext cx="0" cy="381"/>
                          </a:xfrm>
                          <a:prstGeom prst="line">
                            <a:avLst/>
                          </a:prstGeom>
                          <a:ln w="9525" cap="flat" cmpd="sng">
                            <a:solidFill>
                              <a:srgbClr val="000000"/>
                            </a:solidFill>
                            <a:prstDash val="solid"/>
                            <a:headEnd type="none" w="med" len="med"/>
                            <a:tailEnd type="triangle" w="med" len="med"/>
                          </a:ln>
                        </wps:spPr>
                        <wps:bodyPr upright="1"/>
                      </wps:wsp>
                      <wps:wsp>
                        <wps:cNvPr id="138" name="矩形 138"/>
                        <wps:cNvSpPr/>
                        <wps:spPr>
                          <a:xfrm>
                            <a:off x="17818" y="144772"/>
                            <a:ext cx="3118" cy="454"/>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860EB93">
                              <w:pPr>
                                <w:snapToGrid w:val="0"/>
                                <w:spacing w:line="240" w:lineRule="auto"/>
                                <w:jc w:val="center"/>
                                <w:rPr>
                                  <w:rFonts w:hint="eastAsia"/>
                                  <w:sz w:val="24"/>
                                </w:rPr>
                              </w:pPr>
                              <w:r>
                                <w:rPr>
                                  <w:rFonts w:hint="eastAsia"/>
                                  <w:sz w:val="24"/>
                                </w:rPr>
                                <w:t>做出评价结论</w:t>
                              </w:r>
                            </w:p>
                          </w:txbxContent>
                        </wps:txbx>
                        <wps:bodyPr upright="1"/>
                      </wps:wsp>
                      <wps:wsp>
                        <wps:cNvPr id="139" name="矩形 139"/>
                        <wps:cNvSpPr/>
                        <wps:spPr>
                          <a:xfrm>
                            <a:off x="17832" y="145688"/>
                            <a:ext cx="3118" cy="454"/>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3F0EF415">
                              <w:pPr>
                                <w:snapToGrid w:val="0"/>
                                <w:spacing w:line="240" w:lineRule="auto"/>
                                <w:jc w:val="center"/>
                                <w:rPr>
                                  <w:rFonts w:hint="eastAsia"/>
                                  <w:sz w:val="24"/>
                                </w:rPr>
                              </w:pPr>
                              <w:r>
                                <w:rPr>
                                  <w:rFonts w:hint="eastAsia"/>
                                  <w:sz w:val="24"/>
                                </w:rPr>
                                <w:t>编制安全评价报告</w:t>
                              </w:r>
                            </w:p>
                          </w:txbxContent>
                        </wps:txbx>
                        <wps:bodyPr upright="1"/>
                      </wps:wsp>
                      <wps:wsp>
                        <wps:cNvPr id="140" name="直接连接符 140"/>
                        <wps:cNvCnPr/>
                        <wps:spPr>
                          <a:xfrm>
                            <a:off x="19348" y="145264"/>
                            <a:ext cx="0" cy="381"/>
                          </a:xfrm>
                          <a:prstGeom prst="line">
                            <a:avLst/>
                          </a:prstGeom>
                          <a:ln w="9525" cap="flat" cmpd="sng">
                            <a:solidFill>
                              <a:srgbClr val="000000"/>
                            </a:solidFill>
                            <a:prstDash val="solid"/>
                            <a:headEnd type="none" w="med" len="med"/>
                            <a:tailEnd type="triangle" w="med" len="med"/>
                          </a:ln>
                        </wps:spPr>
                        <wps:bodyPr upright="1"/>
                      </wps:wsp>
                      <wps:wsp>
                        <wps:cNvPr id="141" name="矩形 141"/>
                        <wps:cNvSpPr/>
                        <wps:spPr>
                          <a:xfrm>
                            <a:off x="17813" y="142972"/>
                            <a:ext cx="3118" cy="454"/>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840BF09">
                              <w:pPr>
                                <w:snapToGrid w:val="0"/>
                                <w:spacing w:line="240" w:lineRule="auto"/>
                                <w:jc w:val="center"/>
                                <w:rPr>
                                  <w:rFonts w:hint="default" w:eastAsia="宋体"/>
                                  <w:sz w:val="24"/>
                                  <w:lang w:val="en-US" w:eastAsia="zh-CN"/>
                                </w:rPr>
                              </w:pPr>
                              <w:r>
                                <w:rPr>
                                  <w:rFonts w:hint="eastAsia"/>
                                  <w:sz w:val="24"/>
                                  <w:lang w:val="en-US" w:eastAsia="zh-CN"/>
                                </w:rPr>
                                <w:t>分析安全条件</w:t>
                              </w:r>
                            </w:p>
                          </w:txbxContent>
                        </wps:txbx>
                        <wps:bodyPr upright="1"/>
                      </wps:wsp>
                      <wps:wsp>
                        <wps:cNvPr id="142" name="直接连接符 142"/>
                        <wps:cNvCnPr/>
                        <wps:spPr>
                          <a:xfrm>
                            <a:off x="19363" y="143418"/>
                            <a:ext cx="0" cy="381"/>
                          </a:xfrm>
                          <a:prstGeom prst="line">
                            <a:avLst/>
                          </a:prstGeom>
                          <a:ln w="9525" cap="flat" cmpd="sng">
                            <a:solidFill>
                              <a:srgbClr val="000000"/>
                            </a:solidFill>
                            <a:prstDash val="solid"/>
                            <a:headEnd type="none" w="med" len="med"/>
                            <a:tailEnd type="triangle" w="med" len="med"/>
                          </a:ln>
                        </wps:spPr>
                        <wps:bodyPr upright="1"/>
                      </wps:wsp>
                    </wpg:wgp>
                  </a:graphicData>
                </a:graphic>
              </wp:anchor>
            </w:drawing>
          </mc:Choice>
          <mc:Fallback>
            <w:pict>
              <v:group id="_x0000_s1026" o:spid="_x0000_s1026" o:spt="203" style="position:absolute;left:0pt;margin-left:145.9pt;margin-top:10.35pt;height:368.7pt;width:157.6pt;z-index:251663360;mso-width-relative:page;mso-height-relative:page;" coordorigin="17798,138768" coordsize="3152,7374" o:gfxdata="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">
                <o:lock v:ext="edit" aspectratio="f"/>
                <v:rect id="_x0000_s1026" o:spid="_x0000_s1026" o:spt="1" style="position:absolute;left:17817;top:138768;height:454;width:3118;" fillcolor="#FFFFFF" filled="t" stroked="t" coordsize="21600,21600" o:gfxdata="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cHz8lvQAA&#10;ANs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14:paraId="1FCD3427">
                        <w:pPr>
                          <w:adjustRightInd w:val="0"/>
                          <w:snapToGrid w:val="0"/>
                          <w:spacing w:line="240" w:lineRule="auto"/>
                          <w:jc w:val="center"/>
                          <w:rPr>
                            <w:rFonts w:hint="eastAsia"/>
                            <w:snapToGrid w:val="0"/>
                            <w:kern w:val="21"/>
                            <w:sz w:val="24"/>
                          </w:rPr>
                        </w:pPr>
                        <w:r>
                          <w:rPr>
                            <w:rFonts w:hint="eastAsia"/>
                            <w:sz w:val="24"/>
                          </w:rPr>
                          <w:t>前期准备</w:t>
                        </w:r>
                      </w:p>
                    </w:txbxContent>
                  </v:textbox>
                </v:rect>
                <v:line id="_x0000_s1026" o:spid="_x0000_s1026" o:spt="20" style="position:absolute;left:19334;top:139221;height:381;width:0;" filled="f" stroked="t" coordsize="21600,21600" o:gfxdata="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NMk5L4A&#10;AADb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line>
                <v:line id="_x0000_s1026" o:spid="_x0000_s1026" o:spt="20" style="position:absolute;left:19335;top:140061;height:381;width:0;" filled="f" stroked="t" coordsize="21600,21600" o:gfxdata="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aNpLLsAAADb&#10;AAAADwAAAAAAAAABACAAAAAiAAAAZHJzL2Rvd25yZXYueG1sUEsBAhQAFAAAAAgAh07iQDMvBZ47&#10;AAAAOQAAABAAAAAAAAAAAQAgAAAACgEAAGRycy9zaGFwZXhtbC54bWxQSwUGAAAAAAYABgBbAQAA&#10;tAMAAAAA&#10;">
                  <v:fill on="f" focussize="0,0"/>
                  <v:stroke color="#000000" joinstyle="round" endarrow="block"/>
                  <v:imagedata o:title=""/>
                  <o:lock v:ext="edit" aspectratio="f"/>
                </v:line>
                <v:rect id="_x0000_s1026" o:spid="_x0000_s1026" o:spt="1" style="position:absolute;left:17798;top:139602;height:454;width:3118;" fillcolor="#FFFFFF" filled="t" stroked="t" coordsize="21600,21600" o:gfxdata="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toujb4A&#10;AADb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14:paraId="1138711B">
                        <w:pPr>
                          <w:snapToGrid w:val="0"/>
                          <w:spacing w:line="240" w:lineRule="auto"/>
                          <w:jc w:val="center"/>
                          <w:rPr>
                            <w:rFonts w:hint="eastAsia"/>
                            <w:sz w:val="24"/>
                          </w:rPr>
                        </w:pPr>
                        <w:r>
                          <w:rPr>
                            <w:rFonts w:hint="eastAsia" w:ascii="宋体" w:hAnsi="宋体"/>
                            <w:color w:val="000000"/>
                            <w:sz w:val="24"/>
                          </w:rPr>
                          <w:t>辨识与分析危险、有害因素</w:t>
                        </w:r>
                      </w:p>
                    </w:txbxContent>
                  </v:textbox>
                </v:rect>
                <v:rect id="_x0000_s1026" o:spid="_x0000_s1026" o:spt="1" style="position:absolute;left:17814;top:140442;height:454;width:3118;" fillcolor="#FFFFFF" filled="t" stroked="t" coordsize="21600,21600" o:gfxdata="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7lroIugAAANwA&#10;AAAPAAAAAAAAAAEAIAAAACIAAABkcnMvZG93bnJldi54bWxQSwECFAAUAAAACACHTuJAMy8FnjsA&#10;AAA5AAAAEAAAAAAAAAABACAAAAAJAQAAZHJzL3NoYXBleG1sLnhtbFBLBQYAAAAABgAGAFsBAACz&#10;AwAAAAA=&#10;">
                  <v:fill on="t" focussize="0,0"/>
                  <v:stroke color="#000000" joinstyle="miter"/>
                  <v:imagedata o:title=""/>
                  <o:lock v:ext="edit" aspectratio="f"/>
                  <v:textbox>
                    <w:txbxContent>
                      <w:p w14:paraId="3B95A53B">
                        <w:pPr>
                          <w:snapToGrid w:val="0"/>
                          <w:spacing w:line="240" w:lineRule="auto"/>
                          <w:jc w:val="center"/>
                          <w:rPr>
                            <w:rFonts w:hint="eastAsia"/>
                            <w:sz w:val="24"/>
                          </w:rPr>
                        </w:pPr>
                        <w:r>
                          <w:rPr>
                            <w:rFonts w:hint="eastAsia" w:ascii="宋体" w:hAnsi="宋体"/>
                            <w:color w:val="000000"/>
                            <w:sz w:val="24"/>
                          </w:rPr>
                          <w:t>划分评价单元</w:t>
                        </w:r>
                      </w:p>
                    </w:txbxContent>
                  </v:textbox>
                </v:rect>
                <v:rect id="_x0000_s1026" o:spid="_x0000_s1026" o:spt="1" style="position:absolute;left:17817;top:141273;height:454;width:3118;" fillcolor="#FFFFFF" filled="t" stroked="t" coordsize="21600,21600" o:gfxdata="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szh+e8AAAA&#10;3A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14:paraId="6DFFB233">
                        <w:pPr>
                          <w:snapToGrid w:val="0"/>
                          <w:spacing w:line="240" w:lineRule="auto"/>
                          <w:jc w:val="center"/>
                          <w:rPr>
                            <w:rFonts w:hint="eastAsia"/>
                            <w:sz w:val="24"/>
                          </w:rPr>
                        </w:pPr>
                        <w:r>
                          <w:rPr>
                            <w:rFonts w:hint="eastAsia" w:ascii="宋体" w:hAnsi="宋体"/>
                            <w:color w:val="000000"/>
                            <w:sz w:val="24"/>
                          </w:rPr>
                          <w:t>评价方法选择</w:t>
                        </w:r>
                      </w:p>
                    </w:txbxContent>
                  </v:textbox>
                </v:rect>
                <v:line id="_x0000_s1026" o:spid="_x0000_s1026" o:spt="20" style="position:absolute;left:19330;top:140896;height:381;width:0;" filled="f" stroked="t" coordsize="21600,21600" o:gfxdata="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2tnzm8AAAA&#10;3AAAAA8AAAAAAAAAAQAgAAAAIgAAAGRycy9kb3ducmV2LnhtbFBLAQIUABQAAAAIAIdO4kAzLwWe&#10;OwAAADkAAAAQAAAAAAAAAAEAIAAAAAsBAABkcnMvc2hhcGV4bWwueG1sUEsFBgAAAAAGAAYAWwEA&#10;ALUDAAAAAA==&#10;">
                  <v:fill on="f" focussize="0,0"/>
                  <v:stroke color="#000000" joinstyle="round" endarrow="block"/>
                  <v:imagedata o:title=""/>
                  <o:lock v:ext="edit" aspectratio="f"/>
                </v:line>
                <v:line id="_x0000_s1026" o:spid="_x0000_s1026" o:spt="20" style="position:absolute;left:19339;top:141727;height:381;width:0;" filled="f" stroked="t" coordsize="21600,21600" o:gfxdata="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A6p8vQAA&#10;ANw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line>
                <v:rect id="_x0000_s1026" o:spid="_x0000_s1026" o:spt="1" style="position:absolute;left:17804;top:142114;height:454;width:3118;" fillcolor="#FFFFFF" filled="t" stroked="t" coordsize="21600,21600" o:gfxdata="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aa0obsAAADc&#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14:paraId="2F66E5BB">
                        <w:pPr>
                          <w:snapToGrid w:val="0"/>
                          <w:spacing w:line="240" w:lineRule="auto"/>
                          <w:jc w:val="center"/>
                          <w:rPr>
                            <w:rFonts w:hint="eastAsia"/>
                            <w:sz w:val="24"/>
                          </w:rPr>
                        </w:pPr>
                        <w:r>
                          <w:rPr>
                            <w:rFonts w:hint="eastAsia"/>
                            <w:sz w:val="24"/>
                          </w:rPr>
                          <w:t>定性、定量评价</w:t>
                        </w:r>
                      </w:p>
                    </w:txbxContent>
                  </v:textbox>
                </v:rect>
                <v:rect id="_x0000_s1026" o:spid="_x0000_s1026" o:spt="1" style="position:absolute;left:17810;top:143846;height:454;width:3118;" fillcolor="#FFFFFF" filled="t" stroked="t" coordsize="21600,21600" o:gfxdata="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XuoROrsAAADc&#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14:paraId="50E5019E">
                        <w:pPr>
                          <w:snapToGrid w:val="0"/>
                          <w:spacing w:line="240" w:lineRule="auto"/>
                          <w:jc w:val="center"/>
                          <w:rPr>
                            <w:rFonts w:hint="eastAsia"/>
                            <w:sz w:val="24"/>
                          </w:rPr>
                        </w:pPr>
                        <w:r>
                          <w:rPr>
                            <w:rFonts w:hint="eastAsia"/>
                            <w:sz w:val="24"/>
                          </w:rPr>
                          <w:t>提出安全对策措施建议</w:t>
                        </w:r>
                      </w:p>
                    </w:txbxContent>
                  </v:textbox>
                </v:rect>
                <v:line id="_x0000_s1026" o:spid="_x0000_s1026" o:spt="20" style="position:absolute;left:19340;top:142578;height:381;width:0;" filled="f" stroked="t" coordsize="21600,21600" o:gfxdata="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IdAnkvQAA&#10;ANw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line>
                <v:line id="_x0000_s1026" o:spid="_x0000_s1026" o:spt="20" style="position:absolute;left:19348;top:144340;height:381;width:0;" filled="f" stroked="t" coordsize="21600,21600" o:gfxdata="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nOKx/vQAA&#10;ANw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line>
                <v:rect id="_x0000_s1026" o:spid="_x0000_s1026" o:spt="1" style="position:absolute;left:17818;top:144772;height:454;width:3118;" fillcolor="#FFFFFF" filled="t" stroked="t" coordsize="21600,21600" o:gfxdata="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76kvQAA&#10;ANw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14:paraId="6860EB93">
                        <w:pPr>
                          <w:snapToGrid w:val="0"/>
                          <w:spacing w:line="240" w:lineRule="auto"/>
                          <w:jc w:val="center"/>
                          <w:rPr>
                            <w:rFonts w:hint="eastAsia"/>
                            <w:sz w:val="24"/>
                          </w:rPr>
                        </w:pPr>
                        <w:r>
                          <w:rPr>
                            <w:rFonts w:hint="eastAsia"/>
                            <w:sz w:val="24"/>
                          </w:rPr>
                          <w:t>做出评价结论</w:t>
                        </w:r>
                      </w:p>
                    </w:txbxContent>
                  </v:textbox>
                </v:rect>
                <v:rect id="_x0000_s1026" o:spid="_x0000_s1026" o:spt="1" style="position:absolute;left:17832;top:145688;height:454;width:3118;" fillcolor="#FFFFFF" filled="t" stroked="t" coordsize="21600,21600" o:gfxdata="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36cbP7sAAADc&#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14:paraId="3F0EF415">
                        <w:pPr>
                          <w:snapToGrid w:val="0"/>
                          <w:spacing w:line="240" w:lineRule="auto"/>
                          <w:jc w:val="center"/>
                          <w:rPr>
                            <w:rFonts w:hint="eastAsia"/>
                            <w:sz w:val="24"/>
                          </w:rPr>
                        </w:pPr>
                        <w:r>
                          <w:rPr>
                            <w:rFonts w:hint="eastAsia"/>
                            <w:sz w:val="24"/>
                          </w:rPr>
                          <w:t>编制安全评价报告</w:t>
                        </w:r>
                      </w:p>
                    </w:txbxContent>
                  </v:textbox>
                </v:rect>
                <v:line id="_x0000_s1026" o:spid="_x0000_s1026" o:spt="20" style="position:absolute;left:19348;top:145264;height:381;width:0;" filled="f" stroked="t" coordsize="21600,21600" o:gfxdata="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w10d2&#10;wAAAANwAAAAPAAAAAAAAAAEAIAAAACIAAABkcnMvZG93bnJldi54bWxQSwECFAAUAAAACACHTuJA&#10;My8FnjsAAAA5AAAAEAAAAAAAAAABACAAAAAPAQAAZHJzL3NoYXBleG1sLnhtbFBLBQYAAAAABgAG&#10;AFsBAAC5AwAAAAA=&#10;">
                  <v:fill on="f" focussize="0,0"/>
                  <v:stroke color="#000000" joinstyle="round" endarrow="block"/>
                  <v:imagedata o:title=""/>
                  <o:lock v:ext="edit" aspectratio="f"/>
                </v:line>
                <v:rect id="_x0000_s1026" o:spid="_x0000_s1026" o:spt="1" style="position:absolute;left:17813;top:142972;height:454;width:3118;" fillcolor="#FFFFFF" filled="t" stroked="t" coordsize="21600,21600" o:gfxdata="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eddkRLsAAADc&#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14:paraId="2840BF09">
                        <w:pPr>
                          <w:snapToGrid w:val="0"/>
                          <w:spacing w:line="240" w:lineRule="auto"/>
                          <w:jc w:val="center"/>
                          <w:rPr>
                            <w:rFonts w:hint="default" w:eastAsia="宋体"/>
                            <w:sz w:val="24"/>
                            <w:lang w:val="en-US" w:eastAsia="zh-CN"/>
                          </w:rPr>
                        </w:pPr>
                        <w:r>
                          <w:rPr>
                            <w:rFonts w:hint="eastAsia"/>
                            <w:sz w:val="24"/>
                            <w:lang w:val="en-US" w:eastAsia="zh-CN"/>
                          </w:rPr>
                          <w:t>分析安全条件</w:t>
                        </w:r>
                      </w:p>
                    </w:txbxContent>
                  </v:textbox>
                </v:rect>
                <v:line id="_x0000_s1026" o:spid="_x0000_s1026" o:spt="20" style="position:absolute;left:19363;top:143418;height:381;width:0;" filled="f" stroked="t" coordsize="21600,21600" o:gfxdata="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70l8mr4A&#10;AADc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line>
              </v:group>
            </w:pict>
          </mc:Fallback>
        </mc:AlternateContent>
      </w:r>
    </w:p>
    <w:p w14:paraId="5C849DC5">
      <w:pPr>
        <w:adjustRightInd w:val="0"/>
        <w:snapToGrid w:val="0"/>
        <w:spacing w:before="156" w:beforeLines="50" w:after="156" w:afterLines="50" w:line="240" w:lineRule="auto"/>
        <w:jc w:val="both"/>
        <w:rPr>
          <w:rFonts w:hint="eastAsia" w:ascii="Times New Roman" w:hAnsi="Times New Roman" w:eastAsia="黑体" w:cs="Times New Roman"/>
          <w:sz w:val="24"/>
          <w14:ligatures w14:val="none"/>
        </w:rPr>
      </w:pPr>
    </w:p>
    <w:p w14:paraId="70870EDE">
      <w:pPr>
        <w:adjustRightInd w:val="0"/>
        <w:snapToGrid w:val="0"/>
        <w:spacing w:before="156" w:beforeLines="50" w:after="156" w:afterLines="50" w:line="240" w:lineRule="auto"/>
        <w:jc w:val="both"/>
        <w:rPr>
          <w:rFonts w:hint="eastAsia" w:ascii="Times New Roman" w:hAnsi="Times New Roman" w:eastAsia="黑体" w:cs="Times New Roman"/>
          <w:sz w:val="24"/>
          <w14:ligatures w14:val="none"/>
        </w:rPr>
      </w:pPr>
    </w:p>
    <w:p w14:paraId="2F350E58">
      <w:pPr>
        <w:adjustRightInd w:val="0"/>
        <w:snapToGrid w:val="0"/>
        <w:spacing w:before="156" w:beforeLines="50" w:after="156" w:afterLines="50" w:line="240" w:lineRule="auto"/>
        <w:jc w:val="both"/>
        <w:rPr>
          <w:rFonts w:hint="eastAsia" w:ascii="Times New Roman" w:hAnsi="Times New Roman" w:eastAsia="黑体" w:cs="Times New Roman"/>
          <w:sz w:val="24"/>
          <w14:ligatures w14:val="none"/>
        </w:rPr>
      </w:pPr>
    </w:p>
    <w:p w14:paraId="4968B393">
      <w:pPr>
        <w:adjustRightInd w:val="0"/>
        <w:snapToGrid w:val="0"/>
        <w:spacing w:before="156" w:beforeLines="50" w:after="156" w:afterLines="50" w:line="240" w:lineRule="auto"/>
        <w:jc w:val="both"/>
        <w:rPr>
          <w:rFonts w:hint="eastAsia" w:ascii="Times New Roman" w:hAnsi="Times New Roman" w:eastAsia="黑体" w:cs="Times New Roman"/>
          <w:sz w:val="24"/>
          <w14:ligatures w14:val="none"/>
        </w:rPr>
      </w:pPr>
    </w:p>
    <w:p w14:paraId="5F25F63E">
      <w:pPr>
        <w:adjustRightInd w:val="0"/>
        <w:snapToGrid w:val="0"/>
        <w:spacing w:before="156" w:beforeLines="50" w:after="156" w:afterLines="50" w:line="240" w:lineRule="auto"/>
        <w:jc w:val="both"/>
        <w:rPr>
          <w:rFonts w:hint="eastAsia" w:ascii="Times New Roman" w:hAnsi="Times New Roman" w:eastAsia="黑体" w:cs="Times New Roman"/>
          <w:sz w:val="24"/>
          <w14:ligatures w14:val="none"/>
        </w:rPr>
      </w:pPr>
    </w:p>
    <w:p w14:paraId="5A3C009E">
      <w:pPr>
        <w:adjustRightInd w:val="0"/>
        <w:snapToGrid w:val="0"/>
        <w:spacing w:before="156" w:beforeLines="50" w:after="156" w:afterLines="50" w:line="240" w:lineRule="auto"/>
        <w:jc w:val="both"/>
        <w:rPr>
          <w:rFonts w:hint="eastAsia" w:ascii="Times New Roman" w:hAnsi="Times New Roman" w:eastAsia="黑体" w:cs="Times New Roman"/>
          <w:sz w:val="24"/>
          <w14:ligatures w14:val="none"/>
        </w:rPr>
      </w:pPr>
    </w:p>
    <w:p w14:paraId="01EFFCB5">
      <w:pPr>
        <w:adjustRightInd w:val="0"/>
        <w:snapToGrid w:val="0"/>
        <w:spacing w:before="156" w:beforeLines="50" w:after="156" w:afterLines="50" w:line="240" w:lineRule="auto"/>
        <w:jc w:val="both"/>
        <w:rPr>
          <w:rFonts w:hint="eastAsia" w:ascii="Times New Roman" w:hAnsi="Times New Roman" w:eastAsia="黑体" w:cs="Times New Roman"/>
          <w:sz w:val="24"/>
          <w14:ligatures w14:val="none"/>
        </w:rPr>
      </w:pPr>
    </w:p>
    <w:p w14:paraId="279D5609">
      <w:pPr>
        <w:adjustRightInd w:val="0"/>
        <w:snapToGrid w:val="0"/>
        <w:spacing w:before="156" w:beforeLines="50" w:after="156" w:afterLines="50" w:line="240" w:lineRule="auto"/>
        <w:jc w:val="both"/>
        <w:rPr>
          <w:rFonts w:hint="eastAsia" w:ascii="Times New Roman" w:hAnsi="Times New Roman" w:eastAsia="黑体" w:cs="Times New Roman"/>
          <w:sz w:val="24"/>
          <w14:ligatures w14:val="none"/>
        </w:rPr>
      </w:pPr>
    </w:p>
    <w:p w14:paraId="379102C8">
      <w:pPr>
        <w:adjustRightInd w:val="0"/>
        <w:snapToGrid w:val="0"/>
        <w:spacing w:before="156" w:beforeLines="50" w:after="156" w:afterLines="50" w:line="240" w:lineRule="auto"/>
        <w:jc w:val="both"/>
        <w:rPr>
          <w:rFonts w:hint="eastAsia" w:ascii="Times New Roman" w:hAnsi="Times New Roman" w:eastAsia="黑体" w:cs="Times New Roman"/>
          <w:sz w:val="24"/>
          <w14:ligatures w14:val="none"/>
        </w:rPr>
      </w:pPr>
    </w:p>
    <w:p w14:paraId="545DAB16">
      <w:pPr>
        <w:adjustRightInd w:val="0"/>
        <w:snapToGrid w:val="0"/>
        <w:spacing w:before="156" w:beforeLines="50" w:after="156" w:afterLines="50" w:line="240" w:lineRule="auto"/>
        <w:jc w:val="both"/>
        <w:rPr>
          <w:rFonts w:hint="eastAsia" w:ascii="Times New Roman" w:hAnsi="Times New Roman" w:eastAsia="黑体" w:cs="Times New Roman"/>
          <w:sz w:val="24"/>
          <w14:ligatures w14:val="none"/>
        </w:rPr>
      </w:pPr>
    </w:p>
    <w:p w14:paraId="2C1A8046">
      <w:pPr>
        <w:adjustRightInd w:val="0"/>
        <w:snapToGrid w:val="0"/>
        <w:spacing w:before="156" w:beforeLines="50" w:after="156" w:afterLines="50" w:line="240" w:lineRule="auto"/>
        <w:jc w:val="both"/>
        <w:rPr>
          <w:rFonts w:hint="eastAsia" w:ascii="Times New Roman" w:hAnsi="Times New Roman" w:eastAsia="黑体" w:cs="Times New Roman"/>
          <w:sz w:val="24"/>
          <w14:ligatures w14:val="none"/>
        </w:rPr>
      </w:pPr>
    </w:p>
    <w:p w14:paraId="1E6A005C">
      <w:pPr>
        <w:adjustRightInd w:val="0"/>
        <w:snapToGrid w:val="0"/>
        <w:spacing w:before="156" w:beforeLines="50" w:after="156" w:afterLines="50" w:line="240" w:lineRule="auto"/>
        <w:jc w:val="both"/>
        <w:rPr>
          <w:rFonts w:hint="eastAsia" w:ascii="Times New Roman" w:hAnsi="Times New Roman" w:eastAsia="黑体" w:cs="Times New Roman"/>
          <w:sz w:val="24"/>
          <w14:ligatures w14:val="none"/>
        </w:rPr>
      </w:pPr>
    </w:p>
    <w:p w14:paraId="105D0D9E">
      <w:pPr>
        <w:adjustRightInd w:val="0"/>
        <w:snapToGrid w:val="0"/>
        <w:spacing w:before="156" w:beforeLines="50" w:after="156" w:afterLines="50" w:line="240" w:lineRule="auto"/>
        <w:jc w:val="both"/>
        <w:rPr>
          <w:rFonts w:hint="eastAsia" w:ascii="Times New Roman" w:hAnsi="Times New Roman" w:eastAsia="黑体" w:cs="Times New Roman"/>
          <w:sz w:val="24"/>
          <w14:ligatures w14:val="none"/>
        </w:rPr>
      </w:pPr>
    </w:p>
    <w:p w14:paraId="61A3D507">
      <w:pPr>
        <w:adjustRightInd w:val="0"/>
        <w:snapToGrid w:val="0"/>
        <w:spacing w:before="156" w:beforeLines="50" w:after="156" w:afterLines="50" w:line="240" w:lineRule="auto"/>
        <w:jc w:val="both"/>
        <w:rPr>
          <w:rFonts w:hint="eastAsia" w:ascii="Times New Roman" w:hAnsi="Times New Roman" w:eastAsia="黑体" w:cs="Times New Roman"/>
          <w:sz w:val="24"/>
          <w14:ligatures w14:val="none"/>
        </w:rPr>
      </w:pPr>
    </w:p>
    <w:p w14:paraId="3911BA30">
      <w:pPr>
        <w:adjustRightInd w:val="0"/>
        <w:snapToGrid w:val="0"/>
        <w:spacing w:before="156" w:beforeLines="50" w:after="156" w:afterLines="50" w:line="240" w:lineRule="auto"/>
        <w:jc w:val="both"/>
        <w:rPr>
          <w:rFonts w:hint="eastAsia" w:ascii="Times New Roman" w:hAnsi="Times New Roman" w:eastAsia="黑体" w:cs="Times New Roman"/>
          <w:sz w:val="24"/>
          <w14:ligatures w14:val="none"/>
        </w:rPr>
      </w:pPr>
    </w:p>
    <w:p w14:paraId="3E565FDD">
      <w:pPr>
        <w:adjustRightInd w:val="0"/>
        <w:snapToGrid w:val="0"/>
        <w:spacing w:before="156" w:beforeLines="50" w:after="156" w:afterLines="50" w:line="240" w:lineRule="auto"/>
        <w:jc w:val="both"/>
        <w:rPr>
          <w:rFonts w:hint="eastAsia" w:ascii="Times New Roman" w:hAnsi="Times New Roman" w:eastAsia="黑体" w:cs="Times New Roman"/>
          <w:sz w:val="24"/>
          <w14:ligatures w14:val="none"/>
        </w:rPr>
      </w:pPr>
    </w:p>
    <w:p w14:paraId="00AB959B">
      <w:pPr>
        <w:adjustRightInd w:val="0"/>
        <w:snapToGrid w:val="0"/>
        <w:spacing w:before="156" w:beforeLines="50" w:after="156" w:afterLines="50" w:line="240" w:lineRule="auto"/>
        <w:jc w:val="both"/>
        <w:rPr>
          <w:rFonts w:hint="eastAsia" w:ascii="Times New Roman" w:hAnsi="Times New Roman" w:eastAsia="黑体" w:cs="Times New Roman"/>
          <w:sz w:val="24"/>
          <w14:ligatures w14:val="none"/>
        </w:rPr>
      </w:pPr>
    </w:p>
    <w:p w14:paraId="0C067111">
      <w:pPr>
        <w:adjustRightInd w:val="0"/>
        <w:snapToGrid w:val="0"/>
        <w:spacing w:before="156" w:beforeLines="50" w:after="156" w:afterLines="50" w:line="240" w:lineRule="auto"/>
        <w:jc w:val="center"/>
        <w:rPr>
          <w:rFonts w:ascii="Times New Roman" w:hAnsi="Times New Roman" w:eastAsia="黑体" w:cs="Times New Roman"/>
          <w:sz w:val="24"/>
          <w14:ligatures w14:val="none"/>
        </w:rPr>
      </w:pPr>
      <w:r>
        <w:rPr>
          <w:rFonts w:ascii="Times New Roman" w:hAnsi="Times New Roman" w:eastAsia="黑体" w:cs="Times New Roman"/>
          <w:sz w:val="24"/>
          <w14:ligatures w14:val="none"/>
        </w:rPr>
        <mc:AlternateContent>
          <mc:Choice Requires="wps">
            <w:drawing>
              <wp:anchor distT="0" distB="0" distL="114300" distR="114300" simplePos="0" relativeHeight="251661312" behindDoc="0" locked="0" layoutInCell="1" allowOverlap="1">
                <wp:simplePos x="0" y="0"/>
                <wp:positionH relativeFrom="character">
                  <wp:posOffset>1303020</wp:posOffset>
                </wp:positionH>
                <wp:positionV relativeFrom="line">
                  <wp:posOffset>5720715</wp:posOffset>
                </wp:positionV>
                <wp:extent cx="2832100" cy="360680"/>
                <wp:effectExtent l="3175" t="0" r="3175" b="0"/>
                <wp:wrapNone/>
                <wp:docPr id="1245363951" name="文本框 2"/>
                <wp:cNvGraphicFramePr/>
                <a:graphic xmlns:a="http://schemas.openxmlformats.org/drawingml/2006/main">
                  <a:graphicData uri="http://schemas.microsoft.com/office/word/2010/wordprocessingShape">
                    <wps:wsp>
                      <wps:cNvSpPr txBox="1">
                        <a:spLocks noChangeArrowheads="1"/>
                      </wps:cNvSpPr>
                      <wps:spPr bwMode="auto">
                        <a:xfrm>
                          <a:off x="0" y="0"/>
                          <a:ext cx="2832100" cy="360680"/>
                        </a:xfrm>
                        <a:prstGeom prst="rect">
                          <a:avLst/>
                        </a:prstGeom>
                        <a:noFill/>
                        <a:ln>
                          <a:noFill/>
                        </a:ln>
                      </wps:spPr>
                      <wps:txbx>
                        <w:txbxContent>
                          <w:p w14:paraId="3CD0E2CA">
                            <w:pPr>
                              <w:pStyle w:val="3"/>
                              <w:keepNext w:val="0"/>
                              <w:keepLines w:val="0"/>
                              <w:spacing w:before="0" w:after="0" w:line="240" w:lineRule="auto"/>
                              <w:jc w:val="center"/>
                              <w:rPr>
                                <w:rFonts w:hint="eastAsia" w:ascii="宋体" w:hAnsi="宋体" w:cs="宋体"/>
                                <w:sz w:val="24"/>
                                <w:szCs w:val="24"/>
                              </w:rPr>
                            </w:pPr>
                            <w:r>
                              <w:rPr>
                                <w:b w:val="0"/>
                                <w:bCs w:val="0"/>
                                <w:sz w:val="24"/>
                                <w:szCs w:val="24"/>
                              </w:rPr>
                              <w:t>图1.4-1</w:t>
                            </w:r>
                            <w:r>
                              <w:rPr>
                                <w:rFonts w:hint="eastAsia"/>
                                <w:b w:val="0"/>
                                <w:bCs w:val="0"/>
                                <w:sz w:val="24"/>
                                <w:szCs w:val="24"/>
                              </w:rPr>
                              <w:t xml:space="preserve">  </w:t>
                            </w:r>
                            <w:r>
                              <w:rPr>
                                <w:b w:val="0"/>
                                <w:bCs w:val="0"/>
                                <w:sz w:val="24"/>
                                <w:szCs w:val="24"/>
                              </w:rPr>
                              <w:t>评价工作的主要内容及程序</w:t>
                            </w:r>
                          </w:p>
                        </w:txbxContent>
                      </wps:txbx>
                      <wps:bodyPr rot="0" vert="horz" wrap="square" lIns="91440" tIns="45720" rIns="91440" bIns="45720" anchor="t" anchorCtr="0" upright="1">
                        <a:noAutofit/>
                      </wps:bodyPr>
                    </wps:wsp>
                  </a:graphicData>
                </a:graphic>
              </wp:anchor>
            </w:drawing>
          </mc:Choice>
          <mc:Fallback>
            <w:pict>
              <v:shape id="文本框 2" o:spid="_x0000_s1026" o:spt="202" type="#_x0000_t202" style="position:absolute;left:0pt;margin-left:102.6pt;margin-top:450.45pt;height:28.4pt;width:223pt;mso-position-horizontal-relative:char;mso-position-vertical-relative:line;z-index:251661312;mso-width-relative:page;mso-height-relative:page;" filled="f" stroked="f" coordsize="21600,21600" o:gfxdata="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">
                <v:fill on="f" focussize="0,0"/>
                <v:stroke on="f"/>
                <v:imagedata o:title=""/>
                <o:lock v:ext="edit" aspectratio="f"/>
                <v:textbox>
                  <w:txbxContent>
                    <w:p w14:paraId="3CD0E2CA">
                      <w:pPr>
                        <w:pStyle w:val="3"/>
                        <w:keepNext w:val="0"/>
                        <w:keepLines w:val="0"/>
                        <w:spacing w:before="0" w:after="0" w:line="240" w:lineRule="auto"/>
                        <w:jc w:val="center"/>
                        <w:rPr>
                          <w:rFonts w:hint="eastAsia" w:ascii="宋体" w:hAnsi="宋体" w:cs="宋体"/>
                          <w:sz w:val="24"/>
                          <w:szCs w:val="24"/>
                        </w:rPr>
                      </w:pPr>
                      <w:r>
                        <w:rPr>
                          <w:b w:val="0"/>
                          <w:bCs w:val="0"/>
                          <w:sz w:val="24"/>
                          <w:szCs w:val="24"/>
                        </w:rPr>
                        <w:t>图1.4-1</w:t>
                      </w:r>
                      <w:r>
                        <w:rPr>
                          <w:rFonts w:hint="eastAsia"/>
                          <w:b w:val="0"/>
                          <w:bCs w:val="0"/>
                          <w:sz w:val="24"/>
                          <w:szCs w:val="24"/>
                        </w:rPr>
                        <w:t xml:space="preserve">  </w:t>
                      </w:r>
                      <w:r>
                        <w:rPr>
                          <w:b w:val="0"/>
                          <w:bCs w:val="0"/>
                          <w:sz w:val="24"/>
                          <w:szCs w:val="24"/>
                        </w:rPr>
                        <w:t>评价工作的主要内容及程序</w:t>
                      </w:r>
                    </w:p>
                  </w:txbxContent>
                </v:textbox>
              </v:shape>
            </w:pict>
          </mc:Fallback>
        </mc:AlternateContent>
      </w:r>
      <w:r>
        <w:rPr>
          <w:rFonts w:hint="eastAsia" w:ascii="Times New Roman" w:hAnsi="Times New Roman" w:eastAsia="黑体" w:cs="Times New Roman"/>
          <w:sz w:val="24"/>
          <w14:ligatures w14:val="none"/>
        </w:rPr>
        <w:t>图1.4-1  安全评价工作程序框图</w:t>
      </w:r>
      <w:r>
        <w:rPr>
          <w:rFonts w:ascii="Times New Roman" w:hAnsi="Times New Roman" w:eastAsia="黑体" w:cs="Times New Roman"/>
          <w:sz w:val="24"/>
          <w14:ligatures w14:val="none"/>
        </w:rPr>
        <w:br w:type="page"/>
      </w:r>
    </w:p>
    <w:p w14:paraId="13767DB4">
      <w:pPr>
        <w:adjustRightInd w:val="0"/>
        <w:snapToGrid w:val="0"/>
        <w:spacing w:before="468" w:beforeLines="150" w:after="468" w:afterLines="150" w:line="360" w:lineRule="auto"/>
        <w:jc w:val="center"/>
        <w:outlineLvl w:val="0"/>
        <w:rPr>
          <w:rFonts w:ascii="Times New Roman" w:hAnsi="Times New Roman" w:eastAsia="黑体" w:cs="黑体"/>
          <w:b/>
          <w:kern w:val="44"/>
          <w:sz w:val="32"/>
          <w:szCs w:val="44"/>
          <w14:ligatures w14:val="none"/>
        </w:rPr>
      </w:pPr>
      <w:bookmarkStart w:id="79" w:name="_Toc527536694"/>
      <w:bookmarkStart w:id="80" w:name="_Toc187563581"/>
      <w:bookmarkStart w:id="81" w:name="_Toc163051345"/>
      <w:bookmarkStart w:id="82" w:name="_Toc492367638"/>
      <w:bookmarkStart w:id="83" w:name="_Toc26901"/>
      <w:bookmarkStart w:id="84" w:name="_Toc194374139"/>
      <w:bookmarkStart w:id="85" w:name="_Toc181983934"/>
      <w:bookmarkStart w:id="86" w:name="_Toc186441837"/>
      <w:bookmarkStart w:id="87" w:name="_Toc187466151"/>
      <w:bookmarkStart w:id="88" w:name="_Toc187810785"/>
      <w:r>
        <w:rPr>
          <w:rFonts w:ascii="Times New Roman" w:hAnsi="Times New Roman" w:eastAsia="黑体" w:cs="黑体"/>
          <w:b/>
          <w:kern w:val="44"/>
          <w:sz w:val="32"/>
          <w:szCs w:val="44"/>
          <w14:ligatures w14:val="none"/>
        </w:rPr>
        <w:t>2</w:t>
      </w:r>
      <w:r>
        <w:rPr>
          <w:rFonts w:hint="eastAsia" w:ascii="Times New Roman" w:hAnsi="Times New Roman" w:eastAsia="黑体" w:cs="黑体"/>
          <w:b/>
          <w:kern w:val="44"/>
          <w:sz w:val="32"/>
          <w:szCs w:val="44"/>
          <w14:ligatures w14:val="none"/>
        </w:rPr>
        <w:t>企业</w:t>
      </w:r>
      <w:r>
        <w:rPr>
          <w:rFonts w:ascii="Times New Roman" w:hAnsi="Times New Roman" w:eastAsia="黑体" w:cs="黑体"/>
          <w:b/>
          <w:kern w:val="44"/>
          <w:sz w:val="32"/>
          <w:szCs w:val="44"/>
          <w14:ligatures w14:val="none"/>
        </w:rPr>
        <w:t>概况</w:t>
      </w:r>
      <w:bookmarkEnd w:id="79"/>
      <w:bookmarkEnd w:id="80"/>
      <w:bookmarkEnd w:id="81"/>
      <w:bookmarkEnd w:id="82"/>
      <w:bookmarkEnd w:id="83"/>
      <w:bookmarkEnd w:id="84"/>
      <w:bookmarkEnd w:id="85"/>
      <w:bookmarkEnd w:id="86"/>
      <w:bookmarkEnd w:id="87"/>
      <w:bookmarkEnd w:id="88"/>
    </w:p>
    <w:p w14:paraId="43C117D1">
      <w:pPr>
        <w:adjustRightInd w:val="0"/>
        <w:snapToGrid w:val="0"/>
        <w:spacing w:before="312" w:beforeLines="100" w:after="312" w:afterLines="100" w:line="360" w:lineRule="auto"/>
        <w:jc w:val="center"/>
        <w:outlineLvl w:val="1"/>
        <w:rPr>
          <w:rFonts w:ascii="Times New Roman" w:hAnsi="Times New Roman" w:eastAsia="楷体" w:cs="黑体"/>
          <w:b/>
          <w:sz w:val="32"/>
          <w:szCs w:val="32"/>
          <w14:ligatures w14:val="none"/>
        </w:rPr>
      </w:pPr>
      <w:bookmarkStart w:id="89" w:name="_Toc527536695"/>
      <w:bookmarkStart w:id="90" w:name="_Toc492367639"/>
      <w:bookmarkStart w:id="91" w:name="_Toc163051346"/>
      <w:bookmarkStart w:id="92" w:name="_Toc27655"/>
      <w:r>
        <w:rPr>
          <w:rFonts w:ascii="Times New Roman" w:hAnsi="Times New Roman" w:eastAsia="楷体" w:cs="黑体"/>
          <w:b/>
          <w:sz w:val="32"/>
          <w:szCs w:val="32"/>
          <w14:ligatures w14:val="none"/>
        </w:rPr>
        <w:t>2.1</w:t>
      </w:r>
      <w:bookmarkEnd w:id="89"/>
      <w:bookmarkEnd w:id="90"/>
      <w:r>
        <w:rPr>
          <w:rFonts w:ascii="Times New Roman" w:hAnsi="Times New Roman" w:eastAsia="楷体" w:cs="黑体"/>
          <w:b/>
          <w:sz w:val="32"/>
          <w:szCs w:val="32"/>
          <w14:ligatures w14:val="none"/>
        </w:rPr>
        <w:t>企业基本情况</w:t>
      </w:r>
      <w:bookmarkEnd w:id="91"/>
      <w:bookmarkEnd w:id="92"/>
    </w:p>
    <w:p w14:paraId="61BB73F5">
      <w:pPr>
        <w:tabs>
          <w:tab w:val="left" w:pos="840"/>
          <w:tab w:val="left" w:pos="1260"/>
        </w:tabs>
        <w:adjustRightInd w:val="0"/>
        <w:snapToGrid w:val="0"/>
        <w:spacing w:before="156" w:beforeLines="50" w:after="156" w:afterLines="50" w:line="360" w:lineRule="auto"/>
        <w:ind w:firstLine="562" w:firstLineChars="200"/>
        <w:jc w:val="both"/>
        <w:outlineLvl w:val="2"/>
        <w:rPr>
          <w:rFonts w:ascii="Times New Roman" w:hAnsi="Times New Roman" w:eastAsia="黑体" w:cs="Times New Roman"/>
          <w:b/>
          <w:sz w:val="28"/>
          <w:szCs w:val="32"/>
          <w14:ligatures w14:val="none"/>
        </w:rPr>
      </w:pPr>
      <w:bookmarkStart w:id="93" w:name="_Toc479257147"/>
      <w:r>
        <w:rPr>
          <w:rFonts w:ascii="Times New Roman" w:hAnsi="Times New Roman" w:eastAsia="黑体" w:cs="Times New Roman"/>
          <w:b/>
          <w:sz w:val="28"/>
          <w:szCs w:val="32"/>
          <w14:ligatures w14:val="none"/>
        </w:rPr>
        <w:t>2.1.1</w:t>
      </w:r>
      <w:r>
        <w:rPr>
          <w:rFonts w:hint="eastAsia" w:ascii="Times New Roman" w:hAnsi="Times New Roman" w:eastAsia="黑体" w:cs="Times New Roman"/>
          <w:b/>
          <w:sz w:val="28"/>
          <w:szCs w:val="32"/>
          <w14:ligatures w14:val="none"/>
        </w:rPr>
        <w:t>企业简介</w:t>
      </w:r>
      <w:bookmarkEnd w:id="93"/>
    </w:p>
    <w:p w14:paraId="6F5C5F55">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（1）企业基本情况</w:t>
      </w:r>
    </w:p>
    <w:p w14:paraId="3D7EFEA2">
      <w:pPr>
        <w:adjustRightInd w:val="0"/>
        <w:snapToGrid w:val="0"/>
        <w:spacing w:after="0" w:line="360" w:lineRule="auto"/>
        <w:ind w:firstLine="560" w:firstLineChars="200"/>
        <w:jc w:val="both"/>
        <w:rPr>
          <w:rFonts w:hint="eastAsia" w:ascii="Times New Roman" w:hAnsi="Times New Roman" w:eastAsia="宋体" w:cs="Times New Roman"/>
          <w:sz w:val="28"/>
          <w:szCs w:val="28"/>
          <w:highlight w:val="none"/>
          <w:lang w:eastAsia="zh-CN"/>
          <w14:ligatures w14:val="none"/>
        </w:rPr>
      </w:pPr>
      <w:r>
        <w:rPr>
          <w:rFonts w:hint="eastAsia" w:ascii="Times New Roman" w:hAnsi="Times New Roman" w:eastAsia="宋体" w:cs="Times New Roman"/>
          <w:sz w:val="28"/>
          <w:szCs w:val="28"/>
          <w:highlight w:val="none"/>
          <w:lang w:val="en-US" w:eastAsia="zh-CN"/>
          <w14:ligatures w14:val="none"/>
        </w:rPr>
        <w:t>朝阳金达钛业股份有限公司（以下称“金达钛业”）住</w:t>
      </w:r>
      <w:r>
        <w:rPr>
          <w:rFonts w:hint="eastAsia" w:ascii="Times New Roman" w:hAnsi="Times New Roman" w:eastAsia="宋体" w:cs="Times New Roman"/>
          <w:sz w:val="28"/>
          <w:szCs w:val="28"/>
          <w:highlight w:val="none"/>
          <w14:ligatures w14:val="none"/>
        </w:rPr>
        <w:t>所位于朝阳市双塔区龙山街四段788号</w:t>
      </w:r>
      <w:r>
        <w:rPr>
          <w:rFonts w:hint="eastAsia" w:ascii="Times New Roman" w:hAnsi="Times New Roman" w:eastAsia="宋体" w:cs="Times New Roman"/>
          <w:sz w:val="28"/>
          <w:szCs w:val="28"/>
          <w:highlight w:val="none"/>
          <w:lang w:eastAsia="zh-CN"/>
          <w14:ligatures w14:val="none"/>
        </w:rPr>
        <w:t>，</w:t>
      </w:r>
      <w:r>
        <w:rPr>
          <w:rFonts w:hint="eastAsia" w:ascii="Times New Roman" w:hAnsi="Times New Roman" w:eastAsia="宋体" w:cs="Times New Roman"/>
          <w:sz w:val="28"/>
          <w:szCs w:val="28"/>
          <w:highlight w:val="none"/>
          <w14:ligatures w14:val="none"/>
        </w:rPr>
        <w:t>类型为</w:t>
      </w:r>
      <w:r>
        <w:rPr>
          <w:rFonts w:hint="eastAsia" w:ascii="Times New Roman" w:hAnsi="Times New Roman" w:eastAsia="宋体" w:cs="Times New Roman"/>
          <w:sz w:val="28"/>
          <w:szCs w:val="28"/>
          <w:highlight w:val="none"/>
          <w:lang w:val="en-US" w:eastAsia="zh-CN"/>
          <w14:ligatures w14:val="none"/>
        </w:rPr>
        <w:t>股份</w:t>
      </w:r>
      <w:r>
        <w:rPr>
          <w:rFonts w:hint="eastAsia" w:ascii="Times New Roman" w:hAnsi="Times New Roman" w:eastAsia="宋体" w:cs="Times New Roman"/>
          <w:sz w:val="28"/>
          <w:szCs w:val="28"/>
          <w:highlight w:val="none"/>
          <w14:ligatures w14:val="none"/>
        </w:rPr>
        <w:t>有限公司，</w:t>
      </w:r>
      <w:r>
        <w:rPr>
          <w:rFonts w:hint="eastAsia" w:ascii="Times New Roman" w:hAnsi="Times New Roman" w:eastAsia="宋体" w:cs="Times New Roman"/>
          <w:sz w:val="28"/>
          <w:szCs w:val="28"/>
          <w:highlight w:val="none"/>
          <w:lang w:val="en-US" w:eastAsia="zh-CN"/>
          <w14:ligatures w14:val="none"/>
        </w:rPr>
        <w:t>成立于2006年08月28日，</w:t>
      </w:r>
      <w:r>
        <w:rPr>
          <w:rFonts w:hint="eastAsia" w:ascii="Times New Roman" w:hAnsi="Times New Roman" w:eastAsia="宋体" w:cs="Times New Roman"/>
          <w:sz w:val="28"/>
          <w:szCs w:val="28"/>
          <w:highlight w:val="none"/>
          <w14:ligatures w14:val="none"/>
        </w:rPr>
        <w:t>法定代表人</w:t>
      </w:r>
      <w:r>
        <w:rPr>
          <w:rFonts w:hint="eastAsia" w:ascii="Times New Roman" w:hAnsi="Times New Roman" w:eastAsia="宋体" w:cs="Times New Roman"/>
          <w:sz w:val="28"/>
          <w:szCs w:val="28"/>
          <w:highlight w:val="none"/>
          <w:lang w:val="en-US" w:eastAsia="zh-CN"/>
          <w14:ligatures w14:val="none"/>
        </w:rPr>
        <w:t>为赵春雷</w:t>
      </w:r>
      <w:r>
        <w:rPr>
          <w:rFonts w:hint="eastAsia" w:ascii="Times New Roman" w:hAnsi="Times New Roman" w:eastAsia="宋体" w:cs="Times New Roman"/>
          <w:sz w:val="28"/>
          <w:szCs w:val="28"/>
          <w:highlight w:val="none"/>
          <w:lang w:eastAsia="zh-CN"/>
          <w14:ligatures w14:val="none"/>
        </w:rPr>
        <w:t>。</w:t>
      </w:r>
    </w:p>
    <w:p w14:paraId="5E723DF3">
      <w:pPr>
        <w:adjustRightInd w:val="0"/>
        <w:snapToGrid w:val="0"/>
        <w:spacing w:after="0" w:line="360" w:lineRule="auto"/>
        <w:ind w:firstLine="560" w:firstLineChars="200"/>
        <w:jc w:val="both"/>
        <w:rPr>
          <w:rFonts w:hint="default" w:ascii="Times New Roman" w:hAnsi="Times New Roman" w:eastAsia="宋体" w:cs="Times New Roman"/>
          <w:sz w:val="28"/>
          <w:szCs w:val="28"/>
          <w:highlight w:val="none"/>
          <w:lang w:val="en-US" w:eastAsia="zh-CN"/>
          <w14:ligatures w14:val="none"/>
        </w:rPr>
      </w:pPr>
      <w:r>
        <w:rPr>
          <w:rFonts w:hint="eastAsia" w:ascii="Times New Roman" w:hAnsi="Times New Roman" w:eastAsia="宋体" w:cs="Times New Roman"/>
          <w:sz w:val="28"/>
          <w:szCs w:val="28"/>
          <w:highlight w:val="none"/>
          <w:lang w:val="en-US" w:eastAsia="zh-CN"/>
          <w14:ligatures w14:val="none"/>
        </w:rPr>
        <w:t>目前，朝阳金达钛业股份有限公司从事危险化学品经营的相关从业人数为198</w:t>
      </w:r>
      <w:r>
        <w:rPr>
          <w:rFonts w:hint="eastAsia" w:ascii="Times New Roman" w:hAnsi="Times New Roman" w:eastAsia="宋体" w:cs="Times New Roman"/>
          <w:sz w:val="28"/>
          <w:szCs w:val="28"/>
          <w:highlight w:val="none"/>
          <w:lang w:eastAsia="zh-CN"/>
          <w14:ligatures w14:val="none"/>
        </w:rPr>
        <w:t>人，成立了</w:t>
      </w:r>
      <w:r>
        <w:rPr>
          <w:rFonts w:hint="eastAsia" w:ascii="Times New Roman" w:hAnsi="Times New Roman" w:eastAsia="宋体" w:cs="Times New Roman"/>
          <w:sz w:val="28"/>
          <w:szCs w:val="28"/>
          <w:highlight w:val="none"/>
          <w:lang w:val="en-US" w:eastAsia="zh-CN"/>
          <w14:ligatures w14:val="none"/>
        </w:rPr>
        <w:t>安全生产委员会</w:t>
      </w:r>
      <w:r>
        <w:rPr>
          <w:rFonts w:hint="eastAsia" w:ascii="Times New Roman" w:hAnsi="Times New Roman" w:eastAsia="宋体" w:cs="Times New Roman"/>
          <w:sz w:val="28"/>
          <w:szCs w:val="28"/>
          <w:highlight w:val="none"/>
          <w:lang w:eastAsia="zh-CN"/>
          <w14:ligatures w14:val="none"/>
        </w:rPr>
        <w:t>，作为安全生产管理的</w:t>
      </w:r>
      <w:r>
        <w:rPr>
          <w:rFonts w:hint="eastAsia" w:ascii="Times New Roman" w:hAnsi="Times New Roman" w:eastAsia="宋体" w:cs="Times New Roman"/>
          <w:sz w:val="28"/>
          <w:szCs w:val="28"/>
          <w:highlight w:val="none"/>
          <w:lang w:val="en-US" w:eastAsia="zh-CN"/>
          <w14:ligatures w14:val="none"/>
        </w:rPr>
        <w:t>专职</w:t>
      </w:r>
      <w:r>
        <w:rPr>
          <w:rFonts w:hint="eastAsia" w:ascii="Times New Roman" w:hAnsi="Times New Roman" w:eastAsia="宋体" w:cs="Times New Roman"/>
          <w:sz w:val="28"/>
          <w:szCs w:val="28"/>
          <w:highlight w:val="none"/>
          <w:lang w:eastAsia="zh-CN"/>
          <w14:ligatures w14:val="none"/>
        </w:rPr>
        <w:t>机构；同时，配备</w:t>
      </w:r>
      <w:r>
        <w:rPr>
          <w:rFonts w:hint="eastAsia" w:ascii="Times New Roman" w:hAnsi="Times New Roman" w:eastAsia="宋体" w:cs="Times New Roman"/>
          <w:sz w:val="28"/>
          <w:szCs w:val="28"/>
          <w:highlight w:val="none"/>
          <w:lang w:val="en-US" w:eastAsia="zh-CN"/>
          <w14:ligatures w14:val="none"/>
        </w:rPr>
        <w:t>4名安全管理人员，其中3名注册安全工程师（取得注册安全工程师职业资格证书并经注册的人员，表明其具备与所从事的生产经营活动相应的安全生产知识和管理能力，可视为其安全生产知识和管理能力考核合格）和1名安全生产管理人员。</w:t>
      </w:r>
    </w:p>
    <w:p w14:paraId="08439905">
      <w:pPr>
        <w:adjustRightInd w:val="0"/>
        <w:snapToGrid w:val="0"/>
        <w:spacing w:after="0" w:line="360" w:lineRule="auto"/>
        <w:ind w:firstLine="560" w:firstLineChars="200"/>
        <w:jc w:val="both"/>
        <w:rPr>
          <w:rFonts w:ascii="Times New Roman" w:hAnsi="Times New Roman" w:eastAsia="宋体" w:cs="Times New Roman"/>
          <w:sz w:val="28"/>
          <w:szCs w:val="28"/>
          <w:highlight w:val="none"/>
          <w14:ligatures w14:val="none"/>
        </w:rPr>
      </w:pPr>
      <w:r>
        <w:rPr>
          <w:rFonts w:hint="eastAsia" w:ascii="Times New Roman" w:hAnsi="Times New Roman" w:eastAsia="宋体" w:cs="Times New Roman"/>
          <w:sz w:val="28"/>
          <w:szCs w:val="28"/>
          <w:highlight w:val="none"/>
          <w:lang w:eastAsia="zh-CN"/>
          <w14:ligatures w14:val="none"/>
        </w:rPr>
        <w:t>朝阳金达钛业股份有限公司</w:t>
      </w:r>
      <w:r>
        <w:rPr>
          <w:rFonts w:ascii="Times New Roman" w:hAnsi="Times New Roman" w:eastAsia="宋体" w:cs="Times New Roman"/>
          <w:sz w:val="28"/>
          <w:szCs w:val="28"/>
          <w:highlight w:val="none"/>
          <w14:ligatures w14:val="none"/>
        </w:rPr>
        <w:t>危险化学品经营许</w:t>
      </w:r>
      <w:r>
        <w:rPr>
          <w:rFonts w:hint="eastAsia" w:ascii="Times New Roman" w:hAnsi="Times New Roman" w:eastAsia="宋体" w:cs="Times New Roman"/>
          <w:sz w:val="28"/>
          <w:szCs w:val="28"/>
          <w:highlight w:val="none"/>
          <w14:ligatures w14:val="none"/>
        </w:rPr>
        <w:t>可证有效期限2022年0</w:t>
      </w:r>
      <w:r>
        <w:rPr>
          <w:rFonts w:hint="eastAsia" w:ascii="Times New Roman" w:hAnsi="Times New Roman" w:eastAsia="宋体" w:cs="Times New Roman"/>
          <w:sz w:val="28"/>
          <w:szCs w:val="28"/>
          <w:highlight w:val="none"/>
          <w:lang w:val="en-US" w:eastAsia="zh-CN"/>
          <w14:ligatures w14:val="none"/>
        </w:rPr>
        <w:t>7</w:t>
      </w:r>
      <w:r>
        <w:rPr>
          <w:rFonts w:hint="eastAsia" w:ascii="Times New Roman" w:hAnsi="Times New Roman" w:eastAsia="宋体" w:cs="Times New Roman"/>
          <w:sz w:val="28"/>
          <w:szCs w:val="28"/>
          <w:highlight w:val="none"/>
          <w14:ligatures w14:val="none"/>
        </w:rPr>
        <w:t>月</w:t>
      </w:r>
      <w:r>
        <w:rPr>
          <w:rFonts w:hint="eastAsia" w:ascii="Times New Roman" w:hAnsi="Times New Roman" w:eastAsia="宋体" w:cs="Times New Roman"/>
          <w:sz w:val="28"/>
          <w:szCs w:val="28"/>
          <w:highlight w:val="none"/>
          <w:lang w:val="en-US" w:eastAsia="zh-CN"/>
          <w14:ligatures w14:val="none"/>
        </w:rPr>
        <w:t>28</w:t>
      </w:r>
      <w:r>
        <w:rPr>
          <w:rFonts w:hint="eastAsia" w:ascii="Times New Roman" w:hAnsi="Times New Roman" w:eastAsia="宋体" w:cs="Times New Roman"/>
          <w:sz w:val="28"/>
          <w:szCs w:val="28"/>
          <w:highlight w:val="none"/>
          <w14:ligatures w14:val="none"/>
        </w:rPr>
        <w:t>日至2025年0</w:t>
      </w:r>
      <w:r>
        <w:rPr>
          <w:rFonts w:hint="eastAsia" w:ascii="Times New Roman" w:hAnsi="Times New Roman" w:eastAsia="宋体" w:cs="Times New Roman"/>
          <w:sz w:val="28"/>
          <w:szCs w:val="28"/>
          <w:highlight w:val="none"/>
          <w:lang w:val="en-US" w:eastAsia="zh-CN"/>
          <w14:ligatures w14:val="none"/>
        </w:rPr>
        <w:t>7</w:t>
      </w:r>
      <w:r>
        <w:rPr>
          <w:rFonts w:hint="eastAsia" w:ascii="Times New Roman" w:hAnsi="Times New Roman" w:eastAsia="宋体" w:cs="Times New Roman"/>
          <w:sz w:val="28"/>
          <w:szCs w:val="28"/>
          <w:highlight w:val="none"/>
          <w14:ligatures w14:val="none"/>
        </w:rPr>
        <w:t>月</w:t>
      </w:r>
      <w:r>
        <w:rPr>
          <w:rFonts w:hint="eastAsia" w:ascii="Times New Roman" w:hAnsi="Times New Roman" w:eastAsia="宋体" w:cs="Times New Roman"/>
          <w:sz w:val="28"/>
          <w:szCs w:val="28"/>
          <w:highlight w:val="none"/>
          <w:lang w:val="en-US" w:eastAsia="zh-CN"/>
          <w14:ligatures w14:val="none"/>
        </w:rPr>
        <w:t>27</w:t>
      </w:r>
      <w:r>
        <w:rPr>
          <w:rFonts w:hint="eastAsia" w:ascii="Times New Roman" w:hAnsi="Times New Roman" w:eastAsia="宋体" w:cs="Times New Roman"/>
          <w:sz w:val="28"/>
          <w:szCs w:val="28"/>
          <w:highlight w:val="none"/>
          <w14:ligatures w14:val="none"/>
        </w:rPr>
        <w:t>日，证书编号：朝安经（甲）字[2022]100129号</w:t>
      </w:r>
      <w:r>
        <w:rPr>
          <w:rFonts w:ascii="Times New Roman" w:hAnsi="Times New Roman" w:eastAsia="宋体" w:cs="Times New Roman"/>
          <w:sz w:val="28"/>
          <w:szCs w:val="28"/>
          <w:highlight w:val="none"/>
          <w14:ligatures w14:val="none"/>
        </w:rPr>
        <w:t>。</w:t>
      </w:r>
    </w:p>
    <w:p w14:paraId="7D95551E">
      <w:pPr>
        <w:adjustRightInd w:val="0"/>
        <w:snapToGrid w:val="0"/>
        <w:spacing w:after="0" w:line="360" w:lineRule="auto"/>
        <w:ind w:firstLine="560" w:firstLineChars="200"/>
        <w:jc w:val="both"/>
        <w:rPr>
          <w:rFonts w:hint="eastAsia" w:ascii="Times New Roman" w:hAnsi="Times New Roman" w:eastAsia="宋体" w:cs="Times New Roman"/>
          <w:sz w:val="28"/>
          <w:szCs w:val="28"/>
          <w:lang w:val="en-US" w:eastAsia="zh-CN"/>
          <w14:ligatures w14:val="none"/>
        </w:rPr>
      </w:pPr>
      <w:r>
        <w:rPr>
          <w:rFonts w:ascii="Times New Roman" w:hAnsi="Times New Roman" w:eastAsia="宋体" w:cs="Times New Roman"/>
          <w:sz w:val="28"/>
          <w:szCs w:val="28"/>
          <w:highlight w:val="none"/>
          <w14:ligatures w14:val="none"/>
        </w:rPr>
        <w:t>经营方式为</w:t>
      </w:r>
      <w:r>
        <w:rPr>
          <w:rFonts w:hint="eastAsia" w:ascii="Times New Roman" w:hAnsi="Times New Roman" w:eastAsia="宋体" w:cs="Times New Roman"/>
          <w:sz w:val="28"/>
          <w:szCs w:val="28"/>
          <w:highlight w:val="none"/>
          <w:lang w:val="en-US" w:eastAsia="zh-CN"/>
          <w14:ligatures w14:val="none"/>
        </w:rPr>
        <w:t>批发</w:t>
      </w:r>
      <w:r>
        <w:rPr>
          <w:rFonts w:hint="eastAsia" w:ascii="Times New Roman" w:hAnsi="Times New Roman" w:eastAsia="宋体" w:cs="Times New Roman"/>
          <w:sz w:val="28"/>
          <w:szCs w:val="28"/>
          <w:highlight w:val="none"/>
          <w14:ligatures w14:val="none"/>
        </w:rPr>
        <w:t>，</w:t>
      </w:r>
      <w:r>
        <w:rPr>
          <w:rFonts w:hint="eastAsia" w:ascii="Times New Roman" w:hAnsi="Times New Roman" w:eastAsia="宋体" w:cs="Times New Roman"/>
          <w:sz w:val="28"/>
          <w:szCs w:val="28"/>
          <w:lang w:val="en-US" w:eastAsia="zh-CN"/>
          <w14:ligatures w14:val="none"/>
        </w:rPr>
        <w:t>许可范围：盐酸、次氯酸钠（含有效氯＞5%）、高硅四氯化钛、硫酸（无储存）、氯气（无储存）。</w:t>
      </w:r>
    </w:p>
    <w:p w14:paraId="7878C6D5">
      <w:pPr>
        <w:adjustRightInd w:val="0"/>
        <w:snapToGrid w:val="0"/>
        <w:spacing w:after="0" w:line="360" w:lineRule="auto"/>
        <w:ind w:firstLine="560" w:firstLineChars="200"/>
        <w:jc w:val="both"/>
        <w:rPr>
          <w:rFonts w:hint="default" w:ascii="Times New Roman" w:hAnsi="Times New Roman" w:eastAsia="宋体" w:cs="Times New Roman"/>
          <w:sz w:val="28"/>
          <w:szCs w:val="28"/>
          <w:highlight w:val="none"/>
          <w:lang w:val="en-US" w:eastAsia="zh-CN"/>
          <w14:ligatures w14:val="none"/>
        </w:rPr>
      </w:pPr>
      <w:r>
        <w:rPr>
          <w:rFonts w:hint="eastAsia" w:ascii="Times New Roman" w:hAnsi="Times New Roman" w:eastAsia="宋体" w:cs="Times New Roman"/>
          <w:sz w:val="28"/>
          <w:szCs w:val="28"/>
          <w14:ligatures w14:val="none"/>
        </w:rPr>
        <w:t>本次拟进行经营许可证的换证申请，经营品种与上次相比</w:t>
      </w:r>
      <w:r>
        <w:rPr>
          <w:rFonts w:hint="eastAsia" w:ascii="Times New Roman" w:hAnsi="Times New Roman" w:eastAsia="宋体" w:cs="Times New Roman"/>
          <w:sz w:val="28"/>
          <w:szCs w:val="28"/>
          <w:lang w:val="en-US" w:eastAsia="zh-CN"/>
          <w14:ligatures w14:val="none"/>
        </w:rPr>
        <w:t>减少了氯气（无储存）</w:t>
      </w:r>
      <w:r>
        <w:rPr>
          <w:rFonts w:hint="eastAsia" w:ascii="Times New Roman" w:hAnsi="Times New Roman" w:eastAsia="宋体" w:cs="Times New Roman"/>
          <w:sz w:val="28"/>
          <w:szCs w:val="28"/>
          <w:highlight w:val="none"/>
          <w:lang w:val="en-US" w:eastAsia="zh-CN"/>
          <w14:ligatures w14:val="none"/>
        </w:rPr>
        <w:t>。</w:t>
      </w:r>
    </w:p>
    <w:p w14:paraId="41626337">
      <w:pPr>
        <w:keepNext/>
        <w:adjustRightInd w:val="0"/>
        <w:snapToGrid w:val="0"/>
        <w:spacing w:before="156" w:beforeLines="50" w:after="156" w:afterLines="50" w:line="240" w:lineRule="auto"/>
        <w:jc w:val="center"/>
        <w:rPr>
          <w:rFonts w:ascii="Times New Roman" w:hAnsi="Times New Roman" w:eastAsia="黑体" w:cs="Times New Roman"/>
          <w:sz w:val="24"/>
          <w14:ligatures w14:val="none"/>
        </w:rPr>
      </w:pPr>
      <w:r>
        <w:rPr>
          <w:rFonts w:hint="eastAsia" w:ascii="Times New Roman" w:hAnsi="Times New Roman" w:eastAsia="黑体" w:cs="Times New Roman"/>
          <w:sz w:val="24"/>
          <w14:ligatures w14:val="none"/>
        </w:rPr>
        <w:t>表2.1-1  经营品种清单</w:t>
      </w:r>
    </w:p>
    <w:tbl>
      <w:tblPr>
        <w:tblStyle w:val="1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67"/>
        <w:gridCol w:w="3051"/>
        <w:gridCol w:w="1742"/>
        <w:gridCol w:w="1772"/>
        <w:gridCol w:w="1099"/>
        <w:gridCol w:w="869"/>
      </w:tblGrid>
      <w:tr w14:paraId="55DD61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867" w:type="dxa"/>
            <w:vAlign w:val="center"/>
          </w:tcPr>
          <w:p w14:paraId="3827FD25">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序号</w:t>
            </w:r>
          </w:p>
        </w:tc>
        <w:tc>
          <w:tcPr>
            <w:tcW w:w="3051" w:type="dxa"/>
            <w:vAlign w:val="center"/>
          </w:tcPr>
          <w:p w14:paraId="68AAAA90">
            <w:pPr>
              <w:keepNext w:val="0"/>
              <w:keepLines w:val="0"/>
              <w:suppressLineNumbers w:val="0"/>
              <w:adjustRightInd w:val="0"/>
              <w:spacing w:before="0" w:beforeAutospacing="0" w:after="0" w:afterAutospacing="0" w:line="240" w:lineRule="auto"/>
              <w:ind w:left="0" w:right="0"/>
              <w:jc w:val="center"/>
              <w:rPr>
                <w:rFonts w:hint="default"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化学品名称</w:t>
            </w:r>
          </w:p>
        </w:tc>
        <w:tc>
          <w:tcPr>
            <w:tcW w:w="1742" w:type="dxa"/>
            <w:vAlign w:val="center"/>
          </w:tcPr>
          <w:p w14:paraId="765E4EB8">
            <w:pPr>
              <w:keepNext w:val="0"/>
              <w:keepLines w:val="0"/>
              <w:suppressLineNumbers w:val="0"/>
              <w:spacing w:before="0" w:beforeAutospacing="0" w:after="0" w:afterAutospacing="0" w:line="240" w:lineRule="auto"/>
              <w:ind w:left="0" w:right="0"/>
              <w:jc w:val="center"/>
              <w:rPr>
                <w:rFonts w:hint="default" w:ascii="Times New Roman" w:hAnsi="Times New Roman" w:eastAsia="宋体" w:cs="宋体"/>
                <w:sz w:val="21"/>
                <w:szCs w:val="21"/>
                <w:lang w:bidi="zh-TW"/>
                <w14:ligatures w14:val="none"/>
              </w:rPr>
            </w:pPr>
            <w:r>
              <w:rPr>
                <w:rFonts w:hint="default" w:ascii="Times New Roman" w:hAnsi="Times New Roman" w:eastAsia="宋体" w:cs="Times New Roman"/>
                <w:sz w:val="21"/>
                <w:szCs w:val="21"/>
                <w:lang w:val="zh-TW" w:eastAsia="zh-TW" w:bidi="zh-TW"/>
                <w14:ligatures w14:val="none"/>
              </w:rPr>
              <w:t>危化品目录序号</w:t>
            </w:r>
          </w:p>
        </w:tc>
        <w:tc>
          <w:tcPr>
            <w:tcW w:w="1772" w:type="dxa"/>
            <w:vAlign w:val="center"/>
          </w:tcPr>
          <w:p w14:paraId="1AFEE514">
            <w:pPr>
              <w:keepNext w:val="0"/>
              <w:keepLines w:val="0"/>
              <w:suppressLineNumbers w:val="0"/>
              <w:adjustRightInd w:val="0"/>
              <w:spacing w:before="0" w:beforeAutospacing="0" w:after="0" w:afterAutospacing="0" w:line="240" w:lineRule="auto"/>
              <w:ind w:left="0" w:right="0"/>
              <w:jc w:val="center"/>
              <w:rPr>
                <w:rFonts w:hint="default"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CAS号</w:t>
            </w:r>
          </w:p>
        </w:tc>
        <w:tc>
          <w:tcPr>
            <w:tcW w:w="1099" w:type="dxa"/>
            <w:vAlign w:val="center"/>
          </w:tcPr>
          <w:p w14:paraId="3FA6EA09">
            <w:pPr>
              <w:keepNext w:val="0"/>
              <w:keepLines w:val="0"/>
              <w:suppressLineNumbers w:val="0"/>
              <w:adjustRightInd w:val="0"/>
              <w:spacing w:before="0" w:beforeAutospacing="0" w:after="0" w:afterAutospacing="0" w:line="240" w:lineRule="auto"/>
              <w:ind w:left="0" w:right="0"/>
              <w:jc w:val="center"/>
              <w:rPr>
                <w:rFonts w:hint="default"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经营方式</w:t>
            </w:r>
          </w:p>
        </w:tc>
        <w:tc>
          <w:tcPr>
            <w:tcW w:w="869" w:type="dxa"/>
            <w:vAlign w:val="center"/>
          </w:tcPr>
          <w:p w14:paraId="016D36D6">
            <w:pPr>
              <w:keepNext w:val="0"/>
              <w:keepLines w:val="0"/>
              <w:suppressLineNumbers w:val="0"/>
              <w:adjustRightInd w:val="0"/>
              <w:spacing w:before="0" w:beforeAutospacing="0" w:after="0" w:afterAutospacing="0" w:line="240" w:lineRule="auto"/>
              <w:ind w:left="0" w:right="0"/>
              <w:jc w:val="center"/>
              <w:rPr>
                <w:rFonts w:hint="default"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备注</w:t>
            </w:r>
          </w:p>
        </w:tc>
      </w:tr>
      <w:tr w14:paraId="48BB78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7" w:type="dxa"/>
            <w:vAlign w:val="center"/>
          </w:tcPr>
          <w:p w14:paraId="08D6B5A8">
            <w:pPr>
              <w:pStyle w:val="20"/>
              <w:keepNext w:val="0"/>
              <w:keepLines w:val="0"/>
              <w:numPr>
                <w:ilvl w:val="0"/>
                <w:numId w:val="7"/>
              </w:numPr>
              <w:suppressLineNumbers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sz w:val="21"/>
                <w:szCs w:val="21"/>
                <w:lang w:val="zh-TW" w:eastAsia="zh-TW" w:bidi="zh-TW"/>
                <w14:ligatures w14:val="none"/>
              </w:rPr>
            </w:pPr>
          </w:p>
        </w:tc>
        <w:tc>
          <w:tcPr>
            <w:tcW w:w="3051" w:type="dxa"/>
            <w:vAlign w:val="center"/>
          </w:tcPr>
          <w:p w14:paraId="10BC6547">
            <w:pPr>
              <w:keepNext w:val="0"/>
              <w:keepLines w:val="0"/>
              <w:suppressLineNumbers w:val="0"/>
              <w:spacing w:before="0" w:beforeAutospacing="0" w:after="0" w:afterAutospacing="0" w:line="240" w:lineRule="auto"/>
              <w:ind w:left="0" w:right="0"/>
              <w:rPr>
                <w:rFonts w:hint="default" w:ascii="Times New Roman" w:hAnsi="Times New Roman" w:eastAsia="宋体" w:cs="宋体"/>
                <w:sz w:val="21"/>
                <w:szCs w:val="21"/>
                <w:lang w:val="en-US" w:eastAsia="zh-CN" w:bidi="zh-TW"/>
                <w14:ligatures w14:val="none"/>
              </w:rPr>
            </w:pPr>
            <w:r>
              <w:rPr>
                <w:rFonts w:hint="eastAsia" w:ascii="Times New Roman" w:hAnsi="Times New Roman" w:eastAsia="宋体" w:cs="宋体"/>
                <w:sz w:val="21"/>
                <w:szCs w:val="21"/>
                <w:lang w:val="en-US" w:eastAsia="zh-CN" w:bidi="zh-TW"/>
                <w14:ligatures w14:val="none"/>
              </w:rPr>
              <w:t>盐酸</w:t>
            </w:r>
          </w:p>
        </w:tc>
        <w:tc>
          <w:tcPr>
            <w:tcW w:w="1742" w:type="dxa"/>
            <w:vAlign w:val="center"/>
          </w:tcPr>
          <w:p w14:paraId="26861442">
            <w:pPr>
              <w:keepNext w:val="0"/>
              <w:keepLines w:val="0"/>
              <w:suppressLineNumbers w:val="0"/>
              <w:spacing w:before="0" w:beforeAutospacing="0" w:after="0" w:afterAutospacing="0" w:line="240" w:lineRule="auto"/>
              <w:ind w:left="0" w:right="0"/>
              <w:jc w:val="center"/>
              <w:rPr>
                <w:rFonts w:hint="default" w:ascii="Times New Roman" w:hAnsi="Times New Roman" w:eastAsia="宋体" w:cs="宋体"/>
                <w:sz w:val="21"/>
                <w:szCs w:val="21"/>
                <w:lang w:val="en-US" w:eastAsia="zh-CN" w:bidi="zh-TW"/>
                <w14:ligatures w14:val="none"/>
              </w:rPr>
            </w:pPr>
            <w:r>
              <w:rPr>
                <w:rFonts w:hint="eastAsia" w:ascii="Times New Roman" w:hAnsi="Times New Roman" w:eastAsia="宋体" w:cs="宋体"/>
                <w:kern w:val="0"/>
                <w:sz w:val="21"/>
                <w:szCs w:val="20"/>
                <w:lang w:val="en-US" w:eastAsia="zh-CN" w:bidi="zh-TW"/>
                <w14:ligatures w14:val="none"/>
              </w:rPr>
              <w:t>2507</w:t>
            </w:r>
          </w:p>
        </w:tc>
        <w:tc>
          <w:tcPr>
            <w:tcW w:w="1772" w:type="dxa"/>
            <w:vAlign w:val="center"/>
          </w:tcPr>
          <w:p w14:paraId="00C3FC0D">
            <w:pPr>
              <w:keepNext w:val="0"/>
              <w:keepLines w:val="0"/>
              <w:suppressLineNumbers w:val="0"/>
              <w:spacing w:before="0" w:beforeAutospacing="0" w:after="0" w:afterAutospacing="0" w:line="240" w:lineRule="auto"/>
              <w:ind w:left="0" w:right="0"/>
              <w:jc w:val="center"/>
              <w:rPr>
                <w:rFonts w:hint="default" w:ascii="Times New Roman" w:hAnsi="Times New Roman" w:eastAsia="宋体" w:cs="宋体"/>
                <w:sz w:val="21"/>
                <w:szCs w:val="21"/>
                <w:lang w:bidi="zh-TW"/>
                <w14:ligatures w14:val="none"/>
              </w:rPr>
            </w:pPr>
            <w:r>
              <w:rPr>
                <w:rFonts w:hint="eastAsia" w:ascii="Times New Roman" w:hAnsi="Times New Roman" w:eastAsia="宋体" w:cs="宋体"/>
                <w:kern w:val="0"/>
                <w:sz w:val="21"/>
                <w:szCs w:val="20"/>
                <w:lang w:val="zh-TW" w:eastAsia="zh-TW" w:bidi="zh-TW"/>
                <w14:ligatures w14:val="none"/>
              </w:rPr>
              <w:t>7647-01-0</w:t>
            </w:r>
          </w:p>
        </w:tc>
        <w:tc>
          <w:tcPr>
            <w:tcW w:w="1099" w:type="dxa"/>
            <w:vMerge w:val="restart"/>
            <w:vAlign w:val="center"/>
          </w:tcPr>
          <w:p w14:paraId="79A92A8D">
            <w:pPr>
              <w:keepNext w:val="0"/>
              <w:keepLines/>
              <w:suppressLineNumbers w:val="0"/>
              <w:adjustRightInd w:val="0"/>
              <w:spacing w:before="0" w:beforeAutospacing="0" w:after="0" w:afterAutospacing="0" w:line="240" w:lineRule="auto"/>
              <w:ind w:left="0" w:right="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带有储存设施经营</w:t>
            </w:r>
          </w:p>
        </w:tc>
        <w:tc>
          <w:tcPr>
            <w:tcW w:w="869" w:type="dxa"/>
            <w:vAlign w:val="center"/>
          </w:tcPr>
          <w:p w14:paraId="69D26D64">
            <w:pPr>
              <w:keepNext w:val="0"/>
              <w:keepLines/>
              <w:suppressLineNumbers w:val="0"/>
              <w:adjustRightInd w:val="0"/>
              <w:spacing w:before="0" w:beforeAutospacing="0" w:after="0" w:afterAutospacing="0" w:line="240" w:lineRule="auto"/>
              <w:ind w:left="0" w:right="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浓度为30％左右</w:t>
            </w:r>
          </w:p>
        </w:tc>
      </w:tr>
      <w:tr w14:paraId="011C17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7" w:type="dxa"/>
            <w:vAlign w:val="center"/>
          </w:tcPr>
          <w:p w14:paraId="14E21AB7">
            <w:pPr>
              <w:pStyle w:val="20"/>
              <w:keepNext w:val="0"/>
              <w:keepLines w:val="0"/>
              <w:numPr>
                <w:ilvl w:val="0"/>
                <w:numId w:val="7"/>
              </w:numPr>
              <w:suppressLineNumbers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sz w:val="21"/>
                <w:szCs w:val="21"/>
                <w:lang w:bidi="zh-TW"/>
                <w14:ligatures w14:val="none"/>
              </w:rPr>
            </w:pPr>
          </w:p>
        </w:tc>
        <w:tc>
          <w:tcPr>
            <w:tcW w:w="3051" w:type="dxa"/>
            <w:vAlign w:val="center"/>
          </w:tcPr>
          <w:p w14:paraId="60CEB2DC">
            <w:pPr>
              <w:keepNext w:val="0"/>
              <w:keepLines w:val="0"/>
              <w:suppressLineNumbers w:val="0"/>
              <w:spacing w:before="0" w:beforeAutospacing="0" w:after="0" w:afterAutospacing="0" w:line="240" w:lineRule="auto"/>
              <w:ind w:left="0" w:right="0"/>
              <w:rPr>
                <w:rFonts w:hint="eastAsia" w:ascii="Times New Roman" w:hAnsi="Times New Roman" w:eastAsia="宋体" w:cs="宋体"/>
                <w:sz w:val="21"/>
                <w:szCs w:val="21"/>
                <w:lang w:eastAsia="zh-CN" w:bidi="zh-TW"/>
                <w14:ligatures w14:val="none"/>
              </w:rPr>
            </w:pPr>
            <w:r>
              <w:rPr>
                <w:rFonts w:hint="eastAsia" w:ascii="Times New Roman" w:hAnsi="Times New Roman" w:eastAsia="宋体" w:cs="Times New Roman"/>
                <w:sz w:val="21"/>
                <w:szCs w:val="21"/>
                <w:lang w:val="en-US" w:eastAsia="zh-CN" w:bidi="zh-TW"/>
                <w14:ligatures w14:val="none"/>
              </w:rPr>
              <w:t>次氯酸钠（含有效氯＞5%）</w:t>
            </w:r>
          </w:p>
        </w:tc>
        <w:tc>
          <w:tcPr>
            <w:tcW w:w="1742" w:type="dxa"/>
            <w:vAlign w:val="center"/>
          </w:tcPr>
          <w:p w14:paraId="74B078FC">
            <w:pPr>
              <w:keepNext w:val="0"/>
              <w:keepLines w:val="0"/>
              <w:suppressLineNumbers w:val="0"/>
              <w:spacing w:before="0" w:beforeAutospacing="0" w:after="0" w:afterAutospacing="0" w:line="240" w:lineRule="auto"/>
              <w:ind w:left="0" w:right="0"/>
              <w:jc w:val="center"/>
              <w:rPr>
                <w:rFonts w:hint="default" w:ascii="Times New Roman" w:hAnsi="Times New Roman" w:eastAsia="宋体" w:cs="宋体"/>
                <w:sz w:val="21"/>
                <w:szCs w:val="21"/>
                <w:lang w:val="en-US" w:eastAsia="zh-CN" w:bidi="zh-TW"/>
                <w14:ligatures w14:val="none"/>
              </w:rPr>
            </w:pPr>
            <w:r>
              <w:rPr>
                <w:rFonts w:hint="eastAsia" w:ascii="Times New Roman" w:hAnsi="Times New Roman" w:eastAsia="宋体" w:cs="宋体"/>
                <w:kern w:val="0"/>
                <w:sz w:val="21"/>
                <w:szCs w:val="20"/>
                <w:lang w:val="en-US" w:eastAsia="zh-CN" w:bidi="zh-TW"/>
                <w14:ligatures w14:val="none"/>
              </w:rPr>
              <w:t>166</w:t>
            </w:r>
          </w:p>
        </w:tc>
        <w:tc>
          <w:tcPr>
            <w:tcW w:w="1772" w:type="dxa"/>
            <w:vAlign w:val="center"/>
          </w:tcPr>
          <w:p w14:paraId="311E5E4C">
            <w:pPr>
              <w:keepNext w:val="0"/>
              <w:keepLines w:val="0"/>
              <w:suppressLineNumbers w:val="0"/>
              <w:spacing w:before="0" w:beforeAutospacing="0" w:after="0" w:afterAutospacing="0" w:line="240" w:lineRule="auto"/>
              <w:ind w:left="0" w:right="0"/>
              <w:jc w:val="center"/>
              <w:rPr>
                <w:rFonts w:hint="default" w:ascii="Times New Roman" w:hAnsi="Times New Roman" w:eastAsia="宋体" w:cs="宋体"/>
                <w:sz w:val="21"/>
                <w:szCs w:val="21"/>
                <w:lang w:bidi="zh-TW"/>
                <w14:ligatures w14:val="none"/>
              </w:rPr>
            </w:pPr>
            <w:r>
              <w:rPr>
                <w:rFonts w:hint="eastAsia" w:ascii="Times New Roman" w:hAnsi="Times New Roman" w:eastAsia="宋体" w:cs="宋体"/>
                <w:kern w:val="0"/>
                <w:sz w:val="21"/>
                <w:szCs w:val="20"/>
                <w:lang w:val="zh-TW" w:eastAsia="zh-TW" w:bidi="zh-TW"/>
                <w14:ligatures w14:val="none"/>
              </w:rPr>
              <w:t>7681-52-9</w:t>
            </w:r>
          </w:p>
        </w:tc>
        <w:tc>
          <w:tcPr>
            <w:tcW w:w="1099" w:type="dxa"/>
            <w:vMerge w:val="continue"/>
            <w:vAlign w:val="center"/>
          </w:tcPr>
          <w:p w14:paraId="75146219">
            <w:pPr>
              <w:keepNext w:val="0"/>
              <w:keepLines/>
              <w:suppressLineNumbers w:val="0"/>
              <w:adjustRightInd w:val="0"/>
              <w:spacing w:before="0" w:beforeAutospacing="0" w:after="0" w:afterAutospacing="0" w:line="240" w:lineRule="auto"/>
              <w:ind w:left="0" w:right="0"/>
              <w:jc w:val="center"/>
              <w:rPr>
                <w:rFonts w:hint="default" w:ascii="Times New Roman" w:hAnsi="Times New Roman" w:eastAsia="宋体" w:cs="Times New Roman"/>
                <w:sz w:val="21"/>
                <w:szCs w:val="21"/>
                <w14:ligatures w14:val="none"/>
              </w:rPr>
            </w:pPr>
          </w:p>
        </w:tc>
        <w:tc>
          <w:tcPr>
            <w:tcW w:w="869" w:type="dxa"/>
            <w:vAlign w:val="center"/>
          </w:tcPr>
          <w:p w14:paraId="2A0446C7">
            <w:pPr>
              <w:keepNext w:val="0"/>
              <w:keepLines/>
              <w:suppressLineNumbers w:val="0"/>
              <w:adjustRightInd w:val="0"/>
              <w:spacing w:before="0" w:beforeAutospacing="0" w:after="0" w:afterAutospacing="0" w:line="240" w:lineRule="auto"/>
              <w:ind w:left="0" w:right="0"/>
              <w:jc w:val="center"/>
              <w:rPr>
                <w:rFonts w:hint="default" w:ascii="Times New Roman" w:hAnsi="Times New Roman" w:eastAsia="宋体" w:cs="Times New Roman"/>
                <w:sz w:val="21"/>
                <w:szCs w:val="21"/>
                <w14:ligatures w14:val="none"/>
              </w:rPr>
            </w:pPr>
          </w:p>
        </w:tc>
      </w:tr>
      <w:tr w14:paraId="36617A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7" w:type="dxa"/>
            <w:vAlign w:val="center"/>
          </w:tcPr>
          <w:p w14:paraId="5E1DBB24">
            <w:pPr>
              <w:pStyle w:val="20"/>
              <w:keepNext w:val="0"/>
              <w:keepLines w:val="0"/>
              <w:numPr>
                <w:ilvl w:val="0"/>
                <w:numId w:val="7"/>
              </w:numPr>
              <w:suppressLineNumbers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sz w:val="21"/>
                <w:szCs w:val="21"/>
                <w:lang w:val="zh-TW" w:bidi="zh-TW"/>
                <w14:ligatures w14:val="none"/>
              </w:rPr>
            </w:pPr>
          </w:p>
        </w:tc>
        <w:tc>
          <w:tcPr>
            <w:tcW w:w="3051" w:type="dxa"/>
            <w:vAlign w:val="center"/>
          </w:tcPr>
          <w:p w14:paraId="373DEB7D">
            <w:pPr>
              <w:keepNext w:val="0"/>
              <w:keepLines w:val="0"/>
              <w:suppressLineNumbers w:val="0"/>
              <w:spacing w:before="0" w:beforeAutospacing="0" w:after="0" w:afterAutospacing="0" w:line="240" w:lineRule="auto"/>
              <w:ind w:left="0" w:right="0"/>
              <w:jc w:val="both"/>
              <w:rPr>
                <w:rFonts w:hint="default" w:ascii="Times New Roman" w:hAnsi="Times New Roman" w:eastAsia="宋体" w:cs="宋体"/>
                <w:sz w:val="21"/>
                <w:szCs w:val="21"/>
                <w:lang w:val="en-US" w:eastAsia="zh-CN" w:bidi="zh-TW"/>
                <w14:ligatures w14:val="none"/>
              </w:rPr>
            </w:pPr>
            <w:r>
              <w:rPr>
                <w:rFonts w:hint="eastAsia" w:ascii="Times New Roman" w:hAnsi="Times New Roman" w:eastAsia="宋体" w:cs="Times New Roman"/>
                <w:sz w:val="21"/>
                <w:szCs w:val="21"/>
                <w:lang w:val="en-US" w:eastAsia="zh-CN" w:bidi="zh-TW"/>
                <w14:ligatures w14:val="none"/>
              </w:rPr>
              <w:t>高硅四氯化钛</w:t>
            </w:r>
          </w:p>
        </w:tc>
        <w:tc>
          <w:tcPr>
            <w:tcW w:w="1742" w:type="dxa"/>
            <w:vAlign w:val="center"/>
          </w:tcPr>
          <w:p w14:paraId="5D7FE4AA">
            <w:pPr>
              <w:keepNext w:val="0"/>
              <w:keepLines w:val="0"/>
              <w:suppressLineNumbers w:val="0"/>
              <w:spacing w:before="0" w:beforeAutospacing="0" w:after="0" w:afterAutospacing="0" w:line="240" w:lineRule="auto"/>
              <w:ind w:left="0" w:right="0"/>
              <w:jc w:val="center"/>
              <w:rPr>
                <w:rFonts w:hint="default" w:ascii="Times New Roman" w:hAnsi="Times New Roman" w:eastAsia="宋体" w:cs="宋体"/>
                <w:sz w:val="21"/>
                <w:szCs w:val="21"/>
                <w:lang w:val="en-US" w:eastAsia="zh-CN" w:bidi="zh-TW"/>
                <w14:ligatures w14:val="none"/>
              </w:rPr>
            </w:pPr>
            <w:r>
              <w:rPr>
                <w:rFonts w:hint="eastAsia" w:ascii="Times New Roman" w:hAnsi="Times New Roman" w:eastAsia="宋体" w:cs="宋体"/>
                <w:sz w:val="21"/>
                <w:szCs w:val="21"/>
                <w:lang w:val="en-US" w:eastAsia="zh-CN" w:bidi="zh-TW"/>
                <w14:ligatures w14:val="none"/>
              </w:rPr>
              <w:t>2055</w:t>
            </w:r>
          </w:p>
        </w:tc>
        <w:tc>
          <w:tcPr>
            <w:tcW w:w="1772" w:type="dxa"/>
            <w:vAlign w:val="center"/>
          </w:tcPr>
          <w:p w14:paraId="0E7427D3">
            <w:pPr>
              <w:keepNext w:val="0"/>
              <w:keepLines w:val="0"/>
              <w:suppressLineNumbers w:val="0"/>
              <w:spacing w:before="0" w:beforeAutospacing="0" w:after="0" w:afterAutospacing="0" w:line="240" w:lineRule="auto"/>
              <w:ind w:left="0" w:right="0"/>
              <w:jc w:val="center"/>
              <w:rPr>
                <w:rFonts w:hint="default" w:ascii="Times New Roman" w:hAnsi="Times New Roman" w:eastAsia="宋体" w:cs="宋体"/>
                <w:sz w:val="21"/>
                <w:szCs w:val="21"/>
                <w:lang w:bidi="zh-TW"/>
                <w14:ligatures w14:val="none"/>
              </w:rPr>
            </w:pPr>
            <w:r>
              <w:rPr>
                <w:rFonts w:hint="eastAsia" w:ascii="Times New Roman" w:hAnsi="Times New Roman" w:eastAsia="宋体" w:cs="宋体"/>
                <w:kern w:val="0"/>
                <w:sz w:val="21"/>
                <w:szCs w:val="20"/>
                <w:lang w:val="zh-TW" w:eastAsia="zh-TW" w:bidi="zh-TW"/>
                <w14:ligatures w14:val="none"/>
              </w:rPr>
              <w:t>7550-45-0</w:t>
            </w:r>
          </w:p>
        </w:tc>
        <w:tc>
          <w:tcPr>
            <w:tcW w:w="1099" w:type="dxa"/>
            <w:vMerge w:val="continue"/>
            <w:vAlign w:val="center"/>
          </w:tcPr>
          <w:p w14:paraId="192889DE">
            <w:pPr>
              <w:keepNext w:val="0"/>
              <w:keepLines/>
              <w:suppressLineNumbers w:val="0"/>
              <w:adjustRightInd w:val="0"/>
              <w:spacing w:before="0" w:beforeAutospacing="0" w:after="0" w:afterAutospacing="0" w:line="240" w:lineRule="auto"/>
              <w:ind w:left="0" w:right="0"/>
              <w:jc w:val="center"/>
              <w:rPr>
                <w:rFonts w:hint="default" w:ascii="Times New Roman" w:hAnsi="Times New Roman" w:eastAsia="宋体" w:cs="Times New Roman"/>
                <w:sz w:val="21"/>
                <w:szCs w:val="21"/>
                <w14:ligatures w14:val="none"/>
              </w:rPr>
            </w:pPr>
          </w:p>
        </w:tc>
        <w:tc>
          <w:tcPr>
            <w:tcW w:w="869" w:type="dxa"/>
            <w:vAlign w:val="center"/>
          </w:tcPr>
          <w:p w14:paraId="433DD6AD">
            <w:pPr>
              <w:keepNext w:val="0"/>
              <w:keepLines/>
              <w:suppressLineNumbers w:val="0"/>
              <w:adjustRightInd w:val="0"/>
              <w:spacing w:before="0" w:beforeAutospacing="0" w:after="0" w:afterAutospacing="0" w:line="240" w:lineRule="auto"/>
              <w:ind w:left="0" w:right="0"/>
              <w:jc w:val="center"/>
              <w:rPr>
                <w:rFonts w:hint="default" w:ascii="Times New Roman" w:hAnsi="Times New Roman" w:eastAsia="宋体" w:cs="Times New Roman"/>
                <w:sz w:val="21"/>
                <w:szCs w:val="21"/>
                <w14:ligatures w14:val="none"/>
              </w:rPr>
            </w:pPr>
          </w:p>
        </w:tc>
      </w:tr>
      <w:tr w14:paraId="23DD5A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7" w:type="dxa"/>
            <w:vAlign w:val="center"/>
          </w:tcPr>
          <w:p w14:paraId="71E24408">
            <w:pPr>
              <w:pStyle w:val="20"/>
              <w:keepNext w:val="0"/>
              <w:keepLines w:val="0"/>
              <w:numPr>
                <w:ilvl w:val="0"/>
                <w:numId w:val="7"/>
              </w:numPr>
              <w:suppressLineNumbers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sz w:val="21"/>
                <w:szCs w:val="21"/>
                <w:lang w:bidi="zh-TW"/>
                <w14:ligatures w14:val="none"/>
              </w:rPr>
            </w:pPr>
          </w:p>
        </w:tc>
        <w:tc>
          <w:tcPr>
            <w:tcW w:w="3051" w:type="dxa"/>
            <w:vAlign w:val="center"/>
          </w:tcPr>
          <w:p w14:paraId="6DE0CC0E">
            <w:pPr>
              <w:keepNext w:val="0"/>
              <w:keepLines w:val="0"/>
              <w:suppressLineNumbers w:val="0"/>
              <w:spacing w:before="0" w:beforeAutospacing="0" w:after="0" w:afterAutospacing="0" w:line="240" w:lineRule="auto"/>
              <w:ind w:left="0" w:right="0"/>
              <w:jc w:val="both"/>
              <w:rPr>
                <w:rFonts w:hint="default" w:ascii="Times New Roman" w:hAnsi="Times New Roman" w:eastAsia="宋体" w:cs="宋体"/>
                <w:sz w:val="21"/>
                <w:szCs w:val="21"/>
                <w:lang w:val="en-US" w:eastAsia="zh-CN" w:bidi="zh-TW"/>
                <w14:ligatures w14:val="none"/>
              </w:rPr>
            </w:pPr>
            <w:r>
              <w:rPr>
                <w:rFonts w:hint="eastAsia" w:ascii="Times New Roman" w:hAnsi="Times New Roman" w:eastAsia="宋体" w:cs="宋体"/>
                <w:sz w:val="21"/>
                <w:szCs w:val="21"/>
                <w:lang w:val="en-US" w:eastAsia="zh-CN" w:bidi="zh-TW"/>
                <w14:ligatures w14:val="none"/>
              </w:rPr>
              <w:t>硫酸</w:t>
            </w:r>
          </w:p>
        </w:tc>
        <w:tc>
          <w:tcPr>
            <w:tcW w:w="1742" w:type="dxa"/>
            <w:vAlign w:val="center"/>
          </w:tcPr>
          <w:p w14:paraId="64011A2A">
            <w:pPr>
              <w:keepNext w:val="0"/>
              <w:keepLines w:val="0"/>
              <w:suppressLineNumbers w:val="0"/>
              <w:spacing w:before="0" w:beforeAutospacing="0" w:after="0" w:afterAutospacing="0" w:line="240" w:lineRule="auto"/>
              <w:ind w:left="0" w:right="0"/>
              <w:jc w:val="center"/>
              <w:rPr>
                <w:rFonts w:hint="default" w:ascii="Times New Roman" w:hAnsi="Times New Roman" w:eastAsia="宋体" w:cs="宋体"/>
                <w:sz w:val="21"/>
                <w:szCs w:val="21"/>
                <w:lang w:val="en-US" w:eastAsia="zh-CN" w:bidi="zh-TW"/>
                <w14:ligatures w14:val="none"/>
              </w:rPr>
            </w:pPr>
            <w:r>
              <w:rPr>
                <w:rFonts w:hint="eastAsia" w:ascii="Times New Roman" w:hAnsi="Times New Roman" w:eastAsia="宋体" w:cs="宋体"/>
                <w:sz w:val="21"/>
                <w:szCs w:val="21"/>
                <w:lang w:val="en-US" w:eastAsia="zh-CN" w:bidi="zh-TW"/>
                <w14:ligatures w14:val="none"/>
              </w:rPr>
              <w:t>1302</w:t>
            </w:r>
          </w:p>
        </w:tc>
        <w:tc>
          <w:tcPr>
            <w:tcW w:w="1772" w:type="dxa"/>
            <w:vAlign w:val="center"/>
          </w:tcPr>
          <w:p w14:paraId="19559873">
            <w:pPr>
              <w:keepNext w:val="0"/>
              <w:keepLines w:val="0"/>
              <w:suppressLineNumbers w:val="0"/>
              <w:spacing w:before="0" w:beforeAutospacing="0" w:after="0" w:afterAutospacing="0" w:line="240" w:lineRule="auto"/>
              <w:ind w:left="0" w:right="0"/>
              <w:jc w:val="center"/>
              <w:rPr>
                <w:rFonts w:hint="default" w:ascii="Times New Roman" w:hAnsi="Times New Roman" w:eastAsia="宋体" w:cs="宋体"/>
                <w:sz w:val="21"/>
                <w:szCs w:val="21"/>
                <w:lang w:bidi="zh-TW"/>
                <w14:ligatures w14:val="none"/>
              </w:rPr>
            </w:pPr>
            <w:r>
              <w:rPr>
                <w:rFonts w:hint="eastAsia" w:ascii="Times New Roman" w:hAnsi="Times New Roman" w:eastAsia="宋体" w:cs="宋体"/>
                <w:sz w:val="21"/>
                <w:szCs w:val="21"/>
                <w:lang w:bidi="zh-TW"/>
                <w14:ligatures w14:val="none"/>
              </w:rPr>
              <w:t>7664-93-9</w:t>
            </w:r>
          </w:p>
        </w:tc>
        <w:tc>
          <w:tcPr>
            <w:tcW w:w="1099" w:type="dxa"/>
            <w:vAlign w:val="center"/>
          </w:tcPr>
          <w:p w14:paraId="03C6296E">
            <w:pPr>
              <w:keepNext w:val="0"/>
              <w:keepLines/>
              <w:suppressLineNumbers w:val="0"/>
              <w:adjustRightInd w:val="0"/>
              <w:spacing w:before="0" w:beforeAutospacing="0" w:after="0" w:afterAutospacing="0" w:line="240" w:lineRule="auto"/>
              <w:ind w:left="0" w:right="0"/>
              <w:jc w:val="center"/>
              <w:rPr>
                <w:rFonts w:hint="default"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不带有储存设施经营</w:t>
            </w:r>
          </w:p>
        </w:tc>
        <w:tc>
          <w:tcPr>
            <w:tcW w:w="869" w:type="dxa"/>
            <w:vAlign w:val="center"/>
          </w:tcPr>
          <w:p w14:paraId="64301688">
            <w:pPr>
              <w:keepNext w:val="0"/>
              <w:keepLines/>
              <w:suppressLineNumbers w:val="0"/>
              <w:adjustRightInd w:val="0"/>
              <w:spacing w:before="0" w:beforeAutospacing="0" w:after="0" w:afterAutospacing="0" w:line="240" w:lineRule="auto"/>
              <w:ind w:left="0" w:right="0"/>
              <w:jc w:val="center"/>
              <w:rPr>
                <w:rFonts w:hint="default" w:ascii="Times New Roman" w:hAnsi="Times New Roman" w:eastAsia="宋体" w:cs="Times New Roman"/>
                <w:sz w:val="21"/>
                <w:szCs w:val="21"/>
                <w14:ligatures w14:val="none"/>
              </w:rPr>
            </w:pPr>
          </w:p>
        </w:tc>
      </w:tr>
    </w:tbl>
    <w:p w14:paraId="28507824">
      <w:pPr>
        <w:keepNext w:val="0"/>
        <w:keepLines w:val="0"/>
        <w:pageBreakBefore w:val="0"/>
        <w:widowControl w:val="0"/>
        <w:kinsoku/>
        <w:wordWrap/>
        <w:overflowPunct/>
        <w:topLinePunct w:val="0"/>
        <w:autoSpaceDE/>
        <w:autoSpaceDN/>
        <w:bidi w:val="0"/>
        <w:adjustRightInd w:val="0"/>
        <w:snapToGrid w:val="0"/>
        <w:spacing w:before="157" w:beforeLines="50" w:after="0" w:line="360" w:lineRule="auto"/>
        <w:ind w:firstLine="560" w:firstLineChars="20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（2）近三年新建、改建、扩建及安全生产情况</w:t>
      </w:r>
    </w:p>
    <w:p w14:paraId="321DB9FF">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近三年生产工艺、设施变化情况：自2022年取证以来，</w:t>
      </w:r>
      <w:r>
        <w:rPr>
          <w:rFonts w:hint="eastAsia" w:ascii="Times New Roman" w:hAnsi="Times New Roman" w:eastAsia="宋体" w:cs="Times New Roman"/>
          <w:sz w:val="28"/>
          <w:szCs w:val="28"/>
          <w:lang w:eastAsia="zh-CN"/>
          <w14:ligatures w14:val="none"/>
        </w:rPr>
        <w:t>朝阳金达钛业股份有限公司</w:t>
      </w:r>
      <w:r>
        <w:rPr>
          <w:rFonts w:hint="eastAsia" w:ascii="Times New Roman" w:hAnsi="Times New Roman" w:eastAsia="宋体" w:cs="Times New Roman"/>
          <w:sz w:val="28"/>
          <w:szCs w:val="28"/>
          <w14:ligatures w14:val="none"/>
        </w:rPr>
        <w:t>工艺、设备设施均无变化。</w:t>
      </w:r>
    </w:p>
    <w:p w14:paraId="397538F7">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近三年新、改、扩建项目三同时情况：自2022年取证以来，</w:t>
      </w:r>
      <w:r>
        <w:rPr>
          <w:rFonts w:hint="eastAsia" w:ascii="Times New Roman" w:hAnsi="Times New Roman" w:eastAsia="宋体" w:cs="Times New Roman"/>
          <w:sz w:val="28"/>
          <w:szCs w:val="28"/>
          <w:lang w:eastAsia="zh-CN"/>
          <w14:ligatures w14:val="none"/>
        </w:rPr>
        <w:t>朝阳金达钛业股份有限公司</w:t>
      </w:r>
      <w:r>
        <w:rPr>
          <w:rFonts w:hint="eastAsia" w:ascii="Times New Roman" w:hAnsi="Times New Roman" w:eastAsia="宋体" w:cs="Times New Roman"/>
          <w:sz w:val="28"/>
          <w:szCs w:val="28"/>
          <w14:ligatures w14:val="none"/>
        </w:rPr>
        <w:t>无新、改、扩建项目。</w:t>
      </w:r>
    </w:p>
    <w:p w14:paraId="3AEE7945">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近三年</w:t>
      </w:r>
      <w:r>
        <w:rPr>
          <w:rFonts w:hint="eastAsia" w:ascii="Times New Roman" w:hAnsi="Times New Roman" w:eastAsia="宋体" w:cs="Times New Roman"/>
          <w:sz w:val="28"/>
          <w:szCs w:val="28"/>
          <w:lang w:eastAsia="zh-CN"/>
          <w14:ligatures w14:val="none"/>
        </w:rPr>
        <w:t>朝阳金达钛业股份有限公司</w:t>
      </w:r>
      <w:r>
        <w:rPr>
          <w:rFonts w:hint="eastAsia" w:ascii="Times New Roman" w:hAnsi="Times New Roman" w:eastAsia="宋体" w:cs="Times New Roman"/>
          <w:sz w:val="28"/>
          <w:szCs w:val="28"/>
          <w14:ligatures w14:val="none"/>
        </w:rPr>
        <w:t>未发生安全生产事故。</w:t>
      </w:r>
    </w:p>
    <w:p w14:paraId="4FB5E388">
      <w:pPr>
        <w:keepNext/>
        <w:tabs>
          <w:tab w:val="left" w:pos="840"/>
          <w:tab w:val="left" w:pos="1260"/>
        </w:tabs>
        <w:adjustRightInd w:val="0"/>
        <w:snapToGrid w:val="0"/>
        <w:spacing w:before="156" w:beforeLines="50" w:after="156" w:afterLines="50" w:line="360" w:lineRule="auto"/>
        <w:ind w:firstLine="562" w:firstLineChars="200"/>
        <w:jc w:val="both"/>
        <w:outlineLvl w:val="2"/>
        <w:rPr>
          <w:rFonts w:ascii="Times New Roman" w:hAnsi="Times New Roman" w:eastAsia="黑体" w:cs="Times New Roman"/>
          <w:b/>
          <w:sz w:val="28"/>
          <w:szCs w:val="32"/>
          <w14:ligatures w14:val="none"/>
        </w:rPr>
      </w:pPr>
      <w:r>
        <w:rPr>
          <w:rFonts w:hint="eastAsia" w:ascii="Times New Roman" w:hAnsi="Times New Roman" w:eastAsia="黑体" w:cs="Times New Roman"/>
          <w:b/>
          <w:sz w:val="28"/>
          <w:szCs w:val="32"/>
          <w14:ligatures w14:val="none"/>
        </w:rPr>
        <w:t>2.1.2企业所在区域地理位置</w:t>
      </w:r>
    </w:p>
    <w:p w14:paraId="663BF5E2">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lang w:eastAsia="zh-CN"/>
          <w14:ligatures w14:val="none"/>
        </w:rPr>
        <w:t>朝阳金达钛业股份有限公司</w:t>
      </w:r>
      <w:r>
        <w:rPr>
          <w:rFonts w:hint="eastAsia" w:ascii="Times New Roman" w:hAnsi="Times New Roman" w:eastAsia="宋体" w:cs="Times New Roman"/>
          <w:sz w:val="28"/>
          <w:szCs w:val="28"/>
          <w14:ligatures w14:val="none"/>
        </w:rPr>
        <w:t>位于辽宁省朝阳市双塔区经济开发区小桃村。项目北侧为农田，东侧为山地，南侧为朝阳金达钼业有限责任公司，西侧为空地</w:t>
      </w:r>
      <w:r>
        <w:rPr>
          <w:rFonts w:hint="eastAsia" w:ascii="Times New Roman" w:hAnsi="Times New Roman" w:eastAsia="宋体" w:cs="Times New Roman"/>
          <w:sz w:val="28"/>
          <w:szCs w:val="28"/>
          <w:lang w:eastAsia="zh-CN"/>
          <w14:ligatures w14:val="none"/>
        </w:rPr>
        <w:t>，</w:t>
      </w:r>
      <w:r>
        <w:rPr>
          <w:rFonts w:hint="eastAsia" w:ascii="Times New Roman" w:hAnsi="Times New Roman" w:eastAsia="宋体" w:cs="Times New Roman"/>
          <w:sz w:val="28"/>
          <w:szCs w:val="28"/>
          <w14:ligatures w14:val="none"/>
        </w:rPr>
        <w:t>地理位置如下图2.1-1所示。</w:t>
      </w:r>
    </w:p>
    <w:p w14:paraId="17159507">
      <w:pPr>
        <w:adjustRightInd w:val="0"/>
        <w:snapToGrid w:val="0"/>
        <w:spacing w:after="0" w:line="360" w:lineRule="auto"/>
        <w:jc w:val="center"/>
        <w:rPr>
          <w:rFonts w:ascii="Times New Roman" w:hAnsi="Times New Roman" w:eastAsia="宋体" w:cs="Times New Roman"/>
          <w:sz w:val="28"/>
          <w:szCs w:val="28"/>
          <w14:ligatures w14:val="none"/>
        </w:rPr>
      </w:pPr>
    </w:p>
    <w:p w14:paraId="64F89BD6">
      <w:pPr>
        <w:adjustRightInd w:val="0"/>
        <w:snapToGrid w:val="0"/>
        <w:spacing w:before="156" w:beforeLines="50" w:after="156" w:afterLines="50" w:line="240" w:lineRule="auto"/>
        <w:jc w:val="center"/>
        <w:rPr>
          <w:rFonts w:ascii="Times New Roman" w:hAnsi="Times New Roman" w:eastAsia="黑体" w:cs="Times New Roman"/>
          <w:sz w:val="24"/>
          <w14:ligatures w14:val="none"/>
        </w:rPr>
      </w:pPr>
      <w:r>
        <w:rPr>
          <w:rFonts w:hint="eastAsia" w:ascii="Times New Roman" w:hAnsi="Times New Roman" w:eastAsia="黑体" w:cs="Times New Roman"/>
          <w:sz w:val="24"/>
          <w14:ligatures w14:val="none"/>
        </w:rPr>
        <w:t>图2.1-1  企业地理位置示意图</w:t>
      </w:r>
    </w:p>
    <w:p w14:paraId="491AB2FD">
      <w:pPr>
        <w:tabs>
          <w:tab w:val="left" w:pos="840"/>
          <w:tab w:val="left" w:pos="1260"/>
        </w:tabs>
        <w:adjustRightInd w:val="0"/>
        <w:snapToGrid w:val="0"/>
        <w:spacing w:before="156" w:beforeLines="50" w:after="156" w:afterLines="50" w:line="360" w:lineRule="auto"/>
        <w:ind w:firstLine="562" w:firstLineChars="200"/>
        <w:jc w:val="both"/>
        <w:outlineLvl w:val="2"/>
        <w:rPr>
          <w:rFonts w:ascii="Times New Roman" w:hAnsi="Times New Roman" w:eastAsia="黑体" w:cs="Times New Roman"/>
          <w:b/>
          <w:sz w:val="28"/>
          <w:szCs w:val="32"/>
          <w14:ligatures w14:val="none"/>
        </w:rPr>
      </w:pPr>
      <w:r>
        <w:rPr>
          <w:rFonts w:hint="eastAsia" w:ascii="Times New Roman" w:hAnsi="Times New Roman" w:eastAsia="黑体" w:cs="Times New Roman"/>
          <w:b/>
          <w:sz w:val="28"/>
          <w:szCs w:val="32"/>
          <w14:ligatures w14:val="none"/>
        </w:rPr>
        <w:t>2.1.3企业周边环境及平面布置</w:t>
      </w:r>
    </w:p>
    <w:p w14:paraId="1E9B3BAE">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eastAsia" w:ascii="Times New Roman" w:hAnsi="Times New Roman" w:eastAsia="宋体" w:cs="Times New Roman"/>
          <w:sz w:val="28"/>
          <w:szCs w:val="28"/>
          <w:lang w:eastAsia="zh-CN"/>
          <w14:ligatures w14:val="none"/>
        </w:rPr>
      </w:pPr>
      <w:r>
        <w:rPr>
          <w:rFonts w:hint="eastAsia" w:ascii="Times New Roman" w:hAnsi="Times New Roman" w:eastAsia="宋体" w:cs="Times New Roman"/>
          <w:sz w:val="28"/>
          <w:szCs w:val="28"/>
          <w:lang w:val="en-US" w:eastAsia="zh-CN"/>
          <w14:ligatures w14:val="none"/>
        </w:rPr>
        <w:t>高硅</w:t>
      </w:r>
      <w:r>
        <w:rPr>
          <w:rFonts w:hint="eastAsia" w:ascii="Times New Roman" w:hAnsi="Times New Roman" w:eastAsia="宋体" w:cs="Times New Roman"/>
          <w:sz w:val="28"/>
          <w:szCs w:val="28"/>
          <w:lang w:eastAsia="zh-CN"/>
          <w14:ligatures w14:val="none"/>
        </w:rPr>
        <w:t>四氯化钛罐区</w:t>
      </w:r>
      <w:r>
        <w:rPr>
          <w:rFonts w:hint="eastAsia" w:ascii="Times New Roman" w:hAnsi="Times New Roman" w:eastAsia="宋体" w:cs="Times New Roman"/>
          <w:sz w:val="28"/>
          <w:szCs w:val="28"/>
          <w:lang w:val="en-US" w:eastAsia="zh-CN"/>
          <w14:ligatures w14:val="none"/>
        </w:rPr>
        <w:t>布置在氯化分厂的厂区北侧的精制车间</w:t>
      </w:r>
      <w:r>
        <w:rPr>
          <w:rFonts w:hint="eastAsia" w:ascii="Times New Roman" w:hAnsi="Times New Roman" w:eastAsia="宋体" w:cs="Times New Roman"/>
          <w:sz w:val="28"/>
          <w:szCs w:val="28"/>
          <w:highlight w:val="none"/>
          <w:lang w:val="en-US" w:eastAsia="zh-CN"/>
          <w14:ligatures w14:val="none"/>
        </w:rPr>
        <w:t>四</w:t>
      </w:r>
      <w:r>
        <w:rPr>
          <w:rFonts w:hint="eastAsia" w:ascii="Times New Roman" w:hAnsi="Times New Roman" w:eastAsia="宋体" w:cs="Times New Roman"/>
          <w:sz w:val="28"/>
          <w:szCs w:val="28"/>
          <w:lang w:val="en-US" w:eastAsia="zh-CN"/>
          <w14:ligatures w14:val="none"/>
        </w:rPr>
        <w:t>楼</w:t>
      </w:r>
      <w:r>
        <w:rPr>
          <w:rFonts w:hint="eastAsia" w:ascii="Times New Roman" w:hAnsi="Times New Roman" w:eastAsia="宋体" w:cs="Times New Roman"/>
          <w:sz w:val="28"/>
          <w:szCs w:val="28"/>
          <w:lang w:eastAsia="zh-CN"/>
          <w14:ligatures w14:val="none"/>
        </w:rPr>
        <w:t>，</w:t>
      </w:r>
      <w:r>
        <w:rPr>
          <w:rFonts w:hint="eastAsia" w:ascii="Times New Roman" w:hAnsi="Times New Roman" w:eastAsia="宋体" w:cs="Times New Roman"/>
          <w:sz w:val="28"/>
          <w:szCs w:val="28"/>
          <w:lang w:val="en-US" w:eastAsia="zh-CN"/>
          <w14:ligatures w14:val="none"/>
        </w:rPr>
        <w:t>精制车间的北侧为围墙；南侧为冷冻站、盐酸/液碱储库及制氧站；西侧为四氯化钛储罐区及围墙；东侧为四氯化钛制备工段。盐酸储罐区布置在南侧的辅助服务区内，盐酸储罐的北侧为精制车间；南侧为循环水系统；西侧为制氧站及空压站/氮气站；东侧为冷冻站</w:t>
      </w:r>
      <w:r>
        <w:rPr>
          <w:rFonts w:hint="eastAsia" w:ascii="Times New Roman" w:hAnsi="Times New Roman" w:eastAsia="宋体" w:cs="Times New Roman"/>
          <w:sz w:val="28"/>
          <w:szCs w:val="28"/>
          <w:lang w:eastAsia="zh-CN"/>
          <w14:ligatures w14:val="none"/>
        </w:rPr>
        <w:t>。</w:t>
      </w:r>
    </w:p>
    <w:p w14:paraId="6A82A082">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eastAsia" w:ascii="Times New Roman" w:hAnsi="Times New Roman" w:eastAsia="宋体" w:cs="Times New Roman"/>
          <w:sz w:val="28"/>
          <w:szCs w:val="28"/>
          <w:lang w:eastAsia="zh-CN"/>
          <w14:ligatures w14:val="none"/>
        </w:rPr>
      </w:pPr>
      <w:r>
        <w:rPr>
          <w:rFonts w:hint="eastAsia" w:ascii="Times New Roman" w:hAnsi="Times New Roman" w:eastAsia="宋体" w:cs="Times New Roman"/>
          <w:sz w:val="28"/>
          <w:szCs w:val="28"/>
          <w:lang w:val="en-US" w:eastAsia="zh-CN"/>
          <w14:ligatures w14:val="none"/>
        </w:rPr>
        <w:t>次氯酸钠储罐位于镁电解分厂内，其罐区北侧为空地，南侧为柴油发电机室、10KV配电室；西侧为物资仓库；东侧为泵房。</w:t>
      </w:r>
      <w:r>
        <w:rPr>
          <w:rFonts w:hint="eastAsia" w:ascii="Times New Roman" w:hAnsi="Times New Roman" w:eastAsia="宋体" w:cs="Times New Roman"/>
          <w:sz w:val="28"/>
          <w:szCs w:val="28"/>
          <w:lang w:eastAsia="zh-CN"/>
          <w14:ligatures w14:val="none"/>
        </w:rPr>
        <w:t>厂内道路畅通，重要建构筑物均按标准要求形成环形消防通道。</w:t>
      </w:r>
    </w:p>
    <w:p w14:paraId="6E90348F">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eastAsia" w:ascii="Times New Roman" w:hAnsi="Times New Roman" w:eastAsia="宋体" w:cs="Times New Roman"/>
          <w:sz w:val="28"/>
          <w:szCs w:val="28"/>
          <w:lang w:eastAsia="zh-CN"/>
          <w14:ligatures w14:val="none"/>
        </w:rPr>
      </w:pPr>
      <w:r>
        <w:rPr>
          <w:rFonts w:hint="eastAsia" w:ascii="Times New Roman" w:hAnsi="Times New Roman" w:eastAsia="宋体" w:cs="Times New Roman"/>
          <w:sz w:val="28"/>
          <w:szCs w:val="28"/>
          <w:lang w:eastAsia="zh-CN"/>
          <w14:ligatures w14:val="none"/>
        </w:rPr>
        <w:t>厂区主干道宽6～12m，次干道和消防通道宽度不小于6m，转弯半径为12m，建筑布局合理。满足交通及消防要求。</w:t>
      </w:r>
      <w:r>
        <w:rPr>
          <w:rFonts w:hint="eastAsia" w:ascii="Times New Roman" w:hAnsi="Times New Roman" w:eastAsia="宋体" w:cs="Times New Roman"/>
          <w:sz w:val="28"/>
          <w:szCs w:val="28"/>
          <w14:ligatures w14:val="none"/>
        </w:rPr>
        <w:t>厂区平面布置情况见图2.1-2</w:t>
      </w:r>
      <w:r>
        <w:rPr>
          <w:rFonts w:hint="eastAsia" w:ascii="Times New Roman" w:hAnsi="Times New Roman" w:eastAsia="宋体" w:cs="Times New Roman"/>
          <w:sz w:val="28"/>
          <w:szCs w:val="28"/>
          <w:lang w:val="en-US" w:eastAsia="zh-CN"/>
          <w14:ligatures w14:val="none"/>
        </w:rPr>
        <w:t>和2.1-3</w:t>
      </w:r>
      <w:r>
        <w:rPr>
          <w:rFonts w:hint="eastAsia" w:ascii="Times New Roman" w:hAnsi="Times New Roman" w:eastAsia="宋体" w:cs="Times New Roman"/>
          <w:sz w:val="28"/>
          <w:szCs w:val="28"/>
          <w14:ligatures w14:val="none"/>
        </w:rPr>
        <w:t>。本项目建（构）筑物与其他建（构）筑物之间的防火间距见下表2.1-</w:t>
      </w:r>
      <w:r>
        <w:rPr>
          <w:rFonts w:hint="eastAsia" w:ascii="Times New Roman" w:hAnsi="Times New Roman" w:eastAsia="宋体" w:cs="Times New Roman"/>
          <w:sz w:val="28"/>
          <w:szCs w:val="28"/>
          <w:lang w:val="en-US" w:eastAsia="zh-CN"/>
          <w14:ligatures w14:val="none"/>
        </w:rPr>
        <w:t>2</w:t>
      </w:r>
      <w:r>
        <w:rPr>
          <w:rFonts w:hint="eastAsia" w:ascii="Times New Roman" w:hAnsi="Times New Roman" w:eastAsia="宋体" w:cs="Times New Roman"/>
          <w:sz w:val="28"/>
          <w:szCs w:val="28"/>
          <w:lang w:eastAsia="zh-CN"/>
          <w14:ligatures w14:val="none"/>
        </w:rPr>
        <w:t>。</w:t>
      </w:r>
    </w:p>
    <w:p w14:paraId="50281E37">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eastAsia" w:ascii="Times New Roman" w:hAnsi="Times New Roman" w:eastAsia="宋体" w:cs="Times New Roman"/>
          <w:sz w:val="28"/>
          <w:szCs w:val="28"/>
          <w:lang w:eastAsia="zh-CN"/>
          <w14:ligatures w14:val="none"/>
        </w:rPr>
      </w:pPr>
    </w:p>
    <w:p w14:paraId="07D72FF9">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eastAsia" w:ascii="Times New Roman" w:hAnsi="Times New Roman" w:eastAsia="宋体" w:cs="Times New Roman"/>
          <w:sz w:val="28"/>
          <w:szCs w:val="28"/>
          <w:lang w:eastAsia="zh-CN"/>
          <w14:ligatures w14:val="none"/>
        </w:rPr>
      </w:pPr>
    </w:p>
    <w:p w14:paraId="40952CD1">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eastAsia" w:ascii="Times New Roman" w:hAnsi="Times New Roman" w:eastAsia="宋体" w:cs="Times New Roman"/>
          <w:sz w:val="28"/>
          <w:szCs w:val="28"/>
          <w:lang w:eastAsia="zh-CN"/>
          <w14:ligatures w14:val="none"/>
        </w:rPr>
      </w:pPr>
    </w:p>
    <w:p w14:paraId="125F0DD6">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eastAsia" w:ascii="Times New Roman" w:hAnsi="Times New Roman" w:eastAsia="宋体" w:cs="Times New Roman"/>
          <w:sz w:val="28"/>
          <w:szCs w:val="28"/>
          <w:lang w:eastAsia="zh-CN"/>
          <w14:ligatures w14:val="none"/>
        </w:rPr>
      </w:pPr>
    </w:p>
    <w:p w14:paraId="5A19DA72">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eastAsia" w:ascii="Times New Roman" w:hAnsi="Times New Roman" w:eastAsia="宋体" w:cs="Times New Roman"/>
          <w:sz w:val="28"/>
          <w:szCs w:val="28"/>
          <w:lang w:eastAsia="zh-CN"/>
          <w14:ligatures w14:val="none"/>
        </w:rPr>
      </w:pPr>
    </w:p>
    <w:p w14:paraId="22EBC346">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eastAsia" w:ascii="Times New Roman" w:hAnsi="Times New Roman" w:eastAsia="宋体" w:cs="Times New Roman"/>
          <w:sz w:val="28"/>
          <w:szCs w:val="28"/>
          <w:lang w:eastAsia="zh-CN"/>
          <w14:ligatures w14:val="none"/>
        </w:rPr>
      </w:pPr>
    </w:p>
    <w:p w14:paraId="1643594D">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eastAsia" w:ascii="Times New Roman" w:hAnsi="Times New Roman" w:eastAsia="宋体" w:cs="Times New Roman"/>
          <w:sz w:val="28"/>
          <w:szCs w:val="28"/>
          <w:lang w:eastAsia="zh-CN"/>
          <w14:ligatures w14:val="none"/>
        </w:rPr>
      </w:pPr>
    </w:p>
    <w:p w14:paraId="2E716825">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eastAsia" w:ascii="Times New Roman" w:hAnsi="Times New Roman" w:eastAsia="宋体" w:cs="Times New Roman"/>
          <w:sz w:val="28"/>
          <w:szCs w:val="28"/>
          <w:lang w:eastAsia="zh-CN"/>
          <w14:ligatures w14:val="none"/>
        </w:rPr>
      </w:pPr>
    </w:p>
    <w:p w14:paraId="375C49BD">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eastAsia" w:ascii="Times New Roman" w:hAnsi="Times New Roman" w:eastAsia="宋体" w:cs="Times New Roman"/>
          <w:sz w:val="28"/>
          <w:szCs w:val="28"/>
          <w:lang w:eastAsia="zh-CN"/>
          <w14:ligatures w14:val="none"/>
        </w:rPr>
      </w:pPr>
    </w:p>
    <w:p w14:paraId="7C176E92">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eastAsia" w:ascii="Times New Roman" w:hAnsi="Times New Roman" w:eastAsia="宋体" w:cs="Times New Roman"/>
          <w:sz w:val="28"/>
          <w:szCs w:val="28"/>
          <w:lang w:eastAsia="zh-CN"/>
          <w14:ligatures w14:val="none"/>
        </w:rPr>
      </w:pPr>
    </w:p>
    <w:p w14:paraId="2F2C833A">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eastAsia" w:ascii="Times New Roman" w:hAnsi="Times New Roman" w:eastAsia="宋体" w:cs="Times New Roman"/>
          <w:sz w:val="28"/>
          <w:szCs w:val="28"/>
          <w:lang w:eastAsia="zh-CN"/>
          <w14:ligatures w14:val="none"/>
        </w:rPr>
      </w:pPr>
    </w:p>
    <w:p w14:paraId="1170A9DD">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eastAsia" w:ascii="Times New Roman" w:hAnsi="Times New Roman" w:eastAsia="宋体" w:cs="Times New Roman"/>
          <w:sz w:val="28"/>
          <w:szCs w:val="28"/>
          <w:lang w:eastAsia="zh-CN"/>
          <w14:ligatures w14:val="none"/>
        </w:rPr>
      </w:pPr>
    </w:p>
    <w:p w14:paraId="09A574F6">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eastAsia" w:ascii="Times New Roman" w:hAnsi="Times New Roman" w:eastAsia="宋体" w:cs="Times New Roman"/>
          <w:sz w:val="28"/>
          <w:szCs w:val="28"/>
          <w:lang w:eastAsia="zh-CN"/>
          <w14:ligatures w14:val="none"/>
        </w:rPr>
      </w:pPr>
    </w:p>
    <w:p w14:paraId="6645470D">
      <w:pPr>
        <w:keepNext w:val="0"/>
        <w:keepLines w:val="0"/>
        <w:pageBreakBefore w:val="0"/>
        <w:widowControl w:val="0"/>
        <w:kinsoku/>
        <w:wordWrap/>
        <w:overflowPunct/>
        <w:topLinePunct w:val="0"/>
        <w:autoSpaceDE/>
        <w:autoSpaceDN/>
        <w:bidi w:val="0"/>
        <w:adjustRightInd w:val="0"/>
        <w:snapToGrid w:val="0"/>
        <w:spacing w:after="0" w:line="360" w:lineRule="auto"/>
        <w:ind w:firstLine="480" w:firstLineChars="200"/>
        <w:jc w:val="center"/>
        <w:textAlignment w:val="auto"/>
        <w:rPr>
          <w:rFonts w:hint="eastAsia" w:ascii="Times New Roman" w:hAnsi="Times New Roman" w:eastAsia="宋体" w:cs="Times New Roman"/>
          <w:sz w:val="28"/>
          <w:szCs w:val="28"/>
          <w:lang w:eastAsia="zh-CN"/>
          <w14:ligatures w14:val="none"/>
        </w:rPr>
      </w:pPr>
      <w:r>
        <w:rPr>
          <w:rFonts w:hint="eastAsia" w:ascii="Times New Roman" w:hAnsi="Times New Roman" w:eastAsia="黑体" w:cs="Times New Roman"/>
          <w:sz w:val="24"/>
          <w14:ligatures w14:val="none"/>
        </w:rPr>
        <w:t xml:space="preserve">图2.1-2  </w:t>
      </w:r>
      <w:r>
        <w:rPr>
          <w:rFonts w:hint="eastAsia" w:ascii="Times New Roman" w:hAnsi="Times New Roman" w:eastAsia="黑体" w:cs="Times New Roman"/>
          <w:sz w:val="24"/>
          <w:lang w:val="en-US" w:eastAsia="zh-CN"/>
          <w14:ligatures w14:val="none"/>
        </w:rPr>
        <w:t>次氯酸钠储罐（镁电解分厂）</w:t>
      </w:r>
      <w:r>
        <w:rPr>
          <w:rFonts w:hint="eastAsia" w:ascii="Times New Roman" w:hAnsi="Times New Roman" w:eastAsia="黑体" w:cs="Times New Roman"/>
          <w:sz w:val="24"/>
          <w14:ligatures w14:val="none"/>
        </w:rPr>
        <w:t>周边环境及平面布置图</w:t>
      </w:r>
    </w:p>
    <w:p w14:paraId="0C8175AE">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p>
    <w:p w14:paraId="0BB29FDF">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p>
    <w:p w14:paraId="4F238B3E">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p>
    <w:p w14:paraId="45040733">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p>
    <w:p w14:paraId="1C74DC73">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bookmarkStart w:id="204" w:name="_GoBack"/>
      <w:bookmarkEnd w:id="204"/>
    </w:p>
    <w:p w14:paraId="4F9DF9A0">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p>
    <w:p w14:paraId="4EFD5C84">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p>
    <w:p w14:paraId="5AD7128D">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p>
    <w:p w14:paraId="0C5DF63C">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p>
    <w:p w14:paraId="1A4E746A">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p>
    <w:p w14:paraId="33D7EE5F">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p>
    <w:p w14:paraId="407CCB3C">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p>
    <w:p w14:paraId="0BBBF022">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p>
    <w:p w14:paraId="42A6A2C8">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p>
    <w:p w14:paraId="3B41921D">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p>
    <w:p w14:paraId="0276B9B8">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p>
    <w:p w14:paraId="2A931E43">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p>
    <w:p w14:paraId="05F54229">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p>
    <w:p w14:paraId="3D8C8C24">
      <w:pPr>
        <w:keepNext w:val="0"/>
        <w:keepLines w:val="0"/>
        <w:pageBreakBefore w:val="0"/>
        <w:widowControl w:val="0"/>
        <w:kinsoku/>
        <w:wordWrap/>
        <w:overflowPunct/>
        <w:topLinePunct w:val="0"/>
        <w:autoSpaceDE/>
        <w:autoSpaceDN/>
        <w:bidi w:val="0"/>
        <w:adjustRightInd w:val="0"/>
        <w:snapToGrid w:val="0"/>
        <w:spacing w:after="0" w:line="360" w:lineRule="auto"/>
        <w:jc w:val="both"/>
        <w:textAlignment w:val="auto"/>
        <w:rPr>
          <w:rFonts w:hint="eastAsia" w:ascii="Times New Roman" w:hAnsi="Times New Roman" w:eastAsia="黑体" w:cs="Times New Roman"/>
          <w:sz w:val="24"/>
          <w14:ligatures w14:val="none"/>
        </w:rPr>
      </w:pPr>
    </w:p>
    <w:p w14:paraId="3EB7C525">
      <w:pPr>
        <w:keepNext w:val="0"/>
        <w:keepLines w:val="0"/>
        <w:pageBreakBefore w:val="0"/>
        <w:widowControl w:val="0"/>
        <w:kinsoku/>
        <w:wordWrap/>
        <w:overflowPunct/>
        <w:topLinePunct w:val="0"/>
        <w:autoSpaceDE/>
        <w:autoSpaceDN/>
        <w:bidi w:val="0"/>
        <w:adjustRightInd w:val="0"/>
        <w:snapToGrid w:val="0"/>
        <w:spacing w:after="0" w:line="360" w:lineRule="auto"/>
        <w:ind w:firstLine="480" w:firstLineChars="200"/>
        <w:jc w:val="center"/>
        <w:textAlignment w:val="auto"/>
        <w:rPr>
          <w:rFonts w:hint="eastAsia" w:ascii="Times New Roman" w:hAnsi="Times New Roman" w:eastAsia="黑体" w:cs="Times New Roman"/>
          <w:sz w:val="24"/>
          <w14:ligatures w14:val="none"/>
        </w:rPr>
      </w:pPr>
    </w:p>
    <w:p w14:paraId="1E201DEF">
      <w:pPr>
        <w:keepNext w:val="0"/>
        <w:keepLines w:val="0"/>
        <w:pageBreakBefore w:val="0"/>
        <w:widowControl w:val="0"/>
        <w:kinsoku/>
        <w:wordWrap/>
        <w:overflowPunct/>
        <w:topLinePunct w:val="0"/>
        <w:autoSpaceDE/>
        <w:autoSpaceDN/>
        <w:bidi w:val="0"/>
        <w:adjustRightInd w:val="0"/>
        <w:snapToGrid w:val="0"/>
        <w:spacing w:after="0" w:line="360" w:lineRule="auto"/>
        <w:ind w:firstLine="480" w:firstLineChars="200"/>
        <w:jc w:val="center"/>
        <w:textAlignment w:val="auto"/>
        <w:rPr>
          <w:rFonts w:hint="eastAsia" w:ascii="Times New Roman" w:hAnsi="Times New Roman" w:eastAsia="宋体" w:cs="Times New Roman"/>
          <w:sz w:val="28"/>
          <w:szCs w:val="28"/>
          <w:lang w:eastAsia="zh-CN"/>
          <w14:ligatures w14:val="none"/>
        </w:rPr>
      </w:pPr>
      <w:r>
        <w:rPr>
          <w:rFonts w:hint="eastAsia" w:ascii="Times New Roman" w:hAnsi="Times New Roman" w:eastAsia="黑体" w:cs="Times New Roman"/>
          <w:sz w:val="24"/>
          <w14:ligatures w14:val="none"/>
        </w:rPr>
        <w:t>图2.1-</w:t>
      </w:r>
      <w:r>
        <w:rPr>
          <w:rFonts w:hint="eastAsia" w:ascii="Times New Roman" w:hAnsi="Times New Roman" w:eastAsia="黑体" w:cs="Times New Roman"/>
          <w:sz w:val="24"/>
          <w:lang w:val="en-US" w:eastAsia="zh-CN"/>
          <w14:ligatures w14:val="none"/>
        </w:rPr>
        <w:t>3</w:t>
      </w:r>
      <w:r>
        <w:rPr>
          <w:rFonts w:hint="eastAsia" w:ascii="Times New Roman" w:hAnsi="Times New Roman" w:eastAsia="黑体" w:cs="Times New Roman"/>
          <w:sz w:val="24"/>
          <w14:ligatures w14:val="none"/>
        </w:rPr>
        <w:t xml:space="preserve">  </w:t>
      </w:r>
      <w:r>
        <w:rPr>
          <w:rFonts w:hint="eastAsia" w:ascii="Times New Roman" w:hAnsi="Times New Roman" w:eastAsia="黑体" w:cs="Times New Roman"/>
          <w:sz w:val="24"/>
          <w:lang w:val="en-US" w:eastAsia="zh-CN"/>
          <w14:ligatures w14:val="none"/>
        </w:rPr>
        <w:t>盐酸储罐（氯化分厂）</w:t>
      </w:r>
      <w:r>
        <w:rPr>
          <w:rFonts w:hint="eastAsia" w:ascii="Times New Roman" w:hAnsi="Times New Roman" w:eastAsia="黑体" w:cs="Times New Roman"/>
          <w:sz w:val="24"/>
          <w14:ligatures w14:val="none"/>
        </w:rPr>
        <w:t>周边环境及平面布置图</w:t>
      </w:r>
    </w:p>
    <w:p w14:paraId="2E124FE5">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sectPr>
          <w:headerReference r:id="rId5" w:type="default"/>
          <w:footerReference r:id="rId6" w:type="default"/>
          <w:pgSz w:w="11906" w:h="16838"/>
          <w:pgMar w:top="1418" w:right="1134" w:bottom="1134" w:left="1588" w:header="851" w:footer="992" w:gutter="0"/>
          <w:pgBorders>
            <w:top w:val="none" w:sz="0" w:space="0"/>
            <w:left w:val="none" w:sz="0" w:space="0"/>
            <w:bottom w:val="none" w:sz="0" w:space="0"/>
            <w:right w:val="none" w:sz="0" w:space="0"/>
          </w:pgBorders>
          <w:pgNumType w:fmt="decimal" w:start="1"/>
          <w:cols w:space="425" w:num="1"/>
          <w:docGrid w:type="lines" w:linePitch="312" w:charSpace="0"/>
        </w:sectPr>
      </w:pPr>
    </w:p>
    <w:p w14:paraId="3933A9E6">
      <w:pPr>
        <w:adjustRightInd w:val="0"/>
        <w:snapToGrid w:val="0"/>
        <w:spacing w:before="156" w:beforeLines="50" w:after="156" w:afterLines="50" w:line="240" w:lineRule="auto"/>
        <w:jc w:val="center"/>
        <w:rPr>
          <w:rFonts w:ascii="Times New Roman" w:hAnsi="Times New Roman" w:eastAsia="黑体" w:cs="Times New Roman"/>
          <w:sz w:val="24"/>
          <w14:ligatures w14:val="none"/>
        </w:rPr>
      </w:pPr>
      <w:r>
        <w:rPr>
          <w:rFonts w:hint="eastAsia" w:ascii="Times New Roman" w:hAnsi="Times New Roman" w:eastAsia="黑体" w:cs="Times New Roman"/>
          <w:sz w:val="24"/>
          <w14:ligatures w14:val="none"/>
        </w:rPr>
        <w:t>表2.1-</w:t>
      </w:r>
      <w:r>
        <w:rPr>
          <w:rFonts w:hint="eastAsia" w:ascii="Times New Roman" w:hAnsi="Times New Roman" w:eastAsia="黑体" w:cs="Times New Roman"/>
          <w:sz w:val="24"/>
          <w:lang w:val="en-US" w:eastAsia="zh-CN"/>
          <w14:ligatures w14:val="none"/>
        </w:rPr>
        <w:t>2</w:t>
      </w:r>
      <w:r>
        <w:rPr>
          <w:rFonts w:hint="eastAsia" w:ascii="Times New Roman" w:hAnsi="Times New Roman" w:eastAsia="黑体" w:cs="Times New Roman"/>
          <w:sz w:val="24"/>
          <w14:ligatures w14:val="none"/>
        </w:rPr>
        <w:t xml:space="preserve">  本项目建（构）筑物与其他建（构）筑物之间的防火间距检查表</w:t>
      </w:r>
      <w:r>
        <w:rPr>
          <w:rFonts w:ascii="Times New Roman" w:hAnsi="Times New Roman" w:eastAsia="黑体" w:cs="Times New Roman"/>
          <w:sz w:val="24"/>
          <w14:ligatures w14:val="none"/>
        </w:rPr>
        <w:t>（m）</w:t>
      </w:r>
    </w:p>
    <w:tbl>
      <w:tblPr>
        <w:tblStyle w:val="1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26"/>
        <w:gridCol w:w="1649"/>
        <w:gridCol w:w="725"/>
        <w:gridCol w:w="1959"/>
        <w:gridCol w:w="1078"/>
        <w:gridCol w:w="1091"/>
        <w:gridCol w:w="1602"/>
        <w:gridCol w:w="771"/>
      </w:tblGrid>
      <w:tr w14:paraId="6DCE32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37" w:hRule="atLeast"/>
          <w:tblHeader/>
          <w:jc w:val="center"/>
        </w:trPr>
        <w:tc>
          <w:tcPr>
            <w:tcW w:w="526" w:type="dxa"/>
            <w:vMerge w:val="restart"/>
            <w:vAlign w:val="center"/>
          </w:tcPr>
          <w:p w14:paraId="0E09ACF5">
            <w:pPr>
              <w:keepNext w:val="0"/>
              <w:keepLines w:val="0"/>
              <w:suppressLineNumbers w:val="0"/>
              <w:snapToGrid w:val="0"/>
              <w:spacing w:before="0" w:beforeAutospacing="0" w:after="0" w:afterAutospacing="0" w:line="240" w:lineRule="auto"/>
              <w:ind w:left="0" w:right="0"/>
              <w:jc w:val="center"/>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序号</w:t>
            </w:r>
          </w:p>
        </w:tc>
        <w:tc>
          <w:tcPr>
            <w:tcW w:w="1649" w:type="dxa"/>
            <w:vMerge w:val="restart"/>
            <w:vAlign w:val="center"/>
          </w:tcPr>
          <w:p w14:paraId="243CE2A9">
            <w:pPr>
              <w:keepNext w:val="0"/>
              <w:keepLines w:val="0"/>
              <w:suppressLineNumbers w:val="0"/>
              <w:snapToGrid w:val="0"/>
              <w:spacing w:before="0" w:beforeAutospacing="0" w:after="0" w:afterAutospacing="0" w:line="240" w:lineRule="auto"/>
              <w:ind w:left="0" w:right="0"/>
              <w:jc w:val="center"/>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项目</w:t>
            </w:r>
          </w:p>
        </w:tc>
        <w:tc>
          <w:tcPr>
            <w:tcW w:w="725" w:type="dxa"/>
            <w:vMerge w:val="restart"/>
            <w:vAlign w:val="center"/>
          </w:tcPr>
          <w:p w14:paraId="4ED034F3">
            <w:pPr>
              <w:keepNext w:val="0"/>
              <w:keepLines w:val="0"/>
              <w:suppressLineNumbers w:val="0"/>
              <w:snapToGrid w:val="0"/>
              <w:spacing w:before="0" w:beforeAutospacing="0" w:after="0" w:afterAutospacing="0" w:line="240" w:lineRule="auto"/>
              <w:ind w:left="0" w:right="0"/>
              <w:jc w:val="center"/>
              <w:rPr>
                <w:rFonts w:hint="default"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方位</w:t>
            </w:r>
          </w:p>
        </w:tc>
        <w:tc>
          <w:tcPr>
            <w:tcW w:w="1959" w:type="dxa"/>
            <w:vMerge w:val="restart"/>
            <w:vAlign w:val="center"/>
          </w:tcPr>
          <w:p w14:paraId="248C3A07">
            <w:pPr>
              <w:keepNext w:val="0"/>
              <w:keepLines w:val="0"/>
              <w:suppressLineNumbers w:val="0"/>
              <w:snapToGrid w:val="0"/>
              <w:spacing w:before="0" w:beforeAutospacing="0" w:after="0" w:afterAutospacing="0" w:line="240" w:lineRule="auto"/>
              <w:ind w:left="0" w:right="0"/>
              <w:jc w:val="center"/>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厂外建（构）筑物</w:t>
            </w:r>
          </w:p>
        </w:tc>
        <w:tc>
          <w:tcPr>
            <w:tcW w:w="2169" w:type="dxa"/>
            <w:gridSpan w:val="2"/>
            <w:vAlign w:val="center"/>
          </w:tcPr>
          <w:p w14:paraId="329AD9AA">
            <w:pPr>
              <w:keepNext w:val="0"/>
              <w:keepLines w:val="0"/>
              <w:suppressLineNumbers w:val="0"/>
              <w:snapToGrid w:val="0"/>
              <w:spacing w:before="0" w:beforeAutospacing="0" w:after="0" w:afterAutospacing="0" w:line="240" w:lineRule="auto"/>
              <w:ind w:left="0" w:right="0"/>
              <w:jc w:val="center"/>
              <w:rPr>
                <w:rFonts w:hint="default"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防火间距</w:t>
            </w:r>
          </w:p>
        </w:tc>
        <w:tc>
          <w:tcPr>
            <w:tcW w:w="1602" w:type="dxa"/>
            <w:vMerge w:val="restart"/>
            <w:vAlign w:val="center"/>
          </w:tcPr>
          <w:p w14:paraId="799D0E4B">
            <w:pPr>
              <w:keepNext w:val="0"/>
              <w:keepLines w:val="0"/>
              <w:suppressLineNumbers w:val="0"/>
              <w:snapToGrid w:val="0"/>
              <w:spacing w:before="0" w:beforeAutospacing="0" w:after="0" w:afterAutospacing="0" w:line="240" w:lineRule="auto"/>
              <w:ind w:left="0" w:right="0"/>
              <w:jc w:val="center"/>
              <w:rPr>
                <w:rFonts w:hint="default"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依据</w:t>
            </w:r>
          </w:p>
        </w:tc>
        <w:tc>
          <w:tcPr>
            <w:tcW w:w="771" w:type="dxa"/>
            <w:vMerge w:val="restart"/>
            <w:vAlign w:val="center"/>
          </w:tcPr>
          <w:p w14:paraId="193A54A6">
            <w:pPr>
              <w:keepNext w:val="0"/>
              <w:keepLines w:val="0"/>
              <w:suppressLineNumbers w:val="0"/>
              <w:snapToGrid w:val="0"/>
              <w:spacing w:before="0" w:beforeAutospacing="0" w:after="0" w:afterAutospacing="0" w:line="240" w:lineRule="auto"/>
              <w:ind w:left="0" w:right="0"/>
              <w:jc w:val="center"/>
              <w:rPr>
                <w:rFonts w:hint="default"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结论</w:t>
            </w:r>
          </w:p>
        </w:tc>
      </w:tr>
      <w:tr w14:paraId="6D7149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blHeader/>
          <w:jc w:val="center"/>
        </w:trPr>
        <w:tc>
          <w:tcPr>
            <w:tcW w:w="526" w:type="dxa"/>
            <w:vMerge w:val="continue"/>
            <w:vAlign w:val="center"/>
          </w:tcPr>
          <w:p w14:paraId="1A72774A">
            <w:pPr>
              <w:keepNext w:val="0"/>
              <w:keepLines w:val="0"/>
              <w:suppressLineNumbers w:val="0"/>
              <w:snapToGrid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p>
        </w:tc>
        <w:tc>
          <w:tcPr>
            <w:tcW w:w="1649" w:type="dxa"/>
            <w:vMerge w:val="continue"/>
            <w:vAlign w:val="center"/>
          </w:tcPr>
          <w:p w14:paraId="34572222">
            <w:pPr>
              <w:keepNext w:val="0"/>
              <w:keepLines w:val="0"/>
              <w:suppressLineNumbers w:val="0"/>
              <w:snapToGrid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p>
        </w:tc>
        <w:tc>
          <w:tcPr>
            <w:tcW w:w="725" w:type="dxa"/>
            <w:vMerge w:val="continue"/>
            <w:vAlign w:val="center"/>
          </w:tcPr>
          <w:p w14:paraId="0DC53A70">
            <w:pPr>
              <w:keepNext w:val="0"/>
              <w:keepLines w:val="0"/>
              <w:suppressLineNumbers w:val="0"/>
              <w:snapToGrid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p>
        </w:tc>
        <w:tc>
          <w:tcPr>
            <w:tcW w:w="1959" w:type="dxa"/>
            <w:vMerge w:val="continue"/>
            <w:vAlign w:val="center"/>
          </w:tcPr>
          <w:p w14:paraId="625F841F">
            <w:pPr>
              <w:keepNext w:val="0"/>
              <w:keepLines w:val="0"/>
              <w:suppressLineNumbers w:val="0"/>
              <w:snapToGrid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p>
        </w:tc>
        <w:tc>
          <w:tcPr>
            <w:tcW w:w="1078" w:type="dxa"/>
            <w:vAlign w:val="center"/>
          </w:tcPr>
          <w:p w14:paraId="055C8443">
            <w:pPr>
              <w:keepNext w:val="0"/>
              <w:keepLines w:val="0"/>
              <w:suppressLineNumbers w:val="0"/>
              <w:snapToGrid w:val="0"/>
              <w:spacing w:before="0" w:beforeAutospacing="0" w:after="0" w:afterAutospacing="0" w:line="240" w:lineRule="auto"/>
              <w:ind w:left="0" w:right="0"/>
              <w:jc w:val="center"/>
              <w:rPr>
                <w:rFonts w:hint="default"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规范</w:t>
            </w:r>
          </w:p>
          <w:p w14:paraId="494AC080">
            <w:pPr>
              <w:keepNext w:val="0"/>
              <w:keepLines w:val="0"/>
              <w:suppressLineNumbers w:val="0"/>
              <w:snapToGrid w:val="0"/>
              <w:spacing w:before="0" w:beforeAutospacing="0" w:after="0" w:afterAutospacing="0" w:line="240" w:lineRule="auto"/>
              <w:ind w:left="0" w:right="0"/>
              <w:jc w:val="center"/>
              <w:rPr>
                <w:rFonts w:hint="default"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距离</w:t>
            </w:r>
          </w:p>
        </w:tc>
        <w:tc>
          <w:tcPr>
            <w:tcW w:w="1091" w:type="dxa"/>
            <w:vAlign w:val="center"/>
          </w:tcPr>
          <w:p w14:paraId="53C7D740">
            <w:pPr>
              <w:keepNext w:val="0"/>
              <w:keepLines w:val="0"/>
              <w:suppressLineNumbers w:val="0"/>
              <w:snapToGrid w:val="0"/>
              <w:spacing w:before="0" w:beforeAutospacing="0" w:after="0" w:afterAutospacing="0" w:line="240" w:lineRule="auto"/>
              <w:ind w:left="0" w:right="0"/>
              <w:jc w:val="center"/>
              <w:rPr>
                <w:rFonts w:hint="default"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实际</w:t>
            </w:r>
          </w:p>
          <w:p w14:paraId="3499898B">
            <w:pPr>
              <w:keepNext w:val="0"/>
              <w:keepLines w:val="0"/>
              <w:suppressLineNumbers w:val="0"/>
              <w:snapToGrid w:val="0"/>
              <w:spacing w:before="0" w:beforeAutospacing="0" w:after="0" w:afterAutospacing="0" w:line="240" w:lineRule="auto"/>
              <w:ind w:left="0" w:right="0"/>
              <w:jc w:val="center"/>
              <w:rPr>
                <w:rFonts w:hint="default"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距离</w:t>
            </w:r>
          </w:p>
        </w:tc>
        <w:tc>
          <w:tcPr>
            <w:tcW w:w="1602" w:type="dxa"/>
            <w:vMerge w:val="continue"/>
            <w:vAlign w:val="center"/>
          </w:tcPr>
          <w:p w14:paraId="013E646E">
            <w:pPr>
              <w:keepNext w:val="0"/>
              <w:keepLines w:val="0"/>
              <w:suppressLineNumbers w:val="0"/>
              <w:snapToGrid w:val="0"/>
              <w:spacing w:before="0" w:beforeAutospacing="0" w:after="0" w:afterAutospacing="0" w:line="240" w:lineRule="auto"/>
              <w:ind w:left="0" w:right="0"/>
              <w:jc w:val="center"/>
              <w:rPr>
                <w:rFonts w:hint="default" w:ascii="Times New Roman" w:hAnsi="Times New Roman" w:eastAsia="宋体" w:cs="Times New Roman"/>
                <w:b/>
                <w:sz w:val="21"/>
                <w:szCs w:val="21"/>
                <w14:ligatures w14:val="none"/>
              </w:rPr>
            </w:pPr>
          </w:p>
        </w:tc>
        <w:tc>
          <w:tcPr>
            <w:tcW w:w="771" w:type="dxa"/>
            <w:vMerge w:val="continue"/>
            <w:vAlign w:val="center"/>
          </w:tcPr>
          <w:p w14:paraId="519F75A6">
            <w:pPr>
              <w:keepNext w:val="0"/>
              <w:keepLines w:val="0"/>
              <w:suppressLineNumbers w:val="0"/>
              <w:snapToGrid w:val="0"/>
              <w:spacing w:before="0" w:beforeAutospacing="0" w:after="0" w:afterAutospacing="0" w:line="240" w:lineRule="auto"/>
              <w:ind w:left="0" w:right="0"/>
              <w:jc w:val="center"/>
              <w:rPr>
                <w:rFonts w:hint="default" w:ascii="Times New Roman" w:hAnsi="Times New Roman" w:eastAsia="宋体" w:cs="Times New Roman"/>
                <w:b/>
                <w:sz w:val="21"/>
                <w:szCs w:val="21"/>
                <w14:ligatures w14:val="none"/>
              </w:rPr>
            </w:pPr>
          </w:p>
        </w:tc>
      </w:tr>
      <w:tr w14:paraId="394680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26" w:type="dxa"/>
            <w:vAlign w:val="center"/>
          </w:tcPr>
          <w:p w14:paraId="3B9B110D">
            <w:pPr>
              <w:keepNext w:val="0"/>
              <w:keepLines w:val="0"/>
              <w:suppressLineNumbers w:val="0"/>
              <w:snapToGrid w:val="0"/>
              <w:spacing w:before="0" w:beforeAutospacing="0" w:after="0" w:afterAutospacing="0" w:line="240" w:lineRule="auto"/>
              <w:ind w:left="0" w:right="0"/>
              <w:jc w:val="center"/>
              <w:rPr>
                <w:rFonts w:hint="eastAsia" w:ascii="Times New Roman" w:hAnsi="Times New Roman" w:eastAsia="宋体" w:cs="Times New Roman"/>
                <w:bCs/>
                <w:sz w:val="21"/>
                <w:szCs w:val="21"/>
                <w:lang w:val="en-US" w:eastAsia="zh-CN"/>
                <w14:ligatures w14:val="none"/>
              </w:rPr>
            </w:pPr>
            <w:r>
              <w:rPr>
                <w:rFonts w:hint="eastAsia" w:ascii="Times New Roman" w:hAnsi="Times New Roman" w:eastAsia="宋体" w:cs="Times New Roman"/>
                <w:bCs/>
                <w:sz w:val="21"/>
                <w:szCs w:val="21"/>
                <w:lang w:val="en-US" w:eastAsia="zh-CN"/>
                <w14:ligatures w14:val="none"/>
              </w:rPr>
              <w:t>1</w:t>
            </w:r>
          </w:p>
        </w:tc>
        <w:tc>
          <w:tcPr>
            <w:tcW w:w="1649" w:type="dxa"/>
            <w:vMerge w:val="restart"/>
            <w:vAlign w:val="center"/>
          </w:tcPr>
          <w:p w14:paraId="53ED71F4">
            <w:pPr>
              <w:keepNext w:val="0"/>
              <w:keepLines w:val="0"/>
              <w:suppressLineNumbers w:val="0"/>
              <w:snapToGrid w:val="0"/>
              <w:spacing w:before="0" w:beforeAutospacing="0" w:after="0" w:afterAutospacing="0" w:line="240" w:lineRule="auto"/>
              <w:ind w:left="0" w:right="0"/>
              <w:jc w:val="center"/>
              <w:rPr>
                <w:rFonts w:hint="eastAsia" w:ascii="Times New Roman" w:hAnsi="Times New Roman" w:eastAsia="宋体" w:cs="Times New Roman"/>
                <w:bCs/>
                <w:sz w:val="21"/>
                <w:szCs w:val="21"/>
                <w:highlight w:val="none"/>
                <w:lang w:val="en-US" w:eastAsia="zh-CN"/>
                <w14:ligatures w14:val="none"/>
              </w:rPr>
            </w:pPr>
            <w:r>
              <w:rPr>
                <w:rFonts w:hint="eastAsia" w:ascii="Times New Roman" w:hAnsi="Times New Roman" w:eastAsia="宋体" w:cs="Times New Roman"/>
                <w:bCs/>
                <w:sz w:val="21"/>
                <w:szCs w:val="21"/>
                <w:highlight w:val="none"/>
                <w:lang w:val="en-US" w:eastAsia="zh-CN"/>
                <w14:ligatures w14:val="none"/>
              </w:rPr>
              <w:t>泵房</w:t>
            </w:r>
          </w:p>
          <w:p w14:paraId="17BEEA82">
            <w:pPr>
              <w:keepNext w:val="0"/>
              <w:keepLines w:val="0"/>
              <w:suppressLineNumbers w:val="0"/>
              <w:snapToGrid w:val="0"/>
              <w:spacing w:before="0" w:beforeAutospacing="0" w:after="0" w:afterAutospacing="0" w:line="240" w:lineRule="auto"/>
              <w:ind w:left="0" w:right="0"/>
              <w:jc w:val="center"/>
              <w:rPr>
                <w:rFonts w:hint="eastAsia" w:ascii="Times New Roman" w:hAnsi="Times New Roman" w:eastAsia="宋体" w:cs="Times New Roman"/>
                <w:bCs/>
                <w:sz w:val="21"/>
                <w:szCs w:val="21"/>
                <w:lang w:eastAsia="zh-CN"/>
                <w14:ligatures w14:val="none"/>
              </w:rPr>
            </w:pPr>
            <w:r>
              <w:rPr>
                <w:rFonts w:hint="eastAsia" w:ascii="Times New Roman" w:hAnsi="Times New Roman" w:eastAsia="宋体" w:cs="Times New Roman"/>
                <w:bCs/>
                <w:sz w:val="21"/>
                <w:szCs w:val="21"/>
                <w:highlight w:val="none"/>
                <w:lang w:val="en-US" w:eastAsia="zh-CN"/>
                <w14:ligatures w14:val="none"/>
              </w:rPr>
              <w:t>（镁电解分厂内，丁类）</w:t>
            </w:r>
          </w:p>
        </w:tc>
        <w:tc>
          <w:tcPr>
            <w:tcW w:w="725" w:type="dxa"/>
            <w:vAlign w:val="center"/>
          </w:tcPr>
          <w:p w14:paraId="12372C0F">
            <w:pPr>
              <w:keepNext w:val="0"/>
              <w:keepLines w:val="0"/>
              <w:suppressLineNumbers w:val="0"/>
              <w:snapToGrid w:val="0"/>
              <w:spacing w:before="0" w:beforeAutospacing="0" w:after="0" w:afterAutospacing="0" w:line="240" w:lineRule="auto"/>
              <w:ind w:left="0" w:right="0"/>
              <w:jc w:val="center"/>
              <w:rPr>
                <w:rFonts w:hint="eastAsia" w:ascii="Times New Roman" w:hAnsi="Times New Roman" w:eastAsia="宋体" w:cs="Times New Roman"/>
                <w:bCs/>
                <w:sz w:val="21"/>
                <w:szCs w:val="21"/>
                <w:lang w:eastAsia="zh-CN"/>
                <w14:ligatures w14:val="none"/>
              </w:rPr>
            </w:pPr>
            <w:r>
              <w:rPr>
                <w:rFonts w:hint="eastAsia" w:ascii="Times New Roman" w:hAnsi="Times New Roman" w:eastAsia="宋体" w:cs="Times New Roman"/>
                <w:bCs/>
                <w:sz w:val="21"/>
                <w:szCs w:val="21"/>
                <w:lang w:val="en-US" w:eastAsia="zh-CN"/>
                <w14:ligatures w14:val="none"/>
              </w:rPr>
              <w:t>北</w:t>
            </w:r>
          </w:p>
        </w:tc>
        <w:tc>
          <w:tcPr>
            <w:tcW w:w="1959" w:type="dxa"/>
            <w:vAlign w:val="center"/>
          </w:tcPr>
          <w:p w14:paraId="111FFDDF">
            <w:pPr>
              <w:keepNext w:val="0"/>
              <w:keepLines w:val="0"/>
              <w:suppressLineNumbers w:val="0"/>
              <w:snapToGrid w:val="0"/>
              <w:spacing w:before="0" w:beforeAutospacing="0" w:after="0" w:afterAutospacing="0" w:line="240" w:lineRule="auto"/>
              <w:ind w:left="0" w:right="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空地</w:t>
            </w:r>
          </w:p>
        </w:tc>
        <w:tc>
          <w:tcPr>
            <w:tcW w:w="1078" w:type="dxa"/>
            <w:vAlign w:val="center"/>
          </w:tcPr>
          <w:p w14:paraId="075D08FC">
            <w:pPr>
              <w:keepNext w:val="0"/>
              <w:keepLines w:val="0"/>
              <w:suppressLineNumbers w:val="0"/>
              <w:spacing w:before="0" w:beforeAutospacing="0" w:after="0" w:afterAutospacing="0" w:line="240" w:lineRule="auto"/>
              <w:ind w:left="0" w:right="0"/>
              <w:jc w:val="center"/>
              <w:rPr>
                <w:rFonts w:hint="eastAsia"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lang w:val="en-US" w:eastAsia="zh-CN"/>
                <w14:ligatures w14:val="none"/>
              </w:rPr>
              <w:t>-</w:t>
            </w:r>
          </w:p>
        </w:tc>
        <w:tc>
          <w:tcPr>
            <w:tcW w:w="1091" w:type="dxa"/>
            <w:vAlign w:val="center"/>
          </w:tcPr>
          <w:p w14:paraId="172E628C">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bCs/>
                <w:sz w:val="21"/>
                <w:szCs w:val="21"/>
                <w:lang w:val="en-US" w:eastAsia="zh-CN"/>
                <w14:ligatures w14:val="none"/>
              </w:rPr>
            </w:pPr>
            <w:r>
              <w:rPr>
                <w:rFonts w:hint="eastAsia" w:ascii="Times New Roman" w:hAnsi="Times New Roman" w:eastAsia="宋体" w:cs="Times New Roman"/>
                <w:bCs/>
                <w:sz w:val="21"/>
                <w:szCs w:val="21"/>
                <w:lang w:val="en-US" w:eastAsia="zh-CN"/>
                <w14:ligatures w14:val="none"/>
              </w:rPr>
              <w:t>-</w:t>
            </w:r>
          </w:p>
        </w:tc>
        <w:tc>
          <w:tcPr>
            <w:tcW w:w="1602" w:type="dxa"/>
            <w:vAlign w:val="center"/>
          </w:tcPr>
          <w:p w14:paraId="698754C5">
            <w:pPr>
              <w:pStyle w:val="31"/>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rPr>
              <w:t>-</w:t>
            </w:r>
          </w:p>
        </w:tc>
        <w:tc>
          <w:tcPr>
            <w:tcW w:w="771" w:type="dxa"/>
            <w:vAlign w:val="center"/>
          </w:tcPr>
          <w:p w14:paraId="07CC0773">
            <w:pPr>
              <w:keepNext w:val="0"/>
              <w:keepLines w:val="0"/>
              <w:suppressLineNumbers w:val="0"/>
              <w:snapToGrid w:val="0"/>
              <w:spacing w:before="0" w:beforeAutospacing="0" w:after="0" w:afterAutospacing="0" w:line="240" w:lineRule="auto"/>
              <w:ind w:left="0" w:right="0"/>
              <w:jc w:val="center"/>
              <w:rPr>
                <w:rFonts w:hint="eastAsia" w:ascii="Times New Roman" w:hAnsi="Times New Roman" w:eastAsia="宋体" w:cs="Times New Roman"/>
                <w:sz w:val="21"/>
                <w:szCs w:val="21"/>
                <w:lang w:eastAsia="zh-CN"/>
                <w14:ligatures w14:val="none"/>
              </w:rPr>
            </w:pPr>
            <w:r>
              <w:rPr>
                <w:rFonts w:hint="eastAsia" w:ascii="Times New Roman" w:hAnsi="Times New Roman" w:eastAsia="宋体" w:cs="Times New Roman"/>
                <w:sz w:val="21"/>
                <w:szCs w:val="21"/>
                <w:lang w:val="en-US" w:eastAsia="zh-CN"/>
                <w14:ligatures w14:val="none"/>
              </w:rPr>
              <w:t>-</w:t>
            </w:r>
          </w:p>
        </w:tc>
      </w:tr>
      <w:tr w14:paraId="14659B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26" w:type="dxa"/>
            <w:vAlign w:val="center"/>
          </w:tcPr>
          <w:p w14:paraId="422A6A09">
            <w:pPr>
              <w:keepNext w:val="0"/>
              <w:keepLines w:val="0"/>
              <w:suppressLineNumbers w:val="0"/>
              <w:snapToGrid w:val="0"/>
              <w:spacing w:before="0" w:beforeAutospacing="0" w:after="0" w:afterAutospacing="0" w:line="240" w:lineRule="auto"/>
              <w:ind w:left="0" w:right="0"/>
              <w:jc w:val="center"/>
              <w:rPr>
                <w:rFonts w:hint="default" w:ascii="Times New Roman" w:hAnsi="Times New Roman" w:eastAsia="宋体" w:cs="Times New Roman"/>
                <w:bCs/>
                <w:sz w:val="21"/>
                <w:szCs w:val="21"/>
                <w:lang w:val="en-US" w:eastAsia="zh-CN"/>
                <w14:ligatures w14:val="none"/>
              </w:rPr>
            </w:pPr>
            <w:r>
              <w:rPr>
                <w:rFonts w:hint="eastAsia" w:ascii="Times New Roman" w:hAnsi="Times New Roman" w:eastAsia="宋体" w:cs="Times New Roman"/>
                <w:bCs/>
                <w:sz w:val="21"/>
                <w:szCs w:val="21"/>
                <w:lang w:val="en-US" w:eastAsia="zh-CN"/>
                <w14:ligatures w14:val="none"/>
              </w:rPr>
              <w:t>2</w:t>
            </w:r>
          </w:p>
        </w:tc>
        <w:tc>
          <w:tcPr>
            <w:tcW w:w="1649" w:type="dxa"/>
            <w:vMerge w:val="continue"/>
            <w:vAlign w:val="center"/>
          </w:tcPr>
          <w:p w14:paraId="3F50F1D0">
            <w:pPr>
              <w:keepNext w:val="0"/>
              <w:keepLines w:val="0"/>
              <w:suppressLineNumbers w:val="0"/>
              <w:snapToGrid w:val="0"/>
              <w:spacing w:before="0" w:beforeAutospacing="0" w:after="0" w:afterAutospacing="0" w:line="240" w:lineRule="auto"/>
              <w:ind w:left="0" w:right="0"/>
              <w:jc w:val="center"/>
              <w:rPr>
                <w:rFonts w:hint="default" w:ascii="Times New Roman" w:hAnsi="Times New Roman" w:eastAsia="宋体" w:cs="Times New Roman"/>
                <w:bCs/>
                <w:sz w:val="21"/>
                <w:szCs w:val="21"/>
                <w14:ligatures w14:val="none"/>
              </w:rPr>
            </w:pPr>
          </w:p>
        </w:tc>
        <w:tc>
          <w:tcPr>
            <w:tcW w:w="725" w:type="dxa"/>
            <w:vAlign w:val="center"/>
          </w:tcPr>
          <w:p w14:paraId="76CD9963">
            <w:pPr>
              <w:keepNext w:val="0"/>
              <w:keepLines w:val="0"/>
              <w:suppressLineNumbers w:val="0"/>
              <w:snapToGrid w:val="0"/>
              <w:spacing w:before="0" w:beforeAutospacing="0" w:after="0" w:afterAutospacing="0" w:line="240" w:lineRule="auto"/>
              <w:ind w:left="0" w:right="0"/>
              <w:jc w:val="center"/>
              <w:rPr>
                <w:rFonts w:hint="default" w:ascii="Times New Roman" w:hAnsi="Times New Roman" w:eastAsia="宋体" w:cs="Times New Roman"/>
                <w:bCs/>
                <w:sz w:val="21"/>
                <w:szCs w:val="21"/>
                <w:lang w:val="en-US" w:eastAsia="zh-CN"/>
                <w14:ligatures w14:val="none"/>
              </w:rPr>
            </w:pPr>
            <w:r>
              <w:rPr>
                <w:rFonts w:hint="eastAsia" w:ascii="Times New Roman" w:hAnsi="Times New Roman" w:eastAsia="宋体" w:cs="Times New Roman"/>
                <w:bCs/>
                <w:sz w:val="21"/>
                <w:szCs w:val="21"/>
                <w:lang w:val="en-US" w:eastAsia="zh-CN"/>
                <w14:ligatures w14:val="none"/>
              </w:rPr>
              <w:t>东</w:t>
            </w:r>
          </w:p>
        </w:tc>
        <w:tc>
          <w:tcPr>
            <w:tcW w:w="1959" w:type="dxa"/>
            <w:shd w:val="clear" w:color="auto" w:fill="auto"/>
            <w:vAlign w:val="center"/>
          </w:tcPr>
          <w:p w14:paraId="01CEAF23">
            <w:pPr>
              <w:keepNext w:val="0"/>
              <w:keepLines w:val="0"/>
              <w:suppressLineNumbers w:val="0"/>
              <w:snapToGrid w:val="0"/>
              <w:spacing w:before="0" w:beforeAutospacing="0" w:after="0" w:afterAutospacing="0" w:line="240" w:lineRule="auto"/>
              <w:ind w:left="0" w:right="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空地</w:t>
            </w:r>
          </w:p>
        </w:tc>
        <w:tc>
          <w:tcPr>
            <w:tcW w:w="1078" w:type="dxa"/>
            <w:vAlign w:val="center"/>
          </w:tcPr>
          <w:p w14:paraId="5BB6DA20">
            <w:pPr>
              <w:keepNext w:val="0"/>
              <w:keepLines w:val="0"/>
              <w:suppressLineNumbers w:val="0"/>
              <w:spacing w:before="0" w:beforeAutospacing="0" w:after="0" w:afterAutospacing="0" w:line="240" w:lineRule="auto"/>
              <w:ind w:left="0" w:leftChars="0" w:right="0" w:rightChars="0"/>
              <w:jc w:val="center"/>
              <w:rPr>
                <w:rFonts w:hint="default" w:ascii="Times New Roman" w:hAnsi="Times New Roman" w:eastAsia="宋体" w:cs="Times New Roman"/>
                <w:bCs/>
                <w:sz w:val="21"/>
                <w:szCs w:val="21"/>
                <w:lang w:val="en-US" w:eastAsia="zh-CN"/>
                <w14:ligatures w14:val="none"/>
              </w:rPr>
            </w:pPr>
            <w:r>
              <w:rPr>
                <w:rFonts w:hint="eastAsia" w:ascii="Times New Roman" w:hAnsi="Times New Roman" w:eastAsia="宋体" w:cs="Times New Roman"/>
                <w:bCs/>
                <w:sz w:val="21"/>
                <w:szCs w:val="21"/>
                <w:lang w:val="en-US" w:eastAsia="zh-CN"/>
                <w14:ligatures w14:val="none"/>
              </w:rPr>
              <w:t>-</w:t>
            </w:r>
          </w:p>
        </w:tc>
        <w:tc>
          <w:tcPr>
            <w:tcW w:w="1091" w:type="dxa"/>
            <w:vAlign w:val="center"/>
          </w:tcPr>
          <w:p w14:paraId="4DE229C2">
            <w:pPr>
              <w:keepNext w:val="0"/>
              <w:keepLines w:val="0"/>
              <w:suppressLineNumbers w:val="0"/>
              <w:spacing w:before="0" w:beforeAutospacing="0" w:after="0" w:afterAutospacing="0" w:line="240" w:lineRule="auto"/>
              <w:ind w:left="0" w:leftChars="0" w:right="0" w:rightChars="0"/>
              <w:jc w:val="center"/>
              <w:rPr>
                <w:rFonts w:hint="default" w:ascii="Times New Roman" w:hAnsi="Times New Roman" w:eastAsia="宋体" w:cs="Times New Roman"/>
                <w:bCs/>
                <w:sz w:val="21"/>
                <w:szCs w:val="21"/>
                <w:lang w:val="en-US" w:eastAsia="zh-CN"/>
                <w14:ligatures w14:val="none"/>
              </w:rPr>
            </w:pPr>
            <w:r>
              <w:rPr>
                <w:rFonts w:hint="eastAsia" w:ascii="Times New Roman" w:hAnsi="Times New Roman" w:eastAsia="宋体" w:cs="Times New Roman"/>
                <w:bCs/>
                <w:sz w:val="21"/>
                <w:szCs w:val="21"/>
                <w:lang w:val="en-US" w:eastAsia="zh-CN"/>
                <w14:ligatures w14:val="none"/>
              </w:rPr>
              <w:t>-</w:t>
            </w:r>
          </w:p>
        </w:tc>
        <w:tc>
          <w:tcPr>
            <w:tcW w:w="1602" w:type="dxa"/>
            <w:vAlign w:val="center"/>
          </w:tcPr>
          <w:p w14:paraId="2ED727C0">
            <w:pPr>
              <w:pStyle w:val="31"/>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rPr>
              <w:t>-</w:t>
            </w:r>
          </w:p>
        </w:tc>
        <w:tc>
          <w:tcPr>
            <w:tcW w:w="771" w:type="dxa"/>
            <w:vAlign w:val="center"/>
          </w:tcPr>
          <w:p w14:paraId="53EEFAA7">
            <w:pPr>
              <w:keepNext w:val="0"/>
              <w:keepLines w:val="0"/>
              <w:suppressLineNumbers w:val="0"/>
              <w:snapToGrid w:val="0"/>
              <w:spacing w:before="0" w:beforeAutospacing="0" w:after="0" w:afterAutospacing="0" w:line="240" w:lineRule="auto"/>
              <w:ind w:left="0" w:leftChars="0" w:right="0" w:right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w:t>
            </w:r>
          </w:p>
        </w:tc>
      </w:tr>
      <w:tr w14:paraId="6AE07A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26" w:type="dxa"/>
            <w:vAlign w:val="center"/>
          </w:tcPr>
          <w:p w14:paraId="26FCD4C2">
            <w:pPr>
              <w:keepNext w:val="0"/>
              <w:keepLines w:val="0"/>
              <w:suppressLineNumbers w:val="0"/>
              <w:snapToGrid w:val="0"/>
              <w:spacing w:before="0" w:beforeAutospacing="0" w:after="0" w:afterAutospacing="0" w:line="240" w:lineRule="auto"/>
              <w:ind w:left="0" w:right="0"/>
              <w:jc w:val="center"/>
              <w:rPr>
                <w:rFonts w:hint="default" w:ascii="Times New Roman" w:hAnsi="Times New Roman" w:eastAsia="宋体" w:cs="Times New Roman"/>
                <w:bCs/>
                <w:sz w:val="21"/>
                <w:szCs w:val="21"/>
                <w:lang w:val="en-US" w:eastAsia="zh-CN"/>
                <w14:ligatures w14:val="none"/>
              </w:rPr>
            </w:pPr>
            <w:r>
              <w:rPr>
                <w:rFonts w:hint="eastAsia" w:ascii="Times New Roman" w:hAnsi="Times New Roman" w:eastAsia="宋体" w:cs="Times New Roman"/>
                <w:bCs/>
                <w:sz w:val="21"/>
                <w:szCs w:val="21"/>
                <w:lang w:val="en-US" w:eastAsia="zh-CN"/>
                <w14:ligatures w14:val="none"/>
              </w:rPr>
              <w:t>3</w:t>
            </w:r>
          </w:p>
        </w:tc>
        <w:tc>
          <w:tcPr>
            <w:tcW w:w="1649" w:type="dxa"/>
            <w:vMerge w:val="continue"/>
            <w:vAlign w:val="center"/>
          </w:tcPr>
          <w:p w14:paraId="1A108B75">
            <w:pPr>
              <w:keepNext w:val="0"/>
              <w:keepLines w:val="0"/>
              <w:suppressLineNumbers w:val="0"/>
              <w:snapToGrid w:val="0"/>
              <w:spacing w:before="0" w:beforeAutospacing="0" w:after="0" w:afterAutospacing="0" w:line="240" w:lineRule="auto"/>
              <w:ind w:left="0" w:right="0"/>
              <w:jc w:val="center"/>
              <w:rPr>
                <w:rFonts w:hint="default" w:ascii="Times New Roman" w:hAnsi="Times New Roman" w:eastAsia="宋体" w:cs="Times New Roman"/>
                <w:bCs/>
                <w:sz w:val="21"/>
                <w:szCs w:val="21"/>
                <w14:ligatures w14:val="none"/>
              </w:rPr>
            </w:pPr>
          </w:p>
        </w:tc>
        <w:tc>
          <w:tcPr>
            <w:tcW w:w="725" w:type="dxa"/>
            <w:vMerge w:val="restart"/>
            <w:vAlign w:val="center"/>
          </w:tcPr>
          <w:p w14:paraId="51E2DA5A">
            <w:pPr>
              <w:keepNext w:val="0"/>
              <w:keepLines w:val="0"/>
              <w:suppressLineNumbers w:val="0"/>
              <w:snapToGrid w:val="0"/>
              <w:spacing w:before="0" w:beforeAutospacing="0" w:after="0" w:afterAutospacing="0" w:line="240" w:lineRule="auto"/>
              <w:ind w:left="0" w:right="0"/>
              <w:jc w:val="center"/>
              <w:rPr>
                <w:rFonts w:hint="default" w:ascii="Times New Roman" w:hAnsi="Times New Roman" w:eastAsia="宋体" w:cs="Times New Roman"/>
                <w:bCs/>
                <w:sz w:val="21"/>
                <w:szCs w:val="21"/>
                <w:lang w:val="en-US" w:eastAsia="zh-CN"/>
                <w14:ligatures w14:val="none"/>
              </w:rPr>
            </w:pPr>
            <w:r>
              <w:rPr>
                <w:rFonts w:hint="eastAsia" w:ascii="Times New Roman" w:hAnsi="Times New Roman" w:eastAsia="宋体" w:cs="Times New Roman"/>
                <w:bCs/>
                <w:sz w:val="21"/>
                <w:szCs w:val="21"/>
                <w:lang w:val="en-US" w:eastAsia="zh-CN"/>
                <w14:ligatures w14:val="none"/>
              </w:rPr>
              <w:t>西</w:t>
            </w:r>
          </w:p>
        </w:tc>
        <w:tc>
          <w:tcPr>
            <w:tcW w:w="1959" w:type="dxa"/>
            <w:vAlign w:val="center"/>
          </w:tcPr>
          <w:p w14:paraId="60905B73">
            <w:pPr>
              <w:keepNext w:val="0"/>
              <w:keepLines w:val="0"/>
              <w:suppressLineNumbers w:val="0"/>
              <w:snapToGrid w:val="0"/>
              <w:spacing w:before="0" w:beforeAutospacing="0" w:after="0" w:afterAutospacing="0" w:line="240" w:lineRule="auto"/>
              <w:ind w:left="0" w:right="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次氯酸钠储罐</w:t>
            </w:r>
          </w:p>
        </w:tc>
        <w:tc>
          <w:tcPr>
            <w:tcW w:w="1078" w:type="dxa"/>
            <w:vAlign w:val="center"/>
          </w:tcPr>
          <w:p w14:paraId="72FBBFCA">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bCs/>
                <w:sz w:val="21"/>
                <w:szCs w:val="21"/>
                <w:lang w:val="en-US" w:eastAsia="zh-CN"/>
                <w14:ligatures w14:val="none"/>
              </w:rPr>
            </w:pPr>
            <w:r>
              <w:rPr>
                <w:rFonts w:hint="eastAsia" w:ascii="Times New Roman" w:hAnsi="Times New Roman" w:eastAsia="宋体" w:cs="Times New Roman"/>
                <w:bCs/>
                <w:sz w:val="21"/>
                <w:szCs w:val="21"/>
                <w:lang w:val="en-US" w:eastAsia="zh-CN"/>
                <w14:ligatures w14:val="none"/>
              </w:rPr>
              <w:t>-</w:t>
            </w:r>
          </w:p>
        </w:tc>
        <w:tc>
          <w:tcPr>
            <w:tcW w:w="1091" w:type="dxa"/>
            <w:vAlign w:val="center"/>
          </w:tcPr>
          <w:p w14:paraId="6750A5D8">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bCs/>
                <w:sz w:val="21"/>
                <w:szCs w:val="21"/>
                <w:lang w:val="en-US" w:eastAsia="zh-CN"/>
                <w14:ligatures w14:val="none"/>
              </w:rPr>
            </w:pPr>
            <w:r>
              <w:rPr>
                <w:rFonts w:hint="eastAsia" w:ascii="Times New Roman" w:hAnsi="Times New Roman" w:eastAsia="宋体" w:cs="Times New Roman"/>
                <w:bCs/>
                <w:sz w:val="21"/>
                <w:szCs w:val="21"/>
                <w:lang w:val="en-US" w:eastAsia="zh-CN"/>
                <w14:ligatures w14:val="none"/>
              </w:rPr>
              <w:t>9</w:t>
            </w:r>
          </w:p>
        </w:tc>
        <w:tc>
          <w:tcPr>
            <w:tcW w:w="1602" w:type="dxa"/>
            <w:vAlign w:val="center"/>
          </w:tcPr>
          <w:p w14:paraId="3DE5C8C0">
            <w:pPr>
              <w:pStyle w:val="31"/>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rPr>
              <w:t>-</w:t>
            </w:r>
          </w:p>
        </w:tc>
        <w:tc>
          <w:tcPr>
            <w:tcW w:w="771" w:type="dxa"/>
            <w:vAlign w:val="center"/>
          </w:tcPr>
          <w:p w14:paraId="7F14F5CE">
            <w:pPr>
              <w:keepNext w:val="0"/>
              <w:keepLines w:val="0"/>
              <w:suppressLineNumbers w:val="0"/>
              <w:snapToGrid w:val="0"/>
              <w:spacing w:before="0" w:beforeAutospacing="0" w:after="0" w:afterAutospacing="0" w:line="240" w:lineRule="auto"/>
              <w:ind w:left="0" w:right="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14:ligatures w14:val="none"/>
              </w:rPr>
              <w:t>符合</w:t>
            </w:r>
          </w:p>
        </w:tc>
      </w:tr>
      <w:tr w14:paraId="6C7A21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26" w:type="dxa"/>
            <w:vAlign w:val="center"/>
          </w:tcPr>
          <w:p w14:paraId="61364EBD">
            <w:pPr>
              <w:keepNext w:val="0"/>
              <w:keepLines w:val="0"/>
              <w:suppressLineNumbers w:val="0"/>
              <w:snapToGrid w:val="0"/>
              <w:spacing w:before="0" w:beforeAutospacing="0" w:after="0" w:afterAutospacing="0" w:line="240" w:lineRule="auto"/>
              <w:ind w:left="0" w:right="0"/>
              <w:jc w:val="center"/>
              <w:rPr>
                <w:rFonts w:hint="default" w:ascii="Times New Roman" w:hAnsi="Times New Roman" w:eastAsia="宋体" w:cs="Times New Roman"/>
                <w:bCs/>
                <w:sz w:val="21"/>
                <w:szCs w:val="21"/>
                <w:lang w:val="en-US" w:eastAsia="zh-CN"/>
                <w14:ligatures w14:val="none"/>
              </w:rPr>
            </w:pPr>
            <w:r>
              <w:rPr>
                <w:rFonts w:hint="eastAsia" w:ascii="Times New Roman" w:hAnsi="Times New Roman" w:eastAsia="宋体" w:cs="Times New Roman"/>
                <w:bCs/>
                <w:sz w:val="21"/>
                <w:szCs w:val="21"/>
                <w:lang w:val="en-US" w:eastAsia="zh-CN"/>
                <w14:ligatures w14:val="none"/>
              </w:rPr>
              <w:t>4</w:t>
            </w:r>
          </w:p>
        </w:tc>
        <w:tc>
          <w:tcPr>
            <w:tcW w:w="1649" w:type="dxa"/>
            <w:vMerge w:val="continue"/>
            <w:vAlign w:val="center"/>
          </w:tcPr>
          <w:p w14:paraId="21372DEB">
            <w:pPr>
              <w:keepNext w:val="0"/>
              <w:keepLines w:val="0"/>
              <w:suppressLineNumbers w:val="0"/>
              <w:snapToGrid w:val="0"/>
              <w:spacing w:before="0" w:beforeAutospacing="0" w:after="0" w:afterAutospacing="0" w:line="240" w:lineRule="auto"/>
              <w:ind w:left="0" w:right="0"/>
              <w:jc w:val="center"/>
              <w:rPr>
                <w:rFonts w:hint="default" w:ascii="Times New Roman" w:hAnsi="Times New Roman" w:eastAsia="宋体" w:cs="Times New Roman"/>
                <w:bCs/>
                <w:sz w:val="21"/>
                <w:szCs w:val="21"/>
                <w14:ligatures w14:val="none"/>
              </w:rPr>
            </w:pPr>
          </w:p>
        </w:tc>
        <w:tc>
          <w:tcPr>
            <w:tcW w:w="725" w:type="dxa"/>
            <w:vMerge w:val="continue"/>
            <w:vAlign w:val="center"/>
          </w:tcPr>
          <w:p w14:paraId="7C55FD18">
            <w:pPr>
              <w:keepNext w:val="0"/>
              <w:keepLines w:val="0"/>
              <w:suppressLineNumbers w:val="0"/>
              <w:snapToGrid w:val="0"/>
              <w:spacing w:before="0" w:beforeAutospacing="0" w:after="0" w:afterAutospacing="0" w:line="240" w:lineRule="auto"/>
              <w:ind w:left="0" w:right="0"/>
              <w:jc w:val="center"/>
              <w:rPr>
                <w:rFonts w:hint="eastAsia" w:ascii="Times New Roman" w:hAnsi="Times New Roman" w:eastAsia="宋体" w:cs="Times New Roman"/>
                <w:bCs/>
                <w:sz w:val="21"/>
                <w:szCs w:val="21"/>
                <w:lang w:val="en-US" w:eastAsia="zh-CN"/>
                <w14:ligatures w14:val="none"/>
              </w:rPr>
            </w:pPr>
          </w:p>
        </w:tc>
        <w:tc>
          <w:tcPr>
            <w:tcW w:w="1959" w:type="dxa"/>
            <w:vAlign w:val="center"/>
          </w:tcPr>
          <w:p w14:paraId="38E4AC92">
            <w:pPr>
              <w:keepNext w:val="0"/>
              <w:keepLines w:val="0"/>
              <w:suppressLineNumbers w:val="0"/>
              <w:snapToGrid w:val="0"/>
              <w:spacing w:before="0" w:beforeAutospacing="0" w:after="0" w:afterAutospacing="0" w:line="240" w:lineRule="auto"/>
              <w:ind w:left="0" w:right="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液碱储罐</w:t>
            </w:r>
          </w:p>
        </w:tc>
        <w:tc>
          <w:tcPr>
            <w:tcW w:w="1078" w:type="dxa"/>
            <w:vAlign w:val="center"/>
          </w:tcPr>
          <w:p w14:paraId="0F26AB5B">
            <w:pPr>
              <w:keepNext w:val="0"/>
              <w:keepLines w:val="0"/>
              <w:suppressLineNumbers w:val="0"/>
              <w:spacing w:before="0" w:beforeAutospacing="0" w:after="0" w:afterAutospacing="0" w:line="240" w:lineRule="auto"/>
              <w:ind w:left="0" w:right="0"/>
              <w:jc w:val="center"/>
              <w:rPr>
                <w:rFonts w:hint="eastAsia"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lang w:val="en-US" w:eastAsia="zh-CN"/>
                <w14:ligatures w14:val="none"/>
              </w:rPr>
              <w:t>-</w:t>
            </w:r>
          </w:p>
        </w:tc>
        <w:tc>
          <w:tcPr>
            <w:tcW w:w="1091" w:type="dxa"/>
            <w:vAlign w:val="center"/>
          </w:tcPr>
          <w:p w14:paraId="6EDB68DE">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bCs/>
                <w:sz w:val="21"/>
                <w:szCs w:val="21"/>
                <w:lang w:val="en-US" w:eastAsia="zh-CN"/>
                <w14:ligatures w14:val="none"/>
              </w:rPr>
            </w:pPr>
            <w:r>
              <w:rPr>
                <w:rFonts w:hint="eastAsia" w:ascii="Times New Roman" w:hAnsi="Times New Roman" w:eastAsia="宋体" w:cs="Times New Roman"/>
                <w:bCs/>
                <w:sz w:val="21"/>
                <w:szCs w:val="21"/>
                <w:lang w:val="en-US" w:eastAsia="zh-CN"/>
                <w14:ligatures w14:val="none"/>
              </w:rPr>
              <w:t>9</w:t>
            </w:r>
          </w:p>
        </w:tc>
        <w:tc>
          <w:tcPr>
            <w:tcW w:w="1602" w:type="dxa"/>
            <w:vAlign w:val="center"/>
          </w:tcPr>
          <w:p w14:paraId="4EAAD2CF">
            <w:pPr>
              <w:pStyle w:val="31"/>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sz w:val="21"/>
                <w:szCs w:val="21"/>
                <w:lang w:eastAsia="zh-CN"/>
                <w14:ligatures w14:val="none"/>
              </w:rPr>
            </w:pPr>
            <w:r>
              <w:rPr>
                <w:rFonts w:hint="eastAsia" w:ascii="Times New Roman" w:hAnsi="Times New Roman" w:eastAsia="宋体" w:cs="Times New Roman"/>
                <w:sz w:val="21"/>
                <w:szCs w:val="21"/>
                <w:lang w:val="en-US" w:eastAsia="zh-CN"/>
              </w:rPr>
              <w:t>-</w:t>
            </w:r>
          </w:p>
        </w:tc>
        <w:tc>
          <w:tcPr>
            <w:tcW w:w="771" w:type="dxa"/>
            <w:vAlign w:val="center"/>
          </w:tcPr>
          <w:p w14:paraId="726FBBE5">
            <w:pPr>
              <w:keepNext w:val="0"/>
              <w:keepLines w:val="0"/>
              <w:suppressLineNumbers w:val="0"/>
              <w:snapToGrid w:val="0"/>
              <w:spacing w:before="0" w:beforeAutospacing="0" w:after="0" w:afterAutospacing="0" w:line="240" w:lineRule="auto"/>
              <w:ind w:left="0" w:right="0"/>
              <w:jc w:val="center"/>
              <w:rPr>
                <w:rFonts w:hint="eastAsia" w:ascii="Times New Roman" w:hAnsi="Times New Roman" w:eastAsia="宋体" w:cs="Times New Roman"/>
                <w:bCs/>
                <w:sz w:val="21"/>
                <w:szCs w:val="21"/>
                <w:lang w:eastAsia="zh-CN"/>
                <w14:ligatures w14:val="none"/>
              </w:rPr>
            </w:pPr>
            <w:r>
              <w:rPr>
                <w:rFonts w:hint="eastAsia" w:ascii="Times New Roman" w:hAnsi="Times New Roman" w:eastAsia="宋体" w:cs="Times New Roman"/>
                <w:sz w:val="21"/>
                <w:szCs w:val="21"/>
                <w14:ligatures w14:val="none"/>
              </w:rPr>
              <w:t>符合</w:t>
            </w:r>
          </w:p>
        </w:tc>
      </w:tr>
      <w:tr w14:paraId="3FB514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26" w:type="dxa"/>
            <w:vAlign w:val="center"/>
          </w:tcPr>
          <w:p w14:paraId="27BACD7C">
            <w:pPr>
              <w:keepNext w:val="0"/>
              <w:keepLines w:val="0"/>
              <w:suppressLineNumbers w:val="0"/>
              <w:snapToGrid w:val="0"/>
              <w:spacing w:before="0" w:beforeAutospacing="0" w:after="0" w:afterAutospacing="0" w:line="240" w:lineRule="auto"/>
              <w:ind w:left="0" w:right="0"/>
              <w:jc w:val="center"/>
              <w:rPr>
                <w:rFonts w:hint="default" w:ascii="Times New Roman" w:hAnsi="Times New Roman" w:eastAsia="宋体" w:cs="Times New Roman"/>
                <w:bCs/>
                <w:sz w:val="21"/>
                <w:szCs w:val="21"/>
                <w:lang w:val="en-US" w:eastAsia="zh-CN"/>
                <w14:ligatures w14:val="none"/>
              </w:rPr>
            </w:pPr>
            <w:r>
              <w:rPr>
                <w:rFonts w:hint="eastAsia" w:ascii="Times New Roman" w:hAnsi="Times New Roman" w:eastAsia="宋体" w:cs="Times New Roman"/>
                <w:bCs/>
                <w:sz w:val="21"/>
                <w:szCs w:val="21"/>
                <w:lang w:val="en-US" w:eastAsia="zh-CN"/>
                <w14:ligatures w14:val="none"/>
              </w:rPr>
              <w:t>5</w:t>
            </w:r>
          </w:p>
        </w:tc>
        <w:tc>
          <w:tcPr>
            <w:tcW w:w="1649" w:type="dxa"/>
            <w:vMerge w:val="continue"/>
            <w:vAlign w:val="center"/>
          </w:tcPr>
          <w:p w14:paraId="30B5F42D">
            <w:pPr>
              <w:keepNext w:val="0"/>
              <w:keepLines w:val="0"/>
              <w:suppressLineNumbers w:val="0"/>
              <w:snapToGrid w:val="0"/>
              <w:spacing w:before="0" w:beforeAutospacing="0" w:after="0" w:afterAutospacing="0" w:line="240" w:lineRule="auto"/>
              <w:ind w:left="0" w:right="0"/>
              <w:jc w:val="center"/>
              <w:rPr>
                <w:rFonts w:hint="default" w:ascii="Times New Roman" w:hAnsi="Times New Roman" w:eastAsia="宋体" w:cs="Times New Roman"/>
                <w:bCs/>
                <w:sz w:val="21"/>
                <w:szCs w:val="21"/>
                <w14:ligatures w14:val="none"/>
              </w:rPr>
            </w:pPr>
          </w:p>
        </w:tc>
        <w:tc>
          <w:tcPr>
            <w:tcW w:w="725" w:type="dxa"/>
            <w:vAlign w:val="center"/>
          </w:tcPr>
          <w:p w14:paraId="4668EEDF">
            <w:pPr>
              <w:keepNext w:val="0"/>
              <w:keepLines w:val="0"/>
              <w:suppressLineNumbers w:val="0"/>
              <w:snapToGrid w:val="0"/>
              <w:spacing w:before="0" w:beforeAutospacing="0" w:after="0" w:afterAutospacing="0" w:line="240" w:lineRule="auto"/>
              <w:ind w:left="0" w:right="0"/>
              <w:jc w:val="center"/>
              <w:rPr>
                <w:rFonts w:hint="default" w:ascii="Times New Roman" w:hAnsi="Times New Roman" w:eastAsia="宋体" w:cs="Times New Roman"/>
                <w:bCs/>
                <w:sz w:val="21"/>
                <w:szCs w:val="21"/>
                <w:lang w:val="en-US" w:eastAsia="zh-CN"/>
                <w14:ligatures w14:val="none"/>
              </w:rPr>
            </w:pPr>
            <w:r>
              <w:rPr>
                <w:rFonts w:hint="eastAsia" w:ascii="Times New Roman" w:hAnsi="Times New Roman" w:eastAsia="宋体" w:cs="Times New Roman"/>
                <w:bCs/>
                <w:sz w:val="21"/>
                <w:szCs w:val="21"/>
                <w:lang w:val="en-US" w:eastAsia="zh-CN"/>
                <w14:ligatures w14:val="none"/>
              </w:rPr>
              <w:t>南</w:t>
            </w:r>
          </w:p>
        </w:tc>
        <w:tc>
          <w:tcPr>
            <w:tcW w:w="1959" w:type="dxa"/>
            <w:vAlign w:val="center"/>
          </w:tcPr>
          <w:p w14:paraId="06097928">
            <w:pPr>
              <w:keepNext w:val="0"/>
              <w:keepLines w:val="0"/>
              <w:suppressLineNumbers w:val="0"/>
              <w:snapToGrid w:val="0"/>
              <w:spacing w:before="0" w:beforeAutospacing="0" w:after="0" w:afterAutospacing="0" w:line="240" w:lineRule="auto"/>
              <w:ind w:left="0" w:right="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10KV配电室</w:t>
            </w:r>
          </w:p>
          <w:p w14:paraId="3766FA3A">
            <w:pPr>
              <w:keepNext w:val="0"/>
              <w:keepLines w:val="0"/>
              <w:suppressLineNumbers w:val="0"/>
              <w:snapToGrid w:val="0"/>
              <w:spacing w:before="0" w:beforeAutospacing="0" w:after="0" w:afterAutospacing="0" w:line="240" w:lineRule="auto"/>
              <w:ind w:left="0" w:right="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（丁类）</w:t>
            </w:r>
          </w:p>
        </w:tc>
        <w:tc>
          <w:tcPr>
            <w:tcW w:w="1078" w:type="dxa"/>
            <w:vAlign w:val="center"/>
          </w:tcPr>
          <w:p w14:paraId="4CFA48BB">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bCs/>
                <w:sz w:val="21"/>
                <w:szCs w:val="21"/>
                <w:lang w:val="en-US" w:eastAsia="zh-CN"/>
                <w14:ligatures w14:val="none"/>
              </w:rPr>
            </w:pPr>
            <w:r>
              <w:rPr>
                <w:rFonts w:hint="eastAsia" w:ascii="Times New Roman" w:hAnsi="Times New Roman" w:eastAsia="宋体" w:cs="Times New Roman"/>
                <w:bCs/>
                <w:sz w:val="21"/>
                <w:szCs w:val="21"/>
                <w:lang w:val="en-US" w:eastAsia="zh-CN"/>
                <w14:ligatures w14:val="none"/>
              </w:rPr>
              <w:t>10</w:t>
            </w:r>
          </w:p>
        </w:tc>
        <w:tc>
          <w:tcPr>
            <w:tcW w:w="1091" w:type="dxa"/>
            <w:vAlign w:val="center"/>
          </w:tcPr>
          <w:p w14:paraId="67047A01">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bCs/>
                <w:sz w:val="21"/>
                <w:szCs w:val="21"/>
                <w:lang w:val="en-US" w:eastAsia="zh-CN"/>
                <w14:ligatures w14:val="none"/>
              </w:rPr>
            </w:pPr>
            <w:r>
              <w:rPr>
                <w:rFonts w:hint="eastAsia" w:ascii="Times New Roman" w:hAnsi="Times New Roman" w:eastAsia="宋体" w:cs="Times New Roman"/>
                <w:bCs/>
                <w:sz w:val="21"/>
                <w:szCs w:val="21"/>
                <w:lang w:val="en-US" w:eastAsia="zh-CN"/>
                <w14:ligatures w14:val="none"/>
              </w:rPr>
              <w:t>10</w:t>
            </w:r>
          </w:p>
        </w:tc>
        <w:tc>
          <w:tcPr>
            <w:tcW w:w="1602" w:type="dxa"/>
            <w:vAlign w:val="center"/>
          </w:tcPr>
          <w:p w14:paraId="6EBB0C39">
            <w:pPr>
              <w:pStyle w:val="31"/>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sz w:val="21"/>
                <w:szCs w:val="21"/>
                <w14:ligatures w14:val="none"/>
              </w:rPr>
            </w:pPr>
            <w:r>
              <w:rPr>
                <w:rFonts w:hint="default" w:ascii="Times New Roman" w:hAnsi="Times New Roman" w:eastAsia="Times New Roman" w:cs="Times New Roman"/>
                <w:sz w:val="21"/>
                <w:szCs w:val="21"/>
              </w:rPr>
              <w:t>GB</w:t>
            </w:r>
            <w:r>
              <w:rPr>
                <w:rFonts w:hint="default" w:ascii="Times New Roman" w:hAnsi="Times New Roman" w:eastAsia="Times New Roman" w:cs="Times New Roman"/>
                <w:spacing w:val="3"/>
                <w:sz w:val="21"/>
                <w:szCs w:val="21"/>
              </w:rPr>
              <w:t>50016-2014</w:t>
            </w:r>
            <w:r>
              <w:rPr>
                <w:rFonts w:hint="default"/>
                <w:spacing w:val="3"/>
                <w:sz w:val="21"/>
                <w:szCs w:val="21"/>
              </w:rPr>
              <w:t>（</w:t>
            </w:r>
            <w:r>
              <w:rPr>
                <w:rFonts w:hint="default" w:ascii="Times New Roman" w:hAnsi="Times New Roman" w:eastAsia="Times New Roman" w:cs="Times New Roman"/>
                <w:spacing w:val="3"/>
                <w:sz w:val="21"/>
                <w:szCs w:val="21"/>
              </w:rPr>
              <w:t>2018</w:t>
            </w:r>
            <w:r>
              <w:rPr>
                <w:rFonts w:hint="default"/>
                <w:spacing w:val="-2"/>
                <w:sz w:val="21"/>
                <w:szCs w:val="21"/>
              </w:rPr>
              <w:t>年版）第</w:t>
            </w:r>
            <w:r>
              <w:rPr>
                <w:rFonts w:hint="default"/>
                <w:spacing w:val="-37"/>
                <w:sz w:val="21"/>
                <w:szCs w:val="21"/>
              </w:rPr>
              <w:t xml:space="preserve"> </w:t>
            </w:r>
            <w:r>
              <w:rPr>
                <w:rFonts w:hint="default" w:ascii="Times New Roman" w:hAnsi="Times New Roman" w:eastAsia="Times New Roman" w:cs="Times New Roman"/>
                <w:spacing w:val="-2"/>
                <w:sz w:val="21"/>
                <w:szCs w:val="21"/>
              </w:rPr>
              <w:t>3.4.</w:t>
            </w:r>
            <w:r>
              <w:rPr>
                <w:rFonts w:hint="default" w:ascii="Times New Roman" w:hAnsi="Times New Roman" w:eastAsia="Times New Roman" w:cs="Times New Roman"/>
                <w:spacing w:val="-27"/>
                <w:sz w:val="21"/>
                <w:szCs w:val="21"/>
              </w:rPr>
              <w:t xml:space="preserve"> </w:t>
            </w:r>
            <w:r>
              <w:rPr>
                <w:rFonts w:hint="default" w:ascii="Times New Roman" w:hAnsi="Times New Roman" w:eastAsia="Times New Roman" w:cs="Times New Roman"/>
                <w:spacing w:val="-2"/>
                <w:sz w:val="21"/>
                <w:szCs w:val="21"/>
              </w:rPr>
              <w:t>1</w:t>
            </w:r>
            <w:r>
              <w:rPr>
                <w:rFonts w:hint="default"/>
                <w:spacing w:val="-2"/>
                <w:sz w:val="21"/>
                <w:szCs w:val="21"/>
              </w:rPr>
              <w:t>条</w:t>
            </w:r>
          </w:p>
        </w:tc>
        <w:tc>
          <w:tcPr>
            <w:tcW w:w="771" w:type="dxa"/>
            <w:vAlign w:val="center"/>
          </w:tcPr>
          <w:p w14:paraId="31266CEF">
            <w:pPr>
              <w:keepNext w:val="0"/>
              <w:keepLines w:val="0"/>
              <w:suppressLineNumbers w:val="0"/>
              <w:snapToGrid w:val="0"/>
              <w:spacing w:before="0" w:beforeAutospacing="0" w:after="0" w:afterAutospacing="0" w:line="240" w:lineRule="auto"/>
              <w:ind w:left="0" w:right="0"/>
              <w:jc w:val="center"/>
              <w:rPr>
                <w:rFonts w:hint="eastAsia" w:ascii="Times New Roman" w:hAnsi="Times New Roman" w:eastAsia="宋体" w:cs="Times New Roman"/>
                <w:bCs/>
                <w:sz w:val="21"/>
                <w:szCs w:val="21"/>
                <w14:ligatures w14:val="none"/>
              </w:rPr>
            </w:pPr>
            <w:r>
              <w:rPr>
                <w:rFonts w:hint="eastAsia" w:ascii="Times New Roman" w:hAnsi="Times New Roman" w:eastAsia="宋体" w:cs="Times New Roman"/>
                <w:sz w:val="21"/>
                <w:szCs w:val="21"/>
                <w14:ligatures w14:val="none"/>
              </w:rPr>
              <w:t>符合</w:t>
            </w:r>
          </w:p>
        </w:tc>
      </w:tr>
    </w:tbl>
    <w:p w14:paraId="1DAFBCEB">
      <w:pPr>
        <w:keepNext w:val="0"/>
        <w:keepLines w:val="0"/>
        <w:pageBreakBefore w:val="0"/>
        <w:widowControl w:val="0"/>
        <w:tabs>
          <w:tab w:val="left" w:pos="840"/>
          <w:tab w:val="left" w:pos="1260"/>
        </w:tabs>
        <w:kinsoku/>
        <w:wordWrap/>
        <w:overflowPunct/>
        <w:topLinePunct w:val="0"/>
        <w:autoSpaceDE/>
        <w:autoSpaceDN/>
        <w:bidi w:val="0"/>
        <w:adjustRightInd w:val="0"/>
        <w:snapToGrid w:val="0"/>
        <w:spacing w:before="313" w:beforeLines="100" w:after="156" w:afterLines="50" w:line="360" w:lineRule="auto"/>
        <w:ind w:firstLine="562" w:firstLineChars="200"/>
        <w:jc w:val="both"/>
        <w:textAlignment w:val="auto"/>
        <w:outlineLvl w:val="2"/>
        <w:rPr>
          <w:rFonts w:ascii="Times New Roman" w:hAnsi="Times New Roman" w:eastAsia="黑体" w:cs="Times New Roman"/>
          <w:b/>
          <w:sz w:val="28"/>
          <w:szCs w:val="32"/>
          <w14:ligatures w14:val="none"/>
        </w:rPr>
      </w:pPr>
      <w:r>
        <w:rPr>
          <w:rFonts w:hint="eastAsia" w:ascii="Times New Roman" w:hAnsi="Times New Roman" w:eastAsia="黑体" w:cs="Times New Roman"/>
          <w:b/>
          <w:sz w:val="28"/>
          <w:szCs w:val="32"/>
          <w14:ligatures w14:val="none"/>
        </w:rPr>
        <w:t>2.1.4企业所在区域气象条件</w:t>
      </w:r>
    </w:p>
    <w:p w14:paraId="18E84AF0">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sz w:val="28"/>
          <w:szCs w:val="28"/>
          <w:lang w:eastAsia="zh-CN"/>
          <w14:ligatures w14:val="none"/>
        </w:rPr>
      </w:pPr>
      <w:r>
        <w:rPr>
          <w:rFonts w:hint="eastAsia" w:ascii="Times New Roman" w:hAnsi="Times New Roman" w:eastAsia="宋体" w:cs="Times New Roman"/>
          <w:sz w:val="28"/>
          <w:szCs w:val="28"/>
          <w:lang w:eastAsia="zh-CN"/>
          <w14:ligatures w14:val="none"/>
        </w:rPr>
        <w:t>朝阳金达钛业股份有限公司</w:t>
      </w:r>
      <w:r>
        <w:rPr>
          <w:rFonts w:hint="eastAsia" w:ascii="Times New Roman" w:hAnsi="Times New Roman" w:eastAsia="宋体" w:cs="Times New Roman"/>
          <w:sz w:val="28"/>
          <w:szCs w:val="28"/>
          <w14:ligatures w14:val="none"/>
        </w:rPr>
        <w:t>位于</w:t>
      </w:r>
      <w:r>
        <w:rPr>
          <w:rFonts w:hint="eastAsia" w:ascii="Times New Roman" w:hAnsi="Times New Roman" w:eastAsia="宋体" w:cs="Times New Roman"/>
          <w:sz w:val="28"/>
          <w:szCs w:val="28"/>
          <w:lang w:val="en-US" w:eastAsia="zh-CN"/>
          <w14:ligatures w14:val="none"/>
        </w:rPr>
        <w:t>朝阳市双塔区</w:t>
      </w:r>
      <w:r>
        <w:rPr>
          <w:rFonts w:hint="eastAsia" w:ascii="Times New Roman" w:hAnsi="Times New Roman" w:eastAsia="宋体" w:cs="Times New Roman"/>
          <w:sz w:val="28"/>
          <w:szCs w:val="28"/>
          <w:lang w:eastAsia="zh-CN"/>
          <w14:ligatures w14:val="none"/>
        </w:rPr>
        <w:t>，</w:t>
      </w:r>
      <w:r>
        <w:rPr>
          <w:rFonts w:hint="eastAsia" w:ascii="Times New Roman" w:hAnsi="Times New Roman" w:eastAsia="宋体" w:cs="Times New Roman"/>
          <w:sz w:val="28"/>
          <w:szCs w:val="28"/>
          <w:lang w:val="en-US" w:eastAsia="zh-CN"/>
          <w14:ligatures w14:val="none"/>
        </w:rPr>
        <w:t>现将有关情况介绍如下。</w:t>
      </w:r>
    </w:p>
    <w:p w14:paraId="28D71A7A">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平均气压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  995.6hPa  </w:t>
      </w:r>
    </w:p>
    <w:p w14:paraId="582E69C9">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平均气温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 xml:space="preserve"> 9.2℃</w:t>
      </w:r>
    </w:p>
    <w:p w14:paraId="1A361CA6">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极端最高气温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 xml:space="preserve"> 43.3℃ </w:t>
      </w:r>
    </w:p>
    <w:p w14:paraId="3D407DD4">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极端最低气温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 xml:space="preserve"> -34.4℃ </w:t>
      </w:r>
    </w:p>
    <w:p w14:paraId="3426EB09">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平均最高气温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    16.1℃</w:t>
      </w:r>
    </w:p>
    <w:p w14:paraId="54F61B71">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平均最低气温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   3.0℃</w:t>
      </w:r>
    </w:p>
    <w:p w14:paraId="085F159A">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 xml:space="preserve">一日最大降水量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 xml:space="preserve"> 232.2mm </w:t>
      </w:r>
    </w:p>
    <w:p w14:paraId="08E2A2D0">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平均年降水量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 xml:space="preserve">    481.0mm </w:t>
      </w:r>
    </w:p>
    <w:p w14:paraId="4BD88C12">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平均相对湿度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 xml:space="preserve">     51% </w:t>
      </w:r>
    </w:p>
    <w:p w14:paraId="5B1707BC">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平均日照时数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 2789.6h</w:t>
      </w:r>
    </w:p>
    <w:p w14:paraId="7F2D8BC9">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 xml:space="preserve">平均雷暴日数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31d/a</w:t>
      </w:r>
    </w:p>
    <w:p w14:paraId="150A63D4">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平均风速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  3.0m/s  </w:t>
      </w:r>
    </w:p>
    <w:p w14:paraId="1C7F2405">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最大瞬时风速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       32.3m/s</w:t>
      </w:r>
    </w:p>
    <w:p w14:paraId="6D9E813D">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最大积雪深度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   20cm</w:t>
      </w:r>
    </w:p>
    <w:p w14:paraId="5BD942C9">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最大冻土深度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  135cm</w:t>
      </w:r>
    </w:p>
    <w:p w14:paraId="1BFC6642">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全年主导风向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     C,S</w:t>
      </w:r>
    </w:p>
    <w:p w14:paraId="6DBB1638">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夏季主导风向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   S</w:t>
      </w:r>
    </w:p>
    <w:p w14:paraId="05139596">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冬季主导风向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C, S</w:t>
      </w:r>
    </w:p>
    <w:p w14:paraId="4555B62C">
      <w:pPr>
        <w:adjustRightInd w:val="0"/>
        <w:snapToGrid w:val="0"/>
        <w:spacing w:after="0" w:line="360" w:lineRule="auto"/>
        <w:ind w:firstLine="560" w:firstLineChars="200"/>
        <w:jc w:val="both"/>
        <w:rPr>
          <w:rFonts w:hint="default" w:ascii="Times New Roman" w:hAnsi="Times New Roman" w:eastAsia="宋体" w:cs="Times New Roman"/>
          <w:sz w:val="28"/>
          <w:szCs w:val="28"/>
          <w:lang w:val="zh-CN" w:eastAsia="zh-CN"/>
          <w14:ligatures w14:val="none"/>
        </w:rPr>
      </w:pPr>
      <w:r>
        <w:rPr>
          <w:rFonts w:hint="eastAsia" w:ascii="Times New Roman" w:hAnsi="Times New Roman" w:eastAsia="宋体" w:cs="Times New Roman"/>
          <w:sz w:val="28"/>
          <w:szCs w:val="28"/>
          <w:lang w:val="en-US" w:eastAsia="zh-CN"/>
          <w14:ligatures w14:val="none"/>
        </w:rPr>
        <w:t>根据《中国地震动参数区划图》和《建筑抗震设计标准（2024年版）》（GB/T 50011-2010）规定，</w:t>
      </w:r>
      <w:r>
        <w:rPr>
          <w:rFonts w:hint="default" w:ascii="Times New Roman" w:hAnsi="Times New Roman" w:eastAsia="宋体" w:cs="Times New Roman"/>
          <w:sz w:val="28"/>
          <w:szCs w:val="28"/>
          <w:lang w:val="en-US" w:eastAsia="zh-CN"/>
          <w14:ligatures w14:val="none"/>
        </w:rPr>
        <w:t>双塔区</w:t>
      </w:r>
      <w:r>
        <w:rPr>
          <w:rFonts w:hint="default" w:ascii="Times New Roman" w:hAnsi="Times New Roman" w:eastAsia="宋体" w:cs="Times New Roman"/>
          <w:sz w:val="28"/>
          <w:szCs w:val="28"/>
          <w:lang w:val="zh-CN" w:eastAsia="zh-CN"/>
          <w14:ligatures w14:val="none"/>
        </w:rPr>
        <w:t>的抗震设防烈度为</w:t>
      </w:r>
      <w:r>
        <w:rPr>
          <w:rFonts w:hint="default" w:ascii="Times New Roman" w:hAnsi="Times New Roman" w:eastAsia="宋体" w:cs="Times New Roman"/>
          <w:sz w:val="28"/>
          <w:szCs w:val="28"/>
          <w:lang w:val="en-US" w:eastAsia="zh-CN"/>
          <w14:ligatures w14:val="none"/>
        </w:rPr>
        <w:t>7</w:t>
      </w:r>
      <w:r>
        <w:rPr>
          <w:rFonts w:hint="default" w:ascii="Times New Roman" w:hAnsi="Times New Roman" w:eastAsia="宋体" w:cs="Times New Roman"/>
          <w:sz w:val="28"/>
          <w:szCs w:val="28"/>
          <w:lang w:val="zh-CN" w:eastAsia="zh-CN"/>
          <w14:ligatures w14:val="none"/>
        </w:rPr>
        <w:t>度，设计基本地震加速度值为0.</w:t>
      </w:r>
      <w:r>
        <w:rPr>
          <w:rFonts w:hint="default" w:ascii="Times New Roman" w:hAnsi="Times New Roman" w:eastAsia="宋体" w:cs="Times New Roman"/>
          <w:sz w:val="28"/>
          <w:szCs w:val="28"/>
          <w:lang w:val="en-US" w:eastAsia="zh-CN"/>
          <w14:ligatures w14:val="none"/>
        </w:rPr>
        <w:t>10</w:t>
      </w:r>
      <w:r>
        <w:rPr>
          <w:rFonts w:hint="default" w:ascii="Times New Roman" w:hAnsi="Times New Roman" w:eastAsia="宋体" w:cs="Times New Roman"/>
          <w:sz w:val="28"/>
          <w:szCs w:val="28"/>
          <w:lang w:val="zh-CN" w:eastAsia="zh-CN"/>
          <w14:ligatures w14:val="none"/>
        </w:rPr>
        <w:t>g，所属的设计地震分组为第</w:t>
      </w:r>
      <w:r>
        <w:rPr>
          <w:rFonts w:hint="default" w:ascii="Times New Roman" w:hAnsi="Times New Roman" w:eastAsia="宋体" w:cs="Times New Roman"/>
          <w:sz w:val="28"/>
          <w:szCs w:val="28"/>
          <w:lang w:val="en-US" w:eastAsia="zh-CN"/>
          <w14:ligatures w14:val="none"/>
        </w:rPr>
        <w:t>一</w:t>
      </w:r>
      <w:r>
        <w:rPr>
          <w:rFonts w:hint="default" w:ascii="Times New Roman" w:hAnsi="Times New Roman" w:eastAsia="宋体" w:cs="Times New Roman"/>
          <w:sz w:val="28"/>
          <w:szCs w:val="28"/>
          <w:lang w:val="zh-CN" w:eastAsia="zh-CN"/>
          <w14:ligatures w14:val="none"/>
        </w:rPr>
        <w:t>组。</w:t>
      </w:r>
    </w:p>
    <w:p w14:paraId="6FED3A02">
      <w:pPr>
        <w:tabs>
          <w:tab w:val="left" w:pos="840"/>
          <w:tab w:val="left" w:pos="1260"/>
        </w:tabs>
        <w:adjustRightInd w:val="0"/>
        <w:snapToGrid w:val="0"/>
        <w:spacing w:before="156" w:beforeLines="50" w:after="156" w:afterLines="50" w:line="360" w:lineRule="auto"/>
        <w:ind w:firstLine="562" w:firstLineChars="200"/>
        <w:jc w:val="both"/>
        <w:outlineLvl w:val="2"/>
        <w:rPr>
          <w:rFonts w:ascii="Times New Roman" w:hAnsi="Times New Roman" w:eastAsia="黑体" w:cs="Times New Roman"/>
          <w:b/>
          <w:sz w:val="28"/>
          <w:szCs w:val="32"/>
          <w:highlight w:val="none"/>
          <w14:ligatures w14:val="none"/>
        </w:rPr>
      </w:pPr>
      <w:r>
        <w:rPr>
          <w:rFonts w:hint="eastAsia" w:ascii="Times New Roman" w:hAnsi="Times New Roman" w:eastAsia="黑体" w:cs="Times New Roman"/>
          <w:b/>
          <w:sz w:val="28"/>
          <w:szCs w:val="32"/>
          <w:highlight w:val="none"/>
          <w14:ligatures w14:val="none"/>
        </w:rPr>
        <w:t>2.1.5安全管理</w:t>
      </w:r>
    </w:p>
    <w:p w14:paraId="5291259F">
      <w:pPr>
        <w:adjustRightInd w:val="0"/>
        <w:snapToGrid w:val="0"/>
        <w:spacing w:after="0" w:line="360" w:lineRule="auto"/>
        <w:ind w:firstLine="560" w:firstLineChars="20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（1）安全管理制度</w:t>
      </w:r>
    </w:p>
    <w:p w14:paraId="7116BC6E">
      <w:pPr>
        <w:adjustRightInd w:val="0"/>
        <w:snapToGrid w:val="0"/>
        <w:spacing w:after="0" w:line="360" w:lineRule="auto"/>
        <w:ind w:firstLine="560" w:firstLineChars="20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企业制定了详细的安全管理制度，层层落实各项安全管理制度，根据企业的实际情况不断更新和改进各项安全生产管理制度，通过现场询问及调查以解，现场人员熟知本单位的各项安全管理制度并认真执行。</w:t>
      </w:r>
    </w:p>
    <w:p w14:paraId="79644FAD">
      <w:pPr>
        <w:adjustRightInd w:val="0"/>
        <w:snapToGrid w:val="0"/>
        <w:spacing w:after="0" w:line="360" w:lineRule="auto"/>
        <w:ind w:firstLine="560" w:firstLineChars="20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（2）全员安全生产责任制</w:t>
      </w:r>
    </w:p>
    <w:p w14:paraId="65E22BC6">
      <w:pPr>
        <w:adjustRightInd w:val="0"/>
        <w:snapToGrid w:val="0"/>
        <w:spacing w:after="0" w:line="360" w:lineRule="auto"/>
        <w:ind w:firstLine="560" w:firstLineChars="20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企业从管理层到各生产岗位制定了详细的安全生产责任制，“横向到边，纵向到底”，明确了岗位安全职责，并认真贯彻落实安全生产责任制，通过现场询问及调查了解，该公司各岗位人员熟知自己的安全职责，并认真执行岗位安全职责。</w:t>
      </w:r>
    </w:p>
    <w:p w14:paraId="3182F75D">
      <w:pPr>
        <w:adjustRightInd w:val="0"/>
        <w:snapToGrid w:val="0"/>
        <w:spacing w:after="0" w:line="360" w:lineRule="auto"/>
        <w:ind w:firstLine="560" w:firstLineChars="20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（3）操作规程</w:t>
      </w:r>
    </w:p>
    <w:p w14:paraId="5AC258BC">
      <w:pPr>
        <w:adjustRightInd w:val="0"/>
        <w:snapToGrid w:val="0"/>
        <w:spacing w:after="0" w:line="360" w:lineRule="auto"/>
        <w:ind w:firstLine="560" w:firstLineChars="200"/>
        <w:jc w:val="both"/>
        <w:rPr>
          <w:rFonts w:hint="eastAsia" w:ascii="Times New Roman" w:hAnsi="Times New Roman" w:eastAsia="宋体" w:cs="Times New Roman"/>
          <w:sz w:val="28"/>
          <w:szCs w:val="28"/>
          <w:highlight w:val="none"/>
          <w:lang w:eastAsia="zh-CN"/>
          <w14:ligatures w14:val="none"/>
        </w:rPr>
      </w:pPr>
      <w:r>
        <w:rPr>
          <w:rFonts w:hint="eastAsia" w:ascii="Times New Roman" w:hAnsi="Times New Roman" w:eastAsia="宋体" w:cs="Times New Roman"/>
          <w:sz w:val="28"/>
          <w:szCs w:val="28"/>
          <w14:ligatures w14:val="none"/>
        </w:rPr>
        <w:t>朝阳金达钛业股份有限公司结合生产实际编制了安全技术规程和作业安全规程，主要包括</w:t>
      </w:r>
      <w:r>
        <w:rPr>
          <w:rFonts w:hint="eastAsia" w:ascii="Times New Roman" w:hAnsi="Times New Roman" w:eastAsia="宋体" w:cs="Times New Roman"/>
          <w:sz w:val="28"/>
          <w:szCs w:val="28"/>
          <w:lang w:val="en-US" w:eastAsia="zh-CN"/>
          <w14:ligatures w14:val="none"/>
        </w:rPr>
        <w:t>次氯酸钠存储、装卸车安全</w:t>
      </w:r>
      <w:r>
        <w:rPr>
          <w:rFonts w:hint="eastAsia" w:ascii="Times New Roman" w:hAnsi="Times New Roman" w:eastAsia="宋体" w:cs="Times New Roman"/>
          <w:sz w:val="28"/>
          <w:szCs w:val="28"/>
          <w:highlight w:val="none"/>
          <w:lang w:val="en-US" w:eastAsia="zh-CN"/>
          <w14:ligatures w14:val="none"/>
        </w:rPr>
        <w:t>操作规程</w:t>
      </w:r>
      <w:r>
        <w:rPr>
          <w:rFonts w:hint="eastAsia" w:ascii="Times New Roman" w:hAnsi="Times New Roman" w:eastAsia="宋体" w:cs="Times New Roman"/>
          <w:sz w:val="28"/>
          <w:szCs w:val="28"/>
          <w:highlight w:val="none"/>
          <w14:ligatures w14:val="none"/>
        </w:rPr>
        <w:t>、</w:t>
      </w:r>
      <w:r>
        <w:rPr>
          <w:rFonts w:hint="eastAsia" w:ascii="Times New Roman" w:hAnsi="Times New Roman" w:eastAsia="宋体" w:cs="Times New Roman"/>
          <w:sz w:val="28"/>
          <w:szCs w:val="28"/>
          <w:highlight w:val="none"/>
          <w:lang w:val="en-US" w:eastAsia="zh-CN"/>
          <w14:ligatures w14:val="none"/>
        </w:rPr>
        <w:t>盐酸装卸车操作规程、高硅四氯化钛装卸车操作规程</w:t>
      </w:r>
      <w:r>
        <w:rPr>
          <w:rFonts w:hint="eastAsia" w:ascii="Times New Roman" w:hAnsi="Times New Roman" w:eastAsia="宋体" w:cs="Times New Roman"/>
          <w:sz w:val="28"/>
          <w:szCs w:val="28"/>
          <w:highlight w:val="none"/>
          <w14:ligatures w14:val="none"/>
        </w:rPr>
        <w:t>等。操作规程分发到各班组，由各班组长组织严格执行。</w:t>
      </w:r>
    </w:p>
    <w:p w14:paraId="6CDC087D">
      <w:pPr>
        <w:numPr>
          <w:ilvl w:val="0"/>
          <w:numId w:val="0"/>
        </w:numPr>
        <w:adjustRightInd w:val="0"/>
        <w:snapToGrid w:val="0"/>
        <w:spacing w:after="0" w:line="360" w:lineRule="auto"/>
        <w:ind w:leftChars="200"/>
        <w:jc w:val="both"/>
        <w:rPr>
          <w:rFonts w:hint="eastAsia" w:ascii="Times New Roman" w:hAnsi="Times New Roman" w:eastAsia="宋体" w:cs="Times New Roman"/>
          <w:sz w:val="28"/>
          <w:szCs w:val="28"/>
          <w:lang w:val="en-US" w:eastAsia="zh-CN"/>
          <w14:ligatures w14:val="none"/>
        </w:rPr>
      </w:pPr>
      <w:r>
        <w:rPr>
          <w:rFonts w:hint="eastAsia" w:ascii="Times New Roman" w:hAnsi="Times New Roman" w:eastAsia="宋体" w:cs="Times New Roman"/>
          <w:sz w:val="28"/>
          <w:szCs w:val="28"/>
          <w:lang w:val="en-US" w:eastAsia="zh-CN"/>
          <w14:ligatures w14:val="none"/>
        </w:rPr>
        <w:t>（4）应急预案</w:t>
      </w:r>
    </w:p>
    <w:p w14:paraId="6CD310DE">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企业制定了完善的危险化学品事故应急预案，明确应急救援组织机构及其相应分工责任明确，联络、报警系统完善。</w:t>
      </w:r>
      <w:r>
        <w:rPr>
          <w:rFonts w:hint="eastAsia" w:ascii="Times New Roman" w:hAnsi="Times New Roman" w:eastAsia="宋体" w:cs="Times New Roman"/>
          <w:sz w:val="28"/>
          <w:szCs w:val="28"/>
          <w:lang w:val="en-US" w:eastAsia="zh-CN"/>
          <w14:ligatures w14:val="none"/>
        </w:rPr>
        <w:t>并</w:t>
      </w:r>
      <w:r>
        <w:rPr>
          <w:rFonts w:hint="eastAsia" w:ascii="Times New Roman" w:hAnsi="Times New Roman" w:eastAsia="宋体" w:cs="Times New Roman"/>
          <w:sz w:val="28"/>
          <w:szCs w:val="28"/>
          <w14:ligatures w14:val="none"/>
        </w:rPr>
        <w:t>按照危险化学品事故应急预案的规定进行演练</w:t>
      </w:r>
      <w:r>
        <w:rPr>
          <w:rFonts w:hint="eastAsia" w:ascii="Times New Roman" w:hAnsi="Times New Roman" w:eastAsia="宋体" w:cs="Times New Roman"/>
          <w:sz w:val="28"/>
          <w:szCs w:val="28"/>
          <w:lang w:eastAsia="zh-CN"/>
          <w14:ligatures w14:val="none"/>
        </w:rPr>
        <w:t>，</w:t>
      </w:r>
      <w:r>
        <w:rPr>
          <w:rFonts w:hint="eastAsia" w:ascii="Times New Roman" w:hAnsi="Times New Roman" w:eastAsia="宋体" w:cs="Times New Roman"/>
          <w:sz w:val="28"/>
          <w:szCs w:val="28"/>
          <w14:ligatures w14:val="none"/>
        </w:rPr>
        <w:t>增强现场人员对</w:t>
      </w:r>
      <w:r>
        <w:rPr>
          <w:rFonts w:hint="eastAsia" w:ascii="Times New Roman" w:hAnsi="Times New Roman" w:eastAsia="宋体" w:cs="Times New Roman"/>
          <w:sz w:val="28"/>
          <w:szCs w:val="28"/>
          <w:lang w:val="en-US" w:eastAsia="zh-CN"/>
          <w14:ligatures w14:val="none"/>
        </w:rPr>
        <w:t>事故</w:t>
      </w:r>
      <w:r>
        <w:rPr>
          <w:rFonts w:hint="eastAsia" w:ascii="Times New Roman" w:hAnsi="Times New Roman" w:eastAsia="宋体" w:cs="Times New Roman"/>
          <w:sz w:val="28"/>
          <w:szCs w:val="28"/>
          <w14:ligatures w14:val="none"/>
        </w:rPr>
        <w:t>的应急处置能力，熟悉事故上报及人员救助流程，</w:t>
      </w:r>
      <w:r>
        <w:rPr>
          <w:rFonts w:hint="eastAsia" w:ascii="Times New Roman" w:hAnsi="Times New Roman" w:eastAsia="宋体" w:cs="Times New Roman"/>
          <w:sz w:val="28"/>
          <w:szCs w:val="28"/>
          <w:lang w:val="en-US" w:eastAsia="zh-CN"/>
          <w14:ligatures w14:val="none"/>
        </w:rPr>
        <w:t>熟知</w:t>
      </w:r>
      <w:r>
        <w:rPr>
          <w:rFonts w:hint="eastAsia" w:ascii="Times New Roman" w:hAnsi="Times New Roman" w:eastAsia="宋体" w:cs="Times New Roman"/>
          <w:sz w:val="28"/>
          <w:szCs w:val="28"/>
          <w14:ligatures w14:val="none"/>
        </w:rPr>
        <w:t>应急处置方法</w:t>
      </w:r>
      <w:r>
        <w:rPr>
          <w:rFonts w:hint="eastAsia" w:ascii="Times New Roman" w:hAnsi="Times New Roman" w:eastAsia="宋体" w:cs="Times New Roman"/>
          <w:sz w:val="28"/>
          <w:szCs w:val="28"/>
          <w:lang w:eastAsia="zh-CN"/>
          <w14:ligatures w14:val="none"/>
        </w:rPr>
        <w:t>，</w:t>
      </w:r>
      <w:r>
        <w:rPr>
          <w:rFonts w:hint="eastAsia" w:ascii="Times New Roman" w:hAnsi="Times New Roman" w:eastAsia="宋体" w:cs="Times New Roman"/>
          <w:sz w:val="28"/>
          <w:szCs w:val="28"/>
          <w14:ligatures w14:val="none"/>
        </w:rPr>
        <w:t>对演练效果进行</w:t>
      </w:r>
      <w:r>
        <w:rPr>
          <w:rFonts w:hint="eastAsia" w:ascii="Times New Roman" w:hAnsi="Times New Roman" w:eastAsia="宋体" w:cs="Times New Roman"/>
          <w:sz w:val="28"/>
          <w:szCs w:val="28"/>
          <w:lang w:val="en-US" w:eastAsia="zh-CN"/>
          <w14:ligatures w14:val="none"/>
        </w:rPr>
        <w:t>总结</w:t>
      </w:r>
      <w:r>
        <w:rPr>
          <w:rFonts w:hint="eastAsia" w:ascii="Times New Roman" w:hAnsi="Times New Roman" w:eastAsia="宋体" w:cs="Times New Roman"/>
          <w:sz w:val="28"/>
          <w:szCs w:val="28"/>
          <w:lang w:eastAsia="zh-CN"/>
          <w14:ligatures w14:val="none"/>
        </w:rPr>
        <w:t>（</w:t>
      </w:r>
      <w:r>
        <w:rPr>
          <w:rFonts w:hint="eastAsia" w:ascii="Times New Roman" w:hAnsi="Times New Roman" w:eastAsia="宋体" w:cs="Times New Roman"/>
          <w:sz w:val="28"/>
          <w:szCs w:val="28"/>
          <w:lang w:val="en-US" w:eastAsia="zh-CN"/>
          <w14:ligatures w14:val="none"/>
        </w:rPr>
        <w:t>具体演练记录详见附件），</w:t>
      </w:r>
      <w:r>
        <w:rPr>
          <w:rFonts w:hint="eastAsia" w:ascii="Times New Roman" w:hAnsi="Times New Roman" w:eastAsia="宋体" w:cs="Times New Roman"/>
          <w:sz w:val="28"/>
          <w:szCs w:val="28"/>
          <w14:ligatures w14:val="none"/>
        </w:rPr>
        <w:t>符合事故应急预案的相关要求。应急预案备案登记表情况如下：</w:t>
      </w:r>
    </w:p>
    <w:p w14:paraId="783AF60D">
      <w:pPr>
        <w:adjustRightInd w:val="0"/>
        <w:snapToGrid w:val="0"/>
        <w:spacing w:after="0" w:line="360" w:lineRule="auto"/>
        <w:ind w:firstLine="560" w:firstLineChars="200"/>
        <w:jc w:val="both"/>
        <w:rPr>
          <w:rFonts w:hint="eastAsia" w:ascii="Times New Roman" w:hAnsi="Times New Roman" w:eastAsia="宋体" w:cs="Times New Roman"/>
          <w:sz w:val="28"/>
          <w:szCs w:val="28"/>
          <w:lang w:eastAsia="zh-CN"/>
          <w14:ligatures w14:val="none"/>
        </w:rPr>
      </w:pPr>
      <w:r>
        <w:rPr>
          <w:rFonts w:hint="eastAsia" w:ascii="Times New Roman" w:hAnsi="Times New Roman" w:eastAsia="宋体" w:cs="Times New Roman"/>
          <w:sz w:val="28"/>
          <w:szCs w:val="28"/>
          <w14:ligatures w14:val="none"/>
        </w:rPr>
        <w:t>备案单位：</w:t>
      </w:r>
      <w:r>
        <w:rPr>
          <w:rFonts w:hint="eastAsia" w:ascii="Times New Roman" w:hAnsi="Times New Roman" w:eastAsia="宋体" w:cs="Times New Roman"/>
          <w:sz w:val="28"/>
          <w:szCs w:val="28"/>
          <w:lang w:eastAsia="zh-CN"/>
          <w14:ligatures w14:val="none"/>
        </w:rPr>
        <w:t>朝阳金达钛业股份有限公司</w:t>
      </w:r>
    </w:p>
    <w:p w14:paraId="08FE5606">
      <w:pPr>
        <w:adjustRightInd w:val="0"/>
        <w:snapToGrid w:val="0"/>
        <w:spacing w:after="0" w:line="360" w:lineRule="auto"/>
        <w:ind w:firstLine="560" w:firstLineChars="200"/>
        <w:jc w:val="both"/>
        <w:rPr>
          <w:rFonts w:hint="default" w:ascii="Times New Roman" w:hAnsi="Times New Roman" w:eastAsia="宋体" w:cs="Times New Roman"/>
          <w:sz w:val="28"/>
          <w:szCs w:val="28"/>
          <w:highlight w:val="none"/>
          <w:lang w:val="en-US" w:eastAsia="zh-CN"/>
          <w14:ligatures w14:val="none"/>
        </w:rPr>
      </w:pPr>
      <w:r>
        <w:rPr>
          <w:rFonts w:hint="eastAsia" w:ascii="Times New Roman" w:hAnsi="Times New Roman" w:eastAsia="宋体" w:cs="Times New Roman"/>
          <w:sz w:val="28"/>
          <w:szCs w:val="28"/>
          <w:highlight w:val="none"/>
          <w14:ligatures w14:val="none"/>
        </w:rPr>
        <w:t>发证单位：</w:t>
      </w:r>
      <w:r>
        <w:rPr>
          <w:rFonts w:hint="eastAsia" w:ascii="Times New Roman" w:hAnsi="Times New Roman" w:eastAsia="宋体" w:cs="Times New Roman"/>
          <w:sz w:val="28"/>
          <w:szCs w:val="28"/>
          <w:highlight w:val="none"/>
          <w:lang w:val="en-US" w:eastAsia="zh-CN"/>
          <w14:ligatures w14:val="none"/>
        </w:rPr>
        <w:t>朝阳市双塔区应急管理局</w:t>
      </w:r>
    </w:p>
    <w:p w14:paraId="2036DD0D">
      <w:pPr>
        <w:adjustRightInd w:val="0"/>
        <w:snapToGrid w:val="0"/>
        <w:spacing w:after="0" w:line="360" w:lineRule="auto"/>
        <w:ind w:firstLine="560" w:firstLineChars="200"/>
        <w:jc w:val="both"/>
        <w:rPr>
          <w:rFonts w:ascii="Times New Roman" w:hAnsi="Times New Roman" w:eastAsia="宋体" w:cs="Times New Roman"/>
          <w:sz w:val="28"/>
          <w:szCs w:val="28"/>
          <w:highlight w:val="none"/>
          <w14:ligatures w14:val="none"/>
        </w:rPr>
      </w:pPr>
      <w:r>
        <w:rPr>
          <w:rFonts w:hint="eastAsia" w:ascii="Times New Roman" w:hAnsi="Times New Roman" w:eastAsia="宋体" w:cs="Times New Roman"/>
          <w:sz w:val="28"/>
          <w:szCs w:val="28"/>
          <w:highlight w:val="none"/>
          <w14:ligatures w14:val="none"/>
        </w:rPr>
        <w:t>备案日期：202</w:t>
      </w:r>
      <w:r>
        <w:rPr>
          <w:rFonts w:hint="eastAsia" w:ascii="Times New Roman" w:hAnsi="Times New Roman" w:eastAsia="宋体" w:cs="Times New Roman"/>
          <w:sz w:val="28"/>
          <w:szCs w:val="28"/>
          <w:highlight w:val="none"/>
          <w:lang w:val="en-US" w:eastAsia="zh-CN"/>
          <w14:ligatures w14:val="none"/>
        </w:rPr>
        <w:t>5</w:t>
      </w:r>
      <w:r>
        <w:rPr>
          <w:rFonts w:hint="eastAsia" w:ascii="Times New Roman" w:hAnsi="Times New Roman" w:eastAsia="宋体" w:cs="Times New Roman"/>
          <w:sz w:val="28"/>
          <w:szCs w:val="28"/>
          <w:highlight w:val="none"/>
          <w14:ligatures w14:val="none"/>
        </w:rPr>
        <w:t>年</w:t>
      </w:r>
      <w:r>
        <w:rPr>
          <w:rFonts w:hint="eastAsia" w:ascii="Times New Roman" w:hAnsi="Times New Roman" w:eastAsia="宋体" w:cs="Times New Roman"/>
          <w:sz w:val="28"/>
          <w:szCs w:val="28"/>
          <w:highlight w:val="none"/>
          <w:lang w:val="en-US" w:eastAsia="zh-CN"/>
          <w14:ligatures w14:val="none"/>
        </w:rPr>
        <w:t>05</w:t>
      </w:r>
      <w:r>
        <w:rPr>
          <w:rFonts w:hint="eastAsia" w:ascii="Times New Roman" w:hAnsi="Times New Roman" w:eastAsia="宋体" w:cs="Times New Roman"/>
          <w:sz w:val="28"/>
          <w:szCs w:val="28"/>
          <w:highlight w:val="none"/>
          <w14:ligatures w14:val="none"/>
        </w:rPr>
        <w:t>月</w:t>
      </w:r>
      <w:r>
        <w:rPr>
          <w:rFonts w:hint="eastAsia" w:ascii="Times New Roman" w:hAnsi="Times New Roman" w:eastAsia="宋体" w:cs="Times New Roman"/>
          <w:sz w:val="28"/>
          <w:szCs w:val="28"/>
          <w:highlight w:val="none"/>
          <w:lang w:val="en-US" w:eastAsia="zh-CN"/>
          <w14:ligatures w14:val="none"/>
        </w:rPr>
        <w:t>13</w:t>
      </w:r>
      <w:r>
        <w:rPr>
          <w:rFonts w:hint="eastAsia" w:ascii="Times New Roman" w:hAnsi="Times New Roman" w:eastAsia="宋体" w:cs="Times New Roman"/>
          <w:sz w:val="28"/>
          <w:szCs w:val="28"/>
          <w:highlight w:val="none"/>
          <w14:ligatures w14:val="none"/>
        </w:rPr>
        <w:t>日</w:t>
      </w:r>
    </w:p>
    <w:p w14:paraId="77DC9154">
      <w:pPr>
        <w:adjustRightInd w:val="0"/>
        <w:snapToGrid w:val="0"/>
        <w:spacing w:after="0" w:line="360" w:lineRule="auto"/>
        <w:ind w:firstLine="560" w:firstLineChars="200"/>
        <w:jc w:val="both"/>
        <w:rPr>
          <w:rFonts w:hint="default" w:ascii="Times New Roman" w:hAnsi="Times New Roman" w:eastAsia="宋体" w:cs="Times New Roman"/>
          <w:sz w:val="28"/>
          <w:szCs w:val="28"/>
          <w:highlight w:val="none"/>
          <w:lang w:val="en-US" w:eastAsia="zh-CN"/>
          <w14:ligatures w14:val="none"/>
        </w:rPr>
      </w:pPr>
      <w:r>
        <w:rPr>
          <w:rFonts w:hint="eastAsia" w:ascii="Times New Roman" w:hAnsi="Times New Roman" w:eastAsia="宋体" w:cs="Times New Roman"/>
          <w:sz w:val="28"/>
          <w:szCs w:val="28"/>
          <w:highlight w:val="none"/>
          <w14:ligatures w14:val="none"/>
        </w:rPr>
        <w:t>备案编号：</w:t>
      </w:r>
      <w:r>
        <w:rPr>
          <w:rFonts w:hint="eastAsia" w:ascii="Times New Roman" w:hAnsi="Times New Roman" w:eastAsia="宋体" w:cs="Times New Roman"/>
          <w:sz w:val="28"/>
          <w:szCs w:val="28"/>
          <w:highlight w:val="none"/>
          <w:lang w:val="en-US" w:eastAsia="zh-CN"/>
          <w14:ligatures w14:val="none"/>
        </w:rPr>
        <w:t>211302-2025-012</w:t>
      </w:r>
    </w:p>
    <w:p w14:paraId="157CF6F8">
      <w:pPr>
        <w:tabs>
          <w:tab w:val="left" w:pos="840"/>
          <w:tab w:val="left" w:pos="1260"/>
        </w:tabs>
        <w:adjustRightInd w:val="0"/>
        <w:snapToGrid w:val="0"/>
        <w:spacing w:before="156" w:beforeLines="50" w:after="156" w:afterLines="50" w:line="360" w:lineRule="auto"/>
        <w:ind w:firstLine="562" w:firstLineChars="200"/>
        <w:jc w:val="both"/>
        <w:outlineLvl w:val="2"/>
        <w:rPr>
          <w:rFonts w:ascii="Times New Roman" w:hAnsi="Times New Roman" w:eastAsia="黑体" w:cs="Times New Roman"/>
          <w:b/>
          <w:sz w:val="28"/>
          <w:szCs w:val="32"/>
          <w:highlight w:val="none"/>
          <w14:ligatures w14:val="none"/>
        </w:rPr>
      </w:pPr>
      <w:r>
        <w:rPr>
          <w:rFonts w:hint="eastAsia" w:ascii="Times New Roman" w:hAnsi="Times New Roman" w:eastAsia="黑体" w:cs="Times New Roman"/>
          <w:b/>
          <w:sz w:val="28"/>
          <w:szCs w:val="32"/>
          <w:highlight w:val="none"/>
          <w14:ligatures w14:val="none"/>
        </w:rPr>
        <w:t>2.1.6机构设置及人员培训情况</w:t>
      </w:r>
    </w:p>
    <w:p w14:paraId="6273E3C6">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企业设安全生产领导小组负责</w:t>
      </w:r>
      <w:r>
        <w:rPr>
          <w:rFonts w:hint="eastAsia" w:ascii="Times New Roman" w:hAnsi="Times New Roman" w:eastAsia="宋体" w:cs="Times New Roman"/>
          <w:sz w:val="28"/>
          <w:szCs w:val="28"/>
          <w:lang w:val="en-US" w:eastAsia="zh-CN"/>
          <w14:ligatures w14:val="none"/>
        </w:rPr>
        <w:t>企业</w:t>
      </w:r>
      <w:r>
        <w:rPr>
          <w:rFonts w:hint="eastAsia" w:ascii="Times New Roman" w:hAnsi="Times New Roman" w:eastAsia="宋体" w:cs="Times New Roman"/>
          <w:sz w:val="28"/>
          <w:szCs w:val="28"/>
          <w14:ligatures w14:val="none"/>
        </w:rPr>
        <w:t>安全生产工作，并设置</w:t>
      </w:r>
      <w:r>
        <w:rPr>
          <w:rFonts w:hint="eastAsia" w:ascii="Times New Roman" w:hAnsi="Times New Roman" w:eastAsia="宋体" w:cs="Times New Roman"/>
          <w:sz w:val="28"/>
          <w:szCs w:val="28"/>
          <w:lang w:val="en-US" w:eastAsia="zh-CN"/>
          <w14:ligatures w14:val="none"/>
        </w:rPr>
        <w:t>专职</w:t>
      </w:r>
      <w:r>
        <w:rPr>
          <w:rFonts w:hint="eastAsia" w:ascii="Times New Roman" w:hAnsi="Times New Roman" w:eastAsia="宋体" w:cs="Times New Roman"/>
          <w:sz w:val="28"/>
          <w:szCs w:val="28"/>
          <w14:ligatures w14:val="none"/>
        </w:rPr>
        <w:t>安全管理人员。企业负责人</w:t>
      </w:r>
      <w:r>
        <w:rPr>
          <w:rFonts w:hint="eastAsia" w:ascii="Times New Roman" w:hAnsi="Times New Roman" w:eastAsia="宋体" w:cs="Times New Roman"/>
          <w:sz w:val="28"/>
          <w:szCs w:val="28"/>
          <w:lang w:eastAsia="zh-CN"/>
          <w14:ligatures w14:val="none"/>
        </w:rPr>
        <w:t>、</w:t>
      </w:r>
      <w:r>
        <w:rPr>
          <w:rFonts w:hint="eastAsia" w:ascii="Times New Roman" w:hAnsi="Times New Roman" w:eastAsia="宋体" w:cs="Times New Roman"/>
          <w:sz w:val="28"/>
          <w:szCs w:val="28"/>
          <w:lang w:val="en-US" w:eastAsia="zh-CN"/>
          <w14:ligatures w14:val="none"/>
        </w:rPr>
        <w:t>主要负责人</w:t>
      </w:r>
      <w:r>
        <w:rPr>
          <w:rFonts w:hint="eastAsia" w:ascii="Times New Roman" w:hAnsi="Times New Roman" w:eastAsia="宋体" w:cs="Times New Roman"/>
          <w:sz w:val="28"/>
          <w:szCs w:val="28"/>
          <w14:ligatures w14:val="none"/>
        </w:rPr>
        <w:t>和专职安全管理人员均经</w:t>
      </w:r>
      <w:r>
        <w:rPr>
          <w:rFonts w:hint="eastAsia" w:ascii="Times New Roman" w:hAnsi="Times New Roman" w:eastAsia="宋体" w:cs="Times New Roman"/>
          <w:sz w:val="28"/>
          <w:szCs w:val="28"/>
          <w:lang w:val="en-US" w:eastAsia="zh-CN"/>
          <w14:ligatures w14:val="none"/>
        </w:rPr>
        <w:t>朝阳</w:t>
      </w:r>
      <w:r>
        <w:rPr>
          <w:rFonts w:hint="eastAsia" w:ascii="Times New Roman" w:hAnsi="Times New Roman" w:eastAsia="宋体" w:cs="Times New Roman"/>
          <w:sz w:val="28"/>
          <w:szCs w:val="28"/>
          <w14:ligatures w14:val="none"/>
        </w:rPr>
        <w:t>市应急管理局培训考核合格，并取得安全资格证书；企业特种设备作业人员均已经相关培训考核后合格，取得特种设备作业资格证书。</w:t>
      </w:r>
    </w:p>
    <w:p w14:paraId="0011E35B">
      <w:pPr>
        <w:adjustRightInd w:val="0"/>
        <w:snapToGrid w:val="0"/>
        <w:spacing w:before="312" w:beforeLines="100" w:after="312" w:afterLines="100" w:line="360" w:lineRule="auto"/>
        <w:jc w:val="center"/>
        <w:outlineLvl w:val="1"/>
        <w:rPr>
          <w:rFonts w:ascii="Times New Roman" w:hAnsi="Times New Roman" w:eastAsia="楷体" w:cs="黑体"/>
          <w:b/>
          <w:sz w:val="32"/>
          <w:szCs w:val="32"/>
          <w14:ligatures w14:val="none"/>
        </w:rPr>
      </w:pPr>
      <w:bookmarkStart w:id="94" w:name="_Toc10529"/>
      <w:r>
        <w:rPr>
          <w:rFonts w:hint="eastAsia" w:ascii="Times New Roman" w:hAnsi="Times New Roman" w:eastAsia="楷体" w:cs="黑体"/>
          <w:b/>
          <w:sz w:val="32"/>
          <w:szCs w:val="32"/>
          <w14:ligatures w14:val="none"/>
        </w:rPr>
        <w:t>2.2</w:t>
      </w:r>
      <w:r>
        <w:rPr>
          <w:rFonts w:hint="eastAsia" w:ascii="Times New Roman" w:hAnsi="Times New Roman" w:eastAsia="黑体" w:cs="Times New Roman"/>
          <w:b/>
          <w:sz w:val="28"/>
          <w:szCs w:val="32"/>
          <w14:ligatures w14:val="none"/>
        </w:rPr>
        <w:t>工艺流程</w:t>
      </w:r>
      <w:bookmarkEnd w:id="94"/>
    </w:p>
    <w:p w14:paraId="5C50E7D0">
      <w:pPr>
        <w:tabs>
          <w:tab w:val="left" w:pos="840"/>
          <w:tab w:val="left" w:pos="1260"/>
        </w:tabs>
        <w:adjustRightInd w:val="0"/>
        <w:snapToGrid w:val="0"/>
        <w:spacing w:before="156" w:beforeLines="50" w:after="156" w:afterLines="50" w:line="360" w:lineRule="auto"/>
        <w:ind w:firstLine="562" w:firstLineChars="200"/>
        <w:jc w:val="both"/>
        <w:outlineLvl w:val="2"/>
        <w:rPr>
          <w:rFonts w:hint="eastAsia" w:ascii="Times New Roman" w:hAnsi="Times New Roman" w:eastAsia="黑体" w:cs="Times New Roman"/>
          <w:b/>
          <w:sz w:val="28"/>
          <w:szCs w:val="32"/>
          <w:lang w:eastAsia="zh-CN"/>
          <w14:ligatures w14:val="none"/>
        </w:rPr>
      </w:pPr>
      <w:r>
        <w:rPr>
          <w:rFonts w:hint="eastAsia" w:ascii="Times New Roman" w:hAnsi="Times New Roman" w:eastAsia="黑体" w:cs="Times New Roman"/>
          <w:b/>
          <w:sz w:val="28"/>
          <w:szCs w:val="32"/>
          <w14:ligatures w14:val="none"/>
        </w:rPr>
        <w:t>2.2.1</w:t>
      </w:r>
      <w:r>
        <w:rPr>
          <w:rFonts w:hint="eastAsia" w:ascii="Times New Roman" w:hAnsi="Times New Roman" w:eastAsia="黑体" w:cs="Times New Roman"/>
          <w:b/>
          <w:sz w:val="28"/>
          <w:szCs w:val="32"/>
          <w:lang w:val="en-US" w:eastAsia="zh-CN"/>
          <w14:ligatures w14:val="none"/>
        </w:rPr>
        <w:t>盐酸</w:t>
      </w:r>
    </w:p>
    <w:p w14:paraId="11918581">
      <w:pPr>
        <w:numPr>
          <w:ilvl w:val="0"/>
          <w:numId w:val="0"/>
        </w:numPr>
        <w:adjustRightInd w:val="0"/>
        <w:snapToGrid w:val="0"/>
        <w:spacing w:after="0" w:line="360" w:lineRule="auto"/>
        <w:ind w:firstLine="560" w:firstLineChars="200"/>
        <w:jc w:val="both"/>
        <w:rPr>
          <w:rFonts w:hint="eastAsia" w:ascii="Times New Roman" w:hAnsi="Times New Roman" w:eastAsia="宋体" w:cs="Times New Roman"/>
          <w:sz w:val="28"/>
          <w:szCs w:val="28"/>
          <w:lang w:val="en-US" w:eastAsia="zh-CN"/>
          <w14:ligatures w14:val="none"/>
        </w:rPr>
      </w:pPr>
      <w:r>
        <w:rPr>
          <w:sz w:val="28"/>
        </w:rPr>
        <mc:AlternateContent>
          <mc:Choice Requires="wpc">
            <w:drawing>
              <wp:anchor distT="0" distB="0" distL="114300" distR="114300" simplePos="0" relativeHeight="251659264" behindDoc="0" locked="0" layoutInCell="1" allowOverlap="1">
                <wp:simplePos x="0" y="0"/>
                <wp:positionH relativeFrom="column">
                  <wp:posOffset>127000</wp:posOffset>
                </wp:positionH>
                <wp:positionV relativeFrom="paragraph">
                  <wp:posOffset>541655</wp:posOffset>
                </wp:positionV>
                <wp:extent cx="5915025" cy="977265"/>
                <wp:effectExtent l="0" t="0" r="0" b="0"/>
                <wp:wrapNone/>
                <wp:docPr id="1" name="画布 1"/>
                <wp:cNvGraphicFramePr/>
                <a:graphic xmlns:a="http://schemas.openxmlformats.org/drawingml/2006/main">
                  <a:graphicData uri="http://schemas.microsoft.com/office/word/2010/wordprocessingCanvas">
                    <wpc:wpc>
                      <wpc:bg/>
                      <wpc:whole/>
                      <wps:wsp>
                        <wps:cNvPr id="2" name="文本框 2"/>
                        <wps:cNvSpPr txBox="1"/>
                        <wps:spPr>
                          <a:xfrm>
                            <a:off x="325120" y="452755"/>
                            <a:ext cx="1361440" cy="31432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21D05DD2">
                              <w:pPr>
                                <w:rPr>
                                  <w:rFonts w:hint="default" w:eastAsiaTheme="minorEastAsia"/>
                                  <w:lang w:val="en-US" w:eastAsia="zh-CN"/>
                                </w:rPr>
                              </w:pPr>
                              <w:r>
                                <w:rPr>
                                  <w:rFonts w:hint="eastAsia"/>
                                  <w:lang w:val="en-US" w:eastAsia="zh-CN"/>
                                </w:rPr>
                                <w:t>氯化尾气处理工序</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 name="文本框 7"/>
                        <wps:cNvSpPr txBox="1"/>
                        <wps:spPr>
                          <a:xfrm>
                            <a:off x="2475230" y="446405"/>
                            <a:ext cx="808990" cy="31432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21CE8F1E">
                              <w:pPr>
                                <w:rPr>
                                  <w:rFonts w:hint="default" w:eastAsiaTheme="minorEastAsia"/>
                                  <w:lang w:val="en-US" w:eastAsia="zh-CN"/>
                                </w:rPr>
                              </w:pPr>
                              <w:r>
                                <w:rPr>
                                  <w:rFonts w:hint="eastAsia"/>
                                  <w:lang w:val="en-US" w:eastAsia="zh-CN"/>
                                </w:rPr>
                                <w:t>盐酸储罐</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8" name="文本框 8"/>
                        <wps:cNvSpPr txBox="1"/>
                        <wps:spPr>
                          <a:xfrm>
                            <a:off x="4075430" y="446405"/>
                            <a:ext cx="999490" cy="31432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4BAE77BA">
                              <w:pPr>
                                <w:ind w:firstLine="440" w:firstLineChars="200"/>
                                <w:rPr>
                                  <w:rFonts w:hint="default" w:eastAsiaTheme="minorEastAsia"/>
                                  <w:lang w:val="en-US" w:eastAsia="zh-CN"/>
                                </w:rPr>
                              </w:pPr>
                              <w:r>
                                <w:rPr>
                                  <w:rFonts w:hint="eastAsia"/>
                                  <w:lang w:val="en-US" w:eastAsia="zh-CN"/>
                                </w:rPr>
                                <w:t>外售</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9" name="直接箭头连接符 9"/>
                        <wps:cNvCnPr>
                          <a:stCxn id="2" idx="3"/>
                          <a:endCxn id="7" idx="1"/>
                        </wps:cNvCnPr>
                        <wps:spPr>
                          <a:xfrm flipV="1">
                            <a:off x="1686560" y="603885"/>
                            <a:ext cx="788670" cy="6350"/>
                          </a:xfrm>
                          <a:prstGeom prst="straightConnector1">
                            <a:avLst/>
                          </a:prstGeom>
                          <a:ln>
                            <a:tailEnd type="arrow"/>
                          </a:ln>
                        </wps:spPr>
                        <wps:style>
                          <a:lnRef idx="2">
                            <a:schemeClr val="accent1"/>
                          </a:lnRef>
                          <a:fillRef idx="0">
                            <a:srgbClr val="FFFFFF"/>
                          </a:fillRef>
                          <a:effectRef idx="0">
                            <a:srgbClr val="FFFFFF"/>
                          </a:effectRef>
                          <a:fontRef idx="minor">
                            <a:schemeClr val="tx1"/>
                          </a:fontRef>
                        </wps:style>
                        <wps:bodyPr/>
                      </wps:wsp>
                      <wps:wsp>
                        <wps:cNvPr id="10" name="直接箭头连接符 10"/>
                        <wps:cNvCnPr>
                          <a:stCxn id="7" idx="3"/>
                          <a:endCxn id="8" idx="1"/>
                        </wps:cNvCnPr>
                        <wps:spPr>
                          <a:xfrm>
                            <a:off x="3284220" y="603885"/>
                            <a:ext cx="791210" cy="0"/>
                          </a:xfrm>
                          <a:prstGeom prst="straightConnector1">
                            <a:avLst/>
                          </a:prstGeom>
                          <a:ln>
                            <a:tailEnd type="arrow"/>
                          </a:ln>
                        </wps:spPr>
                        <wps:style>
                          <a:lnRef idx="2">
                            <a:schemeClr val="accent1"/>
                          </a:lnRef>
                          <a:fillRef idx="0">
                            <a:srgbClr val="FFFFFF"/>
                          </a:fillRef>
                          <a:effectRef idx="0">
                            <a:srgbClr val="FFFFFF"/>
                          </a:effectRef>
                          <a:fontRef idx="minor">
                            <a:schemeClr val="tx1"/>
                          </a:fontRef>
                        </wps:style>
                        <wps:bodyPr/>
                      </wps:wsp>
                      <wps:wsp>
                        <wps:cNvPr id="15" name="文本框 15"/>
                        <wps:cNvSpPr txBox="1"/>
                        <wps:spPr>
                          <a:xfrm>
                            <a:off x="1827530" y="360680"/>
                            <a:ext cx="486410" cy="36195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ECB1ED5">
                              <w:pPr>
                                <w:rPr>
                                  <w:rFonts w:hint="default" w:eastAsiaTheme="minorEastAsia"/>
                                  <w:lang w:val="en-US" w:eastAsia="zh-CN"/>
                                </w:rPr>
                              </w:pPr>
                              <w:r>
                                <w:rPr>
                                  <w:rFonts w:hint="eastAsia"/>
                                  <w:lang w:val="en-US" w:eastAsia="zh-CN"/>
                                </w:rPr>
                                <w:t>盐酸</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0" name="文本框 20"/>
                        <wps:cNvSpPr txBox="1"/>
                        <wps:spPr>
                          <a:xfrm>
                            <a:off x="3437255" y="360680"/>
                            <a:ext cx="486410" cy="36195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3A39C1E">
                              <w:pPr>
                                <w:rPr>
                                  <w:rFonts w:hint="default" w:eastAsiaTheme="minorEastAsia"/>
                                  <w:lang w:val="en-US" w:eastAsia="zh-CN"/>
                                </w:rPr>
                              </w:pPr>
                              <w:r>
                                <w:rPr>
                                  <w:rFonts w:hint="eastAsia"/>
                                  <w:lang w:val="en-US" w:eastAsia="zh-CN"/>
                                </w:rPr>
                                <w:t>盐酸</w:t>
                              </w:r>
                            </w:p>
                          </w:txbxContent>
                        </wps:txbx>
                        <wps:bodyPr rot="0" spcFirstLastPara="0" vertOverflow="overflow" horzOverflow="overflow" vert="horz" wrap="square" lIns="91440" tIns="45720" rIns="91440" bIns="45720" numCol="1" spcCol="0" rtlCol="0" fromWordArt="0" anchor="t" anchorCtr="0" forceAA="0" compatLnSpc="1">
                          <a:noAutofit/>
                        </wps:bodyPr>
                      </wps:wsp>
                    </wpc:wpc>
                  </a:graphicData>
                </a:graphic>
              </wp:anchor>
            </w:drawing>
          </mc:Choice>
          <mc:Fallback>
            <w:pict>
              <v:group id="_x0000_s1026" o:spid="_x0000_s1026" o:spt="203" style="position:absolute;left:0pt;margin-left:10pt;margin-top:42.65pt;height:76.95pt;width:465.75pt;z-index:251659264;mso-width-relative:page;mso-height-relative:page;" coordsize="5915025,977265" editas="canvas" o:gfxdata="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">
                <o:lock v:ext="edit" aspectratio="f"/>
                <v:shape id="_x0000_s1026" o:spid="_x0000_s1026" style="position:absolute;left:0;top:0;height:977265;width:5915025;" filled="f" stroked="f" coordsize="21600,21600" o:gfxdata="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">
                  <v:fill on="f" focussize="0,0"/>
                  <v:stroke on="f"/>
                  <v:imagedata o:title=""/>
                  <o:lock v:ext="edit" aspectratio="f"/>
                </v:shape>
                <v:shape id="_x0000_s1026" o:spid="_x0000_s1026" o:spt="202" type="#_x0000_t202" style="position:absolute;left:325120;top:452755;height:314325;width:1361440;" fillcolor="#FFFFFF [3201]" filled="t" stroked="t" coordsize="21600,21600" o:gfxdata="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">
                  <v:fill on="t" focussize="0,0"/>
                  <v:stroke weight="0.5pt" color="#000000 [3204]" joinstyle="round"/>
                  <v:imagedata o:title=""/>
                  <o:lock v:ext="edit" aspectratio="f"/>
                  <v:textbox>
                    <w:txbxContent>
                      <w:p w14:paraId="21D05DD2">
                        <w:pPr>
                          <w:rPr>
                            <w:rFonts w:hint="default" w:eastAsiaTheme="minorEastAsia"/>
                            <w:lang w:val="en-US" w:eastAsia="zh-CN"/>
                          </w:rPr>
                        </w:pPr>
                        <w:r>
                          <w:rPr>
                            <w:rFonts w:hint="eastAsia"/>
                            <w:lang w:val="en-US" w:eastAsia="zh-CN"/>
                          </w:rPr>
                          <w:t>氯化尾气处理工序</w:t>
                        </w:r>
                      </w:p>
                    </w:txbxContent>
                  </v:textbox>
                </v:shape>
                <v:shape id="_x0000_s1026" o:spid="_x0000_s1026" o:spt="202" type="#_x0000_t202" style="position:absolute;left:2475230;top:446405;height:314325;width:808990;" fillcolor="#FFFFFF [3201]" filled="t" stroked="t" coordsize="21600,21600" o:gfxdata="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cNcwStUAAAAJAQAADwAAAAAAAAABACAAAAAiAAAAZHJzL2Rvd25yZXYueG1sUEsBAhQAFAAA&#10;AAgAh07iQBs517VkAgAAwQQAAA4AAAAAAAAAAQAgAAAAJAEAAGRycy9lMm9Eb2MueG1sUEsFBgAA&#10;AAAGAAYAWQEAAPoFAAAAAA==&#10;">
                  <v:fill on="t" focussize="0,0"/>
                  <v:stroke weight="0.5pt" color="#000000 [3204]" joinstyle="round"/>
                  <v:imagedata o:title=""/>
                  <o:lock v:ext="edit" aspectratio="f"/>
                  <v:textbox>
                    <w:txbxContent>
                      <w:p w14:paraId="21CE8F1E">
                        <w:pPr>
                          <w:rPr>
                            <w:rFonts w:hint="default" w:eastAsiaTheme="minorEastAsia"/>
                            <w:lang w:val="en-US" w:eastAsia="zh-CN"/>
                          </w:rPr>
                        </w:pPr>
                        <w:r>
                          <w:rPr>
                            <w:rFonts w:hint="eastAsia"/>
                            <w:lang w:val="en-US" w:eastAsia="zh-CN"/>
                          </w:rPr>
                          <w:t>盐酸储罐</w:t>
                        </w:r>
                      </w:p>
                    </w:txbxContent>
                  </v:textbox>
                </v:shape>
                <v:shape id="_x0000_s1026" o:spid="_x0000_s1026" o:spt="202" type="#_x0000_t202" style="position:absolute;left:4075430;top:446405;height:314325;width:999490;" fillcolor="#FFFFFF [3201]" filled="t" stroked="t" coordsize="21600,21600" o:gfxdata="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Bw1zBK1QAAAAkBAAAPAAAAAAAAAAEAIAAAACIAAABkcnMvZG93bnJldi54bWxQSwECFAAUAAAA&#10;CACHTuJAQjqiX2MCAADBBAAADgAAAAAAAAABACAAAAAkAQAAZHJzL2Uyb0RvYy54bWxQSwUGAAAA&#10;AAYABgBZAQAA+QUAAAAA&#10;">
                  <v:fill on="t" focussize="0,0"/>
                  <v:stroke weight="0.5pt" color="#000000 [3204]" joinstyle="round"/>
                  <v:imagedata o:title=""/>
                  <o:lock v:ext="edit" aspectratio="f"/>
                  <v:textbox>
                    <w:txbxContent>
                      <w:p w14:paraId="4BAE77BA">
                        <w:pPr>
                          <w:ind w:firstLine="440" w:firstLineChars="200"/>
                          <w:rPr>
                            <w:rFonts w:hint="default" w:eastAsiaTheme="minorEastAsia"/>
                            <w:lang w:val="en-US" w:eastAsia="zh-CN"/>
                          </w:rPr>
                        </w:pPr>
                        <w:r>
                          <w:rPr>
                            <w:rFonts w:hint="eastAsia"/>
                            <w:lang w:val="en-US" w:eastAsia="zh-CN"/>
                          </w:rPr>
                          <w:t>外售</w:t>
                        </w:r>
                      </w:p>
                    </w:txbxContent>
                  </v:textbox>
                </v:shape>
                <v:shape id="_x0000_s1026" o:spid="_x0000_s1026" o:spt="32" type="#_x0000_t32" style="position:absolute;left:1686560;top:603885;flip:y;height:6350;width:788670;" filled="f" stroked="t" coordsize="21600,21600" o:gfxdata="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PJ+eRfYAAAACQEAAA8AAAAAAAAAAQAgAAAAIgAAAGRycy9kb3ducmV2&#10;LnhtbFBLAQIUABQAAAAIAIdO4kDB9PbYNQIAADYEAAAOAAAAAAAAAAEAIAAAACcBAABkcnMvZTJv&#10;RG9jLnhtbFBLBQYAAAAABgAGAFkBAADOBQAAAAA=&#10;">
                  <v:fill on="f" focussize="0,0"/>
                  <v:stroke weight="1pt" color="#156082 [3204]" miterlimit="8" joinstyle="miter" endarrow="open"/>
                  <v:imagedata o:title=""/>
                  <o:lock v:ext="edit" aspectratio="f"/>
                </v:shape>
                <v:shape id="_x0000_s1026" o:spid="_x0000_s1026" o:spt="32" type="#_x0000_t32" style="position:absolute;left:3284220;top:603885;height:0;width:791210;" filled="f" stroked="t" coordsize="21600,21600" o:gfxdata="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ax0xT9YAAAAJAQAADwAAAAAAAAABACAAAAAiAAAAZHJzL2Rvd25yZXYueG1sUEsBAhQA&#10;FAAAAAgAh07iQNsHcEctAgAAKwQAAA4AAAAAAAAAAQAgAAAAJQEAAGRycy9lMm9Eb2MueG1sUEsF&#10;BgAAAAAGAAYAWQEAAMQFAAAAAA==&#10;">
                  <v:fill on="f" focussize="0,0"/>
                  <v:stroke weight="1pt" color="#156082 [3204]" miterlimit="8" joinstyle="miter" endarrow="open"/>
                  <v:imagedata o:title=""/>
                  <o:lock v:ext="edit" aspectratio="f"/>
                </v:shape>
                <v:shape id="_x0000_s1026" o:spid="_x0000_s1026" o:spt="202" type="#_x0000_t202" style="position:absolute;left:1827530;top:360680;height:361950;width:486410;" filled="f" stroked="f" coordsize="21600,21600" o:gfxdata="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">
                  <v:fill on="f" focussize="0,0"/>
                  <v:stroke on="f" weight="0.5pt"/>
                  <v:imagedata o:title=""/>
                  <o:lock v:ext="edit" aspectratio="f"/>
                  <v:textbox>
                    <w:txbxContent>
                      <w:p w14:paraId="7ECB1ED5">
                        <w:pPr>
                          <w:rPr>
                            <w:rFonts w:hint="default" w:eastAsiaTheme="minorEastAsia"/>
                            <w:lang w:val="en-US" w:eastAsia="zh-CN"/>
                          </w:rPr>
                        </w:pPr>
                        <w:r>
                          <w:rPr>
                            <w:rFonts w:hint="eastAsia"/>
                            <w:lang w:val="en-US" w:eastAsia="zh-CN"/>
                          </w:rPr>
                          <w:t>盐酸</w:t>
                        </w:r>
                      </w:p>
                    </w:txbxContent>
                  </v:textbox>
                </v:shape>
                <v:shape id="_x0000_s1026" o:spid="_x0000_s1026" o:spt="202" type="#_x0000_t202" style="position:absolute;left:3437255;top:360680;height:361950;width:486410;" filled="f" stroked="f" coordsize="21600,21600" o:gfxdata="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DcNX2vYAAAACQEAAA8AAAAAAAAAAQAgAAAA&#10;IgAAAGRycy9kb3ducmV2LnhtbFBLAQIUABQAAAAIAIdO4kBRkJAdRAIAAHIEAAAOAAAAAAAAAAEA&#10;IAAAACcBAABkcnMvZTJvRG9jLnhtbFBLBQYAAAAABgAGAFkBAADdBQAAAAA=&#10;">
                  <v:fill on="f" focussize="0,0"/>
                  <v:stroke on="f" weight="0.5pt"/>
                  <v:imagedata o:title=""/>
                  <o:lock v:ext="edit" aspectratio="f"/>
                  <v:textbox>
                    <w:txbxContent>
                      <w:p w14:paraId="53A39C1E">
                        <w:pPr>
                          <w:rPr>
                            <w:rFonts w:hint="default" w:eastAsiaTheme="minorEastAsia"/>
                            <w:lang w:val="en-US" w:eastAsia="zh-CN"/>
                          </w:rPr>
                        </w:pPr>
                        <w:r>
                          <w:rPr>
                            <w:rFonts w:hint="eastAsia"/>
                            <w:lang w:val="en-US" w:eastAsia="zh-CN"/>
                          </w:rPr>
                          <w:t>盐酸</w:t>
                        </w:r>
                      </w:p>
                    </w:txbxContent>
                  </v:textbox>
                </v:shape>
              </v:group>
            </w:pict>
          </mc:Fallback>
        </mc:AlternateContent>
      </w:r>
      <w:r>
        <w:rPr>
          <w:rFonts w:hint="eastAsia" w:ascii="Times New Roman" w:hAnsi="Times New Roman" w:eastAsia="宋体" w:cs="Times New Roman"/>
          <w:sz w:val="28"/>
          <w:szCs w:val="28"/>
          <w:lang w:val="en-US" w:eastAsia="zh-CN"/>
          <w14:ligatures w14:val="none"/>
        </w:rPr>
        <w:t>本项目盐酸来自于氯化分厂中氯化尾气处理工序。产生的产品盐酸外排至盐酸储罐中，作为产品外售。</w:t>
      </w:r>
    </w:p>
    <w:p w14:paraId="50B1C11A">
      <w:pPr>
        <w:adjustRightInd w:val="0"/>
        <w:snapToGrid w:val="0"/>
        <w:spacing w:after="0" w:line="360" w:lineRule="auto"/>
        <w:ind w:firstLine="560" w:firstLineChars="200"/>
        <w:jc w:val="both"/>
        <w:rPr>
          <w:rFonts w:hint="eastAsia" w:ascii="Times New Roman" w:hAnsi="Times New Roman" w:eastAsia="宋体" w:cs="Times New Roman"/>
          <w:sz w:val="28"/>
          <w:szCs w:val="28"/>
          <w:lang w:val="en-US" w:eastAsia="zh-CN"/>
          <w14:ligatures w14:val="none"/>
        </w:rPr>
      </w:pPr>
    </w:p>
    <w:p w14:paraId="38E6B941">
      <w:pPr>
        <w:adjustRightInd w:val="0"/>
        <w:snapToGrid w:val="0"/>
        <w:spacing w:after="0" w:line="360" w:lineRule="auto"/>
        <w:ind w:firstLine="560" w:firstLineChars="200"/>
        <w:jc w:val="both"/>
        <w:rPr>
          <w:rFonts w:hint="eastAsia" w:ascii="Times New Roman" w:hAnsi="Times New Roman" w:eastAsia="宋体" w:cs="Times New Roman"/>
          <w:sz w:val="28"/>
          <w:szCs w:val="28"/>
          <w:lang w:val="en-US" w:eastAsia="zh-CN"/>
          <w14:ligatures w14:val="none"/>
        </w:rPr>
      </w:pPr>
    </w:p>
    <w:p w14:paraId="73FAEF69">
      <w:pPr>
        <w:adjustRightInd w:val="0"/>
        <w:snapToGrid w:val="0"/>
        <w:spacing w:after="0" w:line="360" w:lineRule="auto"/>
        <w:ind w:firstLine="560" w:firstLineChars="200"/>
        <w:jc w:val="both"/>
        <w:rPr>
          <w:rFonts w:hint="eastAsia" w:ascii="Times New Roman" w:hAnsi="Times New Roman" w:eastAsia="宋体" w:cs="Times New Roman"/>
          <w:sz w:val="28"/>
          <w:szCs w:val="28"/>
          <w:lang w:val="en-US" w:eastAsia="zh-CN"/>
          <w14:ligatures w14:val="none"/>
        </w:rPr>
      </w:pPr>
    </w:p>
    <w:p w14:paraId="22748AC5">
      <w:pPr>
        <w:adjustRightInd w:val="0"/>
        <w:snapToGrid w:val="0"/>
        <w:spacing w:before="120" w:beforeLines="50" w:after="120" w:afterLines="50"/>
        <w:jc w:val="center"/>
        <w:rPr>
          <w:rFonts w:hint="eastAsia" w:ascii="Times New Roman" w:hAnsi="Times New Roman" w:eastAsia="宋体" w:cs="Times New Roman"/>
          <w:sz w:val="28"/>
          <w:szCs w:val="28"/>
          <w:lang w:val="en-US" w:eastAsia="zh-CN"/>
          <w14:ligatures w14:val="none"/>
        </w:rPr>
      </w:pPr>
      <w:r>
        <w:rPr>
          <w:rFonts w:hint="default" w:ascii="Times New Roman" w:hAnsi="Times New Roman" w:eastAsia="黑体" w:cs="Times New Roman"/>
        </w:rPr>
        <w:t>图2.</w:t>
      </w:r>
      <w:r>
        <w:rPr>
          <w:rFonts w:hint="eastAsia" w:ascii="Times New Roman" w:hAnsi="Times New Roman" w:eastAsia="黑体" w:cs="Times New Roman"/>
          <w:lang w:val="en-US" w:eastAsia="zh-CN"/>
        </w:rPr>
        <w:t>2</w:t>
      </w:r>
      <w:r>
        <w:rPr>
          <w:rFonts w:hint="default" w:ascii="Times New Roman" w:hAnsi="Times New Roman" w:eastAsia="黑体" w:cs="Times New Roman"/>
        </w:rPr>
        <w:t xml:space="preserve">-1  </w:t>
      </w:r>
      <w:r>
        <w:rPr>
          <w:rFonts w:hint="eastAsia" w:ascii="Times New Roman" w:hAnsi="Times New Roman" w:eastAsia="黑体" w:cs="Times New Roman"/>
          <w:lang w:val="en-US" w:eastAsia="zh-CN"/>
        </w:rPr>
        <w:t>盐酸</w:t>
      </w:r>
      <w:r>
        <w:rPr>
          <w:rFonts w:hint="default" w:ascii="Times New Roman" w:hAnsi="Times New Roman" w:eastAsia="黑体" w:cs="Times New Roman"/>
        </w:rPr>
        <w:t>工艺流程简图</w:t>
      </w:r>
    </w:p>
    <w:p w14:paraId="2D33AE07">
      <w:pPr>
        <w:tabs>
          <w:tab w:val="left" w:pos="840"/>
          <w:tab w:val="left" w:pos="1260"/>
        </w:tabs>
        <w:adjustRightInd w:val="0"/>
        <w:snapToGrid w:val="0"/>
        <w:spacing w:before="156" w:beforeLines="50" w:after="156" w:afterLines="50" w:line="360" w:lineRule="auto"/>
        <w:ind w:firstLine="562" w:firstLineChars="200"/>
        <w:jc w:val="both"/>
        <w:outlineLvl w:val="2"/>
        <w:rPr>
          <w:rFonts w:hint="default" w:ascii="Times New Roman" w:hAnsi="Times New Roman" w:eastAsia="黑体" w:cs="Times New Roman"/>
          <w:b/>
          <w:sz w:val="28"/>
          <w:szCs w:val="32"/>
          <w:lang w:val="en-US" w:eastAsia="zh-CN"/>
          <w14:ligatures w14:val="none"/>
        </w:rPr>
      </w:pPr>
      <w:r>
        <w:rPr>
          <w:rFonts w:hint="eastAsia" w:ascii="Times New Roman" w:hAnsi="Times New Roman" w:eastAsia="黑体" w:cs="Times New Roman"/>
          <w:b/>
          <w:sz w:val="28"/>
          <w:szCs w:val="32"/>
          <w:lang w:val="en-US" w:eastAsia="zh-CN"/>
          <w14:ligatures w14:val="none"/>
        </w:rPr>
        <w:t>2.2.2次氯酸钠</w:t>
      </w:r>
    </w:p>
    <w:p w14:paraId="67BC819D">
      <w:pPr>
        <w:adjustRightInd w:val="0"/>
        <w:snapToGrid w:val="0"/>
        <w:spacing w:after="0" w:line="360" w:lineRule="auto"/>
        <w:ind w:firstLine="560" w:firstLineChars="200"/>
        <w:jc w:val="both"/>
        <w:rPr>
          <w:rFonts w:hint="eastAsia" w:ascii="Times New Roman" w:hAnsi="Times New Roman" w:eastAsia="宋体" w:cs="Times New Roman"/>
          <w:sz w:val="28"/>
          <w:szCs w:val="28"/>
          <w:lang w:val="en-US" w:eastAsia="zh-CN"/>
          <w14:ligatures w14:val="none"/>
        </w:rPr>
      </w:pPr>
      <w:r>
        <w:rPr>
          <w:rFonts w:hint="eastAsia" w:ascii="Times New Roman" w:hAnsi="Times New Roman" w:eastAsia="宋体" w:cs="Times New Roman"/>
          <w:sz w:val="28"/>
          <w:szCs w:val="28"/>
          <w:highlight w:val="none"/>
          <w:lang w:val="en-US" w:eastAsia="zh-CN"/>
          <w14:ligatures w14:val="none"/>
        </w:rPr>
        <w:t>本项目次氯酸钠来自于镁电解分厂中镁电解工段及尾气、事故氯气处理系统，</w:t>
      </w:r>
      <w:r>
        <w:rPr>
          <w:rFonts w:hint="eastAsia" w:ascii="Times New Roman" w:hAnsi="Times New Roman" w:eastAsia="宋体" w:cs="Times New Roman"/>
          <w:sz w:val="28"/>
          <w:szCs w:val="28"/>
          <w:lang w:val="en-US" w:eastAsia="zh-CN"/>
          <w14:ligatures w14:val="none"/>
        </w:rPr>
        <w:t>产生的产品次氯酸钠排至次氯酸钠储罐中，作为产品外售。</w:t>
      </w:r>
    </w:p>
    <w:p w14:paraId="7E91B449">
      <w:pPr>
        <w:adjustRightInd w:val="0"/>
        <w:snapToGrid w:val="0"/>
        <w:spacing w:after="0" w:line="360" w:lineRule="auto"/>
        <w:ind w:firstLine="560" w:firstLineChars="200"/>
        <w:jc w:val="both"/>
        <w:rPr>
          <w:rFonts w:hint="eastAsia" w:ascii="Times New Roman" w:hAnsi="Times New Roman" w:eastAsia="宋体" w:cs="Times New Roman"/>
          <w:sz w:val="28"/>
          <w:szCs w:val="28"/>
          <w:lang w:val="en-US" w:eastAsia="zh-CN"/>
          <w14:ligatures w14:val="none"/>
        </w:rPr>
      </w:pPr>
    </w:p>
    <w:p w14:paraId="20592C63">
      <w:pPr>
        <w:adjustRightInd w:val="0"/>
        <w:snapToGrid w:val="0"/>
        <w:spacing w:after="0" w:line="360" w:lineRule="auto"/>
        <w:ind w:firstLine="560" w:firstLineChars="200"/>
        <w:jc w:val="both"/>
        <w:rPr>
          <w:rFonts w:hint="eastAsia" w:ascii="Times New Roman" w:hAnsi="Times New Roman" w:eastAsia="宋体" w:cs="Times New Roman"/>
          <w:sz w:val="28"/>
          <w:szCs w:val="28"/>
          <w:lang w:val="en-US" w:eastAsia="zh-CN"/>
          <w14:ligatures w14:val="none"/>
        </w:rPr>
      </w:pPr>
    </w:p>
    <w:p w14:paraId="3EA110FE">
      <w:pPr>
        <w:adjustRightInd w:val="0"/>
        <w:snapToGrid w:val="0"/>
        <w:spacing w:after="0" w:line="360" w:lineRule="auto"/>
        <w:ind w:firstLine="560" w:firstLineChars="200"/>
        <w:jc w:val="both"/>
        <w:rPr>
          <w:rFonts w:hint="eastAsia" w:ascii="Times New Roman" w:hAnsi="Times New Roman" w:eastAsia="宋体" w:cs="Times New Roman"/>
          <w:sz w:val="28"/>
          <w:szCs w:val="28"/>
          <w:lang w:val="en-US" w:eastAsia="zh-CN"/>
          <w14:ligatures w14:val="none"/>
        </w:rPr>
      </w:pPr>
      <w:r>
        <w:rPr>
          <w:sz w:val="28"/>
        </w:rPr>
        <mc:AlternateContent>
          <mc:Choice Requires="wpc">
            <w:drawing>
              <wp:anchor distT="0" distB="0" distL="114300" distR="114300" simplePos="0" relativeHeight="251662336" behindDoc="0" locked="0" layoutInCell="1" allowOverlap="1">
                <wp:simplePos x="0" y="0"/>
                <wp:positionH relativeFrom="column">
                  <wp:posOffset>-310515</wp:posOffset>
                </wp:positionH>
                <wp:positionV relativeFrom="paragraph">
                  <wp:posOffset>-105410</wp:posOffset>
                </wp:positionV>
                <wp:extent cx="6266815" cy="1844040"/>
                <wp:effectExtent l="0" t="0" r="0" b="0"/>
                <wp:wrapNone/>
                <wp:docPr id="36" name="画布 36"/>
                <wp:cNvGraphicFramePr/>
                <a:graphic xmlns:a="http://schemas.openxmlformats.org/drawingml/2006/main">
                  <a:graphicData uri="http://schemas.microsoft.com/office/word/2010/wordprocessingCanvas">
                    <wpc:wpc>
                      <wpc:bg/>
                      <wpc:whole/>
                      <wps:wsp>
                        <wps:cNvPr id="37" name="文本框 22"/>
                        <wps:cNvSpPr txBox="1"/>
                        <wps:spPr>
                          <a:xfrm>
                            <a:off x="173355" y="354330"/>
                            <a:ext cx="1362710" cy="38100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2365F481">
                              <w:pPr>
                                <w:ind w:firstLine="220" w:firstLineChars="100"/>
                                <w:rPr>
                                  <w:rFonts w:hint="default" w:eastAsiaTheme="minorEastAsia"/>
                                  <w:lang w:val="en-US" w:eastAsia="zh-CN"/>
                                </w:rPr>
                              </w:pPr>
                              <w:r>
                                <w:rPr>
                                  <w:rFonts w:hint="eastAsia"/>
                                  <w:lang w:val="en-US" w:eastAsia="zh-CN"/>
                                </w:rPr>
                                <w:t>镁电解工段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38" name="直接箭头连接符 23"/>
                        <wps:cNvCnPr>
                          <a:stCxn id="22" idx="3"/>
                        </wps:cNvCnPr>
                        <wps:spPr>
                          <a:xfrm flipV="1">
                            <a:off x="1536065" y="542925"/>
                            <a:ext cx="865505" cy="1905"/>
                          </a:xfrm>
                          <a:prstGeom prst="straightConnector1">
                            <a:avLst/>
                          </a:prstGeom>
                          <a:ln>
                            <a:tailEnd type="arrow"/>
                          </a:ln>
                        </wps:spPr>
                        <wps:style>
                          <a:lnRef idx="2">
                            <a:schemeClr val="accent1"/>
                          </a:lnRef>
                          <a:fillRef idx="0">
                            <a:srgbClr val="FFFFFF"/>
                          </a:fillRef>
                          <a:effectRef idx="0">
                            <a:srgbClr val="FFFFFF"/>
                          </a:effectRef>
                          <a:fontRef idx="minor">
                            <a:schemeClr val="tx1"/>
                          </a:fontRef>
                        </wps:style>
                        <wps:bodyPr/>
                      </wps:wsp>
                      <wps:wsp>
                        <wps:cNvPr id="39" name="文本框 24"/>
                        <wps:cNvSpPr txBox="1"/>
                        <wps:spPr>
                          <a:xfrm>
                            <a:off x="1598930" y="255905"/>
                            <a:ext cx="923925" cy="36195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E40BC71">
                              <w:pPr>
                                <w:rPr>
                                  <w:rFonts w:hint="default" w:eastAsiaTheme="minorEastAsia"/>
                                  <w:lang w:val="en-US" w:eastAsia="zh-CN"/>
                                </w:rPr>
                              </w:pPr>
                              <w:r>
                                <w:rPr>
                                  <w:rFonts w:hint="eastAsia"/>
                                  <w:lang w:val="en-US" w:eastAsia="zh-CN"/>
                                </w:rPr>
                                <w:t>次氯酸钠</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4" name="文本框 29"/>
                        <wps:cNvSpPr txBox="1"/>
                        <wps:spPr>
                          <a:xfrm>
                            <a:off x="2389505" y="322580"/>
                            <a:ext cx="1285875" cy="36195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6FCCF794">
                              <w:pPr>
                                <w:ind w:firstLine="220" w:firstLineChars="100"/>
                                <w:rPr>
                                  <w:rFonts w:hint="default" w:eastAsiaTheme="minorEastAsia"/>
                                  <w:lang w:val="en-US" w:eastAsia="zh-CN"/>
                                </w:rPr>
                              </w:pPr>
                              <w:r>
                                <w:rPr>
                                  <w:rFonts w:hint="eastAsia"/>
                                  <w:lang w:val="en-US" w:eastAsia="zh-CN"/>
                                </w:rPr>
                                <w:t>次氯酸钠储罐</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7" name="文本框 32"/>
                        <wps:cNvSpPr txBox="1"/>
                        <wps:spPr>
                          <a:xfrm>
                            <a:off x="2475230" y="1256030"/>
                            <a:ext cx="1123950" cy="36195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6DFD2846">
                              <w:pPr>
                                <w:ind w:firstLine="440" w:firstLineChars="200"/>
                                <w:rPr>
                                  <w:rFonts w:hint="default" w:eastAsiaTheme="minorEastAsia"/>
                                  <w:lang w:val="en-US" w:eastAsia="zh-CN"/>
                                </w:rPr>
                              </w:pPr>
                              <w:r>
                                <w:rPr>
                                  <w:rFonts w:hint="eastAsia"/>
                                  <w:lang w:val="en-US" w:eastAsia="zh-CN"/>
                                </w:rPr>
                                <w:t>外售</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2" name="文本框 22"/>
                        <wps:cNvSpPr txBox="1"/>
                        <wps:spPr>
                          <a:xfrm>
                            <a:off x="4294505" y="322580"/>
                            <a:ext cx="1761490" cy="35242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07FF26C7">
                              <w:pPr>
                                <w:rPr>
                                  <w:rFonts w:hint="default" w:eastAsiaTheme="minorEastAsia"/>
                                  <w:lang w:val="en-US" w:eastAsia="zh-CN"/>
                                </w:rPr>
                              </w:pPr>
                              <w:r>
                                <w:rPr>
                                  <w:rFonts w:hint="eastAsia"/>
                                  <w:lang w:val="en-US" w:eastAsia="zh-CN"/>
                                </w:rPr>
                                <w:t>尾气及事故氯气处理系统</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4" name="直接箭头连接符 26"/>
                        <wps:cNvCnPr/>
                        <wps:spPr>
                          <a:xfrm flipH="1">
                            <a:off x="3011170" y="694055"/>
                            <a:ext cx="7620" cy="524510"/>
                          </a:xfrm>
                          <a:prstGeom prst="straightConnector1">
                            <a:avLst/>
                          </a:prstGeom>
                          <a:ln>
                            <a:tailEnd type="arrow"/>
                          </a:ln>
                        </wps:spPr>
                        <wps:style>
                          <a:lnRef idx="2">
                            <a:schemeClr val="accent1"/>
                          </a:lnRef>
                          <a:fillRef idx="0">
                            <a:srgbClr val="FFFFFF"/>
                          </a:fillRef>
                          <a:effectRef idx="0">
                            <a:srgbClr val="FFFFFF"/>
                          </a:effectRef>
                          <a:fontRef idx="minor">
                            <a:schemeClr val="tx1"/>
                          </a:fontRef>
                        </wps:style>
                        <wps:bodyPr/>
                      </wps:wsp>
                      <wps:wsp>
                        <wps:cNvPr id="56" name="直接箭头连接符 26"/>
                        <wps:cNvCnPr>
                          <a:stCxn id="52" idx="1"/>
                        </wps:cNvCnPr>
                        <wps:spPr>
                          <a:xfrm flipH="1">
                            <a:off x="3703955" y="499110"/>
                            <a:ext cx="590550" cy="4445"/>
                          </a:xfrm>
                          <a:prstGeom prst="straightConnector1">
                            <a:avLst/>
                          </a:prstGeom>
                          <a:ln>
                            <a:tailEnd type="arrow"/>
                          </a:ln>
                        </wps:spPr>
                        <wps:style>
                          <a:lnRef idx="2">
                            <a:schemeClr val="accent1"/>
                          </a:lnRef>
                          <a:fillRef idx="0">
                            <a:srgbClr val="FFFFFF"/>
                          </a:fillRef>
                          <a:effectRef idx="0">
                            <a:srgbClr val="FFFFFF"/>
                          </a:effectRef>
                          <a:fontRef idx="minor">
                            <a:schemeClr val="tx1"/>
                          </a:fontRef>
                        </wps:style>
                        <wps:bodyPr/>
                      </wps:wsp>
                      <wps:wsp>
                        <wps:cNvPr id="5" name="文本框 24"/>
                        <wps:cNvSpPr txBox="1"/>
                        <wps:spPr>
                          <a:xfrm>
                            <a:off x="3618230" y="198755"/>
                            <a:ext cx="923925" cy="36195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5BE01E4">
                              <w:pPr>
                                <w:rPr>
                                  <w:rFonts w:hint="default" w:eastAsiaTheme="minorEastAsia"/>
                                  <w:lang w:val="en-US" w:eastAsia="zh-CN"/>
                                </w:rPr>
                              </w:pPr>
                              <w:r>
                                <w:rPr>
                                  <w:rFonts w:hint="eastAsia"/>
                                  <w:lang w:val="en-US" w:eastAsia="zh-CN"/>
                                </w:rPr>
                                <w:t>次氯酸钠</w:t>
                              </w:r>
                            </w:p>
                          </w:txbxContent>
                        </wps:txbx>
                        <wps:bodyPr rot="0" spcFirstLastPara="0" vertOverflow="overflow" horzOverflow="overflow" vert="horz" wrap="square" lIns="91440" tIns="45720" rIns="91440" bIns="45720" numCol="1" spcCol="0" rtlCol="0" fromWordArt="0" anchor="t" anchorCtr="0" forceAA="0" compatLnSpc="1">
                          <a:noAutofit/>
                        </wps:bodyPr>
                      </wps:wsp>
                    </wpc:wpc>
                  </a:graphicData>
                </a:graphic>
              </wp:anchor>
            </w:drawing>
          </mc:Choice>
          <mc:Fallback>
            <w:pict>
              <v:group id="_x0000_s1026" o:spid="_x0000_s1026" o:spt="203" style="position:absolute;left:0pt;margin-left:-24.45pt;margin-top:-8.3pt;height:145.2pt;width:493.45pt;z-index:251662336;mso-width-relative:page;mso-height-relative:page;" coordsize="6266815,1844040" editas="canvas" o:gfxdata="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">
                <o:lock v:ext="edit" aspectratio="f"/>
                <v:shape id="_x0000_s1026" o:spid="_x0000_s1026" style="position:absolute;left:0;top:0;height:1844040;width:6266815;" filled="f" stroked="f" coordsize="21600,21600" o:gfxdata="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">
                  <v:fill on="f" focussize="0,0"/>
                  <v:stroke on="f"/>
                  <v:imagedata o:title=""/>
                  <o:lock v:ext="edit" aspectratio="f"/>
                </v:shape>
                <v:shape id="文本框 22" o:spid="_x0000_s1026" o:spt="202" type="#_x0000_t202" style="position:absolute;left:173355;top:354330;height:381000;width:1362710;" fillcolor="#FFFFFF [3201]" filled="t" stroked="t" coordsize="21600,21600" o:gfxdata="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">
                  <v:fill on="t" focussize="0,0"/>
                  <v:stroke weight="0.5pt" color="#000000 [3204]" joinstyle="round"/>
                  <v:imagedata o:title=""/>
                  <o:lock v:ext="edit" aspectratio="f"/>
                  <v:textbox>
                    <w:txbxContent>
                      <w:p w14:paraId="2365F481">
                        <w:pPr>
                          <w:ind w:firstLine="220" w:firstLineChars="100"/>
                          <w:rPr>
                            <w:rFonts w:hint="default" w:eastAsiaTheme="minorEastAsia"/>
                            <w:lang w:val="en-US" w:eastAsia="zh-CN"/>
                          </w:rPr>
                        </w:pPr>
                        <w:r>
                          <w:rPr>
                            <w:rFonts w:hint="eastAsia"/>
                            <w:lang w:val="en-US" w:eastAsia="zh-CN"/>
                          </w:rPr>
                          <w:t>镁电解工段</w:t>
                        </w:r>
                      </w:p>
                    </w:txbxContent>
                  </v:textbox>
                </v:shape>
                <v:shape id="直接箭头连接符 23" o:spid="_x0000_s1026" o:spt="32" type="#_x0000_t32" style="position:absolute;left:1536065;top:542925;flip:y;height:1905;width:865505;" filled="f" stroked="t" coordsize="21600,21600" o:gfxdata="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Nn7bu7cAAAACwEAAA8AAAAAAAAAAQAgAAAAIgAAAGRycy9kb3ducmV2Lnht&#10;bFBLAQIUABQAAAAIAIdO4kD81/l+LgIAAB8EAAAOAAAAAAAAAAEAIAAAACsBAABkcnMvZTJvRG9j&#10;LnhtbFBLBQYAAAAABgAGAFkBAADLBQAAAAA=&#10;">
                  <v:fill on="f" focussize="0,0"/>
                  <v:stroke weight="1pt" color="#156082 [3204]" miterlimit="8" joinstyle="miter" endarrow="open"/>
                  <v:imagedata o:title=""/>
                  <o:lock v:ext="edit" aspectratio="f"/>
                </v:shape>
                <v:shape id="文本框 24" o:spid="_x0000_s1026" o:spt="202" type="#_x0000_t202" style="position:absolute;left:1598930;top:255905;height:361950;width:923925;" filled="f" stroked="f" coordsize="21600,21600" o:gfxdata="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coTvkdwAAAALAQAADwAAAAAA&#10;AAABACAAAAAiAAAAZHJzL2Rvd25yZXYueG1sUEsBAhQAFAAAAAgAh07iQPhjeetIAgAAcgQAAA4A&#10;AAAAAAAAAQAgAAAAKwEAAGRycy9lMm9Eb2MueG1sUEsFBgAAAAAGAAYAWQEAAOUFAAAAAA==&#10;">
                  <v:fill on="f" focussize="0,0"/>
                  <v:stroke on="f" weight="0.5pt"/>
                  <v:imagedata o:title=""/>
                  <o:lock v:ext="edit" aspectratio="f"/>
                  <v:textbox>
                    <w:txbxContent>
                      <w:p w14:paraId="1E40BC71">
                        <w:pPr>
                          <w:rPr>
                            <w:rFonts w:hint="default" w:eastAsiaTheme="minorEastAsia"/>
                            <w:lang w:val="en-US" w:eastAsia="zh-CN"/>
                          </w:rPr>
                        </w:pPr>
                        <w:r>
                          <w:rPr>
                            <w:rFonts w:hint="eastAsia"/>
                            <w:lang w:val="en-US" w:eastAsia="zh-CN"/>
                          </w:rPr>
                          <w:t>次氯酸钠</w:t>
                        </w:r>
                      </w:p>
                    </w:txbxContent>
                  </v:textbox>
                </v:shape>
                <v:shape id="文本框 29" o:spid="_x0000_s1026" o:spt="202" type="#_x0000_t202" style="position:absolute;left:2389505;top:322580;height:361950;width:1285875;" fillcolor="#FFFFFF [3201]" filled="t" stroked="t" coordsize="21600,21600" o:gfxdata="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BVH0UjYAAAACwEAAA8AAAAAAAAAAQAgAAAAIgAAAGRycy9kb3ducmV2LnhtbFBLAQIUABQA&#10;AAAIAIdO4kBMR7L/YgIAAMQEAAAOAAAAAAAAAAEAIAAAACcBAABkcnMvZTJvRG9jLnhtbFBLBQYA&#10;AAAABgAGAFkBAAD7BQAAAAA=&#10;">
                  <v:fill on="t" focussize="0,0"/>
                  <v:stroke weight="0.5pt" color="#000000 [3204]" joinstyle="round"/>
                  <v:imagedata o:title=""/>
                  <o:lock v:ext="edit" aspectratio="f"/>
                  <v:textbox>
                    <w:txbxContent>
                      <w:p w14:paraId="6FCCF794">
                        <w:pPr>
                          <w:ind w:firstLine="220" w:firstLineChars="100"/>
                          <w:rPr>
                            <w:rFonts w:hint="default" w:eastAsiaTheme="minorEastAsia"/>
                            <w:lang w:val="en-US" w:eastAsia="zh-CN"/>
                          </w:rPr>
                        </w:pPr>
                        <w:r>
                          <w:rPr>
                            <w:rFonts w:hint="eastAsia"/>
                            <w:lang w:val="en-US" w:eastAsia="zh-CN"/>
                          </w:rPr>
                          <w:t>次氯酸钠储罐</w:t>
                        </w:r>
                      </w:p>
                    </w:txbxContent>
                  </v:textbox>
                </v:shape>
                <v:shape id="文本框 32" o:spid="_x0000_s1026" o:spt="202" type="#_x0000_t202" style="position:absolute;left:2475230;top:1256030;height:361950;width:1123950;" fillcolor="#FFFFFF [3201]" filled="t" stroked="t" coordsize="21600,21600" o:gfxdata="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FUfRSNgAAAALAQAADwAAAAAAAAABACAAAAAiAAAAZHJzL2Rvd25yZXYueG1sUEsBAhQAFAAA&#10;AAgAh07iQEW9osphAgAAxQQAAA4AAAAAAAAAAQAgAAAAJwEAAGRycy9lMm9Eb2MueG1sUEsFBgAA&#10;AAAGAAYAWQEAAPoFAAAAAA==&#10;">
                  <v:fill on="t" focussize="0,0"/>
                  <v:stroke weight="0.5pt" color="#000000 [3204]" joinstyle="round"/>
                  <v:imagedata o:title=""/>
                  <o:lock v:ext="edit" aspectratio="f"/>
                  <v:textbox>
                    <w:txbxContent>
                      <w:p w14:paraId="6DFD2846">
                        <w:pPr>
                          <w:ind w:firstLine="440" w:firstLineChars="200"/>
                          <w:rPr>
                            <w:rFonts w:hint="default" w:eastAsiaTheme="minorEastAsia"/>
                            <w:lang w:val="en-US" w:eastAsia="zh-CN"/>
                          </w:rPr>
                        </w:pPr>
                        <w:r>
                          <w:rPr>
                            <w:rFonts w:hint="eastAsia"/>
                            <w:lang w:val="en-US" w:eastAsia="zh-CN"/>
                          </w:rPr>
                          <w:t>外售</w:t>
                        </w:r>
                      </w:p>
                    </w:txbxContent>
                  </v:textbox>
                </v:shape>
                <v:shape id="文本框 22" o:spid="_x0000_s1026" o:spt="202" type="#_x0000_t202" style="position:absolute;left:4294505;top:322580;height:352425;width:1761490;" fillcolor="#FFFFFF [3201]" filled="t" stroked="t" coordsize="21600,21600" o:gfxdata="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">
                  <v:fill on="t" focussize="0,0"/>
                  <v:stroke weight="0.5pt" color="#000000 [3204]" joinstyle="round"/>
                  <v:imagedata o:title=""/>
                  <o:lock v:ext="edit" aspectratio="f"/>
                  <v:textbox>
                    <w:txbxContent>
                      <w:p w14:paraId="07FF26C7">
                        <w:pPr>
                          <w:rPr>
                            <w:rFonts w:hint="default" w:eastAsiaTheme="minorEastAsia"/>
                            <w:lang w:val="en-US" w:eastAsia="zh-CN"/>
                          </w:rPr>
                        </w:pPr>
                        <w:r>
                          <w:rPr>
                            <w:rFonts w:hint="eastAsia"/>
                            <w:lang w:val="en-US" w:eastAsia="zh-CN"/>
                          </w:rPr>
                          <w:t>尾气及事故氯气处理系统</w:t>
                        </w:r>
                      </w:p>
                    </w:txbxContent>
                  </v:textbox>
                </v:shape>
                <v:shape id="直接箭头连接符 26" o:spid="_x0000_s1026" o:spt="32" type="#_x0000_t32" style="position:absolute;left:3011170;top:694055;flip:x;height:524510;width:7620;" filled="f" stroked="t" coordsize="21600,21600" o:gfxdata="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Nn7&#10;bu7cAAAACwEAAA8AAAAAAAAAAQAgAAAAIgAAAGRycy9kb3ducmV2LnhtbFBLAQIUABQAAAAIAIdO&#10;4kBjflmxHwIAAPgDAAAOAAAAAAAAAAEAIAAAACsBAABkcnMvZTJvRG9jLnhtbFBLBQYAAAAABgAG&#10;AFkBAAC8BQAAAAA=&#10;">
                  <v:fill on="f" focussize="0,0"/>
                  <v:stroke weight="1pt" color="#156082 [3204]" miterlimit="8" joinstyle="miter" endarrow="open"/>
                  <v:imagedata o:title=""/>
                  <o:lock v:ext="edit" aspectratio="f"/>
                </v:shape>
                <v:shape id="直接箭头连接符 26" o:spid="_x0000_s1026" o:spt="32" type="#_x0000_t32" style="position:absolute;left:3703955;top:499110;flip:x;height:4445;width:590550;" filled="f" stroked="t" coordsize="21600,21600" o:gfxdata="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Nn7bu7cAAAACwEAAA8AAAAAAAAAAQAgAAAAIgAAAGRycy9kb3ducmV2Lnht&#10;bFBLAQIUABQAAAAIAIdO4kDi1KfHLgIAAB8EAAAOAAAAAAAAAAEAIAAAACsBAABkcnMvZTJvRG9j&#10;LnhtbFBLBQYAAAAABgAGAFkBAADLBQAAAAA=&#10;">
                  <v:fill on="f" focussize="0,0"/>
                  <v:stroke weight="1pt" color="#156082 [3204]" miterlimit="8" joinstyle="miter" endarrow="open"/>
                  <v:imagedata o:title=""/>
                  <o:lock v:ext="edit" aspectratio="f"/>
                </v:shape>
                <v:shape id="文本框 24" o:spid="_x0000_s1026" o:spt="202" type="#_x0000_t202" style="position:absolute;left:3618230;top:198755;height:361950;width:923925;" filled="f" stroked="f" coordsize="21600,21600" o:gfxdata="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HKE75HcAAAACwEAAA8AAAAAAAAA&#10;AQAgAAAAIgAAAGRycy9kb3ducmV2LnhtbFBLAQIUABQAAAAIAIdO4kA28JX5RgIAAHEEAAAOAAAA&#10;AAAAAAEAIAAAACsBAABkcnMvZTJvRG9jLnhtbFBLBQYAAAAABgAGAFkBAADjBQAAAAA=&#10;">
                  <v:fill on="f" focussize="0,0"/>
                  <v:stroke on="f" weight="0.5pt"/>
                  <v:imagedata o:title=""/>
                  <o:lock v:ext="edit" aspectratio="f"/>
                  <v:textbox>
                    <w:txbxContent>
                      <w:p w14:paraId="55BE01E4">
                        <w:pPr>
                          <w:rPr>
                            <w:rFonts w:hint="default" w:eastAsiaTheme="minorEastAsia"/>
                            <w:lang w:val="en-US" w:eastAsia="zh-CN"/>
                          </w:rPr>
                        </w:pPr>
                        <w:r>
                          <w:rPr>
                            <w:rFonts w:hint="eastAsia"/>
                            <w:lang w:val="en-US" w:eastAsia="zh-CN"/>
                          </w:rPr>
                          <w:t>次氯酸钠</w:t>
                        </w:r>
                      </w:p>
                    </w:txbxContent>
                  </v:textbox>
                </v:shape>
              </v:group>
            </w:pict>
          </mc:Fallback>
        </mc:AlternateContent>
      </w:r>
    </w:p>
    <w:p w14:paraId="29BA7532">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p>
    <w:p w14:paraId="72D9C615">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p>
    <w:p w14:paraId="0DA34BB1">
      <w:pPr>
        <w:adjustRightInd w:val="0"/>
        <w:snapToGrid w:val="0"/>
        <w:spacing w:after="0" w:line="360" w:lineRule="auto"/>
        <w:ind w:firstLine="560" w:firstLineChars="200"/>
        <w:jc w:val="both"/>
        <w:rPr>
          <w:rFonts w:hint="eastAsia" w:ascii="Times New Roman" w:hAnsi="Times New Roman" w:eastAsia="宋体" w:cs="Times New Roman"/>
          <w:sz w:val="28"/>
          <w:szCs w:val="28"/>
          <w:lang w:val="en-US" w:eastAsia="zh-CN"/>
          <w14:ligatures w14:val="none"/>
        </w:rPr>
      </w:pPr>
    </w:p>
    <w:p w14:paraId="1078637E">
      <w:pPr>
        <w:adjustRightInd w:val="0"/>
        <w:snapToGrid w:val="0"/>
        <w:spacing w:before="120" w:beforeLines="50" w:after="120" w:afterLines="50"/>
        <w:jc w:val="both"/>
        <w:rPr>
          <w:rFonts w:hint="default" w:ascii="Times New Roman" w:hAnsi="Times New Roman" w:eastAsia="黑体" w:cs="Times New Roman"/>
        </w:rPr>
      </w:pPr>
    </w:p>
    <w:p w14:paraId="10DE119E">
      <w:pPr>
        <w:adjustRightInd w:val="0"/>
        <w:snapToGrid w:val="0"/>
        <w:spacing w:before="120" w:beforeLines="50" w:after="120" w:afterLines="50"/>
        <w:jc w:val="center"/>
        <w:rPr>
          <w:rFonts w:hint="eastAsia" w:ascii="Times New Roman" w:hAnsi="Times New Roman" w:eastAsia="宋体" w:cs="Times New Roman"/>
          <w:sz w:val="28"/>
          <w:szCs w:val="28"/>
          <w:lang w:val="en-US" w:eastAsia="zh-CN"/>
          <w14:ligatures w14:val="none"/>
        </w:rPr>
      </w:pPr>
      <w:r>
        <w:rPr>
          <w:rFonts w:hint="default" w:ascii="Times New Roman" w:hAnsi="Times New Roman" w:eastAsia="黑体" w:cs="Times New Roman"/>
        </w:rPr>
        <w:t>图2.</w:t>
      </w:r>
      <w:r>
        <w:rPr>
          <w:rFonts w:hint="eastAsia" w:ascii="Times New Roman" w:hAnsi="Times New Roman" w:eastAsia="黑体" w:cs="Times New Roman"/>
          <w:lang w:val="en-US" w:eastAsia="zh-CN"/>
        </w:rPr>
        <w:t>2</w:t>
      </w:r>
      <w:r>
        <w:rPr>
          <w:rFonts w:hint="default" w:ascii="Times New Roman" w:hAnsi="Times New Roman" w:eastAsia="黑体" w:cs="Times New Roman"/>
        </w:rPr>
        <w:t>-</w:t>
      </w:r>
      <w:r>
        <w:rPr>
          <w:rFonts w:hint="eastAsia" w:ascii="Times New Roman" w:hAnsi="Times New Roman" w:eastAsia="黑体" w:cs="Times New Roman"/>
          <w:lang w:val="en-US" w:eastAsia="zh-CN"/>
        </w:rPr>
        <w:t>2</w:t>
      </w:r>
      <w:r>
        <w:rPr>
          <w:rFonts w:hint="default" w:ascii="Times New Roman" w:hAnsi="Times New Roman" w:eastAsia="黑体" w:cs="Times New Roman"/>
        </w:rPr>
        <w:t xml:space="preserve">  </w:t>
      </w:r>
      <w:r>
        <w:rPr>
          <w:rFonts w:hint="eastAsia" w:ascii="Times New Roman" w:hAnsi="Times New Roman" w:eastAsia="黑体" w:cs="Times New Roman"/>
          <w:lang w:val="en-US" w:eastAsia="zh-CN"/>
        </w:rPr>
        <w:t>次氯酸钠</w:t>
      </w:r>
      <w:r>
        <w:rPr>
          <w:rFonts w:hint="default" w:ascii="Times New Roman" w:hAnsi="Times New Roman" w:eastAsia="黑体" w:cs="Times New Roman"/>
        </w:rPr>
        <w:t>工艺流程简图</w:t>
      </w:r>
    </w:p>
    <w:p w14:paraId="4E222D9E">
      <w:pPr>
        <w:tabs>
          <w:tab w:val="left" w:pos="840"/>
          <w:tab w:val="left" w:pos="1260"/>
        </w:tabs>
        <w:adjustRightInd w:val="0"/>
        <w:snapToGrid w:val="0"/>
        <w:spacing w:before="156" w:beforeLines="50" w:after="156" w:afterLines="50" w:line="360" w:lineRule="auto"/>
        <w:ind w:firstLine="562" w:firstLineChars="200"/>
        <w:jc w:val="both"/>
        <w:outlineLvl w:val="2"/>
        <w:rPr>
          <w:rFonts w:hint="default" w:ascii="Times New Roman" w:hAnsi="Times New Roman" w:eastAsia="黑体" w:cs="Times New Roman"/>
          <w:b/>
          <w:sz w:val="28"/>
          <w:szCs w:val="32"/>
          <w:highlight w:val="none"/>
          <w:lang w:val="en-US" w:eastAsia="zh-CN"/>
          <w14:ligatures w14:val="none"/>
        </w:rPr>
      </w:pPr>
      <w:r>
        <w:rPr>
          <w:rFonts w:hint="eastAsia" w:ascii="Times New Roman" w:hAnsi="Times New Roman" w:eastAsia="黑体" w:cs="Times New Roman"/>
          <w:b/>
          <w:sz w:val="28"/>
          <w:szCs w:val="32"/>
          <w:highlight w:val="none"/>
          <w:lang w:val="en-US" w:eastAsia="zh-CN"/>
          <w14:ligatures w14:val="none"/>
        </w:rPr>
        <w:t>2.2.3高硅四氯化钛</w:t>
      </w:r>
    </w:p>
    <w:p w14:paraId="1AF3346D">
      <w:pPr>
        <w:adjustRightInd w:val="0"/>
        <w:snapToGrid w:val="0"/>
        <w:spacing w:after="0" w:line="360" w:lineRule="auto"/>
        <w:ind w:firstLine="560" w:firstLineChars="200"/>
        <w:jc w:val="both"/>
        <w:rPr>
          <w:rFonts w:hint="default" w:ascii="Times New Roman" w:hAnsi="Times New Roman" w:eastAsia="宋体" w:cs="Times New Roman"/>
          <w:sz w:val="28"/>
          <w:szCs w:val="28"/>
          <w:highlight w:val="none"/>
          <w:lang w:val="en-US" w:eastAsia="zh-CN"/>
          <w14:ligatures w14:val="none"/>
        </w:rPr>
      </w:pPr>
      <w:bookmarkStart w:id="95" w:name="_Toc31281"/>
      <w:r>
        <w:rPr>
          <w:rFonts w:hint="eastAsia" w:ascii="Times New Roman" w:hAnsi="Times New Roman" w:eastAsia="宋体" w:cs="Times New Roman"/>
          <w:sz w:val="28"/>
          <w:szCs w:val="28"/>
          <w:highlight w:val="none"/>
          <w:lang w:val="en-US" w:eastAsia="zh-CN"/>
          <w14:ligatures w14:val="none"/>
        </w:rPr>
        <mc:AlternateContent>
          <mc:Choice Requires="wpc">
            <w:drawing>
              <wp:anchor distT="0" distB="0" distL="114300" distR="114300" simplePos="0" relativeHeight="251664384" behindDoc="0" locked="0" layoutInCell="1" allowOverlap="1">
                <wp:simplePos x="0" y="0"/>
                <wp:positionH relativeFrom="column">
                  <wp:posOffset>79375</wp:posOffset>
                </wp:positionH>
                <wp:positionV relativeFrom="paragraph">
                  <wp:posOffset>532765</wp:posOffset>
                </wp:positionV>
                <wp:extent cx="5915025" cy="977265"/>
                <wp:effectExtent l="0" t="0" r="0" b="0"/>
                <wp:wrapNone/>
                <wp:docPr id="11" name="画布 11"/>
                <wp:cNvGraphicFramePr/>
                <a:graphic xmlns:a="http://schemas.openxmlformats.org/drawingml/2006/main">
                  <a:graphicData uri="http://schemas.microsoft.com/office/word/2010/wordprocessingCanvas">
                    <wpc:wpc>
                      <wpc:bg/>
                      <wpc:whole/>
                      <wps:wsp>
                        <wps:cNvPr id="12" name="文本框 2"/>
                        <wps:cNvSpPr txBox="1"/>
                        <wps:spPr>
                          <a:xfrm>
                            <a:off x="325120" y="452755"/>
                            <a:ext cx="1361440" cy="31432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57D7288A">
                              <w:pPr>
                                <w:ind w:firstLine="440" w:firstLineChars="200"/>
                                <w:rPr>
                                  <w:rFonts w:hint="default" w:eastAsiaTheme="minorEastAsia"/>
                                  <w:lang w:val="en-US" w:eastAsia="zh-CN"/>
                                </w:rPr>
                              </w:pPr>
                              <w:r>
                                <w:rPr>
                                  <w:rFonts w:hint="eastAsia"/>
                                  <w:lang w:val="en-US" w:eastAsia="zh-CN"/>
                                </w:rPr>
                                <w:t>精制工序</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 name="文本框 7"/>
                        <wps:cNvSpPr txBox="1"/>
                        <wps:spPr>
                          <a:xfrm>
                            <a:off x="2475230" y="446405"/>
                            <a:ext cx="808990" cy="31432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02F3124A">
                              <w:pPr>
                                <w:ind w:firstLine="220" w:firstLineChars="100"/>
                                <w:rPr>
                                  <w:rFonts w:hint="default" w:eastAsiaTheme="minorEastAsia"/>
                                  <w:lang w:val="en-US" w:eastAsia="zh-CN"/>
                                </w:rPr>
                              </w:pPr>
                              <w:r>
                                <w:rPr>
                                  <w:rFonts w:hint="eastAsia"/>
                                  <w:lang w:val="en-US" w:eastAsia="zh-CN"/>
                                </w:rPr>
                                <w:t>储罐</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4" name="文本框 8"/>
                        <wps:cNvSpPr txBox="1"/>
                        <wps:spPr>
                          <a:xfrm>
                            <a:off x="4075430" y="446405"/>
                            <a:ext cx="999490" cy="31432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595A9311">
                              <w:pPr>
                                <w:ind w:firstLine="440" w:firstLineChars="200"/>
                                <w:rPr>
                                  <w:rFonts w:hint="default" w:eastAsiaTheme="minorEastAsia"/>
                                  <w:lang w:val="en-US" w:eastAsia="zh-CN"/>
                                </w:rPr>
                              </w:pPr>
                              <w:r>
                                <w:rPr>
                                  <w:rFonts w:hint="eastAsia"/>
                                  <w:lang w:val="en-US" w:eastAsia="zh-CN"/>
                                </w:rPr>
                                <w:t>外售</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6" name="直接箭头连接符 9"/>
                        <wps:cNvCnPr>
                          <a:stCxn id="2" idx="3"/>
                          <a:endCxn id="7" idx="1"/>
                        </wps:cNvCnPr>
                        <wps:spPr>
                          <a:xfrm flipV="1">
                            <a:off x="1686560" y="603885"/>
                            <a:ext cx="788670" cy="6350"/>
                          </a:xfrm>
                          <a:prstGeom prst="straightConnector1">
                            <a:avLst/>
                          </a:prstGeom>
                          <a:ln>
                            <a:tailEnd type="arrow"/>
                          </a:ln>
                        </wps:spPr>
                        <wps:style>
                          <a:lnRef idx="2">
                            <a:schemeClr val="accent1"/>
                          </a:lnRef>
                          <a:fillRef idx="0">
                            <a:srgbClr val="FFFFFF"/>
                          </a:fillRef>
                          <a:effectRef idx="0">
                            <a:srgbClr val="FFFFFF"/>
                          </a:effectRef>
                          <a:fontRef idx="minor">
                            <a:schemeClr val="tx1"/>
                          </a:fontRef>
                        </wps:style>
                        <wps:bodyPr/>
                      </wps:wsp>
                      <wps:wsp>
                        <wps:cNvPr id="17" name="直接箭头连接符 10"/>
                        <wps:cNvCnPr>
                          <a:stCxn id="7" idx="3"/>
                          <a:endCxn id="8" idx="1"/>
                        </wps:cNvCnPr>
                        <wps:spPr>
                          <a:xfrm>
                            <a:off x="3284220" y="603885"/>
                            <a:ext cx="791210" cy="0"/>
                          </a:xfrm>
                          <a:prstGeom prst="straightConnector1">
                            <a:avLst/>
                          </a:prstGeom>
                          <a:ln>
                            <a:tailEnd type="arrow"/>
                          </a:ln>
                        </wps:spPr>
                        <wps:style>
                          <a:lnRef idx="2">
                            <a:schemeClr val="accent1"/>
                          </a:lnRef>
                          <a:fillRef idx="0">
                            <a:srgbClr val="FFFFFF"/>
                          </a:fillRef>
                          <a:effectRef idx="0">
                            <a:srgbClr val="FFFFFF"/>
                          </a:effectRef>
                          <a:fontRef idx="minor">
                            <a:schemeClr val="tx1"/>
                          </a:fontRef>
                        </wps:style>
                        <wps:bodyPr/>
                      </wps:wsp>
                      <wps:wsp>
                        <wps:cNvPr id="18" name="文本框 15"/>
                        <wps:cNvSpPr txBox="1"/>
                        <wps:spPr>
                          <a:xfrm>
                            <a:off x="1617980" y="208280"/>
                            <a:ext cx="1085850" cy="36195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47D4212">
                              <w:pPr>
                                <w:rPr>
                                  <w:rFonts w:hint="default" w:eastAsiaTheme="minorEastAsia"/>
                                  <w:lang w:val="en-US" w:eastAsia="zh-CN"/>
                                </w:rPr>
                              </w:pPr>
                              <w:r>
                                <w:rPr>
                                  <w:rFonts w:hint="eastAsia"/>
                                  <w:lang w:val="en-US" w:eastAsia="zh-CN"/>
                                </w:rPr>
                                <w:t>高硅四氯化钛</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 name="文本框 15"/>
                        <wps:cNvSpPr txBox="1"/>
                        <wps:spPr>
                          <a:xfrm>
                            <a:off x="3218180" y="208280"/>
                            <a:ext cx="1085850" cy="36195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D630123">
                              <w:pPr>
                                <w:rPr>
                                  <w:rFonts w:hint="default" w:eastAsiaTheme="minorEastAsia"/>
                                  <w:lang w:val="en-US" w:eastAsia="zh-CN"/>
                                </w:rPr>
                              </w:pPr>
                              <w:r>
                                <w:rPr>
                                  <w:rFonts w:hint="eastAsia"/>
                                  <w:lang w:val="en-US" w:eastAsia="zh-CN"/>
                                </w:rPr>
                                <w:t>高硅四氯化钛</w:t>
                              </w:r>
                            </w:p>
                          </w:txbxContent>
                        </wps:txbx>
                        <wps:bodyPr rot="0" spcFirstLastPara="0" vertOverflow="overflow" horzOverflow="overflow" vert="horz" wrap="square" lIns="91440" tIns="45720" rIns="91440" bIns="45720" numCol="1" spcCol="0" rtlCol="0" fromWordArt="0" anchor="t" anchorCtr="0" forceAA="0" compatLnSpc="1">
                          <a:noAutofit/>
                        </wps:bodyPr>
                      </wps:wsp>
                    </wpc:wpc>
                  </a:graphicData>
                </a:graphic>
              </wp:anchor>
            </w:drawing>
          </mc:Choice>
          <mc:Fallback>
            <w:pict>
              <v:group id="_x0000_s1026" o:spid="_x0000_s1026" o:spt="203" style="position:absolute;left:0pt;margin-left:6.25pt;margin-top:41.95pt;height:76.95pt;width:465.75pt;z-index:251664384;mso-width-relative:page;mso-height-relative:page;" coordsize="5915025,977265" editas="canvas" o:gfxdata="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">
                <o:lock v:ext="edit" aspectratio="f"/>
                <v:shape id="_x0000_s1026" o:spid="_x0000_s1026" style="position:absolute;left:0;top:0;height:977265;width:5915025;" filled="f" stroked="f" coordsize="21600,21600" o:gfxdata="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">
                  <v:fill on="f" focussize="0,0"/>
                  <v:stroke on="f"/>
                  <v:imagedata o:title=""/>
                  <o:lock v:ext="edit" aspectratio="f"/>
                </v:shape>
                <v:shape id="文本框 2" o:spid="_x0000_s1026" o:spt="202" type="#_x0000_t202" style="position:absolute;left:325120;top:452755;height:314325;width:1361440;" fillcolor="#FFFFFF [3201]" filled="t" stroked="t" coordsize="21600,21600" o:gfxdata="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">
                  <v:fill on="t" focussize="0,0"/>
                  <v:stroke weight="0.5pt" color="#000000 [3204]" joinstyle="round"/>
                  <v:imagedata o:title=""/>
                  <o:lock v:ext="edit" aspectratio="f"/>
                  <v:textbox>
                    <w:txbxContent>
                      <w:p w14:paraId="57D7288A">
                        <w:pPr>
                          <w:ind w:firstLine="440" w:firstLineChars="200"/>
                          <w:rPr>
                            <w:rFonts w:hint="default" w:eastAsiaTheme="minorEastAsia"/>
                            <w:lang w:val="en-US" w:eastAsia="zh-CN"/>
                          </w:rPr>
                        </w:pPr>
                        <w:r>
                          <w:rPr>
                            <w:rFonts w:hint="eastAsia"/>
                            <w:lang w:val="en-US" w:eastAsia="zh-CN"/>
                          </w:rPr>
                          <w:t>精制工序</w:t>
                        </w:r>
                      </w:p>
                    </w:txbxContent>
                  </v:textbox>
                </v:shape>
                <v:shape id="文本框 7" o:spid="_x0000_s1026" o:spt="202" type="#_x0000_t202" style="position:absolute;left:2475230;top:446405;height:314325;width:808990;" fillcolor="#FFFFFF [3201]" filled="t" stroked="t" coordsize="21600,21600" o:gfxdata="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">
                  <v:fill on="t" focussize="0,0"/>
                  <v:stroke weight="0.5pt" color="#000000 [3204]" joinstyle="round"/>
                  <v:imagedata o:title=""/>
                  <o:lock v:ext="edit" aspectratio="f"/>
                  <v:textbox>
                    <w:txbxContent>
                      <w:p w14:paraId="02F3124A">
                        <w:pPr>
                          <w:ind w:firstLine="220" w:firstLineChars="100"/>
                          <w:rPr>
                            <w:rFonts w:hint="default" w:eastAsiaTheme="minorEastAsia"/>
                            <w:lang w:val="en-US" w:eastAsia="zh-CN"/>
                          </w:rPr>
                        </w:pPr>
                        <w:r>
                          <w:rPr>
                            <w:rFonts w:hint="eastAsia"/>
                            <w:lang w:val="en-US" w:eastAsia="zh-CN"/>
                          </w:rPr>
                          <w:t>储罐</w:t>
                        </w:r>
                      </w:p>
                    </w:txbxContent>
                  </v:textbox>
                </v:shape>
                <v:shape id="文本框 8" o:spid="_x0000_s1026" o:spt="202" type="#_x0000_t202" style="position:absolute;left:4075430;top:446405;height:314325;width:999490;" fillcolor="#FFFFFF [3201]" filled="t" stroked="t" coordsize="21600,21600" o:gfxdata="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A76FLjWAAAACQEAAA8AAAAAAAAAAQAgAAAAIgAAAGRycy9kb3ducmV2LnhtbFBLAQIUABQA&#10;AAAIAIdO4kC3tncbZAIAAMIEAAAOAAAAAAAAAAEAIAAAACUBAABkcnMvZTJvRG9jLnhtbFBLBQYA&#10;AAAABgAGAFkBAAD7BQAAAAA=&#10;">
                  <v:fill on="t" focussize="0,0"/>
                  <v:stroke weight="0.5pt" color="#000000 [3204]" joinstyle="round"/>
                  <v:imagedata o:title=""/>
                  <o:lock v:ext="edit" aspectratio="f"/>
                  <v:textbox>
                    <w:txbxContent>
                      <w:p w14:paraId="595A9311">
                        <w:pPr>
                          <w:ind w:firstLine="440" w:firstLineChars="200"/>
                          <w:rPr>
                            <w:rFonts w:hint="default" w:eastAsiaTheme="minorEastAsia"/>
                            <w:lang w:val="en-US" w:eastAsia="zh-CN"/>
                          </w:rPr>
                        </w:pPr>
                        <w:r>
                          <w:rPr>
                            <w:rFonts w:hint="eastAsia"/>
                            <w:lang w:val="en-US" w:eastAsia="zh-CN"/>
                          </w:rPr>
                          <w:t>外售</w:t>
                        </w:r>
                      </w:p>
                    </w:txbxContent>
                  </v:textbox>
                </v:shape>
                <v:shape id="直接箭头连接符 9" o:spid="_x0000_s1026" o:spt="32" type="#_x0000_t32" style="position:absolute;left:1686560;top:603885;flip:y;height:6350;width:788670;" filled="f" stroked="t" coordsize="21600,21600" o:gfxdata="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">
                  <v:fill on="f" focussize="0,0"/>
                  <v:stroke weight="1pt" color="#156082 [3204]" miterlimit="8" joinstyle="miter" endarrow="open"/>
                  <v:imagedata o:title=""/>
                  <o:lock v:ext="edit" aspectratio="f"/>
                </v:shape>
                <v:shape id="直接箭头连接符 10" o:spid="_x0000_s1026" o:spt="32" type="#_x0000_t32" style="position:absolute;left:3284220;top:603885;height:0;width:791210;" filled="f" stroked="t" coordsize="21600,21600" o:gfxdata="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AVMBW92AAAAAkBAAAPAAAAAAAAAAEAIAAAACIAAABkcnMvZG93bnJldi54bWxQSwEC&#10;FAAUAAAACACHTuJAUPGfQy0CAAArBAAADgAAAAAAAAABACAAAAAnAQAAZHJzL2Uyb0RvYy54bWxQ&#10;SwUGAAAAAAYABgBZAQAAxgUAAAAA&#10;">
                  <v:fill on="f" focussize="0,0"/>
                  <v:stroke weight="1pt" color="#156082 [3204]" miterlimit="8" joinstyle="miter" endarrow="open"/>
                  <v:imagedata o:title=""/>
                  <o:lock v:ext="edit" aspectratio="f"/>
                </v:shape>
                <v:shape id="文本框 15" o:spid="_x0000_s1026" o:spt="202" type="#_x0000_t202" style="position:absolute;left:1617980;top:208280;height:361950;width:1085850;" filled="f" stroked="f" coordsize="21600,21600" o:gfxdata="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AAAAAZHJzL1BLAQIUABQAAAAIAIdO4kBJIHuZ2gAAAAkBAAAPAAAAAAAAAAEAIAAA&#10;ACIAAABkcnMvZG93bnJldi54bWxQSwECFAAUAAAACACHTuJAG4dTzUMCAABzBAAADgAAAAAAAAAB&#10;ACAAAAApAQAAZHJzL2Uyb0RvYy54bWxQSwUGAAAAAAYABgBZAQAA3gUAAAAA&#10;">
                  <v:fill on="f" focussize="0,0"/>
                  <v:stroke on="f" weight="0.5pt"/>
                  <v:imagedata o:title=""/>
                  <o:lock v:ext="edit" aspectratio="f"/>
                  <v:textbox>
                    <w:txbxContent>
                      <w:p w14:paraId="547D4212">
                        <w:pPr>
                          <w:rPr>
                            <w:rFonts w:hint="default" w:eastAsiaTheme="minorEastAsia"/>
                            <w:lang w:val="en-US" w:eastAsia="zh-CN"/>
                          </w:rPr>
                        </w:pPr>
                        <w:r>
                          <w:rPr>
                            <w:rFonts w:hint="eastAsia"/>
                            <w:lang w:val="en-US" w:eastAsia="zh-CN"/>
                          </w:rPr>
                          <w:t>高硅四氯化钛</w:t>
                        </w:r>
                      </w:p>
                    </w:txbxContent>
                  </v:textbox>
                </v:shape>
                <v:shape id="文本框 15" o:spid="_x0000_s1026" o:spt="202" type="#_x0000_t202" style="position:absolute;left:3218180;top:208280;height:361950;width:1085850;" filled="f" stroked="f" coordsize="21600,21600" o:gfxdata="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SSB7mdoAAAAJAQAADwAAAAAAAAABACAA&#10;AAAiAAAAZHJzL2Rvd25yZXYueG1sUEsBAhQAFAAAAAgAh07iQCjh5vtEAgAAcwQAAA4AAAAAAAAA&#10;AQAgAAAAKQEAAGRycy9lMm9Eb2MueG1sUEsFBgAAAAAGAAYAWQEAAN8FAAAAAA==&#10;">
                  <v:fill on="f" focussize="0,0"/>
                  <v:stroke on="f" weight="0.5pt"/>
                  <v:imagedata o:title=""/>
                  <o:lock v:ext="edit" aspectratio="f"/>
                  <v:textbox>
                    <w:txbxContent>
                      <w:p w14:paraId="0D630123">
                        <w:pPr>
                          <w:rPr>
                            <w:rFonts w:hint="default" w:eastAsiaTheme="minorEastAsia"/>
                            <w:lang w:val="en-US" w:eastAsia="zh-CN"/>
                          </w:rPr>
                        </w:pPr>
                        <w:r>
                          <w:rPr>
                            <w:rFonts w:hint="eastAsia"/>
                            <w:lang w:val="en-US" w:eastAsia="zh-CN"/>
                          </w:rPr>
                          <w:t>高硅四氯化钛</w:t>
                        </w:r>
                      </w:p>
                    </w:txbxContent>
                  </v:textbox>
                </v:shape>
              </v:group>
            </w:pict>
          </mc:Fallback>
        </mc:AlternateContent>
      </w:r>
      <w:r>
        <w:rPr>
          <w:rFonts w:hint="eastAsia" w:ascii="Times New Roman" w:hAnsi="Times New Roman" w:eastAsia="宋体" w:cs="Times New Roman"/>
          <w:sz w:val="28"/>
          <w:szCs w:val="28"/>
          <w:highlight w:val="none"/>
          <w:lang w:val="en-US" w:eastAsia="zh-CN"/>
          <w14:ligatures w14:val="none"/>
        </w:rPr>
        <w:t>本项目高硅四氯化钛来自于氯化分厂中的精制工序，产生的高硅四氯化钛</w:t>
      </w:r>
      <w:r>
        <w:rPr>
          <w:rFonts w:hint="eastAsia" w:ascii="Times New Roman" w:hAnsi="Times New Roman" w:eastAsia="宋体" w:cs="Times New Roman"/>
          <w:sz w:val="28"/>
          <w:szCs w:val="28"/>
          <w:lang w:val="en-US" w:eastAsia="zh-CN"/>
          <w14:ligatures w14:val="none"/>
        </w:rPr>
        <w:t>排至高硅储罐中，作为产品外售</w:t>
      </w:r>
      <w:r>
        <w:rPr>
          <w:rFonts w:hint="eastAsia" w:ascii="Times New Roman" w:hAnsi="Times New Roman" w:eastAsia="宋体" w:cs="Times New Roman"/>
          <w:sz w:val="28"/>
          <w:szCs w:val="28"/>
          <w:highlight w:val="none"/>
          <w:lang w:val="en-US" w:eastAsia="zh-CN"/>
          <w14:ligatures w14:val="none"/>
        </w:rPr>
        <w:t>。</w:t>
      </w:r>
    </w:p>
    <w:p w14:paraId="38D64C2A">
      <w:pPr>
        <w:bidi w:val="0"/>
        <w:rPr>
          <w:rFonts w:hint="eastAsia"/>
        </w:rPr>
      </w:pPr>
    </w:p>
    <w:p w14:paraId="2E57747E">
      <w:pPr>
        <w:bidi w:val="0"/>
        <w:rPr>
          <w:rFonts w:hint="eastAsia"/>
        </w:rPr>
      </w:pPr>
    </w:p>
    <w:p w14:paraId="28513F86">
      <w:pPr>
        <w:adjustRightInd w:val="0"/>
        <w:snapToGrid w:val="0"/>
        <w:spacing w:before="120" w:beforeLines="50" w:after="120" w:afterLines="50"/>
        <w:jc w:val="center"/>
        <w:rPr>
          <w:rFonts w:hint="default" w:ascii="Times New Roman" w:hAnsi="Times New Roman" w:eastAsia="黑体" w:cs="Times New Roman"/>
        </w:rPr>
      </w:pPr>
    </w:p>
    <w:p w14:paraId="2AAAD8D3">
      <w:pPr>
        <w:adjustRightInd w:val="0"/>
        <w:snapToGrid w:val="0"/>
        <w:spacing w:before="120" w:beforeLines="50" w:after="120" w:afterLines="50"/>
        <w:jc w:val="center"/>
        <w:rPr>
          <w:rFonts w:hint="eastAsia" w:ascii="Times New Roman" w:hAnsi="Times New Roman" w:eastAsia="宋体" w:cs="Times New Roman"/>
          <w:sz w:val="28"/>
          <w:szCs w:val="28"/>
          <w:lang w:val="en-US" w:eastAsia="zh-CN"/>
          <w14:ligatures w14:val="none"/>
        </w:rPr>
      </w:pPr>
      <w:r>
        <w:rPr>
          <w:rFonts w:hint="default" w:ascii="Times New Roman" w:hAnsi="Times New Roman" w:eastAsia="黑体" w:cs="Times New Roman"/>
        </w:rPr>
        <w:t>图2.</w:t>
      </w:r>
      <w:r>
        <w:rPr>
          <w:rFonts w:hint="eastAsia" w:ascii="Times New Roman" w:hAnsi="Times New Roman" w:eastAsia="黑体" w:cs="Times New Roman"/>
          <w:lang w:val="en-US" w:eastAsia="zh-CN"/>
        </w:rPr>
        <w:t>2</w:t>
      </w:r>
      <w:r>
        <w:rPr>
          <w:rFonts w:hint="default" w:ascii="Times New Roman" w:hAnsi="Times New Roman" w:eastAsia="黑体" w:cs="Times New Roman"/>
        </w:rPr>
        <w:t>-</w:t>
      </w:r>
      <w:r>
        <w:rPr>
          <w:rFonts w:hint="eastAsia" w:ascii="Times New Roman" w:hAnsi="Times New Roman" w:eastAsia="黑体" w:cs="Times New Roman"/>
          <w:lang w:val="en-US" w:eastAsia="zh-CN"/>
        </w:rPr>
        <w:t>3</w:t>
      </w:r>
      <w:r>
        <w:rPr>
          <w:rFonts w:hint="default" w:ascii="Times New Roman" w:hAnsi="Times New Roman" w:eastAsia="黑体" w:cs="Times New Roman"/>
        </w:rPr>
        <w:t xml:space="preserve">  </w:t>
      </w:r>
      <w:r>
        <w:rPr>
          <w:rFonts w:hint="eastAsia" w:ascii="Times New Roman" w:hAnsi="Times New Roman" w:eastAsia="黑体" w:cs="Times New Roman"/>
          <w:lang w:val="en-US" w:eastAsia="zh-CN"/>
        </w:rPr>
        <w:t>高硅四氯化钛</w:t>
      </w:r>
      <w:r>
        <w:rPr>
          <w:rFonts w:hint="default" w:ascii="Times New Roman" w:hAnsi="Times New Roman" w:eastAsia="黑体" w:cs="Times New Roman"/>
        </w:rPr>
        <w:t>工艺流程简图</w:t>
      </w:r>
    </w:p>
    <w:p w14:paraId="6A5B7688">
      <w:pPr>
        <w:adjustRightInd w:val="0"/>
        <w:snapToGrid w:val="0"/>
        <w:spacing w:before="312" w:beforeLines="100" w:after="312" w:afterLines="100" w:line="360" w:lineRule="auto"/>
        <w:jc w:val="center"/>
        <w:outlineLvl w:val="1"/>
        <w:rPr>
          <w:rFonts w:hint="eastAsia" w:ascii="Times New Roman" w:hAnsi="Times New Roman" w:eastAsia="楷体" w:cs="黑体"/>
          <w:b/>
          <w:sz w:val="32"/>
          <w:szCs w:val="32"/>
          <w14:ligatures w14:val="none"/>
        </w:rPr>
      </w:pPr>
      <w:r>
        <w:rPr>
          <w:rFonts w:hint="eastAsia" w:ascii="Times New Roman" w:hAnsi="Times New Roman" w:eastAsia="楷体" w:cs="黑体"/>
          <w:b/>
          <w:sz w:val="32"/>
          <w:szCs w:val="32"/>
          <w14:ligatures w14:val="none"/>
        </w:rPr>
        <w:t>2.</w:t>
      </w:r>
      <w:r>
        <w:rPr>
          <w:rFonts w:hint="eastAsia" w:ascii="Times New Roman" w:hAnsi="Times New Roman" w:eastAsia="楷体" w:cs="黑体"/>
          <w:b/>
          <w:sz w:val="32"/>
          <w:szCs w:val="32"/>
          <w:lang w:val="en-US" w:eastAsia="zh-CN"/>
          <w14:ligatures w14:val="none"/>
        </w:rPr>
        <w:t>3</w:t>
      </w:r>
      <w:r>
        <w:rPr>
          <w:rFonts w:hint="eastAsia" w:ascii="Times New Roman" w:hAnsi="Times New Roman" w:eastAsia="楷体" w:cs="黑体"/>
          <w:b/>
          <w:sz w:val="32"/>
          <w:szCs w:val="32"/>
          <w14:ligatures w14:val="none"/>
        </w:rPr>
        <w:t>主要设备</w:t>
      </w:r>
      <w:bookmarkEnd w:id="95"/>
    </w:p>
    <w:p w14:paraId="51DF3232">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本项目主要生产工艺设备见表2.</w:t>
      </w:r>
      <w:r>
        <w:rPr>
          <w:rFonts w:hint="eastAsia" w:ascii="Times New Roman" w:hAnsi="Times New Roman" w:eastAsia="宋体" w:cs="Times New Roman"/>
          <w:sz w:val="28"/>
          <w:szCs w:val="28"/>
          <w:lang w:val="en-US" w:eastAsia="zh-CN"/>
          <w14:ligatures w14:val="none"/>
        </w:rPr>
        <w:t>3</w:t>
      </w:r>
      <w:r>
        <w:rPr>
          <w:rFonts w:ascii="Times New Roman" w:hAnsi="Times New Roman" w:eastAsia="宋体" w:cs="Times New Roman"/>
          <w:sz w:val="28"/>
          <w:szCs w:val="28"/>
          <w14:ligatures w14:val="none"/>
        </w:rPr>
        <w:t>-</w:t>
      </w:r>
      <w:r>
        <w:rPr>
          <w:rFonts w:hint="eastAsia" w:ascii="Times New Roman" w:hAnsi="Times New Roman" w:eastAsia="宋体" w:cs="Times New Roman"/>
          <w:sz w:val="28"/>
          <w:szCs w:val="28"/>
          <w14:ligatures w14:val="none"/>
        </w:rPr>
        <w:t>1。</w:t>
      </w:r>
    </w:p>
    <w:p w14:paraId="7A958C7D">
      <w:pPr>
        <w:keepNext/>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r>
        <w:rPr>
          <w:rFonts w:ascii="Times New Roman" w:hAnsi="Times New Roman" w:eastAsia="黑体" w:cs="Times New Roman"/>
          <w:sz w:val="24"/>
          <w14:ligatures w14:val="none"/>
        </w:rPr>
        <w:t>表</w:t>
      </w:r>
      <w:r>
        <w:rPr>
          <w:rFonts w:hint="eastAsia" w:ascii="Times New Roman" w:hAnsi="Times New Roman" w:eastAsia="黑体" w:cs="Times New Roman"/>
          <w:sz w:val="24"/>
          <w14:ligatures w14:val="none"/>
        </w:rPr>
        <w:t>2.</w:t>
      </w:r>
      <w:r>
        <w:rPr>
          <w:rFonts w:hint="eastAsia" w:ascii="Times New Roman" w:hAnsi="Times New Roman" w:eastAsia="黑体" w:cs="Times New Roman"/>
          <w:sz w:val="24"/>
          <w:lang w:val="en-US" w:eastAsia="zh-CN"/>
          <w14:ligatures w14:val="none"/>
        </w:rPr>
        <w:t>3</w:t>
      </w:r>
      <w:r>
        <w:rPr>
          <w:rFonts w:hint="eastAsia" w:ascii="Times New Roman" w:hAnsi="Times New Roman" w:eastAsia="黑体" w:cs="Times New Roman"/>
          <w:sz w:val="24"/>
          <w14:ligatures w14:val="none"/>
        </w:rPr>
        <w:t xml:space="preserve">-1 </w:t>
      </w:r>
      <w:r>
        <w:rPr>
          <w:rFonts w:ascii="Times New Roman" w:hAnsi="Times New Roman" w:eastAsia="黑体" w:cs="Times New Roman"/>
          <w:sz w:val="24"/>
          <w14:ligatures w14:val="none"/>
        </w:rPr>
        <w:t xml:space="preserve"> 主要设备</w:t>
      </w:r>
      <w:r>
        <w:rPr>
          <w:rFonts w:hint="eastAsia" w:ascii="Times New Roman" w:hAnsi="Times New Roman" w:eastAsia="黑体" w:cs="Times New Roman"/>
          <w:sz w:val="24"/>
          <w14:ligatures w14:val="none"/>
        </w:rPr>
        <w:t>、设施一览表</w:t>
      </w:r>
    </w:p>
    <w:tbl>
      <w:tblPr>
        <w:tblStyle w:val="13"/>
        <w:tblW w:w="5000" w:type="pct"/>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840"/>
        <w:gridCol w:w="1876"/>
        <w:gridCol w:w="2520"/>
        <w:gridCol w:w="872"/>
        <w:gridCol w:w="884"/>
        <w:gridCol w:w="1203"/>
        <w:gridCol w:w="1204"/>
      </w:tblGrid>
      <w:tr w14:paraId="389C6E79">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20" w:hRule="atLeast"/>
          <w:jc w:val="center"/>
        </w:trPr>
        <w:tc>
          <w:tcPr>
            <w:tcW w:w="840" w:type="dxa"/>
            <w:tcBorders>
              <w:tl2br w:val="nil"/>
              <w:tr2bl w:val="nil"/>
            </w:tcBorders>
            <w:vAlign w:val="center"/>
          </w:tcPr>
          <w:p w14:paraId="6C879D11">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序号</w:t>
            </w:r>
          </w:p>
        </w:tc>
        <w:tc>
          <w:tcPr>
            <w:tcW w:w="1876" w:type="dxa"/>
            <w:tcBorders>
              <w:tl2br w:val="nil"/>
              <w:tr2bl w:val="nil"/>
            </w:tcBorders>
            <w:vAlign w:val="center"/>
          </w:tcPr>
          <w:p w14:paraId="263CAE38">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设备名称</w:t>
            </w:r>
          </w:p>
        </w:tc>
        <w:tc>
          <w:tcPr>
            <w:tcW w:w="2520" w:type="dxa"/>
            <w:tcBorders>
              <w:tl2br w:val="nil"/>
              <w:tr2bl w:val="nil"/>
            </w:tcBorders>
            <w:vAlign w:val="center"/>
          </w:tcPr>
          <w:p w14:paraId="2878EA79">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highlight w:val="none"/>
              </w:rPr>
              <w:t>规格/型号</w:t>
            </w:r>
          </w:p>
        </w:tc>
        <w:tc>
          <w:tcPr>
            <w:tcW w:w="872" w:type="dxa"/>
            <w:tcBorders>
              <w:tl2br w:val="nil"/>
              <w:tr2bl w:val="nil"/>
            </w:tcBorders>
            <w:vAlign w:val="center"/>
          </w:tcPr>
          <w:p w14:paraId="0C7CE459">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单位</w:t>
            </w:r>
          </w:p>
        </w:tc>
        <w:tc>
          <w:tcPr>
            <w:tcW w:w="885" w:type="dxa"/>
            <w:tcBorders>
              <w:tl2br w:val="nil"/>
              <w:tr2bl w:val="nil"/>
            </w:tcBorders>
            <w:vAlign w:val="center"/>
          </w:tcPr>
          <w:p w14:paraId="586DCBB6">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数量</w:t>
            </w:r>
          </w:p>
        </w:tc>
        <w:tc>
          <w:tcPr>
            <w:tcW w:w="1203" w:type="dxa"/>
            <w:tcBorders>
              <w:tl2br w:val="nil"/>
              <w:tr2bl w:val="nil"/>
            </w:tcBorders>
            <w:vAlign w:val="center"/>
          </w:tcPr>
          <w:p w14:paraId="7C9C0EB0">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材质</w:t>
            </w:r>
          </w:p>
        </w:tc>
        <w:tc>
          <w:tcPr>
            <w:tcW w:w="1204" w:type="dxa"/>
            <w:tcBorders>
              <w:tl2br w:val="nil"/>
              <w:tr2bl w:val="nil"/>
            </w:tcBorders>
            <w:vAlign w:val="center"/>
          </w:tcPr>
          <w:p w14:paraId="3828B72B">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sz w:val="21"/>
                <w:szCs w:val="21"/>
                <w:lang w:eastAsia="zh-CN"/>
              </w:rPr>
            </w:pPr>
            <w:r>
              <w:rPr>
                <w:rFonts w:hint="default" w:ascii="Times New Roman" w:hAnsi="Times New Roman" w:eastAsia="宋体" w:cs="Times New Roman"/>
                <w:sz w:val="21"/>
                <w:szCs w:val="21"/>
              </w:rPr>
              <w:t>是否特种</w:t>
            </w:r>
          </w:p>
          <w:p w14:paraId="1DB50B9D">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设备</w:t>
            </w:r>
          </w:p>
        </w:tc>
      </w:tr>
      <w:tr w14:paraId="0E1D45D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20" w:hRule="atLeast"/>
          <w:jc w:val="center"/>
        </w:trPr>
        <w:tc>
          <w:tcPr>
            <w:tcW w:w="840" w:type="dxa"/>
            <w:tcBorders>
              <w:tl2br w:val="nil"/>
              <w:tr2bl w:val="nil"/>
            </w:tcBorders>
            <w:vAlign w:val="center"/>
          </w:tcPr>
          <w:p w14:paraId="066C4717">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p>
        </w:tc>
        <w:tc>
          <w:tcPr>
            <w:tcW w:w="1876" w:type="dxa"/>
            <w:tcBorders>
              <w:tl2br w:val="nil"/>
              <w:tr2bl w:val="nil"/>
            </w:tcBorders>
            <w:vAlign w:val="center"/>
          </w:tcPr>
          <w:p w14:paraId="5B97CB2D">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盐酸储罐</w:t>
            </w:r>
          </w:p>
        </w:tc>
        <w:tc>
          <w:tcPr>
            <w:tcW w:w="2520" w:type="dxa"/>
            <w:tcBorders>
              <w:tl2br w:val="nil"/>
              <w:tr2bl w:val="nil"/>
            </w:tcBorders>
            <w:vAlign w:val="center"/>
          </w:tcPr>
          <w:p w14:paraId="03CA54E5">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sz w:val="21"/>
                <w:szCs w:val="21"/>
                <w:lang w:val="en-US"/>
              </w:rPr>
            </w:pPr>
            <w:r>
              <w:rPr>
                <w:rFonts w:hint="eastAsia" w:ascii="Times New Roman" w:hAnsi="Times New Roman" w:eastAsia="宋体" w:cs="Times New Roman"/>
                <w:sz w:val="21"/>
                <w:szCs w:val="21"/>
                <w:lang w:val="en-US" w:eastAsia="zh-CN"/>
              </w:rPr>
              <w:t>Φ4000*5500，69m</w:t>
            </w:r>
            <w:r>
              <w:rPr>
                <w:rFonts w:hint="eastAsia" w:ascii="Times New Roman" w:hAnsi="Times New Roman" w:eastAsia="宋体" w:cs="Times New Roman"/>
                <w:sz w:val="21"/>
                <w:szCs w:val="21"/>
                <w:vertAlign w:val="superscript"/>
                <w:lang w:val="en-US" w:eastAsia="zh-CN"/>
              </w:rPr>
              <w:t>3</w:t>
            </w:r>
          </w:p>
        </w:tc>
        <w:tc>
          <w:tcPr>
            <w:tcW w:w="872" w:type="dxa"/>
            <w:tcBorders>
              <w:tl2br w:val="nil"/>
              <w:tr2bl w:val="nil"/>
            </w:tcBorders>
            <w:vAlign w:val="center"/>
          </w:tcPr>
          <w:p w14:paraId="730E36A7">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座</w:t>
            </w:r>
          </w:p>
        </w:tc>
        <w:tc>
          <w:tcPr>
            <w:tcW w:w="885" w:type="dxa"/>
            <w:tcBorders>
              <w:tl2br w:val="nil"/>
              <w:tr2bl w:val="nil"/>
            </w:tcBorders>
            <w:vAlign w:val="center"/>
          </w:tcPr>
          <w:p w14:paraId="0C25A900">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4</w:t>
            </w:r>
          </w:p>
        </w:tc>
        <w:tc>
          <w:tcPr>
            <w:tcW w:w="1203" w:type="dxa"/>
            <w:tcBorders>
              <w:tl2br w:val="nil"/>
              <w:tr2bl w:val="nil"/>
            </w:tcBorders>
            <w:vAlign w:val="center"/>
          </w:tcPr>
          <w:p w14:paraId="4A383058">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玻璃钢</w:t>
            </w:r>
          </w:p>
        </w:tc>
        <w:tc>
          <w:tcPr>
            <w:tcW w:w="1204" w:type="dxa"/>
            <w:tcBorders>
              <w:tl2br w:val="nil"/>
              <w:tr2bl w:val="nil"/>
            </w:tcBorders>
            <w:vAlign w:val="center"/>
          </w:tcPr>
          <w:p w14:paraId="44543B8D">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eastAsia" w:ascii="Times New Roman" w:hAnsi="Times New Roman" w:eastAsia="宋体" w:cs="Times New Roman"/>
                <w:sz w:val="21"/>
                <w:szCs w:val="21"/>
                <w:lang w:eastAsia="zh-CN"/>
              </w:rPr>
            </w:pPr>
            <w:r>
              <w:rPr>
                <w:rFonts w:hint="eastAsia" w:ascii="Times New Roman" w:hAnsi="Times New Roman" w:eastAsia="宋体" w:cs="Times New Roman"/>
                <w:sz w:val="21"/>
                <w:szCs w:val="21"/>
                <w:lang w:val="en-US" w:eastAsia="zh-CN"/>
              </w:rPr>
              <w:t>否</w:t>
            </w:r>
          </w:p>
        </w:tc>
      </w:tr>
      <w:tr w14:paraId="4184B7C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20" w:hRule="atLeast"/>
          <w:jc w:val="center"/>
        </w:trPr>
        <w:tc>
          <w:tcPr>
            <w:tcW w:w="840" w:type="dxa"/>
            <w:tcBorders>
              <w:tl2br w:val="nil"/>
              <w:tr2bl w:val="nil"/>
            </w:tcBorders>
            <w:vAlign w:val="center"/>
          </w:tcPr>
          <w:p w14:paraId="315E8514">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w:t>
            </w:r>
          </w:p>
        </w:tc>
        <w:tc>
          <w:tcPr>
            <w:tcW w:w="1876" w:type="dxa"/>
            <w:tcBorders>
              <w:tl2br w:val="nil"/>
              <w:tr2bl w:val="nil"/>
            </w:tcBorders>
            <w:vAlign w:val="center"/>
          </w:tcPr>
          <w:p w14:paraId="2CE3C806">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次氯酸钠储罐</w:t>
            </w:r>
          </w:p>
        </w:tc>
        <w:tc>
          <w:tcPr>
            <w:tcW w:w="2520" w:type="dxa"/>
            <w:tcBorders>
              <w:tl2br w:val="nil"/>
              <w:tr2bl w:val="nil"/>
            </w:tcBorders>
            <w:vAlign w:val="center"/>
          </w:tcPr>
          <w:p w14:paraId="22A9E211">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sz w:val="21"/>
                <w:szCs w:val="21"/>
                <w:lang w:val="en-US"/>
              </w:rPr>
            </w:pPr>
            <w:r>
              <w:rPr>
                <w:rFonts w:hint="eastAsia" w:ascii="Times New Roman" w:hAnsi="Times New Roman" w:eastAsia="宋体" w:cs="Times New Roman"/>
                <w:sz w:val="21"/>
                <w:szCs w:val="21"/>
                <w:lang w:val="en-US" w:eastAsia="zh-CN"/>
              </w:rPr>
              <w:t>Φ5000*10000，200m</w:t>
            </w:r>
            <w:r>
              <w:rPr>
                <w:rFonts w:hint="eastAsia" w:ascii="Times New Roman" w:hAnsi="Times New Roman" w:eastAsia="宋体" w:cs="Times New Roman"/>
                <w:sz w:val="21"/>
                <w:szCs w:val="21"/>
                <w:vertAlign w:val="superscript"/>
                <w:lang w:val="en-US" w:eastAsia="zh-CN"/>
              </w:rPr>
              <w:t>3</w:t>
            </w:r>
          </w:p>
        </w:tc>
        <w:tc>
          <w:tcPr>
            <w:tcW w:w="872" w:type="dxa"/>
            <w:tcBorders>
              <w:tl2br w:val="nil"/>
              <w:tr2bl w:val="nil"/>
            </w:tcBorders>
            <w:vAlign w:val="center"/>
          </w:tcPr>
          <w:p w14:paraId="6082D12E">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座</w:t>
            </w:r>
          </w:p>
        </w:tc>
        <w:tc>
          <w:tcPr>
            <w:tcW w:w="885" w:type="dxa"/>
            <w:tcBorders>
              <w:tl2br w:val="nil"/>
              <w:tr2bl w:val="nil"/>
            </w:tcBorders>
            <w:vAlign w:val="center"/>
          </w:tcPr>
          <w:p w14:paraId="6D699A95">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highlight w:val="none"/>
                <w:lang w:val="en-US" w:eastAsia="zh-CN"/>
              </w:rPr>
              <w:t>3</w:t>
            </w:r>
          </w:p>
        </w:tc>
        <w:tc>
          <w:tcPr>
            <w:tcW w:w="1203" w:type="dxa"/>
            <w:tcBorders>
              <w:tl2br w:val="nil"/>
              <w:tr2bl w:val="nil"/>
            </w:tcBorders>
            <w:vAlign w:val="center"/>
          </w:tcPr>
          <w:p w14:paraId="48D81295">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highlight w:val="none"/>
                <w:lang w:val="en-US" w:eastAsia="zh-CN"/>
              </w:rPr>
              <w:t>玻璃钢</w:t>
            </w:r>
          </w:p>
        </w:tc>
        <w:tc>
          <w:tcPr>
            <w:tcW w:w="1204" w:type="dxa"/>
            <w:tcBorders>
              <w:tl2br w:val="nil"/>
              <w:tr2bl w:val="nil"/>
            </w:tcBorders>
            <w:vAlign w:val="center"/>
          </w:tcPr>
          <w:p w14:paraId="57E1149C">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eastAsia" w:ascii="Times New Roman" w:hAnsi="Times New Roman" w:eastAsia="宋体" w:cs="Times New Roman"/>
                <w:sz w:val="21"/>
                <w:szCs w:val="21"/>
                <w:lang w:eastAsia="zh-CN"/>
              </w:rPr>
            </w:pPr>
            <w:r>
              <w:rPr>
                <w:rFonts w:hint="eastAsia" w:ascii="Times New Roman" w:hAnsi="Times New Roman" w:eastAsia="宋体" w:cs="Times New Roman"/>
                <w:sz w:val="21"/>
                <w:szCs w:val="21"/>
                <w:lang w:val="en-US" w:eastAsia="zh-CN"/>
              </w:rPr>
              <w:t>否</w:t>
            </w:r>
          </w:p>
        </w:tc>
      </w:tr>
      <w:tr w14:paraId="332E6C7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20" w:hRule="atLeast"/>
          <w:jc w:val="center"/>
        </w:trPr>
        <w:tc>
          <w:tcPr>
            <w:tcW w:w="840" w:type="dxa"/>
            <w:tcBorders>
              <w:tl2br w:val="nil"/>
              <w:tr2bl w:val="nil"/>
            </w:tcBorders>
            <w:vAlign w:val="center"/>
          </w:tcPr>
          <w:p w14:paraId="55F775C1">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3</w:t>
            </w:r>
          </w:p>
        </w:tc>
        <w:tc>
          <w:tcPr>
            <w:tcW w:w="1876" w:type="dxa"/>
            <w:tcBorders>
              <w:tl2br w:val="nil"/>
              <w:tr2bl w:val="nil"/>
            </w:tcBorders>
            <w:vAlign w:val="center"/>
          </w:tcPr>
          <w:p w14:paraId="76DC0F43">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高硅四氯化钛储罐</w:t>
            </w:r>
          </w:p>
        </w:tc>
        <w:tc>
          <w:tcPr>
            <w:tcW w:w="2520" w:type="dxa"/>
            <w:tcBorders>
              <w:tl2br w:val="nil"/>
              <w:tr2bl w:val="nil"/>
            </w:tcBorders>
            <w:vAlign w:val="center"/>
          </w:tcPr>
          <w:p w14:paraId="1F78DA67">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sz w:val="21"/>
                <w:szCs w:val="21"/>
                <w:lang w:val="en-US"/>
              </w:rPr>
            </w:pPr>
            <w:r>
              <w:rPr>
                <w:rFonts w:hint="eastAsia" w:ascii="Times New Roman" w:hAnsi="Times New Roman" w:eastAsia="宋体" w:cs="Times New Roman"/>
                <w:sz w:val="21"/>
                <w:szCs w:val="21"/>
                <w:lang w:val="en-US" w:eastAsia="zh-CN"/>
              </w:rPr>
              <w:t>Φ2400，V＝16m</w:t>
            </w:r>
            <w:r>
              <w:rPr>
                <w:rFonts w:hint="eastAsia" w:ascii="Times New Roman" w:hAnsi="Times New Roman" w:eastAsia="宋体" w:cs="Times New Roman"/>
                <w:sz w:val="21"/>
                <w:szCs w:val="21"/>
                <w:vertAlign w:val="superscript"/>
                <w:lang w:val="en-US" w:eastAsia="zh-CN"/>
              </w:rPr>
              <w:t>3</w:t>
            </w:r>
          </w:p>
        </w:tc>
        <w:tc>
          <w:tcPr>
            <w:tcW w:w="872" w:type="dxa"/>
            <w:tcBorders>
              <w:tl2br w:val="nil"/>
              <w:tr2bl w:val="nil"/>
            </w:tcBorders>
            <w:vAlign w:val="center"/>
          </w:tcPr>
          <w:p w14:paraId="05A1145A">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座</w:t>
            </w:r>
          </w:p>
        </w:tc>
        <w:tc>
          <w:tcPr>
            <w:tcW w:w="885" w:type="dxa"/>
            <w:tcBorders>
              <w:tl2br w:val="nil"/>
              <w:tr2bl w:val="nil"/>
            </w:tcBorders>
            <w:vAlign w:val="center"/>
          </w:tcPr>
          <w:p w14:paraId="526F0F6C">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sz w:val="21"/>
                <w:szCs w:val="21"/>
              </w:rPr>
            </w:pPr>
            <w:r>
              <w:rPr>
                <w:rFonts w:hint="eastAsia" w:ascii="Times New Roman" w:hAnsi="Times New Roman" w:eastAsia="宋体" w:cs="Times New Roman"/>
                <w:sz w:val="21"/>
                <w:szCs w:val="21"/>
                <w:highlight w:val="none"/>
                <w:lang w:val="en-US" w:eastAsia="zh-CN"/>
              </w:rPr>
              <w:t>2</w:t>
            </w:r>
          </w:p>
        </w:tc>
        <w:tc>
          <w:tcPr>
            <w:tcW w:w="1203" w:type="dxa"/>
            <w:tcBorders>
              <w:tl2br w:val="nil"/>
              <w:tr2bl w:val="nil"/>
            </w:tcBorders>
            <w:vAlign w:val="center"/>
          </w:tcPr>
          <w:p w14:paraId="11FAEEF1">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碳钢</w:t>
            </w:r>
          </w:p>
        </w:tc>
        <w:tc>
          <w:tcPr>
            <w:tcW w:w="1204" w:type="dxa"/>
            <w:tcBorders>
              <w:tl2br w:val="nil"/>
              <w:tr2bl w:val="nil"/>
            </w:tcBorders>
            <w:vAlign w:val="center"/>
          </w:tcPr>
          <w:p w14:paraId="521A3FA8">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sz w:val="21"/>
                <w:szCs w:val="21"/>
              </w:rPr>
            </w:pPr>
            <w:r>
              <w:rPr>
                <w:rFonts w:hint="eastAsia" w:ascii="Times New Roman" w:hAnsi="Times New Roman" w:eastAsia="宋体" w:cs="Times New Roman"/>
                <w:sz w:val="21"/>
                <w:szCs w:val="21"/>
                <w:lang w:val="en-US" w:eastAsia="zh-CN"/>
              </w:rPr>
              <w:t>否</w:t>
            </w:r>
          </w:p>
        </w:tc>
      </w:tr>
      <w:tr w14:paraId="586E301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20" w:hRule="atLeast"/>
          <w:jc w:val="center"/>
        </w:trPr>
        <w:tc>
          <w:tcPr>
            <w:tcW w:w="840" w:type="dxa"/>
            <w:tcBorders>
              <w:tl2br w:val="nil"/>
              <w:tr2bl w:val="nil"/>
            </w:tcBorders>
            <w:vAlign w:val="center"/>
          </w:tcPr>
          <w:p w14:paraId="0C3AAE2D">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sz w:val="21"/>
                <w:szCs w:val="21"/>
                <w:lang w:val="en-US" w:eastAsia="zh-CN"/>
              </w:rPr>
            </w:pPr>
            <w:bookmarkStart w:id="96" w:name="_Toc8024"/>
            <w:r>
              <w:rPr>
                <w:rFonts w:hint="eastAsia" w:ascii="Times New Roman" w:hAnsi="Times New Roman" w:eastAsia="宋体" w:cs="Times New Roman"/>
                <w:sz w:val="21"/>
                <w:szCs w:val="21"/>
                <w:lang w:val="en-US" w:eastAsia="zh-CN"/>
              </w:rPr>
              <w:t>4</w:t>
            </w:r>
          </w:p>
        </w:tc>
        <w:tc>
          <w:tcPr>
            <w:tcW w:w="1876" w:type="dxa"/>
            <w:vMerge w:val="restart"/>
            <w:tcBorders>
              <w:tl2br w:val="nil"/>
              <w:tr2bl w:val="nil"/>
            </w:tcBorders>
            <w:vAlign w:val="center"/>
          </w:tcPr>
          <w:p w14:paraId="0AEBC722">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次氯酸钠装车泵</w:t>
            </w:r>
          </w:p>
        </w:tc>
        <w:tc>
          <w:tcPr>
            <w:tcW w:w="2520" w:type="dxa"/>
            <w:tcBorders>
              <w:tl2br w:val="nil"/>
              <w:tr2bl w:val="nil"/>
            </w:tcBorders>
            <w:vAlign w:val="center"/>
          </w:tcPr>
          <w:p w14:paraId="0B3FB196">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IHF100-65-200</w:t>
            </w:r>
          </w:p>
        </w:tc>
        <w:tc>
          <w:tcPr>
            <w:tcW w:w="872" w:type="dxa"/>
            <w:tcBorders>
              <w:tl2br w:val="nil"/>
              <w:tr2bl w:val="nil"/>
            </w:tcBorders>
            <w:vAlign w:val="center"/>
          </w:tcPr>
          <w:p w14:paraId="76F59E7B">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台</w:t>
            </w:r>
          </w:p>
        </w:tc>
        <w:tc>
          <w:tcPr>
            <w:tcW w:w="885" w:type="dxa"/>
            <w:tcBorders>
              <w:tl2br w:val="nil"/>
              <w:tr2bl w:val="nil"/>
            </w:tcBorders>
            <w:vAlign w:val="center"/>
          </w:tcPr>
          <w:p w14:paraId="6E11BD7E">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1</w:t>
            </w:r>
          </w:p>
        </w:tc>
        <w:tc>
          <w:tcPr>
            <w:tcW w:w="1203" w:type="dxa"/>
            <w:tcBorders>
              <w:tl2br w:val="nil"/>
              <w:tr2bl w:val="nil"/>
            </w:tcBorders>
            <w:vAlign w:val="center"/>
          </w:tcPr>
          <w:p w14:paraId="40454445">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衬氟离心泵</w:t>
            </w:r>
          </w:p>
        </w:tc>
        <w:tc>
          <w:tcPr>
            <w:tcW w:w="1204" w:type="dxa"/>
            <w:tcBorders>
              <w:tl2br w:val="nil"/>
              <w:tr2bl w:val="nil"/>
            </w:tcBorders>
            <w:vAlign w:val="center"/>
          </w:tcPr>
          <w:p w14:paraId="736743D9">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否</w:t>
            </w:r>
          </w:p>
        </w:tc>
      </w:tr>
      <w:tr w14:paraId="192CF0A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20" w:hRule="atLeast"/>
          <w:jc w:val="center"/>
        </w:trPr>
        <w:tc>
          <w:tcPr>
            <w:tcW w:w="840" w:type="dxa"/>
            <w:tcBorders>
              <w:tl2br w:val="nil"/>
              <w:tr2bl w:val="nil"/>
            </w:tcBorders>
            <w:vAlign w:val="center"/>
          </w:tcPr>
          <w:p w14:paraId="10661ECB">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5</w:t>
            </w:r>
          </w:p>
        </w:tc>
        <w:tc>
          <w:tcPr>
            <w:tcW w:w="1876" w:type="dxa"/>
            <w:vMerge w:val="continue"/>
            <w:tcBorders>
              <w:tl2br w:val="nil"/>
              <w:tr2bl w:val="nil"/>
            </w:tcBorders>
            <w:vAlign w:val="center"/>
          </w:tcPr>
          <w:p w14:paraId="6D7A0A06">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eastAsia" w:ascii="Times New Roman" w:hAnsi="Times New Roman" w:eastAsia="宋体" w:cs="Times New Roman"/>
                <w:sz w:val="21"/>
                <w:szCs w:val="21"/>
                <w:lang w:val="en-US" w:eastAsia="zh-CN"/>
              </w:rPr>
            </w:pPr>
          </w:p>
        </w:tc>
        <w:tc>
          <w:tcPr>
            <w:tcW w:w="2520" w:type="dxa"/>
            <w:tcBorders>
              <w:tl2br w:val="nil"/>
              <w:tr2bl w:val="nil"/>
            </w:tcBorders>
            <w:vAlign w:val="center"/>
          </w:tcPr>
          <w:p w14:paraId="784ED6C8">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IHF100-50-160</w:t>
            </w:r>
          </w:p>
        </w:tc>
        <w:tc>
          <w:tcPr>
            <w:tcW w:w="872" w:type="dxa"/>
            <w:tcBorders>
              <w:tl2br w:val="nil"/>
              <w:tr2bl w:val="nil"/>
            </w:tcBorders>
            <w:vAlign w:val="center"/>
          </w:tcPr>
          <w:p w14:paraId="59884504">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台</w:t>
            </w:r>
          </w:p>
        </w:tc>
        <w:tc>
          <w:tcPr>
            <w:tcW w:w="885" w:type="dxa"/>
            <w:tcBorders>
              <w:tl2br w:val="nil"/>
              <w:tr2bl w:val="nil"/>
            </w:tcBorders>
            <w:vAlign w:val="center"/>
          </w:tcPr>
          <w:p w14:paraId="22837541">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2</w:t>
            </w:r>
          </w:p>
        </w:tc>
        <w:tc>
          <w:tcPr>
            <w:tcW w:w="1203" w:type="dxa"/>
            <w:tcBorders>
              <w:tl2br w:val="nil"/>
              <w:tr2bl w:val="nil"/>
            </w:tcBorders>
            <w:vAlign w:val="center"/>
          </w:tcPr>
          <w:p w14:paraId="790F4B83">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衬氟离心泵</w:t>
            </w:r>
          </w:p>
        </w:tc>
        <w:tc>
          <w:tcPr>
            <w:tcW w:w="1204" w:type="dxa"/>
            <w:tcBorders>
              <w:tl2br w:val="nil"/>
              <w:tr2bl w:val="nil"/>
            </w:tcBorders>
            <w:vAlign w:val="center"/>
          </w:tcPr>
          <w:p w14:paraId="2C9C595F">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否</w:t>
            </w:r>
          </w:p>
        </w:tc>
      </w:tr>
      <w:tr w14:paraId="1ECAAB09">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20" w:hRule="atLeast"/>
          <w:jc w:val="center"/>
        </w:trPr>
        <w:tc>
          <w:tcPr>
            <w:tcW w:w="840" w:type="dxa"/>
            <w:tcBorders>
              <w:tl2br w:val="nil"/>
              <w:tr2bl w:val="nil"/>
            </w:tcBorders>
            <w:vAlign w:val="center"/>
          </w:tcPr>
          <w:p w14:paraId="13CFAD34">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6</w:t>
            </w:r>
          </w:p>
        </w:tc>
        <w:tc>
          <w:tcPr>
            <w:tcW w:w="1876" w:type="dxa"/>
            <w:tcBorders>
              <w:tl2br w:val="nil"/>
              <w:tr2bl w:val="nil"/>
            </w:tcBorders>
            <w:vAlign w:val="center"/>
          </w:tcPr>
          <w:p w14:paraId="02CAD5B9">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盐酸装车泵</w:t>
            </w:r>
          </w:p>
        </w:tc>
        <w:tc>
          <w:tcPr>
            <w:tcW w:w="2520" w:type="dxa"/>
            <w:tcBorders>
              <w:tl2br w:val="nil"/>
              <w:tr2bl w:val="nil"/>
            </w:tcBorders>
            <w:vAlign w:val="center"/>
          </w:tcPr>
          <w:p w14:paraId="3426EDAC">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80UHB-ZK-40-40</w:t>
            </w:r>
          </w:p>
        </w:tc>
        <w:tc>
          <w:tcPr>
            <w:tcW w:w="872" w:type="dxa"/>
            <w:tcBorders>
              <w:tl2br w:val="nil"/>
              <w:tr2bl w:val="nil"/>
            </w:tcBorders>
            <w:vAlign w:val="center"/>
          </w:tcPr>
          <w:p w14:paraId="0F19B35E">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auto"/>
              <w:rPr>
                <w:rFonts w:hint="default" w:ascii="Times New Roman" w:hAnsi="Times New Roman" w:eastAsia="宋体" w:cs="Times New Roman"/>
                <w:sz w:val="21"/>
                <w:szCs w:val="21"/>
              </w:rPr>
            </w:pPr>
            <w:r>
              <w:rPr>
                <w:rFonts w:hint="eastAsia" w:ascii="Times New Roman" w:hAnsi="Times New Roman" w:eastAsia="宋体" w:cs="Times New Roman"/>
                <w:sz w:val="21"/>
                <w:szCs w:val="21"/>
                <w:lang w:val="en-US" w:eastAsia="zh-CN"/>
              </w:rPr>
              <w:t>台</w:t>
            </w:r>
          </w:p>
        </w:tc>
        <w:tc>
          <w:tcPr>
            <w:tcW w:w="885" w:type="dxa"/>
            <w:tcBorders>
              <w:tl2br w:val="nil"/>
              <w:tr2bl w:val="nil"/>
            </w:tcBorders>
            <w:vAlign w:val="center"/>
          </w:tcPr>
          <w:p w14:paraId="4B3C107A">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2</w:t>
            </w:r>
          </w:p>
        </w:tc>
        <w:tc>
          <w:tcPr>
            <w:tcW w:w="1203" w:type="dxa"/>
            <w:tcBorders>
              <w:tl2br w:val="nil"/>
              <w:tr2bl w:val="nil"/>
            </w:tcBorders>
            <w:vAlign w:val="center"/>
          </w:tcPr>
          <w:p w14:paraId="2D9DA10D">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钢衬UHMEPE</w:t>
            </w:r>
          </w:p>
        </w:tc>
        <w:tc>
          <w:tcPr>
            <w:tcW w:w="1204" w:type="dxa"/>
            <w:tcBorders>
              <w:tl2br w:val="nil"/>
              <w:tr2bl w:val="nil"/>
            </w:tcBorders>
            <w:vAlign w:val="center"/>
          </w:tcPr>
          <w:p w14:paraId="654BA9C7">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否</w:t>
            </w:r>
          </w:p>
        </w:tc>
      </w:tr>
    </w:tbl>
    <w:p w14:paraId="11455C1C">
      <w:pPr>
        <w:adjustRightInd w:val="0"/>
        <w:snapToGrid w:val="0"/>
        <w:spacing w:before="312" w:beforeLines="100" w:after="312" w:afterLines="100" w:line="360" w:lineRule="auto"/>
        <w:jc w:val="center"/>
        <w:outlineLvl w:val="1"/>
        <w:rPr>
          <w:rFonts w:hint="eastAsia" w:ascii="Times New Roman" w:hAnsi="Times New Roman" w:eastAsia="楷体" w:cs="黑体"/>
          <w:b/>
          <w:sz w:val="32"/>
          <w:szCs w:val="32"/>
          <w:lang w:val="en-US" w:eastAsia="zh-CN"/>
          <w14:ligatures w14:val="none"/>
        </w:rPr>
      </w:pPr>
      <w:r>
        <w:rPr>
          <w:rFonts w:hint="eastAsia" w:ascii="Times New Roman" w:hAnsi="Times New Roman" w:eastAsia="楷体" w:cs="黑体"/>
          <w:b/>
          <w:sz w:val="32"/>
          <w:szCs w:val="32"/>
          <w14:ligatures w14:val="none"/>
        </w:rPr>
        <w:t>2.</w:t>
      </w:r>
      <w:r>
        <w:rPr>
          <w:rFonts w:hint="eastAsia" w:ascii="Times New Roman" w:hAnsi="Times New Roman" w:eastAsia="楷体" w:cs="黑体"/>
          <w:b/>
          <w:sz w:val="32"/>
          <w:szCs w:val="32"/>
          <w:lang w:val="en-US" w:eastAsia="zh-CN"/>
          <w14:ligatures w14:val="none"/>
        </w:rPr>
        <w:t>4储存规模</w:t>
      </w:r>
      <w:bookmarkEnd w:id="96"/>
    </w:p>
    <w:p w14:paraId="7B59F356">
      <w:pPr>
        <w:keepNext/>
        <w:adjustRightInd w:val="0"/>
        <w:snapToGrid w:val="0"/>
        <w:spacing w:before="156" w:beforeLines="50" w:after="156" w:afterLines="50" w:line="240" w:lineRule="auto"/>
        <w:jc w:val="center"/>
        <w:rPr>
          <w:rFonts w:hint="eastAsia"/>
          <w:lang w:val="en-US" w:eastAsia="zh-CN"/>
        </w:rPr>
      </w:pPr>
      <w:r>
        <w:rPr>
          <w:rFonts w:ascii="Times New Roman" w:hAnsi="Times New Roman" w:eastAsia="黑体" w:cs="Times New Roman"/>
          <w:sz w:val="24"/>
          <w14:ligatures w14:val="none"/>
        </w:rPr>
        <w:t>表</w:t>
      </w:r>
      <w:r>
        <w:rPr>
          <w:rFonts w:hint="eastAsia" w:ascii="Times New Roman" w:hAnsi="Times New Roman" w:eastAsia="黑体" w:cs="Times New Roman"/>
          <w:sz w:val="24"/>
          <w14:ligatures w14:val="none"/>
        </w:rPr>
        <w:t>2.</w:t>
      </w:r>
      <w:r>
        <w:rPr>
          <w:rFonts w:hint="eastAsia" w:ascii="Times New Roman" w:hAnsi="Times New Roman" w:eastAsia="黑体" w:cs="Times New Roman"/>
          <w:sz w:val="24"/>
          <w:lang w:val="en-US" w:eastAsia="zh-CN"/>
          <w14:ligatures w14:val="none"/>
        </w:rPr>
        <w:t>4</w:t>
      </w:r>
      <w:r>
        <w:rPr>
          <w:rFonts w:hint="eastAsia" w:ascii="Times New Roman" w:hAnsi="Times New Roman" w:eastAsia="黑体" w:cs="Times New Roman"/>
          <w:sz w:val="24"/>
          <w14:ligatures w14:val="none"/>
        </w:rPr>
        <w:t>-</w:t>
      </w:r>
      <w:r>
        <w:rPr>
          <w:rFonts w:hint="eastAsia" w:ascii="Times New Roman" w:hAnsi="Times New Roman" w:eastAsia="黑体" w:cs="Times New Roman"/>
          <w:sz w:val="24"/>
          <w:lang w:val="en-US" w:eastAsia="zh-CN"/>
          <w14:ligatures w14:val="none"/>
        </w:rPr>
        <w:t>1</w:t>
      </w:r>
      <w:r>
        <w:rPr>
          <w:rFonts w:hint="eastAsia" w:ascii="Times New Roman" w:hAnsi="Times New Roman" w:eastAsia="黑体" w:cs="Times New Roman"/>
          <w:sz w:val="24"/>
          <w14:ligatures w14:val="none"/>
        </w:rPr>
        <w:t xml:space="preserve"> </w:t>
      </w:r>
      <w:r>
        <w:rPr>
          <w:rFonts w:ascii="Times New Roman" w:hAnsi="Times New Roman" w:eastAsia="黑体" w:cs="Times New Roman"/>
          <w:sz w:val="24"/>
          <w14:ligatures w14:val="none"/>
        </w:rPr>
        <w:t xml:space="preserve"> </w:t>
      </w:r>
      <w:r>
        <w:rPr>
          <w:rFonts w:hint="eastAsia" w:ascii="Times New Roman" w:hAnsi="Times New Roman" w:eastAsia="黑体" w:cs="Times New Roman"/>
          <w:sz w:val="24"/>
          <w:lang w:val="en-US" w:eastAsia="zh-CN"/>
          <w14:ligatures w14:val="none"/>
        </w:rPr>
        <w:t>储存规模</w:t>
      </w:r>
      <w:r>
        <w:rPr>
          <w:rFonts w:hint="eastAsia" w:ascii="Times New Roman" w:hAnsi="Times New Roman" w:eastAsia="黑体" w:cs="Times New Roman"/>
          <w:sz w:val="24"/>
          <w14:ligatures w14:val="none"/>
        </w:rPr>
        <w:t>一览表</w:t>
      </w:r>
    </w:p>
    <w:tbl>
      <w:tblPr>
        <w:tblStyle w:val="1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5"/>
        <w:gridCol w:w="1422"/>
        <w:gridCol w:w="1300"/>
        <w:gridCol w:w="882"/>
        <w:gridCol w:w="1236"/>
        <w:gridCol w:w="1761"/>
        <w:gridCol w:w="1954"/>
      </w:tblGrid>
      <w:tr w14:paraId="7E61C4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4" w:hRule="atLeast"/>
        </w:trPr>
        <w:tc>
          <w:tcPr>
            <w:tcW w:w="449" w:type="pct"/>
            <w:vAlign w:val="center"/>
          </w:tcPr>
          <w:p w14:paraId="43AE3DD5">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序号</w:t>
            </w:r>
          </w:p>
        </w:tc>
        <w:tc>
          <w:tcPr>
            <w:tcW w:w="756" w:type="pct"/>
            <w:vAlign w:val="center"/>
          </w:tcPr>
          <w:p w14:paraId="69440C29">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介质名称</w:t>
            </w:r>
          </w:p>
        </w:tc>
        <w:tc>
          <w:tcPr>
            <w:tcW w:w="691" w:type="pct"/>
            <w:vAlign w:val="center"/>
          </w:tcPr>
          <w:p w14:paraId="5863B5C2">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火灾危险性分类</w:t>
            </w:r>
          </w:p>
        </w:tc>
        <w:tc>
          <w:tcPr>
            <w:tcW w:w="469" w:type="pct"/>
            <w:vAlign w:val="center"/>
          </w:tcPr>
          <w:p w14:paraId="5B7ED277">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状态</w:t>
            </w:r>
          </w:p>
        </w:tc>
        <w:tc>
          <w:tcPr>
            <w:tcW w:w="657" w:type="pct"/>
            <w:vAlign w:val="center"/>
          </w:tcPr>
          <w:p w14:paraId="2DAF30F6">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最大储存量</w:t>
            </w:r>
          </w:p>
        </w:tc>
        <w:tc>
          <w:tcPr>
            <w:tcW w:w="936" w:type="pct"/>
            <w:vAlign w:val="center"/>
          </w:tcPr>
          <w:p w14:paraId="46CF3185">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储存方式及规格</w:t>
            </w:r>
          </w:p>
        </w:tc>
        <w:tc>
          <w:tcPr>
            <w:tcW w:w="1038" w:type="pct"/>
            <w:vAlign w:val="center"/>
          </w:tcPr>
          <w:p w14:paraId="37BB8C29">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地点</w:t>
            </w:r>
          </w:p>
        </w:tc>
      </w:tr>
      <w:tr w14:paraId="651CD0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449" w:type="pct"/>
            <w:vAlign w:val="center"/>
          </w:tcPr>
          <w:p w14:paraId="2BEFF70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kern w:val="0"/>
                <w:szCs w:val="21"/>
                <w:highlight w:val="none"/>
                <w:lang w:val="en-US" w:eastAsia="zh-CN"/>
              </w:rPr>
            </w:pPr>
            <w:r>
              <w:rPr>
                <w:rFonts w:hint="default" w:ascii="Times New Roman" w:hAnsi="Times New Roman" w:eastAsia="宋体" w:cs="Times New Roman"/>
                <w:kern w:val="0"/>
                <w:szCs w:val="21"/>
                <w:highlight w:val="none"/>
                <w:lang w:val="en-US" w:eastAsia="zh-CN"/>
              </w:rPr>
              <w:t>1</w:t>
            </w:r>
          </w:p>
        </w:tc>
        <w:tc>
          <w:tcPr>
            <w:tcW w:w="756" w:type="pct"/>
            <w:vAlign w:val="center"/>
          </w:tcPr>
          <w:p w14:paraId="6CFF6688">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kern w:val="0"/>
                <w:szCs w:val="21"/>
                <w:highlight w:val="none"/>
                <w:lang w:val="en-US" w:eastAsia="zh-CN"/>
              </w:rPr>
            </w:pPr>
            <w:r>
              <w:rPr>
                <w:rFonts w:hint="eastAsia" w:ascii="Times New Roman" w:hAnsi="Times New Roman" w:eastAsia="宋体" w:cs="Times New Roman"/>
                <w:kern w:val="0"/>
                <w:szCs w:val="21"/>
                <w:highlight w:val="none"/>
                <w:lang w:val="en-US" w:eastAsia="zh-CN"/>
              </w:rPr>
              <w:t>盐酸</w:t>
            </w:r>
          </w:p>
        </w:tc>
        <w:tc>
          <w:tcPr>
            <w:tcW w:w="691" w:type="pct"/>
            <w:vAlign w:val="center"/>
          </w:tcPr>
          <w:p w14:paraId="49E9065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kern w:val="0"/>
                <w:szCs w:val="21"/>
                <w:highlight w:val="none"/>
                <w:lang w:val="en-US" w:eastAsia="zh-CN"/>
              </w:rPr>
            </w:pPr>
            <w:r>
              <w:rPr>
                <w:rFonts w:hint="eastAsia" w:ascii="Times New Roman" w:hAnsi="Times New Roman" w:eastAsia="宋体" w:cs="Times New Roman"/>
                <w:kern w:val="0"/>
                <w:szCs w:val="21"/>
                <w:highlight w:val="none"/>
                <w:lang w:val="en-US" w:eastAsia="zh-CN"/>
              </w:rPr>
              <w:t>戊</w:t>
            </w:r>
            <w:r>
              <w:rPr>
                <w:rFonts w:hint="default" w:ascii="Times New Roman" w:hAnsi="Times New Roman" w:eastAsia="宋体" w:cs="Times New Roman"/>
                <w:kern w:val="0"/>
                <w:szCs w:val="21"/>
                <w:highlight w:val="none"/>
                <w:lang w:val="en-US" w:eastAsia="zh-CN"/>
              </w:rPr>
              <w:t>类</w:t>
            </w:r>
          </w:p>
        </w:tc>
        <w:tc>
          <w:tcPr>
            <w:tcW w:w="469" w:type="pct"/>
            <w:vAlign w:val="center"/>
          </w:tcPr>
          <w:p w14:paraId="07C04CAD">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kern w:val="0"/>
                <w:szCs w:val="21"/>
                <w:highlight w:val="none"/>
                <w:lang w:val="en-US" w:eastAsia="zh-CN"/>
              </w:rPr>
            </w:pPr>
            <w:r>
              <w:rPr>
                <w:rFonts w:hint="default" w:ascii="Times New Roman" w:hAnsi="Times New Roman" w:eastAsia="宋体" w:cs="Times New Roman"/>
                <w:kern w:val="0"/>
                <w:szCs w:val="21"/>
                <w:highlight w:val="none"/>
                <w:lang w:val="en-US" w:eastAsia="zh-CN"/>
              </w:rPr>
              <w:t>液态</w:t>
            </w:r>
          </w:p>
        </w:tc>
        <w:tc>
          <w:tcPr>
            <w:tcW w:w="657" w:type="pct"/>
            <w:vAlign w:val="center"/>
          </w:tcPr>
          <w:p w14:paraId="0BC1B3D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kern w:val="0"/>
                <w:szCs w:val="21"/>
                <w:highlight w:val="none"/>
                <w:lang w:val="en-US" w:eastAsia="zh-CN"/>
              </w:rPr>
            </w:pPr>
            <w:r>
              <w:rPr>
                <w:rFonts w:hint="eastAsia" w:ascii="Times New Roman" w:hAnsi="Times New Roman" w:eastAsia="宋体" w:cs="Times New Roman"/>
                <w:kern w:val="0"/>
                <w:szCs w:val="21"/>
                <w:highlight w:val="none"/>
                <w:lang w:val="en-US" w:eastAsia="zh-CN"/>
              </w:rPr>
              <w:t>347.76</w:t>
            </w:r>
            <w:r>
              <w:rPr>
                <w:rFonts w:hint="default" w:ascii="Times New Roman" w:hAnsi="Times New Roman" w:eastAsia="宋体" w:cs="Times New Roman"/>
                <w:kern w:val="0"/>
                <w:szCs w:val="21"/>
                <w:highlight w:val="none"/>
                <w:lang w:val="en-US" w:eastAsia="zh-CN"/>
              </w:rPr>
              <w:t>t</w:t>
            </w:r>
          </w:p>
        </w:tc>
        <w:tc>
          <w:tcPr>
            <w:tcW w:w="936" w:type="pct"/>
            <w:vAlign w:val="center"/>
          </w:tcPr>
          <w:p w14:paraId="4732E26D">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kern w:val="0"/>
                <w:szCs w:val="21"/>
                <w:highlight w:val="none"/>
                <w:lang w:val="en-US" w:eastAsia="zh-CN"/>
              </w:rPr>
            </w:pPr>
            <w:r>
              <w:rPr>
                <w:rFonts w:hint="eastAsia" w:ascii="Times New Roman" w:hAnsi="Times New Roman" w:eastAsia="宋体" w:cs="Times New Roman"/>
                <w:kern w:val="0"/>
                <w:szCs w:val="21"/>
                <w:highlight w:val="none"/>
                <w:lang w:val="en-US" w:eastAsia="zh-CN"/>
              </w:rPr>
              <w:t>储</w:t>
            </w:r>
            <w:r>
              <w:rPr>
                <w:rFonts w:hint="default" w:ascii="Times New Roman" w:hAnsi="Times New Roman" w:eastAsia="宋体" w:cs="Times New Roman"/>
                <w:kern w:val="0"/>
                <w:szCs w:val="21"/>
                <w:highlight w:val="none"/>
                <w:lang w:val="en-US" w:eastAsia="zh-CN"/>
              </w:rPr>
              <w:t>罐，</w:t>
            </w:r>
            <w:r>
              <w:rPr>
                <w:rFonts w:hint="eastAsia" w:ascii="Times New Roman" w:hAnsi="Times New Roman" w:eastAsia="宋体" w:cs="Times New Roman"/>
                <w:kern w:val="0"/>
                <w:szCs w:val="21"/>
                <w:highlight w:val="none"/>
                <w:lang w:val="en-US" w:eastAsia="zh-CN"/>
              </w:rPr>
              <w:t>69m</w:t>
            </w:r>
            <w:r>
              <w:rPr>
                <w:rFonts w:hint="eastAsia" w:ascii="Times New Roman" w:hAnsi="Times New Roman" w:eastAsia="宋体" w:cs="Times New Roman"/>
                <w:kern w:val="0"/>
                <w:szCs w:val="21"/>
                <w:highlight w:val="none"/>
                <w:vertAlign w:val="superscript"/>
                <w:lang w:val="en-US" w:eastAsia="zh-CN"/>
              </w:rPr>
              <w:t>3</w:t>
            </w:r>
            <w:r>
              <w:rPr>
                <w:rFonts w:hint="default" w:ascii="Times New Roman" w:hAnsi="Times New Roman" w:eastAsia="宋体" w:cs="Times New Roman"/>
                <w:kern w:val="0"/>
                <w:szCs w:val="21"/>
                <w:highlight w:val="none"/>
                <w:lang w:val="en-US" w:eastAsia="zh-CN"/>
              </w:rPr>
              <w:t>×</w:t>
            </w:r>
            <w:r>
              <w:rPr>
                <w:rFonts w:hint="eastAsia" w:ascii="Times New Roman" w:hAnsi="Times New Roman" w:eastAsia="宋体" w:cs="Times New Roman"/>
                <w:kern w:val="0"/>
                <w:szCs w:val="21"/>
                <w:highlight w:val="none"/>
                <w:lang w:val="en-US" w:eastAsia="zh-CN"/>
              </w:rPr>
              <w:t>4</w:t>
            </w:r>
          </w:p>
        </w:tc>
        <w:tc>
          <w:tcPr>
            <w:tcW w:w="1038" w:type="pct"/>
            <w:vAlign w:val="center"/>
          </w:tcPr>
          <w:p w14:paraId="5BFB623F">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eastAsia" w:ascii="Times New Roman" w:hAnsi="Times New Roman" w:eastAsia="宋体" w:cs="Times New Roman"/>
                <w:kern w:val="0"/>
                <w:szCs w:val="21"/>
                <w:highlight w:val="none"/>
                <w:lang w:val="en-US" w:eastAsia="zh-CN"/>
              </w:rPr>
            </w:pPr>
            <w:r>
              <w:rPr>
                <w:rFonts w:hint="eastAsia" w:ascii="Times New Roman" w:hAnsi="Times New Roman" w:eastAsia="宋体" w:cs="Times New Roman"/>
                <w:kern w:val="0"/>
                <w:szCs w:val="21"/>
                <w:highlight w:val="none"/>
                <w:lang w:val="en-US" w:eastAsia="zh-CN"/>
              </w:rPr>
              <w:t>氯化分厂内</w:t>
            </w:r>
          </w:p>
          <w:p w14:paraId="21434CB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kern w:val="0"/>
                <w:szCs w:val="21"/>
                <w:highlight w:val="none"/>
                <w:lang w:val="en-US" w:eastAsia="zh-CN"/>
              </w:rPr>
            </w:pPr>
            <w:r>
              <w:rPr>
                <w:rFonts w:hint="default" w:ascii="Times New Roman" w:hAnsi="Times New Roman" w:eastAsia="宋体" w:cs="Times New Roman"/>
                <w:kern w:val="0"/>
                <w:szCs w:val="21"/>
                <w:highlight w:val="none"/>
                <w:lang w:val="en-US" w:eastAsia="zh-CN"/>
              </w:rPr>
              <w:t>盐酸/碱液储罐区</w:t>
            </w:r>
          </w:p>
        </w:tc>
      </w:tr>
      <w:tr w14:paraId="7D2589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trPr>
        <w:tc>
          <w:tcPr>
            <w:tcW w:w="449" w:type="pct"/>
            <w:vAlign w:val="center"/>
          </w:tcPr>
          <w:p w14:paraId="1FE41878">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kern w:val="0"/>
                <w:szCs w:val="21"/>
                <w:highlight w:val="none"/>
                <w:lang w:val="en-US" w:eastAsia="zh-CN"/>
              </w:rPr>
            </w:pPr>
            <w:r>
              <w:rPr>
                <w:rFonts w:hint="default" w:ascii="Times New Roman" w:hAnsi="Times New Roman" w:eastAsia="宋体" w:cs="Times New Roman"/>
                <w:sz w:val="21"/>
                <w:szCs w:val="21"/>
              </w:rPr>
              <w:t>2</w:t>
            </w:r>
          </w:p>
        </w:tc>
        <w:tc>
          <w:tcPr>
            <w:tcW w:w="756" w:type="pct"/>
            <w:vAlign w:val="center"/>
          </w:tcPr>
          <w:p w14:paraId="370F3DCD">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cs="Times New Roman"/>
                <w:kern w:val="0"/>
                <w:szCs w:val="21"/>
                <w:highlight w:val="none"/>
                <w:lang w:val="en-US" w:eastAsia="zh-CN"/>
              </w:rPr>
            </w:pPr>
            <w:r>
              <w:rPr>
                <w:rFonts w:hint="eastAsia" w:ascii="Times New Roman" w:hAnsi="Times New Roman" w:eastAsia="宋体" w:cs="Times New Roman"/>
                <w:sz w:val="21"/>
                <w:szCs w:val="21"/>
                <w:lang w:val="en-US" w:eastAsia="zh-CN"/>
              </w:rPr>
              <w:t>次氯酸钠</w:t>
            </w:r>
          </w:p>
        </w:tc>
        <w:tc>
          <w:tcPr>
            <w:tcW w:w="691" w:type="pct"/>
            <w:vAlign w:val="center"/>
          </w:tcPr>
          <w:p w14:paraId="55E457BA">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kern w:val="0"/>
                <w:szCs w:val="21"/>
                <w:highlight w:val="none"/>
                <w:lang w:val="en-US" w:eastAsia="zh-CN"/>
              </w:rPr>
            </w:pPr>
            <w:r>
              <w:rPr>
                <w:rFonts w:hint="eastAsia" w:ascii="Times New Roman" w:hAnsi="Times New Roman" w:eastAsia="宋体" w:cs="Times New Roman"/>
                <w:kern w:val="0"/>
                <w:szCs w:val="21"/>
                <w:highlight w:val="none"/>
                <w:lang w:val="en-US" w:eastAsia="zh-CN"/>
              </w:rPr>
              <w:t>戊</w:t>
            </w:r>
            <w:r>
              <w:rPr>
                <w:rFonts w:hint="default" w:ascii="Times New Roman" w:hAnsi="Times New Roman" w:eastAsia="宋体" w:cs="Times New Roman"/>
                <w:kern w:val="0"/>
                <w:szCs w:val="21"/>
                <w:highlight w:val="none"/>
                <w:lang w:val="en-US" w:eastAsia="zh-CN"/>
              </w:rPr>
              <w:t>类</w:t>
            </w:r>
          </w:p>
        </w:tc>
        <w:tc>
          <w:tcPr>
            <w:tcW w:w="882" w:type="dxa"/>
            <w:vAlign w:val="center"/>
          </w:tcPr>
          <w:p w14:paraId="3C23B27E">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cs="Times New Roman"/>
                <w:kern w:val="0"/>
                <w:szCs w:val="21"/>
                <w:highlight w:val="none"/>
                <w:lang w:val="en-US" w:eastAsia="zh-CN"/>
              </w:rPr>
            </w:pPr>
            <w:r>
              <w:rPr>
                <w:rFonts w:hint="default" w:ascii="Times New Roman" w:hAnsi="Times New Roman" w:eastAsia="宋体" w:cs="Times New Roman"/>
                <w:kern w:val="0"/>
                <w:szCs w:val="21"/>
                <w:highlight w:val="none"/>
                <w:lang w:val="en-US" w:eastAsia="zh-CN"/>
              </w:rPr>
              <w:t>液态</w:t>
            </w:r>
          </w:p>
        </w:tc>
        <w:tc>
          <w:tcPr>
            <w:tcW w:w="657" w:type="pct"/>
            <w:vAlign w:val="center"/>
          </w:tcPr>
          <w:p w14:paraId="020F0F2F">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cs="Times New Roman"/>
                <w:kern w:val="0"/>
                <w:szCs w:val="21"/>
                <w:highlight w:val="none"/>
                <w:lang w:val="en-US" w:eastAsia="zh-CN"/>
              </w:rPr>
            </w:pPr>
            <w:r>
              <w:rPr>
                <w:rFonts w:hint="eastAsia" w:ascii="Times New Roman" w:hAnsi="Times New Roman" w:cs="Times New Roman"/>
                <w:kern w:val="0"/>
                <w:szCs w:val="21"/>
                <w:highlight w:val="none"/>
                <w:lang w:val="en-US" w:eastAsia="zh-CN"/>
              </w:rPr>
              <w:t>726t</w:t>
            </w:r>
          </w:p>
        </w:tc>
        <w:tc>
          <w:tcPr>
            <w:tcW w:w="936" w:type="pct"/>
            <w:vAlign w:val="center"/>
          </w:tcPr>
          <w:p w14:paraId="66E6A5CB">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cs="Times New Roman"/>
                <w:kern w:val="0"/>
                <w:szCs w:val="21"/>
                <w:highlight w:val="none"/>
                <w:vertAlign w:val="baseline"/>
                <w:lang w:val="en-US" w:eastAsia="zh-CN"/>
              </w:rPr>
            </w:pPr>
            <w:r>
              <w:rPr>
                <w:rFonts w:hint="eastAsia" w:ascii="Times New Roman" w:hAnsi="Times New Roman" w:cs="Times New Roman"/>
                <w:kern w:val="0"/>
                <w:szCs w:val="21"/>
                <w:highlight w:val="none"/>
                <w:lang w:val="en-US" w:eastAsia="zh-CN"/>
              </w:rPr>
              <w:t>储罐，200m</w:t>
            </w:r>
            <w:r>
              <w:rPr>
                <w:rFonts w:hint="eastAsia" w:ascii="Times New Roman" w:hAnsi="Times New Roman" w:cs="Times New Roman"/>
                <w:kern w:val="0"/>
                <w:szCs w:val="21"/>
                <w:highlight w:val="none"/>
                <w:vertAlign w:val="superscript"/>
                <w:lang w:val="en-US" w:eastAsia="zh-CN"/>
              </w:rPr>
              <w:t>3</w:t>
            </w:r>
            <w:r>
              <w:rPr>
                <w:rFonts w:hint="default" w:ascii="Times New Roman" w:hAnsi="Times New Roman" w:eastAsia="宋体" w:cs="Times New Roman"/>
                <w:kern w:val="0"/>
                <w:szCs w:val="21"/>
                <w:highlight w:val="none"/>
                <w:lang w:val="en-US" w:eastAsia="zh-CN"/>
              </w:rPr>
              <w:t>×</w:t>
            </w:r>
            <w:r>
              <w:rPr>
                <w:rFonts w:hint="eastAsia" w:ascii="Times New Roman" w:hAnsi="Times New Roman" w:eastAsia="宋体" w:cs="Times New Roman"/>
                <w:kern w:val="0"/>
                <w:szCs w:val="21"/>
                <w:highlight w:val="none"/>
                <w:lang w:val="en-US" w:eastAsia="zh-CN"/>
              </w:rPr>
              <w:t>3</w:t>
            </w:r>
          </w:p>
        </w:tc>
        <w:tc>
          <w:tcPr>
            <w:tcW w:w="1038" w:type="pct"/>
            <w:vAlign w:val="center"/>
          </w:tcPr>
          <w:p w14:paraId="51174AC8">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kern w:val="0"/>
                <w:szCs w:val="21"/>
                <w:highlight w:val="none"/>
                <w:lang w:val="en-US" w:eastAsia="zh-CN"/>
              </w:rPr>
            </w:pPr>
            <w:r>
              <w:rPr>
                <w:rFonts w:hint="eastAsia" w:ascii="Times New Roman" w:hAnsi="Times New Roman" w:eastAsia="宋体" w:cs="Times New Roman"/>
                <w:kern w:val="0"/>
                <w:szCs w:val="21"/>
                <w:highlight w:val="none"/>
                <w:lang w:val="en-US" w:eastAsia="zh-CN"/>
              </w:rPr>
              <w:t>镁电解分厂内</w:t>
            </w:r>
          </w:p>
        </w:tc>
      </w:tr>
      <w:tr w14:paraId="5A5695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trPr>
        <w:tc>
          <w:tcPr>
            <w:tcW w:w="449" w:type="pct"/>
            <w:vAlign w:val="center"/>
          </w:tcPr>
          <w:p w14:paraId="3E666A66">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kern w:val="0"/>
                <w:szCs w:val="21"/>
                <w:highlight w:val="none"/>
                <w:lang w:val="en-US" w:eastAsia="zh-CN"/>
              </w:rPr>
            </w:pPr>
            <w:r>
              <w:rPr>
                <w:rFonts w:hint="eastAsia" w:ascii="Times New Roman" w:hAnsi="Times New Roman" w:eastAsia="宋体" w:cs="Times New Roman"/>
                <w:sz w:val="21"/>
                <w:szCs w:val="21"/>
                <w:lang w:val="en-US" w:eastAsia="zh-CN"/>
              </w:rPr>
              <w:t>3</w:t>
            </w:r>
          </w:p>
        </w:tc>
        <w:tc>
          <w:tcPr>
            <w:tcW w:w="756" w:type="pct"/>
            <w:vAlign w:val="center"/>
          </w:tcPr>
          <w:p w14:paraId="14A6944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cs="Times New Roman"/>
                <w:kern w:val="0"/>
                <w:szCs w:val="21"/>
                <w:highlight w:val="none"/>
                <w:lang w:val="en-US" w:eastAsia="zh-CN"/>
              </w:rPr>
            </w:pPr>
            <w:r>
              <w:rPr>
                <w:rFonts w:hint="eastAsia" w:ascii="Times New Roman" w:hAnsi="Times New Roman" w:eastAsia="宋体" w:cs="Times New Roman"/>
                <w:sz w:val="21"/>
                <w:szCs w:val="21"/>
                <w:lang w:val="en-US" w:eastAsia="zh-CN"/>
              </w:rPr>
              <w:t>高硅四氯化钛</w:t>
            </w:r>
          </w:p>
        </w:tc>
        <w:tc>
          <w:tcPr>
            <w:tcW w:w="691" w:type="pct"/>
            <w:vAlign w:val="center"/>
          </w:tcPr>
          <w:p w14:paraId="3144A0AD">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kern w:val="0"/>
                <w:szCs w:val="21"/>
                <w:highlight w:val="none"/>
                <w:lang w:val="en-US" w:eastAsia="zh-CN"/>
              </w:rPr>
            </w:pPr>
            <w:r>
              <w:rPr>
                <w:rFonts w:hint="eastAsia" w:ascii="Times New Roman" w:hAnsi="Times New Roman" w:eastAsia="宋体" w:cs="Times New Roman"/>
                <w:kern w:val="0"/>
                <w:szCs w:val="21"/>
                <w:highlight w:val="none"/>
                <w:lang w:val="en-US" w:eastAsia="zh-CN"/>
              </w:rPr>
              <w:t>戊</w:t>
            </w:r>
            <w:r>
              <w:rPr>
                <w:rFonts w:hint="default" w:ascii="Times New Roman" w:hAnsi="Times New Roman" w:eastAsia="宋体" w:cs="Times New Roman"/>
                <w:kern w:val="0"/>
                <w:szCs w:val="21"/>
                <w:highlight w:val="none"/>
                <w:lang w:val="en-US" w:eastAsia="zh-CN"/>
              </w:rPr>
              <w:t>类</w:t>
            </w:r>
          </w:p>
        </w:tc>
        <w:tc>
          <w:tcPr>
            <w:tcW w:w="882" w:type="dxa"/>
            <w:vAlign w:val="center"/>
          </w:tcPr>
          <w:p w14:paraId="5EC66F9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cs="Times New Roman"/>
                <w:kern w:val="0"/>
                <w:szCs w:val="21"/>
                <w:highlight w:val="none"/>
                <w:lang w:val="en-US" w:eastAsia="zh-CN"/>
              </w:rPr>
            </w:pPr>
            <w:r>
              <w:rPr>
                <w:rFonts w:hint="default" w:ascii="Times New Roman" w:hAnsi="Times New Roman" w:eastAsia="宋体" w:cs="Times New Roman"/>
                <w:kern w:val="0"/>
                <w:szCs w:val="21"/>
                <w:highlight w:val="none"/>
                <w:lang w:val="en-US" w:eastAsia="zh-CN"/>
              </w:rPr>
              <w:t>液态</w:t>
            </w:r>
          </w:p>
        </w:tc>
        <w:tc>
          <w:tcPr>
            <w:tcW w:w="657" w:type="pct"/>
            <w:vAlign w:val="center"/>
          </w:tcPr>
          <w:p w14:paraId="11671BBB">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cs="Times New Roman"/>
                <w:kern w:val="0"/>
                <w:szCs w:val="21"/>
                <w:highlight w:val="none"/>
                <w:lang w:val="en-US" w:eastAsia="zh-CN"/>
              </w:rPr>
            </w:pPr>
            <w:r>
              <w:rPr>
                <w:rFonts w:hint="eastAsia" w:ascii="Times New Roman" w:hAnsi="Times New Roman" w:cs="Times New Roman"/>
                <w:kern w:val="0"/>
                <w:szCs w:val="21"/>
                <w:highlight w:val="none"/>
                <w:lang w:val="en-US" w:eastAsia="zh-CN"/>
              </w:rPr>
              <w:t>55.36t</w:t>
            </w:r>
          </w:p>
        </w:tc>
        <w:tc>
          <w:tcPr>
            <w:tcW w:w="936" w:type="pct"/>
            <w:vAlign w:val="center"/>
          </w:tcPr>
          <w:p w14:paraId="56E6331F">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kern w:val="0"/>
                <w:szCs w:val="21"/>
                <w:highlight w:val="none"/>
                <w:lang w:val="en-US" w:eastAsia="zh-CN"/>
              </w:rPr>
            </w:pPr>
            <w:r>
              <w:rPr>
                <w:rFonts w:hint="eastAsia" w:ascii="Times New Roman" w:hAnsi="Times New Roman" w:eastAsia="宋体" w:cs="Times New Roman"/>
                <w:kern w:val="0"/>
                <w:szCs w:val="21"/>
                <w:highlight w:val="none"/>
                <w:lang w:val="en-US" w:eastAsia="zh-CN"/>
              </w:rPr>
              <w:t>储罐，16</w:t>
            </w:r>
            <w:r>
              <w:rPr>
                <w:rFonts w:hint="eastAsia" w:ascii="Times New Roman" w:hAnsi="Times New Roman" w:cs="Times New Roman"/>
                <w:kern w:val="0"/>
                <w:szCs w:val="21"/>
                <w:highlight w:val="none"/>
                <w:lang w:val="en-US" w:eastAsia="zh-CN"/>
              </w:rPr>
              <w:t>m</w:t>
            </w:r>
            <w:r>
              <w:rPr>
                <w:rFonts w:hint="eastAsia" w:ascii="Times New Roman" w:hAnsi="Times New Roman" w:cs="Times New Roman"/>
                <w:kern w:val="0"/>
                <w:szCs w:val="21"/>
                <w:highlight w:val="none"/>
                <w:vertAlign w:val="superscript"/>
                <w:lang w:val="en-US" w:eastAsia="zh-CN"/>
              </w:rPr>
              <w:t>3</w:t>
            </w:r>
            <w:r>
              <w:rPr>
                <w:rFonts w:hint="default" w:ascii="Times New Roman" w:hAnsi="Times New Roman" w:eastAsia="宋体" w:cs="Times New Roman"/>
                <w:kern w:val="0"/>
                <w:szCs w:val="21"/>
                <w:highlight w:val="none"/>
                <w:lang w:val="en-US" w:eastAsia="zh-CN"/>
              </w:rPr>
              <w:t>×</w:t>
            </w:r>
            <w:r>
              <w:rPr>
                <w:rFonts w:hint="eastAsia" w:ascii="Times New Roman" w:hAnsi="Times New Roman" w:eastAsia="宋体" w:cs="Times New Roman"/>
                <w:kern w:val="0"/>
                <w:szCs w:val="21"/>
                <w:highlight w:val="none"/>
                <w:lang w:val="en-US" w:eastAsia="zh-CN"/>
              </w:rPr>
              <w:t>2</w:t>
            </w:r>
          </w:p>
        </w:tc>
        <w:tc>
          <w:tcPr>
            <w:tcW w:w="1038" w:type="pct"/>
            <w:vAlign w:val="center"/>
          </w:tcPr>
          <w:p w14:paraId="655F62EF">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eastAsia" w:ascii="Times New Roman" w:hAnsi="Times New Roman" w:eastAsia="宋体" w:cs="Times New Roman"/>
                <w:kern w:val="0"/>
                <w:szCs w:val="21"/>
                <w:highlight w:val="none"/>
                <w:lang w:val="en-US" w:eastAsia="zh-CN"/>
              </w:rPr>
            </w:pPr>
            <w:r>
              <w:rPr>
                <w:rFonts w:hint="eastAsia" w:ascii="Times New Roman" w:hAnsi="Times New Roman" w:eastAsia="宋体" w:cs="Times New Roman"/>
                <w:kern w:val="0"/>
                <w:szCs w:val="21"/>
                <w:highlight w:val="none"/>
                <w:lang w:val="en-US" w:eastAsia="zh-CN"/>
              </w:rPr>
              <w:t>氯化分厂内</w:t>
            </w:r>
          </w:p>
          <w:p w14:paraId="5EC41724">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kern w:val="0"/>
                <w:szCs w:val="21"/>
                <w:highlight w:val="none"/>
                <w:lang w:val="en-US" w:eastAsia="zh-CN"/>
              </w:rPr>
            </w:pPr>
            <w:r>
              <w:rPr>
                <w:rFonts w:hint="eastAsia" w:ascii="Times New Roman" w:hAnsi="Times New Roman" w:eastAsia="宋体" w:cs="Times New Roman"/>
                <w:kern w:val="0"/>
                <w:szCs w:val="21"/>
                <w:highlight w:val="none"/>
                <w:lang w:val="en-US" w:eastAsia="zh-CN"/>
              </w:rPr>
              <w:t>精制车间内4F</w:t>
            </w:r>
          </w:p>
        </w:tc>
      </w:tr>
    </w:tbl>
    <w:p w14:paraId="76AD118C">
      <w:pPr>
        <w:adjustRightInd w:val="0"/>
        <w:snapToGrid w:val="0"/>
        <w:spacing w:before="312" w:beforeLines="100" w:after="312" w:afterLines="100" w:line="360" w:lineRule="auto"/>
        <w:jc w:val="center"/>
        <w:outlineLvl w:val="1"/>
        <w:rPr>
          <w:rFonts w:hint="eastAsia" w:ascii="Times New Roman" w:hAnsi="Times New Roman" w:eastAsia="楷体" w:cs="黑体"/>
          <w:b/>
          <w:sz w:val="32"/>
          <w:szCs w:val="32"/>
          <w14:ligatures w14:val="none"/>
        </w:rPr>
      </w:pPr>
      <w:bookmarkStart w:id="97" w:name="_Toc19936"/>
      <w:r>
        <w:rPr>
          <w:rFonts w:hint="eastAsia" w:ascii="Times New Roman" w:hAnsi="Times New Roman" w:eastAsia="楷体" w:cs="黑体"/>
          <w:b/>
          <w:sz w:val="32"/>
          <w:szCs w:val="32"/>
          <w14:ligatures w14:val="none"/>
        </w:rPr>
        <w:t>2.</w:t>
      </w:r>
      <w:r>
        <w:rPr>
          <w:rFonts w:hint="eastAsia" w:ascii="Times New Roman" w:hAnsi="Times New Roman" w:eastAsia="楷体" w:cs="黑体"/>
          <w:b/>
          <w:sz w:val="32"/>
          <w:szCs w:val="32"/>
          <w:lang w:val="en-US" w:eastAsia="zh-CN"/>
          <w14:ligatures w14:val="none"/>
        </w:rPr>
        <w:t>5</w:t>
      </w:r>
      <w:r>
        <w:rPr>
          <w:rFonts w:hint="eastAsia" w:ascii="Times New Roman" w:hAnsi="Times New Roman" w:eastAsia="楷体" w:cs="黑体"/>
          <w:b/>
          <w:sz w:val="32"/>
          <w:szCs w:val="32"/>
          <w14:ligatures w14:val="none"/>
        </w:rPr>
        <w:t>公用工程</w:t>
      </w:r>
      <w:bookmarkEnd w:id="97"/>
    </w:p>
    <w:p w14:paraId="60B8CBFC">
      <w:pPr>
        <w:tabs>
          <w:tab w:val="left" w:pos="840"/>
          <w:tab w:val="left" w:pos="1260"/>
        </w:tabs>
        <w:adjustRightInd w:val="0"/>
        <w:snapToGrid w:val="0"/>
        <w:spacing w:before="156" w:beforeLines="50" w:after="156" w:afterLines="50" w:line="360" w:lineRule="auto"/>
        <w:ind w:firstLine="562" w:firstLineChars="200"/>
        <w:jc w:val="both"/>
        <w:outlineLvl w:val="2"/>
        <w:rPr>
          <w:rFonts w:hint="default" w:ascii="Times New Roman" w:hAnsi="Times New Roman" w:eastAsia="黑体" w:cs="Times New Roman"/>
          <w:b/>
          <w:sz w:val="28"/>
          <w:szCs w:val="32"/>
          <w:lang w:val="en-US" w:eastAsia="zh-CN"/>
          <w14:ligatures w14:val="none"/>
        </w:rPr>
      </w:pPr>
      <w:r>
        <w:rPr>
          <w:rFonts w:hint="eastAsia" w:ascii="Times New Roman" w:hAnsi="Times New Roman" w:eastAsia="黑体" w:cs="Times New Roman"/>
          <w:b/>
          <w:sz w:val="28"/>
          <w:szCs w:val="32"/>
          <w:lang w:val="en-US" w:eastAsia="zh-CN"/>
          <w14:ligatures w14:val="none"/>
        </w:rPr>
        <w:t>2.5.1给水</w:t>
      </w:r>
    </w:p>
    <w:p w14:paraId="7FBC8F97">
      <w:pPr>
        <w:adjustRightInd w:val="0"/>
        <w:snapToGrid w:val="0"/>
        <w:spacing w:after="0" w:line="360" w:lineRule="auto"/>
        <w:ind w:firstLine="560" w:firstLineChars="20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厂区给水系统分为生产给水系统、消防给水系统、生活给水系统三套独立的给水系统。生产给水、消防给水、生活给水由加压泵站及贮水池供给。</w:t>
      </w:r>
    </w:p>
    <w:p w14:paraId="1A120728">
      <w:pPr>
        <w:adjustRightInd w:val="0"/>
        <w:snapToGrid w:val="0"/>
        <w:spacing w:after="0" w:line="360" w:lineRule="auto"/>
        <w:ind w:firstLine="560" w:firstLineChars="200"/>
        <w:jc w:val="both"/>
        <w:rPr>
          <w:rFonts w:hint="eastAsia" w:ascii="Times New Roman" w:hAnsi="Times New Roman" w:eastAsia="宋体" w:cs="Times New Roman"/>
          <w:sz w:val="28"/>
          <w:szCs w:val="28"/>
          <w:lang w:val="en-US" w:eastAsia="zh-CN"/>
          <w14:ligatures w14:val="none"/>
        </w:rPr>
      </w:pPr>
      <w:r>
        <w:rPr>
          <w:rFonts w:hint="eastAsia" w:ascii="Times New Roman" w:hAnsi="Times New Roman" w:eastAsia="宋体" w:cs="Times New Roman"/>
          <w:sz w:val="28"/>
          <w:szCs w:val="28"/>
          <w:lang w:val="en-US" w:eastAsia="zh-CN"/>
          <w14:ligatures w14:val="none"/>
        </w:rPr>
        <w:t>消防用水：</w:t>
      </w:r>
      <w:r>
        <w:rPr>
          <w:rFonts w:hint="eastAsia" w:ascii="Times New Roman" w:hAnsi="Times New Roman" w:eastAsia="宋体" w:cs="Times New Roman"/>
          <w:sz w:val="28"/>
          <w:szCs w:val="28"/>
          <w14:ligatures w14:val="none"/>
        </w:rPr>
        <w:t>本项目</w:t>
      </w:r>
      <w:r>
        <w:rPr>
          <w:rFonts w:hint="eastAsia" w:ascii="Times New Roman" w:hAnsi="Times New Roman" w:eastAsia="宋体" w:cs="Times New Roman"/>
          <w:sz w:val="28"/>
          <w:szCs w:val="28"/>
          <w:lang w:val="en-US" w:eastAsia="zh-CN"/>
          <w14:ligatures w14:val="none"/>
        </w:rPr>
        <w:t>三组储罐均为</w:t>
      </w:r>
      <w:r>
        <w:rPr>
          <w:rFonts w:hint="eastAsia" w:ascii="Times New Roman" w:hAnsi="Times New Roman" w:eastAsia="宋体" w:cs="Times New Roman"/>
          <w:sz w:val="28"/>
          <w:szCs w:val="28"/>
          <w14:ligatures w14:val="none"/>
        </w:rPr>
        <w:t>戊类储罐不可燃，不</w:t>
      </w:r>
      <w:r>
        <w:rPr>
          <w:rFonts w:hint="eastAsia" w:ascii="Times New Roman" w:hAnsi="Times New Roman" w:eastAsia="宋体" w:cs="Times New Roman"/>
          <w:sz w:val="28"/>
          <w:szCs w:val="28"/>
          <w:lang w:val="en-US" w:eastAsia="zh-CN"/>
          <w14:ligatures w14:val="none"/>
        </w:rPr>
        <w:t>涉及到</w:t>
      </w:r>
      <w:r>
        <w:rPr>
          <w:rFonts w:hint="eastAsia" w:ascii="Times New Roman" w:hAnsi="Times New Roman" w:eastAsia="宋体" w:cs="Times New Roman"/>
          <w:sz w:val="28"/>
          <w:szCs w:val="28"/>
          <w14:ligatures w14:val="none"/>
        </w:rPr>
        <w:t>消防</w:t>
      </w:r>
      <w:r>
        <w:rPr>
          <w:rFonts w:hint="eastAsia" w:ascii="Times New Roman" w:hAnsi="Times New Roman" w:eastAsia="宋体" w:cs="Times New Roman"/>
          <w:sz w:val="28"/>
          <w:szCs w:val="28"/>
          <w:lang w:val="en-US" w:eastAsia="zh-CN"/>
          <w14:ligatures w14:val="none"/>
        </w:rPr>
        <w:t>用水。</w:t>
      </w:r>
    </w:p>
    <w:p w14:paraId="25D6EB68">
      <w:pPr>
        <w:adjustRightInd w:val="0"/>
        <w:snapToGrid w:val="0"/>
        <w:spacing w:after="0" w:line="360" w:lineRule="auto"/>
        <w:ind w:firstLine="560" w:firstLineChars="200"/>
        <w:jc w:val="both"/>
        <w:rPr>
          <w:rFonts w:hint="eastAsia" w:ascii="Times New Roman" w:hAnsi="Times New Roman" w:eastAsia="宋体" w:cs="Times New Roman"/>
          <w:sz w:val="28"/>
          <w:szCs w:val="28"/>
          <w:lang w:val="en-US" w:eastAsia="zh-CN"/>
          <w14:ligatures w14:val="none"/>
        </w:rPr>
      </w:pPr>
      <w:r>
        <w:rPr>
          <w:rFonts w:hint="eastAsia" w:ascii="Times New Roman" w:hAnsi="Times New Roman" w:eastAsia="宋体" w:cs="Times New Roman"/>
          <w:sz w:val="28"/>
          <w:szCs w:val="28"/>
          <w:lang w:val="en-US" w:eastAsia="zh-CN"/>
          <w14:ligatures w14:val="none"/>
        </w:rPr>
        <w:t>生产用水：不涉及生产用水。</w:t>
      </w:r>
    </w:p>
    <w:p w14:paraId="767D1B6A">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eastAsia" w:ascii="Times New Roman" w:hAnsi="Times New Roman" w:eastAsia="宋体" w:cs="Times New Roman"/>
          <w:sz w:val="28"/>
          <w:szCs w:val="28"/>
          <w:lang w:val="en-US" w:eastAsia="zh-CN"/>
          <w14:ligatures w14:val="none"/>
        </w:rPr>
        <w:t>生活用水：本项目用水主要为罐区洗眼器用水，水源依托厂内原有生活用水。厂内现有给水系统能够满足要求。</w:t>
      </w:r>
    </w:p>
    <w:p w14:paraId="03C68D8F">
      <w:pPr>
        <w:tabs>
          <w:tab w:val="left" w:pos="840"/>
          <w:tab w:val="left" w:pos="1260"/>
        </w:tabs>
        <w:adjustRightInd w:val="0"/>
        <w:snapToGrid w:val="0"/>
        <w:spacing w:before="156" w:beforeLines="50" w:after="156" w:afterLines="50" w:line="360" w:lineRule="auto"/>
        <w:ind w:firstLine="562" w:firstLineChars="200"/>
        <w:jc w:val="both"/>
        <w:outlineLvl w:val="2"/>
        <w:rPr>
          <w:rFonts w:hint="default" w:ascii="Times New Roman" w:hAnsi="Times New Roman" w:eastAsia="黑体" w:cs="Times New Roman"/>
          <w:b/>
          <w:sz w:val="28"/>
          <w:szCs w:val="32"/>
          <w:lang w:val="en-US" w:eastAsia="zh-CN"/>
          <w14:ligatures w14:val="none"/>
        </w:rPr>
      </w:pPr>
      <w:r>
        <w:rPr>
          <w:rFonts w:hint="eastAsia" w:ascii="Times New Roman" w:hAnsi="Times New Roman" w:eastAsia="黑体" w:cs="Times New Roman"/>
          <w:b/>
          <w:sz w:val="28"/>
          <w:szCs w:val="32"/>
          <w:lang w:val="en-US" w:eastAsia="zh-CN"/>
          <w14:ligatures w14:val="none"/>
        </w:rPr>
        <w:t>2.5.2排水</w:t>
      </w:r>
    </w:p>
    <w:p w14:paraId="4DFB27F1">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imes New Roman"/>
          <w:sz w:val="28"/>
          <w:szCs w:val="28"/>
          <w:lang w:val="en-US" w:eastAsia="zh-CN"/>
          <w14:ligatures w14:val="none"/>
        </w:rPr>
      </w:pPr>
      <w:r>
        <w:rPr>
          <w:rFonts w:hint="eastAsia" w:ascii="Times New Roman" w:hAnsi="Times New Roman" w:eastAsia="宋体" w:cs="Times New Roman"/>
          <w:sz w:val="28"/>
          <w:szCs w:val="28"/>
          <w:lang w:val="en-US" w:eastAsia="zh-CN"/>
          <w14:ligatures w14:val="none"/>
        </w:rPr>
        <w:t>（1）排水系统</w:t>
      </w:r>
    </w:p>
    <w:p w14:paraId="06ABD91D">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eastAsia" w:ascii="Times New Roman" w:hAnsi="Times New Roman" w:eastAsia="宋体" w:cs="Times New Roman"/>
          <w:sz w:val="28"/>
          <w:szCs w:val="28"/>
          <w:lang w:val="en-US" w:eastAsia="zh-CN"/>
          <w14:ligatures w14:val="none"/>
        </w:rPr>
      </w:pPr>
      <w:r>
        <w:rPr>
          <w:rFonts w:hint="eastAsia" w:ascii="Times New Roman" w:hAnsi="Times New Roman" w:eastAsia="宋体" w:cs="Times New Roman"/>
          <w:sz w:val="28"/>
          <w:szCs w:val="28"/>
          <w:lang w:val="en-US" w:eastAsia="zh-CN"/>
          <w14:ligatures w14:val="none"/>
        </w:rPr>
        <w:t>采用完全的雨污分流排水体制，厂区排水系统共设置污废水排水系统、雨水排水系统两套独立的排水系统。</w:t>
      </w:r>
    </w:p>
    <w:p w14:paraId="6286C67E">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eastAsia" w:ascii="Times New Roman" w:hAnsi="Times New Roman" w:eastAsia="宋体" w:cs="Times New Roman"/>
          <w:sz w:val="28"/>
          <w:szCs w:val="28"/>
          <w:lang w:val="en-US" w:eastAsia="zh-CN"/>
          <w14:ligatures w14:val="none"/>
        </w:rPr>
      </w:pPr>
      <w:r>
        <w:rPr>
          <w:rFonts w:hint="eastAsia" w:ascii="Times New Roman" w:hAnsi="Times New Roman" w:eastAsia="宋体" w:cs="Times New Roman"/>
          <w:sz w:val="28"/>
          <w:szCs w:val="28"/>
          <w:lang w:val="en-US" w:eastAsia="zh-CN"/>
          <w14:ligatures w14:val="none"/>
        </w:rPr>
        <w:t>1）污废水排水系统</w:t>
      </w:r>
    </w:p>
    <w:p w14:paraId="3453E37F">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eastAsia" w:ascii="Times New Roman" w:hAnsi="Times New Roman" w:eastAsia="宋体" w:cs="Times New Roman"/>
          <w:sz w:val="28"/>
          <w:szCs w:val="28"/>
          <w:lang w:val="en-US" w:eastAsia="zh-CN"/>
          <w14:ligatures w14:val="none"/>
        </w:rPr>
      </w:pPr>
      <w:r>
        <w:rPr>
          <w:rFonts w:hint="eastAsia" w:ascii="Times New Roman" w:hAnsi="Times New Roman" w:eastAsia="宋体" w:cs="Times New Roman"/>
          <w:sz w:val="28"/>
          <w:szCs w:val="28"/>
          <w:lang w:val="en-US" w:eastAsia="zh-CN"/>
          <w14:ligatures w14:val="none"/>
        </w:rPr>
        <w:t>厂区内设置一套污废水排水管网，厂区内生活污水经化粪池处理与水质简单的循环冷却排污水等一同进入污废水排水管网，污废水排水量为412m</w:t>
      </w:r>
      <w:r>
        <w:rPr>
          <w:rFonts w:hint="eastAsia" w:ascii="Times New Roman" w:hAnsi="Times New Roman" w:eastAsia="宋体" w:cs="Times New Roman"/>
          <w:sz w:val="28"/>
          <w:szCs w:val="28"/>
          <w:vertAlign w:val="superscript"/>
          <w:lang w:val="en-US" w:eastAsia="zh-CN"/>
          <w14:ligatures w14:val="none"/>
        </w:rPr>
        <w:t>3</w:t>
      </w:r>
      <w:r>
        <w:rPr>
          <w:rFonts w:hint="eastAsia" w:ascii="Times New Roman" w:hAnsi="Times New Roman" w:eastAsia="宋体" w:cs="Times New Roman"/>
          <w:sz w:val="28"/>
          <w:szCs w:val="28"/>
          <w:lang w:val="en-US" w:eastAsia="zh-CN"/>
          <w14:ligatures w14:val="none"/>
        </w:rPr>
        <w:t>/d，最终排至市政污水管网进入污水处理厂。</w:t>
      </w:r>
    </w:p>
    <w:p w14:paraId="6D4C8757">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eastAsia" w:ascii="Times New Roman" w:hAnsi="Times New Roman" w:eastAsia="宋体" w:cs="Times New Roman"/>
          <w:sz w:val="28"/>
          <w:szCs w:val="28"/>
          <w:lang w:val="en-US" w:eastAsia="zh-CN"/>
          <w14:ligatures w14:val="none"/>
        </w:rPr>
      </w:pPr>
      <w:r>
        <w:rPr>
          <w:rFonts w:hint="eastAsia" w:ascii="Times New Roman" w:hAnsi="Times New Roman" w:eastAsia="宋体" w:cs="Times New Roman"/>
          <w:sz w:val="28"/>
          <w:szCs w:val="28"/>
          <w:lang w:val="en-US" w:eastAsia="zh-CN"/>
          <w14:ligatures w14:val="none"/>
        </w:rPr>
        <w:t>2）雨排水系统</w:t>
      </w:r>
    </w:p>
    <w:p w14:paraId="4822E646">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eastAsia" w:ascii="Times New Roman" w:hAnsi="Times New Roman" w:eastAsia="宋体" w:cs="Times New Roman"/>
          <w:sz w:val="28"/>
          <w:szCs w:val="28"/>
          <w:lang w:val="en-US" w:eastAsia="zh-CN"/>
          <w14:ligatures w14:val="none"/>
        </w:rPr>
      </w:pPr>
      <w:r>
        <w:rPr>
          <w:rFonts w:hint="eastAsia" w:ascii="Times New Roman" w:hAnsi="Times New Roman" w:eastAsia="宋体" w:cs="Times New Roman"/>
          <w:sz w:val="28"/>
          <w:szCs w:val="28"/>
          <w:lang w:val="en-US" w:eastAsia="zh-CN"/>
          <w14:ligatures w14:val="none"/>
        </w:rPr>
        <w:t>初期雨水受到厂区空气及地面杂质的污染，因此在厂区雨水出口处收集初期雨水，自流进入厂区初期雨水收集池进行储存。再加压至工艺专业收尘渣处理直接回用，后期雨水外排至市政雨水管网。</w:t>
      </w:r>
    </w:p>
    <w:p w14:paraId="27DCF8F1">
      <w:pPr>
        <w:keepNext w:val="0"/>
        <w:keepLines w:val="0"/>
        <w:pageBreakBefore w:val="0"/>
        <w:widowControl w:val="0"/>
        <w:numPr>
          <w:ilvl w:val="0"/>
          <w:numId w:val="6"/>
        </w:numPr>
        <w:kinsoku/>
        <w:wordWrap/>
        <w:overflowPunct/>
        <w:topLinePunct w:val="0"/>
        <w:autoSpaceDE/>
        <w:autoSpaceDN/>
        <w:bidi w:val="0"/>
        <w:adjustRightInd w:val="0"/>
        <w:snapToGrid w:val="0"/>
        <w:spacing w:after="0" w:line="360" w:lineRule="auto"/>
        <w:ind w:left="0" w:leftChars="0" w:firstLine="560" w:firstLineChars="200"/>
        <w:jc w:val="both"/>
        <w:textAlignment w:val="auto"/>
        <w:rPr>
          <w:rFonts w:hint="eastAsia" w:ascii="Times New Roman" w:hAnsi="Times New Roman" w:eastAsia="宋体" w:cs="Times New Roman"/>
          <w:sz w:val="28"/>
          <w:szCs w:val="28"/>
          <w:lang w:val="en-US" w:eastAsia="zh-CN"/>
          <w14:ligatures w14:val="none"/>
        </w:rPr>
      </w:pPr>
      <w:r>
        <w:rPr>
          <w:rFonts w:hint="eastAsia" w:ascii="Times New Roman" w:hAnsi="Times New Roman" w:eastAsia="宋体" w:cs="Times New Roman"/>
          <w:sz w:val="28"/>
          <w:szCs w:val="28"/>
          <w:lang w:val="en-US" w:eastAsia="zh-CN"/>
          <w14:ligatures w14:val="none"/>
        </w:rPr>
        <w:t>初期雨水收集池及事故水池</w:t>
      </w:r>
    </w:p>
    <w:p w14:paraId="21F9EB08">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为了减少初期雨水对环境的污染及综合利用，在厂区内设置一座初期雨水收集池（有效容积 1000m</w:t>
      </w:r>
      <w:r>
        <w:rPr>
          <w:rFonts w:hint="default" w:ascii="Times New Roman" w:hAnsi="Times New Roman" w:eastAsia="宋体" w:cs="Times New Roman"/>
          <w:sz w:val="28"/>
          <w:szCs w:val="28"/>
          <w:vertAlign w:val="superscript"/>
          <w:lang w:val="en-US" w:eastAsia="zh-CN"/>
          <w14:ligatures w14:val="none"/>
        </w:rPr>
        <w:t>3</w:t>
      </w:r>
      <w:r>
        <w:rPr>
          <w:rFonts w:hint="default" w:ascii="Times New Roman" w:hAnsi="Times New Roman" w:eastAsia="宋体" w:cs="Times New Roman"/>
          <w:sz w:val="28"/>
          <w:szCs w:val="28"/>
          <w:lang w:val="en-US" w:eastAsia="zh-CN"/>
          <w14:ligatures w14:val="none"/>
        </w:rPr>
        <w:t>），主要功能是收集和输送受污染场地的初期雨水量。同时又设立事故水池，事故水池有效容积 2205m</w:t>
      </w:r>
      <w:r>
        <w:rPr>
          <w:rFonts w:hint="default" w:ascii="Times New Roman" w:hAnsi="Times New Roman" w:eastAsia="宋体" w:cs="Times New Roman"/>
          <w:sz w:val="28"/>
          <w:szCs w:val="28"/>
          <w:vertAlign w:val="superscript"/>
          <w:lang w:val="en-US" w:eastAsia="zh-CN"/>
          <w14:ligatures w14:val="none"/>
        </w:rPr>
        <w:t>3</w:t>
      </w:r>
      <w:r>
        <w:rPr>
          <w:rFonts w:hint="default" w:ascii="Times New Roman" w:hAnsi="Times New Roman" w:eastAsia="宋体" w:cs="Times New Roman"/>
          <w:sz w:val="28"/>
          <w:szCs w:val="28"/>
          <w:lang w:val="en-US" w:eastAsia="zh-CN"/>
          <w14:ligatures w14:val="none"/>
        </w:rPr>
        <w:t>，能够满足要求。</w:t>
      </w:r>
    </w:p>
    <w:p w14:paraId="436EAD4C">
      <w:pPr>
        <w:tabs>
          <w:tab w:val="left" w:pos="840"/>
          <w:tab w:val="left" w:pos="1260"/>
        </w:tabs>
        <w:adjustRightInd w:val="0"/>
        <w:snapToGrid w:val="0"/>
        <w:spacing w:before="156" w:beforeLines="50" w:after="156" w:afterLines="50" w:line="360" w:lineRule="auto"/>
        <w:ind w:firstLine="562" w:firstLineChars="200"/>
        <w:jc w:val="both"/>
        <w:outlineLvl w:val="2"/>
        <w:rPr>
          <w:rFonts w:ascii="Times New Roman" w:hAnsi="Times New Roman" w:eastAsia="宋体" w:cs="Times New Roman"/>
          <w:sz w:val="28"/>
          <w:szCs w:val="28"/>
          <w14:ligatures w14:val="none"/>
        </w:rPr>
      </w:pPr>
      <w:r>
        <w:rPr>
          <w:rFonts w:hint="eastAsia" w:ascii="Times New Roman" w:hAnsi="Times New Roman" w:eastAsia="黑体" w:cs="Times New Roman"/>
          <w:b/>
          <w:sz w:val="28"/>
          <w:szCs w:val="32"/>
          <w:lang w:val="en-US" w:eastAsia="zh-CN"/>
          <w14:ligatures w14:val="none"/>
        </w:rPr>
        <w:t>2.5.3供配电</w:t>
      </w:r>
    </w:p>
    <w:p w14:paraId="5044D134">
      <w:pPr>
        <w:adjustRightInd w:val="0"/>
        <w:snapToGrid w:val="0"/>
        <w:spacing w:after="0" w:line="360" w:lineRule="auto"/>
        <w:ind w:firstLine="560" w:firstLineChars="20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供电负荷：该项目DCS系统、消防应急照明为一级负荷中特别重要负荷，采用UPS作为备用电源，连续供电时间不少于30min。</w:t>
      </w:r>
    </w:p>
    <w:p w14:paraId="2F4F26A3">
      <w:pPr>
        <w:adjustRightInd w:val="0"/>
        <w:snapToGrid w:val="0"/>
        <w:spacing w:after="0" w:line="360" w:lineRule="auto"/>
        <w:ind w:firstLine="560" w:firstLineChars="20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供电方案：项目电源来自由厂区66kV变电站供电，66kV变电站建在朝阳金达钛业股份有限公司5#海绵钛厂房以西300m处（不在</w:t>
      </w:r>
      <w:r>
        <w:rPr>
          <w:rFonts w:hint="eastAsia" w:ascii="Times New Roman" w:hAnsi="Times New Roman" w:eastAsia="宋体" w:cs="Times New Roman"/>
          <w:sz w:val="28"/>
          <w:szCs w:val="28"/>
          <w:lang w:val="en-US" w:eastAsia="zh-CN"/>
          <w14:ligatures w14:val="none"/>
        </w:rPr>
        <w:t>本次</w:t>
      </w:r>
      <w:r>
        <w:rPr>
          <w:rFonts w:hint="eastAsia" w:ascii="Times New Roman" w:hAnsi="Times New Roman" w:eastAsia="宋体" w:cs="Times New Roman"/>
          <w:sz w:val="28"/>
          <w:szCs w:val="28"/>
          <w14:ligatures w14:val="none"/>
        </w:rPr>
        <w:t>范围内），变电站外部供电采用双电源供电，一路来自慕容220kV变，一路来自马山220kV变，设计容量50000kVA。2路66kV电源均能满足50000kVA容量，配置50000kVA（66kV/10kV）变压器2台，可自动切换，满足项目供电要求。</w:t>
      </w:r>
    </w:p>
    <w:p w14:paraId="16430E35">
      <w:pPr>
        <w:adjustRightInd w:val="0"/>
        <w:snapToGrid w:val="0"/>
        <w:spacing w:after="0" w:line="360" w:lineRule="auto"/>
        <w:ind w:firstLine="560" w:firstLineChars="200"/>
        <w:jc w:val="both"/>
        <w:rPr>
          <w:rFonts w:ascii="Times New Roman" w:hAnsi="Times New Roman" w:eastAsia="宋体" w:cs="Times New Roman"/>
          <w:color w:val="000000" w:themeColor="text1"/>
          <w:sz w:val="28"/>
          <w:szCs w:val="28"/>
          <w:highlight w:val="none"/>
          <w14:textFill>
            <w14:solidFill>
              <w14:schemeClr w14:val="tx1"/>
            </w14:solidFill>
          </w14:textFill>
          <w14:ligatures w14:val="none"/>
        </w:rPr>
      </w:pPr>
      <w:r>
        <w:rPr>
          <w:rFonts w:hint="eastAsia" w:ascii="Times New Roman" w:hAnsi="Times New Roman" w:eastAsia="宋体" w:cs="Times New Roman"/>
          <w:color w:val="000000" w:themeColor="text1"/>
          <w:sz w:val="28"/>
          <w:szCs w:val="28"/>
          <w:highlight w:val="none"/>
          <w14:textFill>
            <w14:solidFill>
              <w14:schemeClr w14:val="tx1"/>
            </w14:solidFill>
          </w14:textFill>
          <w14:ligatures w14:val="none"/>
        </w:rPr>
        <w:t>防雷、防静电接地：</w:t>
      </w:r>
      <w:r>
        <w:rPr>
          <w:rFonts w:hint="eastAsia" w:ascii="Times New Roman" w:hAnsi="Times New Roman" w:eastAsia="宋体" w:cs="Times New Roman"/>
          <w:color w:val="000000" w:themeColor="text1"/>
          <w:sz w:val="28"/>
          <w:szCs w:val="28"/>
          <w:highlight w:val="none"/>
          <w:lang w:val="en-US" w:eastAsia="zh-CN"/>
          <w14:textFill>
            <w14:solidFill>
              <w14:schemeClr w14:val="tx1"/>
            </w14:solidFill>
          </w14:textFill>
          <w14:ligatures w14:val="none"/>
        </w:rPr>
        <w:t>盐酸</w:t>
      </w:r>
      <w:r>
        <w:rPr>
          <w:rFonts w:hint="eastAsia" w:ascii="Times New Roman" w:hAnsi="Times New Roman" w:eastAsia="宋体" w:cs="Times New Roman"/>
          <w:color w:val="000000" w:themeColor="text1"/>
          <w:sz w:val="28"/>
          <w:szCs w:val="28"/>
          <w:highlight w:val="none"/>
          <w14:textFill>
            <w14:solidFill>
              <w14:schemeClr w14:val="tx1"/>
            </w14:solidFill>
          </w14:textFill>
          <w14:ligatures w14:val="none"/>
        </w:rPr>
        <w:t>储罐、</w:t>
      </w:r>
      <w:r>
        <w:rPr>
          <w:rFonts w:hint="eastAsia" w:ascii="Times New Roman" w:hAnsi="Times New Roman" w:eastAsia="宋体" w:cs="Times New Roman"/>
          <w:color w:val="000000" w:themeColor="text1"/>
          <w:sz w:val="28"/>
          <w:szCs w:val="28"/>
          <w:highlight w:val="none"/>
          <w:lang w:val="en-US" w:eastAsia="zh-CN"/>
          <w14:textFill>
            <w14:solidFill>
              <w14:schemeClr w14:val="tx1"/>
            </w14:solidFill>
          </w14:textFill>
          <w14:ligatures w14:val="none"/>
        </w:rPr>
        <w:t>高硅四氯化钛</w:t>
      </w:r>
      <w:r>
        <w:rPr>
          <w:rFonts w:hint="eastAsia" w:ascii="Times New Roman" w:hAnsi="Times New Roman" w:eastAsia="宋体" w:cs="Times New Roman"/>
          <w:color w:val="000000" w:themeColor="text1"/>
          <w:sz w:val="28"/>
          <w:szCs w:val="28"/>
          <w:highlight w:val="none"/>
          <w14:textFill>
            <w14:solidFill>
              <w14:schemeClr w14:val="tx1"/>
            </w14:solidFill>
          </w14:textFill>
          <w14:ligatures w14:val="none"/>
        </w:rPr>
        <w:t>储罐、</w:t>
      </w:r>
      <w:r>
        <w:rPr>
          <w:rFonts w:hint="eastAsia" w:ascii="Times New Roman" w:hAnsi="Times New Roman" w:eastAsia="宋体" w:cs="Times New Roman"/>
          <w:color w:val="000000" w:themeColor="text1"/>
          <w:sz w:val="28"/>
          <w:szCs w:val="28"/>
          <w:highlight w:val="none"/>
          <w:lang w:val="en-US" w:eastAsia="zh-CN"/>
          <w14:textFill>
            <w14:solidFill>
              <w14:schemeClr w14:val="tx1"/>
            </w14:solidFill>
          </w14:textFill>
          <w14:ligatures w14:val="none"/>
        </w:rPr>
        <w:t>次氯酸钠</w:t>
      </w:r>
      <w:r>
        <w:rPr>
          <w:rFonts w:hint="eastAsia" w:ascii="Times New Roman" w:hAnsi="Times New Roman" w:eastAsia="宋体" w:cs="Times New Roman"/>
          <w:color w:val="000000" w:themeColor="text1"/>
          <w:sz w:val="28"/>
          <w:szCs w:val="28"/>
          <w:highlight w:val="none"/>
          <w14:textFill>
            <w14:solidFill>
              <w14:schemeClr w14:val="tx1"/>
            </w14:solidFill>
          </w14:textFill>
          <w14:ligatures w14:val="none"/>
        </w:rPr>
        <w:t>储罐按</w:t>
      </w:r>
      <w:r>
        <w:rPr>
          <w:rFonts w:hint="eastAsia" w:ascii="Times New Roman" w:hAnsi="Times New Roman" w:eastAsia="宋体" w:cs="Times New Roman"/>
          <w:color w:val="000000" w:themeColor="text1"/>
          <w:sz w:val="28"/>
          <w:szCs w:val="28"/>
          <w:highlight w:val="none"/>
          <w:lang w:val="en-US" w:eastAsia="zh-CN"/>
          <w14:textFill>
            <w14:solidFill>
              <w14:schemeClr w14:val="tx1"/>
            </w14:solidFill>
          </w14:textFill>
          <w14:ligatures w14:val="none"/>
        </w:rPr>
        <w:t>三</w:t>
      </w:r>
      <w:r>
        <w:rPr>
          <w:rFonts w:hint="eastAsia" w:ascii="Times New Roman" w:hAnsi="Times New Roman" w:eastAsia="宋体" w:cs="Times New Roman"/>
          <w:color w:val="000000" w:themeColor="text1"/>
          <w:sz w:val="28"/>
          <w:szCs w:val="28"/>
          <w:highlight w:val="none"/>
          <w14:textFill>
            <w14:solidFill>
              <w14:schemeClr w14:val="tx1"/>
            </w14:solidFill>
          </w14:textFill>
          <w14:ligatures w14:val="none"/>
        </w:rPr>
        <w:t>类防雷建筑物进行设防。</w:t>
      </w:r>
    </w:p>
    <w:p w14:paraId="3FC95609">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eastAsia" w:ascii="Times New Roman" w:hAnsi="Times New Roman" w:eastAsia="宋体" w:cs="Times New Roman"/>
          <w:sz w:val="28"/>
          <w:szCs w:val="28"/>
          <w:lang w:eastAsia="zh-CN"/>
          <w14:ligatures w14:val="none"/>
        </w:rPr>
        <w:t>朝阳金达钛业股份有限公司</w:t>
      </w:r>
      <w:r>
        <w:rPr>
          <w:rFonts w:hint="eastAsia" w:ascii="Times New Roman" w:hAnsi="Times New Roman" w:eastAsia="宋体" w:cs="Times New Roman"/>
          <w:sz w:val="28"/>
          <w:szCs w:val="28"/>
          <w:highlight w:val="none"/>
          <w14:ligatures w14:val="none"/>
        </w:rPr>
        <w:t>于202</w:t>
      </w:r>
      <w:r>
        <w:rPr>
          <w:rFonts w:hint="eastAsia" w:ascii="Times New Roman" w:hAnsi="Times New Roman" w:eastAsia="宋体" w:cs="Times New Roman"/>
          <w:sz w:val="28"/>
          <w:szCs w:val="28"/>
          <w:highlight w:val="none"/>
          <w:lang w:val="en-US" w:eastAsia="zh-CN"/>
          <w14:ligatures w14:val="none"/>
        </w:rPr>
        <w:t>5</w:t>
      </w:r>
      <w:r>
        <w:rPr>
          <w:rFonts w:hint="eastAsia" w:ascii="Times New Roman" w:hAnsi="Times New Roman" w:eastAsia="宋体" w:cs="Times New Roman"/>
          <w:sz w:val="28"/>
          <w:szCs w:val="28"/>
          <w:highlight w:val="none"/>
          <w14:ligatures w14:val="none"/>
        </w:rPr>
        <w:t>年</w:t>
      </w:r>
      <w:r>
        <w:rPr>
          <w:rFonts w:hint="eastAsia" w:ascii="Times New Roman" w:hAnsi="Times New Roman" w:eastAsia="宋体" w:cs="Times New Roman"/>
          <w:sz w:val="28"/>
          <w:szCs w:val="28"/>
          <w:highlight w:val="none"/>
          <w:lang w:val="en-US" w:eastAsia="zh-CN"/>
          <w14:ligatures w14:val="none"/>
        </w:rPr>
        <w:t>04</w:t>
      </w:r>
      <w:r>
        <w:rPr>
          <w:rFonts w:hint="eastAsia" w:ascii="Times New Roman" w:hAnsi="Times New Roman" w:eastAsia="宋体" w:cs="Times New Roman"/>
          <w:sz w:val="28"/>
          <w:szCs w:val="28"/>
          <w:highlight w:val="none"/>
          <w14:ligatures w14:val="none"/>
        </w:rPr>
        <w:t>月委托辽宁雷电防护工程有限责任公司对其</w:t>
      </w:r>
      <w:r>
        <w:rPr>
          <w:rFonts w:hint="eastAsia" w:ascii="Times New Roman" w:hAnsi="Times New Roman" w:eastAsia="宋体" w:cs="Times New Roman"/>
          <w:sz w:val="28"/>
          <w:szCs w:val="28"/>
          <w:highlight w:val="none"/>
          <w:lang w:val="en-US" w:eastAsia="zh-CN"/>
          <w14:ligatures w14:val="none"/>
        </w:rPr>
        <w:t>氯化分厂内盐酸储罐区/液碱储罐区</w:t>
      </w:r>
      <w:r>
        <w:rPr>
          <w:rFonts w:hint="eastAsia" w:ascii="Times New Roman" w:hAnsi="Times New Roman" w:eastAsia="宋体" w:cs="Times New Roman"/>
          <w:sz w:val="28"/>
          <w:szCs w:val="28"/>
          <w:highlight w:val="none"/>
          <w:lang w:eastAsia="zh-CN"/>
          <w14:ligatures w14:val="none"/>
        </w:rPr>
        <w:t>、</w:t>
      </w:r>
      <w:r>
        <w:rPr>
          <w:rFonts w:hint="eastAsia" w:ascii="Times New Roman" w:hAnsi="Times New Roman" w:eastAsia="宋体" w:cs="Times New Roman"/>
          <w:sz w:val="28"/>
          <w:szCs w:val="28"/>
          <w:lang w:val="en-US" w:eastAsia="zh-CN"/>
          <w14:ligatures w14:val="none"/>
        </w:rPr>
        <w:t>镁电解分厂储罐</w:t>
      </w:r>
      <w:r>
        <w:rPr>
          <w:rFonts w:hint="eastAsia" w:ascii="Times New Roman" w:hAnsi="Times New Roman" w:eastAsia="宋体" w:cs="Times New Roman"/>
          <w:sz w:val="28"/>
          <w:szCs w:val="28"/>
          <w:highlight w:val="none"/>
          <w:lang w:eastAsia="zh-CN"/>
          <w14:ligatures w14:val="none"/>
        </w:rPr>
        <w:t>、</w:t>
      </w:r>
      <w:r>
        <w:rPr>
          <w:rFonts w:hint="eastAsia" w:ascii="Times New Roman" w:hAnsi="Times New Roman" w:eastAsia="宋体" w:cs="Times New Roman"/>
          <w:sz w:val="28"/>
          <w:szCs w:val="28"/>
          <w:highlight w:val="none"/>
          <w:lang w:val="en-US" w:eastAsia="zh-CN"/>
          <w14:ligatures w14:val="none"/>
        </w:rPr>
        <w:t>氯化分厂内精制车间</w:t>
      </w:r>
      <w:r>
        <w:rPr>
          <w:rFonts w:hint="eastAsia" w:ascii="Times New Roman" w:hAnsi="Times New Roman" w:eastAsia="宋体" w:cs="Times New Roman"/>
          <w:sz w:val="28"/>
          <w:szCs w:val="28"/>
          <w:highlight w:val="none"/>
          <w14:ligatures w14:val="none"/>
        </w:rPr>
        <w:t>进行雷电</w:t>
      </w:r>
      <w:r>
        <w:rPr>
          <w:rFonts w:hint="eastAsia" w:ascii="Times New Roman" w:hAnsi="Times New Roman" w:eastAsia="宋体" w:cs="Times New Roman"/>
          <w:sz w:val="28"/>
          <w:szCs w:val="28"/>
          <w:highlight w:val="none"/>
          <w:lang w:eastAsia="zh-CN"/>
          <w14:ligatures w14:val="none"/>
        </w:rPr>
        <w:t>（</w:t>
      </w:r>
      <w:r>
        <w:rPr>
          <w:rFonts w:hint="eastAsia" w:ascii="Times New Roman" w:hAnsi="Times New Roman" w:eastAsia="宋体" w:cs="Times New Roman"/>
          <w:sz w:val="28"/>
          <w:szCs w:val="28"/>
          <w:highlight w:val="none"/>
          <w:lang w:val="en-US" w:eastAsia="zh-CN"/>
          <w14:ligatures w14:val="none"/>
        </w:rPr>
        <w:t>静电</w:t>
      </w:r>
      <w:r>
        <w:rPr>
          <w:rFonts w:hint="eastAsia" w:ascii="Times New Roman" w:hAnsi="Times New Roman" w:eastAsia="宋体" w:cs="Times New Roman"/>
          <w:sz w:val="28"/>
          <w:szCs w:val="28"/>
          <w:highlight w:val="none"/>
          <w:lang w:eastAsia="zh-CN"/>
          <w14:ligatures w14:val="none"/>
        </w:rPr>
        <w:t>）</w:t>
      </w:r>
      <w:r>
        <w:rPr>
          <w:rFonts w:hint="eastAsia" w:ascii="Times New Roman" w:hAnsi="Times New Roman" w:eastAsia="宋体" w:cs="Times New Roman"/>
          <w:sz w:val="28"/>
          <w:szCs w:val="28"/>
          <w:highlight w:val="none"/>
          <w14:ligatures w14:val="none"/>
        </w:rPr>
        <w:t>防护装置检测，报告</w:t>
      </w:r>
      <w:r>
        <w:rPr>
          <w:rFonts w:hint="eastAsia" w:ascii="Times New Roman" w:hAnsi="Times New Roman" w:eastAsia="宋体" w:cs="Times New Roman"/>
          <w:sz w:val="28"/>
          <w:szCs w:val="28"/>
          <w14:ligatures w14:val="none"/>
        </w:rPr>
        <w:t>结论：所检雷电防护装置全部符合上述技术标准要求，该项目整体雷电防护装置综合评定为符合标准</w:t>
      </w:r>
      <w:r>
        <w:rPr>
          <w:rFonts w:hint="eastAsia" w:ascii="Times New Roman" w:hAnsi="Times New Roman" w:eastAsia="宋体" w:cs="Times New Roman"/>
          <w:sz w:val="28"/>
          <w:szCs w:val="28"/>
          <w:lang w:eastAsia="zh-CN"/>
          <w14:ligatures w14:val="none"/>
        </w:rPr>
        <w:t>，</w:t>
      </w:r>
      <w:r>
        <w:rPr>
          <w:rFonts w:hint="eastAsia" w:ascii="Times New Roman" w:hAnsi="Times New Roman" w:eastAsia="宋体" w:cs="Times New Roman"/>
          <w:sz w:val="28"/>
          <w:szCs w:val="28"/>
          <w:lang w:val="en-US" w:eastAsia="zh-CN"/>
          <w14:ligatures w14:val="none"/>
        </w:rPr>
        <w:t>具体详见附件。</w:t>
      </w:r>
    </w:p>
    <w:p w14:paraId="479544D5">
      <w:pPr>
        <w:tabs>
          <w:tab w:val="left" w:pos="840"/>
          <w:tab w:val="left" w:pos="1260"/>
        </w:tabs>
        <w:adjustRightInd w:val="0"/>
        <w:snapToGrid w:val="0"/>
        <w:spacing w:before="156" w:beforeLines="50" w:after="156" w:afterLines="50" w:line="360" w:lineRule="auto"/>
        <w:ind w:firstLine="562" w:firstLineChars="200"/>
        <w:jc w:val="both"/>
        <w:outlineLvl w:val="2"/>
        <w:rPr>
          <w:rFonts w:hint="default" w:ascii="Times New Roman" w:hAnsi="Times New Roman" w:eastAsia="宋体" w:cs="Times New Roman"/>
          <w:sz w:val="28"/>
          <w:szCs w:val="28"/>
          <w:lang w:val="en-US"/>
          <w14:ligatures w14:val="none"/>
        </w:rPr>
      </w:pPr>
      <w:r>
        <w:rPr>
          <w:rFonts w:hint="eastAsia" w:ascii="Times New Roman" w:hAnsi="Times New Roman" w:eastAsia="黑体" w:cs="Times New Roman"/>
          <w:b/>
          <w:sz w:val="28"/>
          <w:szCs w:val="32"/>
          <w:lang w:val="en-US" w:eastAsia="zh-CN"/>
          <w14:ligatures w14:val="none"/>
        </w:rPr>
        <w:t>2.5.4消防</w:t>
      </w:r>
    </w:p>
    <w:p w14:paraId="52D88CF9">
      <w:pPr>
        <w:adjustRightInd w:val="0"/>
        <w:snapToGrid w:val="0"/>
        <w:spacing w:after="0" w:line="360" w:lineRule="auto"/>
        <w:ind w:firstLine="560" w:firstLineChars="200"/>
        <w:jc w:val="both"/>
        <w:rPr>
          <w:rFonts w:hint="default" w:ascii="Times New Roman" w:hAnsi="Times New Roman" w:eastAsia="宋体" w:cs="Times New Roman"/>
          <w:kern w:val="28"/>
          <w:sz w:val="28"/>
          <w:szCs w:val="28"/>
          <w:lang w:val="en-US" w:eastAsia="zh-CN"/>
          <w14:ligatures w14:val="none"/>
        </w:rPr>
      </w:pPr>
      <w:r>
        <w:rPr>
          <w:rFonts w:hint="eastAsia" w:ascii="Times New Roman" w:hAnsi="Times New Roman" w:eastAsia="宋体" w:cs="Times New Roman"/>
          <w:kern w:val="28"/>
          <w:sz w:val="28"/>
          <w:szCs w:val="28"/>
          <w14:ligatures w14:val="none"/>
        </w:rPr>
        <w:t>本项目</w:t>
      </w:r>
      <w:r>
        <w:rPr>
          <w:rFonts w:hint="eastAsia" w:ascii="Times New Roman" w:hAnsi="Times New Roman" w:eastAsia="宋体" w:cs="Times New Roman"/>
          <w:kern w:val="28"/>
          <w:sz w:val="28"/>
          <w:szCs w:val="28"/>
          <w:lang w:val="en-US" w:eastAsia="zh-CN"/>
          <w14:ligatures w14:val="none"/>
        </w:rPr>
        <w:t>储罐均为</w:t>
      </w:r>
      <w:r>
        <w:rPr>
          <w:rFonts w:hint="eastAsia" w:ascii="Times New Roman" w:hAnsi="Times New Roman" w:eastAsia="宋体" w:cs="Times New Roman"/>
          <w:kern w:val="28"/>
          <w:sz w:val="28"/>
          <w:szCs w:val="28"/>
          <w14:ligatures w14:val="none"/>
        </w:rPr>
        <w:t>戊类储罐不可燃，</w:t>
      </w:r>
      <w:r>
        <w:rPr>
          <w:rFonts w:hint="eastAsia" w:ascii="Times New Roman" w:hAnsi="Times New Roman" w:eastAsia="宋体" w:cs="Times New Roman"/>
          <w:kern w:val="28"/>
          <w:sz w:val="28"/>
          <w:szCs w:val="28"/>
          <w:lang w:val="en-US" w:eastAsia="zh-CN"/>
          <w14:ligatures w14:val="none"/>
        </w:rPr>
        <w:t>无需消防水</w:t>
      </w:r>
      <w:r>
        <w:rPr>
          <w:rFonts w:hint="eastAsia" w:ascii="Times New Roman" w:hAnsi="Times New Roman" w:eastAsia="宋体" w:cs="Times New Roman"/>
          <w:kern w:val="28"/>
          <w:sz w:val="28"/>
          <w:szCs w:val="28"/>
          <w14:ligatures w14:val="none"/>
        </w:rPr>
        <w:t>，依托</w:t>
      </w:r>
      <w:r>
        <w:rPr>
          <w:rFonts w:hint="eastAsia" w:ascii="Times New Roman" w:hAnsi="Times New Roman" w:eastAsia="宋体" w:cs="Times New Roman"/>
          <w:kern w:val="28"/>
          <w:sz w:val="28"/>
          <w:szCs w:val="28"/>
          <w:lang w:val="en-US" w:eastAsia="zh-CN"/>
          <w14:ligatures w14:val="none"/>
        </w:rPr>
        <w:t>朝阳金达钛业</w:t>
      </w:r>
      <w:r>
        <w:rPr>
          <w:rFonts w:hint="eastAsia" w:ascii="Times New Roman" w:hAnsi="Times New Roman" w:eastAsia="宋体" w:cs="Times New Roman"/>
          <w:kern w:val="28"/>
          <w:sz w:val="28"/>
          <w:szCs w:val="28"/>
          <w14:ligatures w14:val="none"/>
        </w:rPr>
        <w:t>现有消防设施。</w:t>
      </w:r>
    </w:p>
    <w:p w14:paraId="2672E892">
      <w:pPr>
        <w:adjustRightInd w:val="0"/>
        <w:snapToGrid w:val="0"/>
        <w:spacing w:after="0" w:line="360" w:lineRule="auto"/>
        <w:ind w:firstLine="560" w:firstLineChars="200"/>
        <w:jc w:val="both"/>
        <w:rPr>
          <w:rFonts w:hint="eastAsia" w:ascii="Times New Roman" w:hAnsi="Times New Roman" w:eastAsia="宋体" w:cs="Times New Roman"/>
          <w:kern w:val="28"/>
          <w:sz w:val="28"/>
          <w:szCs w:val="28"/>
          <w14:ligatures w14:val="none"/>
        </w:rPr>
      </w:pPr>
      <w:r>
        <w:rPr>
          <w:rFonts w:hint="eastAsia" w:ascii="Times New Roman" w:hAnsi="Times New Roman" w:eastAsia="宋体" w:cs="Times New Roman"/>
          <w:kern w:val="28"/>
          <w:sz w:val="28"/>
          <w:szCs w:val="28"/>
          <w:lang w:val="en-US" w:eastAsia="zh-CN"/>
          <w14:ligatures w14:val="none"/>
        </w:rPr>
        <w:t>本项目</w:t>
      </w:r>
      <w:r>
        <w:rPr>
          <w:rFonts w:hint="eastAsia" w:ascii="Times New Roman" w:hAnsi="Times New Roman" w:eastAsia="宋体" w:cs="Times New Roman"/>
          <w:kern w:val="28"/>
          <w:sz w:val="28"/>
          <w:szCs w:val="28"/>
          <w14:ligatures w14:val="none"/>
        </w:rPr>
        <w:t>消防设施配备情况如表2.</w:t>
      </w:r>
      <w:r>
        <w:rPr>
          <w:rFonts w:hint="eastAsia" w:ascii="Times New Roman" w:hAnsi="Times New Roman" w:eastAsia="宋体" w:cs="Times New Roman"/>
          <w:kern w:val="28"/>
          <w:sz w:val="28"/>
          <w:szCs w:val="28"/>
          <w:lang w:val="en-US" w:eastAsia="zh-CN"/>
          <w14:ligatures w14:val="none"/>
        </w:rPr>
        <w:t>5</w:t>
      </w:r>
      <w:r>
        <w:rPr>
          <w:rFonts w:hint="eastAsia" w:ascii="Times New Roman" w:hAnsi="Times New Roman" w:eastAsia="宋体" w:cs="Times New Roman"/>
          <w:kern w:val="28"/>
          <w:sz w:val="28"/>
          <w:szCs w:val="28"/>
          <w14:ligatures w14:val="none"/>
        </w:rPr>
        <w:t>-</w:t>
      </w:r>
      <w:r>
        <w:rPr>
          <w:rFonts w:hint="eastAsia" w:ascii="Times New Roman" w:hAnsi="Times New Roman" w:eastAsia="宋体" w:cs="Times New Roman"/>
          <w:kern w:val="28"/>
          <w:sz w:val="28"/>
          <w:szCs w:val="28"/>
          <w:lang w:val="en-US" w:eastAsia="zh-CN"/>
          <w14:ligatures w14:val="none"/>
        </w:rPr>
        <w:t>1</w:t>
      </w:r>
      <w:r>
        <w:rPr>
          <w:rFonts w:hint="eastAsia" w:ascii="Times New Roman" w:hAnsi="Times New Roman" w:eastAsia="宋体" w:cs="Times New Roman"/>
          <w:kern w:val="28"/>
          <w:sz w:val="28"/>
          <w:szCs w:val="28"/>
          <w14:ligatures w14:val="none"/>
        </w:rPr>
        <w:t>所示。</w:t>
      </w:r>
    </w:p>
    <w:p w14:paraId="02F9DB84">
      <w:pPr>
        <w:adjustRightInd w:val="0"/>
        <w:snapToGrid w:val="0"/>
        <w:spacing w:after="0" w:line="360" w:lineRule="auto"/>
        <w:ind w:firstLine="560" w:firstLineChars="200"/>
        <w:jc w:val="both"/>
        <w:rPr>
          <w:rFonts w:hint="eastAsia" w:ascii="Times New Roman" w:hAnsi="Times New Roman" w:eastAsia="宋体" w:cs="Times New Roman"/>
          <w:kern w:val="28"/>
          <w:sz w:val="28"/>
          <w:szCs w:val="28"/>
          <w14:ligatures w14:val="none"/>
        </w:rPr>
      </w:pPr>
    </w:p>
    <w:p w14:paraId="2150DEEA">
      <w:pPr>
        <w:keepNext/>
        <w:adjustRightInd w:val="0"/>
        <w:snapToGrid w:val="0"/>
        <w:spacing w:before="156" w:beforeLines="50" w:after="156" w:afterLines="50" w:line="240" w:lineRule="auto"/>
        <w:jc w:val="center"/>
        <w:rPr>
          <w:rFonts w:ascii="Times New Roman" w:hAnsi="Times New Roman" w:eastAsia="黑体" w:cs="Times New Roman"/>
          <w:sz w:val="24"/>
          <w:highlight w:val="none"/>
          <w14:ligatures w14:val="none"/>
        </w:rPr>
      </w:pPr>
      <w:r>
        <w:rPr>
          <w:rFonts w:ascii="Times New Roman" w:hAnsi="Times New Roman" w:eastAsia="黑体" w:cs="Times New Roman"/>
          <w:sz w:val="24"/>
          <w:highlight w:val="none"/>
          <w14:ligatures w14:val="none"/>
        </w:rPr>
        <w:t>表2.</w:t>
      </w:r>
      <w:r>
        <w:rPr>
          <w:rFonts w:hint="eastAsia" w:ascii="Times New Roman" w:hAnsi="Times New Roman" w:eastAsia="黑体" w:cs="Times New Roman"/>
          <w:sz w:val="24"/>
          <w:highlight w:val="none"/>
          <w:lang w:val="en-US" w:eastAsia="zh-CN"/>
          <w14:ligatures w14:val="none"/>
        </w:rPr>
        <w:t>5-1</w:t>
      </w:r>
      <w:r>
        <w:rPr>
          <w:rFonts w:ascii="Times New Roman" w:hAnsi="Times New Roman" w:eastAsia="黑体" w:cs="Times New Roman"/>
          <w:sz w:val="24"/>
          <w:highlight w:val="none"/>
          <w14:ligatures w14:val="none"/>
        </w:rPr>
        <w:t xml:space="preserve">  主要消防设施配备情况表</w:t>
      </w:r>
    </w:p>
    <w:tbl>
      <w:tblPr>
        <w:tblStyle w:val="14"/>
        <w:tblW w:w="5000" w:type="pct"/>
        <w:jc w:val="center"/>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Layout w:type="autofit"/>
        <w:tblCellMar>
          <w:top w:w="0" w:type="dxa"/>
          <w:left w:w="108" w:type="dxa"/>
          <w:bottom w:w="0" w:type="dxa"/>
          <w:right w:w="108" w:type="dxa"/>
        </w:tblCellMar>
      </w:tblPr>
      <w:tblGrid>
        <w:gridCol w:w="575"/>
        <w:gridCol w:w="2778"/>
        <w:gridCol w:w="1848"/>
        <w:gridCol w:w="1115"/>
        <w:gridCol w:w="1542"/>
        <w:gridCol w:w="1542"/>
      </w:tblGrid>
      <w:tr w14:paraId="1CA200D5">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108" w:type="dxa"/>
            <w:bottom w:w="0" w:type="dxa"/>
            <w:right w:w="108" w:type="dxa"/>
          </w:tblCellMar>
        </w:tblPrEx>
        <w:trPr>
          <w:jc w:val="center"/>
        </w:trPr>
        <w:tc>
          <w:tcPr>
            <w:tcW w:w="576" w:type="dxa"/>
            <w:tcBorders>
              <w:tl2br w:val="nil"/>
              <w:tr2bl w:val="nil"/>
            </w:tcBorders>
            <w:vAlign w:val="center"/>
          </w:tcPr>
          <w:p w14:paraId="4BF45BFA">
            <w:pPr>
              <w:pStyle w:val="7"/>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bCs/>
                <w:sz w:val="21"/>
                <w:szCs w:val="21"/>
              </w:rPr>
            </w:pPr>
            <w:r>
              <w:rPr>
                <w:rFonts w:hint="default" w:ascii="Times New Roman" w:hAnsi="Times New Roman" w:eastAsia="宋体" w:cs="Times New Roman"/>
                <w:bCs/>
                <w:sz w:val="21"/>
                <w:szCs w:val="21"/>
              </w:rPr>
              <w:t>序号</w:t>
            </w:r>
          </w:p>
        </w:tc>
        <w:tc>
          <w:tcPr>
            <w:tcW w:w="2795" w:type="dxa"/>
            <w:tcBorders>
              <w:tl2br w:val="nil"/>
              <w:tr2bl w:val="nil"/>
            </w:tcBorders>
            <w:vAlign w:val="center"/>
          </w:tcPr>
          <w:p w14:paraId="7812D0DE">
            <w:pPr>
              <w:pStyle w:val="7"/>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bCs/>
                <w:sz w:val="21"/>
                <w:szCs w:val="21"/>
              </w:rPr>
            </w:pPr>
            <w:r>
              <w:rPr>
                <w:rFonts w:hint="default" w:ascii="Times New Roman" w:hAnsi="Times New Roman" w:eastAsia="宋体" w:cs="Times New Roman"/>
                <w:bCs/>
                <w:sz w:val="21"/>
                <w:szCs w:val="21"/>
              </w:rPr>
              <w:t>名称及规格</w:t>
            </w:r>
          </w:p>
        </w:tc>
        <w:tc>
          <w:tcPr>
            <w:tcW w:w="1858" w:type="dxa"/>
            <w:tcBorders>
              <w:tl2br w:val="nil"/>
              <w:tr2bl w:val="nil"/>
            </w:tcBorders>
            <w:vAlign w:val="center"/>
          </w:tcPr>
          <w:p w14:paraId="35AA137D">
            <w:pPr>
              <w:pStyle w:val="7"/>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bCs/>
                <w:sz w:val="21"/>
                <w:szCs w:val="21"/>
              </w:rPr>
            </w:pPr>
            <w:r>
              <w:rPr>
                <w:rFonts w:hint="default" w:ascii="Times New Roman" w:hAnsi="Times New Roman" w:eastAsia="宋体" w:cs="Times New Roman"/>
                <w:bCs/>
                <w:sz w:val="21"/>
                <w:szCs w:val="21"/>
              </w:rPr>
              <w:t>数量</w:t>
            </w:r>
          </w:p>
        </w:tc>
        <w:tc>
          <w:tcPr>
            <w:tcW w:w="1071" w:type="dxa"/>
            <w:tcBorders>
              <w:tl2br w:val="nil"/>
              <w:tr2bl w:val="nil"/>
            </w:tcBorders>
            <w:vAlign w:val="center"/>
          </w:tcPr>
          <w:p w14:paraId="3F7CE4B6">
            <w:pPr>
              <w:pStyle w:val="7"/>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bCs/>
                <w:sz w:val="21"/>
                <w:szCs w:val="21"/>
              </w:rPr>
            </w:pPr>
            <w:r>
              <w:rPr>
                <w:rFonts w:hint="default" w:ascii="Times New Roman" w:hAnsi="Times New Roman" w:eastAsia="宋体" w:cs="Times New Roman"/>
                <w:bCs/>
                <w:sz w:val="21"/>
                <w:szCs w:val="21"/>
              </w:rPr>
              <w:t>型号</w:t>
            </w:r>
          </w:p>
        </w:tc>
        <w:tc>
          <w:tcPr>
            <w:tcW w:w="1550" w:type="dxa"/>
            <w:tcBorders>
              <w:tl2br w:val="nil"/>
              <w:tr2bl w:val="nil"/>
            </w:tcBorders>
            <w:vAlign w:val="center"/>
          </w:tcPr>
          <w:p w14:paraId="60C81096">
            <w:pPr>
              <w:pStyle w:val="7"/>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eastAsia" w:ascii="Times New Roman" w:hAnsi="Times New Roman" w:eastAsia="宋体" w:cs="Times New Roman"/>
                <w:bCs/>
                <w:sz w:val="21"/>
                <w:szCs w:val="21"/>
                <w:lang w:val="en-US" w:eastAsia="zh-CN"/>
              </w:rPr>
            </w:pPr>
            <w:r>
              <w:rPr>
                <w:rFonts w:hint="eastAsia" w:ascii="Times New Roman" w:hAnsi="Times New Roman" w:eastAsia="宋体" w:cs="Times New Roman"/>
                <w:bCs/>
                <w:sz w:val="21"/>
                <w:szCs w:val="21"/>
                <w:lang w:val="en-US" w:eastAsia="zh-CN"/>
              </w:rPr>
              <w:t>责任人</w:t>
            </w:r>
          </w:p>
        </w:tc>
        <w:tc>
          <w:tcPr>
            <w:tcW w:w="1550" w:type="dxa"/>
            <w:tcBorders>
              <w:tl2br w:val="nil"/>
              <w:tr2bl w:val="nil"/>
            </w:tcBorders>
            <w:vAlign w:val="center"/>
          </w:tcPr>
          <w:p w14:paraId="087C2FB1">
            <w:pPr>
              <w:pStyle w:val="7"/>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bCs/>
                <w:sz w:val="21"/>
                <w:szCs w:val="21"/>
              </w:rPr>
            </w:pPr>
            <w:r>
              <w:rPr>
                <w:rFonts w:hint="default" w:ascii="Times New Roman" w:hAnsi="Times New Roman" w:eastAsia="宋体" w:cs="Times New Roman"/>
                <w:bCs/>
                <w:sz w:val="21"/>
                <w:szCs w:val="21"/>
              </w:rPr>
              <w:t>放置地点</w:t>
            </w:r>
          </w:p>
        </w:tc>
      </w:tr>
      <w:tr w14:paraId="45A407CD">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108" w:type="dxa"/>
            <w:bottom w:w="0" w:type="dxa"/>
            <w:right w:w="108" w:type="dxa"/>
          </w:tblCellMar>
        </w:tblPrEx>
        <w:trPr>
          <w:jc w:val="center"/>
        </w:trPr>
        <w:tc>
          <w:tcPr>
            <w:tcW w:w="576" w:type="dxa"/>
            <w:tcBorders>
              <w:tl2br w:val="nil"/>
              <w:tr2bl w:val="nil"/>
            </w:tcBorders>
            <w:vAlign w:val="center"/>
          </w:tcPr>
          <w:p w14:paraId="12D1EDA7">
            <w:pPr>
              <w:pStyle w:val="7"/>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eastAsia" w:ascii="Times New Roman" w:hAnsi="Times New Roman" w:eastAsia="宋体" w:cs="Times New Roman"/>
                <w:bCs/>
                <w:sz w:val="21"/>
                <w:szCs w:val="21"/>
                <w:lang w:val="en-US" w:eastAsia="zh-CN"/>
              </w:rPr>
            </w:pPr>
            <w:r>
              <w:rPr>
                <w:rFonts w:hint="eastAsia" w:ascii="Times New Roman" w:hAnsi="Times New Roman" w:eastAsia="宋体" w:cs="Times New Roman"/>
                <w:bCs/>
                <w:sz w:val="21"/>
                <w:szCs w:val="21"/>
                <w:lang w:val="en-US" w:eastAsia="zh-CN"/>
              </w:rPr>
              <w:t>1</w:t>
            </w:r>
          </w:p>
        </w:tc>
        <w:tc>
          <w:tcPr>
            <w:tcW w:w="2795" w:type="dxa"/>
            <w:vMerge w:val="restart"/>
            <w:tcBorders>
              <w:tl2br w:val="nil"/>
              <w:tr2bl w:val="nil"/>
            </w:tcBorders>
            <w:vAlign w:val="center"/>
          </w:tcPr>
          <w:p w14:paraId="7B8407F4">
            <w:pPr>
              <w:pStyle w:val="7"/>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bCs/>
                <w:sz w:val="21"/>
                <w:szCs w:val="21"/>
              </w:rPr>
            </w:pPr>
            <w:r>
              <w:rPr>
                <w:rFonts w:hint="default" w:ascii="Times New Roman" w:hAnsi="Times New Roman" w:eastAsia="宋体" w:cs="Times New Roman"/>
                <w:bCs/>
                <w:sz w:val="21"/>
                <w:szCs w:val="21"/>
              </w:rPr>
              <w:t>灭火器</w:t>
            </w:r>
          </w:p>
        </w:tc>
        <w:tc>
          <w:tcPr>
            <w:tcW w:w="1858" w:type="dxa"/>
            <w:tcBorders>
              <w:tl2br w:val="nil"/>
              <w:tr2bl w:val="nil"/>
            </w:tcBorders>
            <w:vAlign w:val="center"/>
          </w:tcPr>
          <w:p w14:paraId="34BA67C0">
            <w:pPr>
              <w:pStyle w:val="7"/>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bCs/>
                <w:color w:val="000000" w:themeColor="text1"/>
                <w:sz w:val="21"/>
                <w:szCs w:val="21"/>
                <w14:textFill>
                  <w14:solidFill>
                    <w14:schemeClr w14:val="tx1"/>
                  </w14:solidFill>
                </w14:textFill>
              </w:rPr>
            </w:pPr>
            <w:r>
              <w:rPr>
                <w:rFonts w:hint="eastAsia" w:ascii="Times New Roman" w:hAnsi="Times New Roman" w:eastAsia="宋体" w:cs="Times New Roman"/>
                <w:bCs/>
                <w:color w:val="000000" w:themeColor="text1"/>
                <w:sz w:val="21"/>
                <w:szCs w:val="21"/>
                <w:lang w:val="en-US" w:eastAsia="zh-CN"/>
                <w14:textFill>
                  <w14:solidFill>
                    <w14:schemeClr w14:val="tx1"/>
                  </w14:solidFill>
                </w14:textFill>
              </w:rPr>
              <w:t>6</w:t>
            </w:r>
            <w:r>
              <w:rPr>
                <w:rFonts w:hint="default" w:ascii="Times New Roman" w:hAnsi="Times New Roman" w:eastAsia="宋体" w:cs="Times New Roman"/>
                <w:bCs/>
                <w:color w:val="000000" w:themeColor="text1"/>
                <w:sz w:val="21"/>
                <w:szCs w:val="21"/>
                <w14:textFill>
                  <w14:solidFill>
                    <w14:schemeClr w14:val="tx1"/>
                  </w14:solidFill>
                </w14:textFill>
              </w:rPr>
              <w:t>个</w:t>
            </w:r>
          </w:p>
        </w:tc>
        <w:tc>
          <w:tcPr>
            <w:tcW w:w="1071" w:type="dxa"/>
            <w:tcBorders>
              <w:tl2br w:val="nil"/>
              <w:tr2bl w:val="nil"/>
            </w:tcBorders>
            <w:shd w:val="clear" w:color="auto" w:fill="auto"/>
            <w:vAlign w:val="center"/>
          </w:tcPr>
          <w:p w14:paraId="2C5FD7A0">
            <w:pPr>
              <w:pStyle w:val="7"/>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auto"/>
              <w:rPr>
                <w:rFonts w:hint="default" w:ascii="Times New Roman" w:hAnsi="Times New Roman" w:eastAsia="宋体" w:cs="Times New Roman"/>
                <w:bCs/>
                <w:color w:val="000000" w:themeColor="text1"/>
                <w:kern w:val="2"/>
                <w:sz w:val="21"/>
                <w:szCs w:val="21"/>
                <w:lang w:val="en-US" w:eastAsia="zh-CN" w:bidi="ar-SA"/>
                <w14:textFill>
                  <w14:solidFill>
                    <w14:schemeClr w14:val="tx1"/>
                  </w14:solidFill>
                </w14:textFill>
                <w14:ligatures w14:val="standardContextual"/>
              </w:rPr>
            </w:pPr>
            <w:r>
              <w:rPr>
                <w:rFonts w:hint="default" w:ascii="Times New Roman" w:hAnsi="Times New Roman" w:eastAsia="宋体" w:cs="Times New Roman"/>
                <w:bCs/>
                <w:color w:val="000000" w:themeColor="text1"/>
                <w:sz w:val="21"/>
                <w:szCs w:val="21"/>
                <w14:textFill>
                  <w14:solidFill>
                    <w14:schemeClr w14:val="tx1"/>
                  </w14:solidFill>
                </w14:textFill>
              </w:rPr>
              <w:t>MF</w:t>
            </w:r>
            <w:r>
              <w:rPr>
                <w:rFonts w:hint="eastAsia" w:ascii="Times New Roman" w:hAnsi="Times New Roman" w:eastAsia="宋体" w:cs="Times New Roman"/>
                <w:bCs/>
                <w:color w:val="000000" w:themeColor="text1"/>
                <w:sz w:val="21"/>
                <w:szCs w:val="21"/>
                <w:lang w:val="en-US" w:eastAsia="zh-CN"/>
                <w14:textFill>
                  <w14:solidFill>
                    <w14:schemeClr w14:val="tx1"/>
                  </w14:solidFill>
                </w14:textFill>
              </w:rPr>
              <w:t>/ABC4</w:t>
            </w:r>
          </w:p>
        </w:tc>
        <w:tc>
          <w:tcPr>
            <w:tcW w:w="1550" w:type="dxa"/>
            <w:tcBorders>
              <w:tl2br w:val="nil"/>
              <w:tr2bl w:val="nil"/>
            </w:tcBorders>
            <w:vAlign w:val="center"/>
          </w:tcPr>
          <w:p w14:paraId="745212D6">
            <w:pPr>
              <w:pStyle w:val="7"/>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bCs/>
                <w:sz w:val="21"/>
                <w:szCs w:val="21"/>
                <w:lang w:val="en-US" w:eastAsia="zh-CN"/>
              </w:rPr>
            </w:pPr>
            <w:r>
              <w:rPr>
                <w:rFonts w:hint="default" w:ascii="Times New Roman" w:hAnsi="Times New Roman" w:eastAsia="宋体" w:cs="Times New Roman"/>
                <w:bCs/>
                <w:sz w:val="21"/>
                <w:szCs w:val="21"/>
                <w:lang w:val="en-US" w:eastAsia="zh-CN"/>
              </w:rPr>
              <w:t>孙宏伟</w:t>
            </w:r>
          </w:p>
        </w:tc>
        <w:tc>
          <w:tcPr>
            <w:tcW w:w="1550" w:type="dxa"/>
            <w:tcBorders>
              <w:tl2br w:val="nil"/>
              <w:tr2bl w:val="nil"/>
            </w:tcBorders>
            <w:vAlign w:val="center"/>
          </w:tcPr>
          <w:p w14:paraId="2874F36C">
            <w:pPr>
              <w:pStyle w:val="7"/>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bCs/>
                <w:sz w:val="21"/>
                <w:szCs w:val="21"/>
                <w:lang w:val="en-US" w:eastAsia="zh-CN"/>
              </w:rPr>
            </w:pPr>
            <w:r>
              <w:rPr>
                <w:rFonts w:hint="eastAsia" w:ascii="Times New Roman" w:hAnsi="Times New Roman" w:eastAsia="宋体" w:cs="Times New Roman"/>
                <w:bCs/>
                <w:sz w:val="21"/>
                <w:szCs w:val="21"/>
                <w:lang w:val="en-US" w:eastAsia="zh-CN"/>
              </w:rPr>
              <w:t>高硅四氯化钛储罐区</w:t>
            </w:r>
          </w:p>
        </w:tc>
      </w:tr>
      <w:tr w14:paraId="557A5A64">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108" w:type="dxa"/>
            <w:bottom w:w="0" w:type="dxa"/>
            <w:right w:w="108" w:type="dxa"/>
          </w:tblCellMar>
        </w:tblPrEx>
        <w:trPr>
          <w:jc w:val="center"/>
        </w:trPr>
        <w:tc>
          <w:tcPr>
            <w:tcW w:w="576" w:type="dxa"/>
            <w:tcBorders>
              <w:tl2br w:val="nil"/>
              <w:tr2bl w:val="nil"/>
            </w:tcBorders>
            <w:vAlign w:val="center"/>
          </w:tcPr>
          <w:p w14:paraId="39EAB8F8">
            <w:pPr>
              <w:pStyle w:val="7"/>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bCs/>
                <w:sz w:val="21"/>
                <w:szCs w:val="21"/>
                <w:lang w:val="en-US" w:eastAsia="zh-CN"/>
              </w:rPr>
            </w:pPr>
            <w:r>
              <w:rPr>
                <w:rFonts w:hint="eastAsia" w:ascii="Times New Roman" w:hAnsi="Times New Roman" w:eastAsia="宋体" w:cs="Times New Roman"/>
                <w:bCs/>
                <w:sz w:val="21"/>
                <w:szCs w:val="21"/>
                <w:lang w:val="en-US" w:eastAsia="zh-CN"/>
              </w:rPr>
              <w:t>2</w:t>
            </w:r>
          </w:p>
        </w:tc>
        <w:tc>
          <w:tcPr>
            <w:tcW w:w="2795" w:type="dxa"/>
            <w:vMerge w:val="continue"/>
            <w:tcBorders>
              <w:tl2br w:val="nil"/>
              <w:tr2bl w:val="nil"/>
            </w:tcBorders>
            <w:vAlign w:val="center"/>
          </w:tcPr>
          <w:p w14:paraId="70C04D5A">
            <w:pPr>
              <w:pStyle w:val="7"/>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bCs/>
                <w:sz w:val="21"/>
                <w:szCs w:val="21"/>
                <w:lang w:eastAsia="zh-CN"/>
              </w:rPr>
            </w:pPr>
          </w:p>
        </w:tc>
        <w:tc>
          <w:tcPr>
            <w:tcW w:w="1858" w:type="dxa"/>
            <w:tcBorders>
              <w:tl2br w:val="nil"/>
              <w:tr2bl w:val="nil"/>
            </w:tcBorders>
            <w:vAlign w:val="center"/>
          </w:tcPr>
          <w:p w14:paraId="11D0D00A">
            <w:pPr>
              <w:pStyle w:val="7"/>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bCs/>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bCs/>
                <w:color w:val="000000" w:themeColor="text1"/>
                <w:sz w:val="21"/>
                <w:szCs w:val="21"/>
                <w:lang w:val="en-US" w:eastAsia="zh-CN"/>
                <w14:textFill>
                  <w14:solidFill>
                    <w14:schemeClr w14:val="tx1"/>
                  </w14:solidFill>
                </w14:textFill>
              </w:rPr>
              <w:t>4</w:t>
            </w:r>
            <w:r>
              <w:rPr>
                <w:rFonts w:hint="default" w:ascii="Times New Roman" w:hAnsi="Times New Roman" w:eastAsia="宋体" w:cs="Times New Roman"/>
                <w:bCs/>
                <w:color w:val="000000" w:themeColor="text1"/>
                <w:sz w:val="21"/>
                <w:szCs w:val="21"/>
                <w14:textFill>
                  <w14:solidFill>
                    <w14:schemeClr w14:val="tx1"/>
                  </w14:solidFill>
                </w14:textFill>
              </w:rPr>
              <w:t>个</w:t>
            </w:r>
          </w:p>
        </w:tc>
        <w:tc>
          <w:tcPr>
            <w:tcW w:w="1071" w:type="dxa"/>
            <w:tcBorders>
              <w:tl2br w:val="nil"/>
              <w:tr2bl w:val="nil"/>
            </w:tcBorders>
            <w:vAlign w:val="center"/>
          </w:tcPr>
          <w:p w14:paraId="56310101">
            <w:pPr>
              <w:pStyle w:val="7"/>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auto"/>
              <w:rPr>
                <w:rFonts w:hint="default" w:ascii="Times New Roman" w:hAnsi="Times New Roman" w:eastAsia="宋体" w:cs="Times New Roman"/>
                <w:bCs/>
                <w:color w:val="000000" w:themeColor="text1"/>
                <w:sz w:val="21"/>
                <w:szCs w:val="21"/>
                <w:lang w:eastAsia="zh-CN"/>
                <w14:textFill>
                  <w14:solidFill>
                    <w14:schemeClr w14:val="tx1"/>
                  </w14:solidFill>
                </w14:textFill>
              </w:rPr>
            </w:pPr>
            <w:r>
              <w:rPr>
                <w:rFonts w:hint="default" w:ascii="Times New Roman" w:hAnsi="Times New Roman" w:eastAsia="宋体" w:cs="Times New Roman"/>
                <w:bCs/>
                <w:color w:val="000000" w:themeColor="text1"/>
                <w:sz w:val="21"/>
                <w:szCs w:val="21"/>
                <w14:textFill>
                  <w14:solidFill>
                    <w14:schemeClr w14:val="tx1"/>
                  </w14:solidFill>
                </w14:textFill>
              </w:rPr>
              <w:t>MF</w:t>
            </w:r>
            <w:r>
              <w:rPr>
                <w:rFonts w:hint="eastAsia" w:ascii="Times New Roman" w:hAnsi="Times New Roman" w:eastAsia="宋体" w:cs="Times New Roman"/>
                <w:bCs/>
                <w:color w:val="000000" w:themeColor="text1"/>
                <w:sz w:val="21"/>
                <w:szCs w:val="21"/>
                <w:lang w:val="en-US" w:eastAsia="zh-CN"/>
                <w14:textFill>
                  <w14:solidFill>
                    <w14:schemeClr w14:val="tx1"/>
                  </w14:solidFill>
                </w14:textFill>
              </w:rPr>
              <w:t>/ABC4</w:t>
            </w:r>
          </w:p>
        </w:tc>
        <w:tc>
          <w:tcPr>
            <w:tcW w:w="1550" w:type="dxa"/>
            <w:tcBorders>
              <w:tl2br w:val="nil"/>
              <w:tr2bl w:val="nil"/>
            </w:tcBorders>
            <w:vAlign w:val="center"/>
          </w:tcPr>
          <w:p w14:paraId="65AFF136">
            <w:pPr>
              <w:pStyle w:val="7"/>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eastAsia" w:ascii="Times New Roman" w:hAnsi="Times New Roman" w:eastAsia="宋体" w:cs="Times New Roman"/>
                <w:bCs/>
                <w:sz w:val="21"/>
                <w:szCs w:val="21"/>
                <w:lang w:val="en-US" w:eastAsia="zh-CN"/>
              </w:rPr>
            </w:pPr>
            <w:r>
              <w:rPr>
                <w:rFonts w:hint="eastAsia" w:ascii="Times New Roman" w:hAnsi="Times New Roman" w:eastAsia="宋体" w:cs="Times New Roman"/>
                <w:bCs/>
                <w:sz w:val="21"/>
                <w:szCs w:val="21"/>
                <w:lang w:val="en-US" w:eastAsia="zh-CN"/>
              </w:rPr>
              <w:t>王增江</w:t>
            </w:r>
          </w:p>
        </w:tc>
        <w:tc>
          <w:tcPr>
            <w:tcW w:w="1550" w:type="dxa"/>
            <w:tcBorders>
              <w:tl2br w:val="nil"/>
              <w:tr2bl w:val="nil"/>
            </w:tcBorders>
            <w:vAlign w:val="center"/>
          </w:tcPr>
          <w:p w14:paraId="15A8E565">
            <w:pPr>
              <w:pStyle w:val="7"/>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bCs/>
                <w:sz w:val="21"/>
                <w:szCs w:val="21"/>
                <w:lang w:val="en-US" w:eastAsia="zh-CN"/>
              </w:rPr>
            </w:pPr>
            <w:r>
              <w:rPr>
                <w:rFonts w:hint="eastAsia" w:ascii="Times New Roman" w:hAnsi="Times New Roman" w:eastAsia="宋体" w:cs="Times New Roman"/>
                <w:bCs/>
                <w:sz w:val="21"/>
                <w:szCs w:val="21"/>
                <w:lang w:val="en-US" w:eastAsia="zh-CN"/>
              </w:rPr>
              <w:t>盐酸储罐区</w:t>
            </w:r>
          </w:p>
        </w:tc>
      </w:tr>
      <w:tr w14:paraId="641EFF49">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108" w:type="dxa"/>
            <w:bottom w:w="0" w:type="dxa"/>
            <w:right w:w="108" w:type="dxa"/>
          </w:tblCellMar>
        </w:tblPrEx>
        <w:trPr>
          <w:jc w:val="center"/>
        </w:trPr>
        <w:tc>
          <w:tcPr>
            <w:tcW w:w="576" w:type="dxa"/>
            <w:tcBorders>
              <w:tl2br w:val="nil"/>
              <w:tr2bl w:val="nil"/>
            </w:tcBorders>
            <w:vAlign w:val="center"/>
          </w:tcPr>
          <w:p w14:paraId="1825EDF6">
            <w:pPr>
              <w:pStyle w:val="7"/>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bCs/>
                <w:sz w:val="21"/>
                <w:szCs w:val="21"/>
                <w:lang w:val="en-US" w:eastAsia="zh-CN"/>
              </w:rPr>
            </w:pPr>
            <w:r>
              <w:rPr>
                <w:rFonts w:hint="eastAsia" w:ascii="Times New Roman" w:hAnsi="Times New Roman" w:eastAsia="宋体" w:cs="Times New Roman"/>
                <w:bCs/>
                <w:sz w:val="21"/>
                <w:szCs w:val="21"/>
                <w:lang w:val="en-US" w:eastAsia="zh-CN"/>
              </w:rPr>
              <w:t>3</w:t>
            </w:r>
          </w:p>
        </w:tc>
        <w:tc>
          <w:tcPr>
            <w:tcW w:w="2795" w:type="dxa"/>
            <w:vMerge w:val="continue"/>
            <w:tcBorders>
              <w:tl2br w:val="nil"/>
              <w:tr2bl w:val="nil"/>
            </w:tcBorders>
            <w:vAlign w:val="center"/>
          </w:tcPr>
          <w:p w14:paraId="6473D5FC">
            <w:pPr>
              <w:pStyle w:val="7"/>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bCs/>
                <w:sz w:val="21"/>
                <w:szCs w:val="21"/>
                <w:lang w:eastAsia="zh-CN"/>
              </w:rPr>
            </w:pPr>
          </w:p>
        </w:tc>
        <w:tc>
          <w:tcPr>
            <w:tcW w:w="1858" w:type="dxa"/>
            <w:tcBorders>
              <w:tl2br w:val="nil"/>
              <w:tr2bl w:val="nil"/>
            </w:tcBorders>
            <w:vAlign w:val="center"/>
          </w:tcPr>
          <w:p w14:paraId="4525C4A2">
            <w:pPr>
              <w:pStyle w:val="7"/>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eastAsia" w:ascii="Times New Roman" w:hAnsi="Times New Roman" w:eastAsia="宋体" w:cs="Times New Roman"/>
                <w:bCs/>
                <w:sz w:val="21"/>
                <w:szCs w:val="21"/>
                <w:lang w:val="en-US" w:eastAsia="zh-CN"/>
              </w:rPr>
            </w:pPr>
            <w:r>
              <w:rPr>
                <w:rFonts w:hint="eastAsia" w:ascii="Times New Roman" w:hAnsi="Times New Roman" w:eastAsia="宋体" w:cs="Times New Roman"/>
                <w:bCs/>
                <w:sz w:val="21"/>
                <w:szCs w:val="21"/>
                <w:lang w:val="en-US" w:eastAsia="zh-CN"/>
              </w:rPr>
              <w:t>6</w:t>
            </w:r>
            <w:r>
              <w:rPr>
                <w:rFonts w:hint="default" w:ascii="Times New Roman" w:hAnsi="Times New Roman" w:eastAsia="宋体" w:cs="Times New Roman"/>
                <w:bCs/>
                <w:color w:val="000000" w:themeColor="text1"/>
                <w:sz w:val="21"/>
                <w:szCs w:val="21"/>
                <w14:textFill>
                  <w14:solidFill>
                    <w14:schemeClr w14:val="tx1"/>
                  </w14:solidFill>
                </w14:textFill>
              </w:rPr>
              <w:t>个</w:t>
            </w:r>
          </w:p>
        </w:tc>
        <w:tc>
          <w:tcPr>
            <w:tcW w:w="1071" w:type="dxa"/>
            <w:tcBorders>
              <w:tl2br w:val="nil"/>
              <w:tr2bl w:val="nil"/>
            </w:tcBorders>
            <w:vAlign w:val="center"/>
          </w:tcPr>
          <w:p w14:paraId="4A5E0A6F">
            <w:pPr>
              <w:pStyle w:val="7"/>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auto"/>
              <w:rPr>
                <w:rFonts w:hint="default" w:ascii="Times New Roman" w:hAnsi="Times New Roman" w:eastAsia="宋体" w:cs="Times New Roman"/>
                <w:bCs/>
                <w:sz w:val="21"/>
                <w:szCs w:val="21"/>
              </w:rPr>
            </w:pPr>
            <w:r>
              <w:rPr>
                <w:rFonts w:hint="default" w:ascii="Times New Roman" w:hAnsi="Times New Roman" w:eastAsia="宋体" w:cs="Times New Roman"/>
                <w:bCs/>
                <w:color w:val="000000" w:themeColor="text1"/>
                <w:sz w:val="21"/>
                <w:szCs w:val="21"/>
                <w14:textFill>
                  <w14:solidFill>
                    <w14:schemeClr w14:val="tx1"/>
                  </w14:solidFill>
                </w14:textFill>
              </w:rPr>
              <w:t>MF</w:t>
            </w:r>
            <w:r>
              <w:rPr>
                <w:rFonts w:hint="eastAsia" w:ascii="Times New Roman" w:hAnsi="Times New Roman" w:eastAsia="宋体" w:cs="Times New Roman"/>
                <w:bCs/>
                <w:color w:val="000000" w:themeColor="text1"/>
                <w:sz w:val="21"/>
                <w:szCs w:val="21"/>
                <w:lang w:val="en-US" w:eastAsia="zh-CN"/>
                <w14:textFill>
                  <w14:solidFill>
                    <w14:schemeClr w14:val="tx1"/>
                  </w14:solidFill>
                </w14:textFill>
              </w:rPr>
              <w:t>/ABC4</w:t>
            </w:r>
          </w:p>
        </w:tc>
        <w:tc>
          <w:tcPr>
            <w:tcW w:w="1550" w:type="dxa"/>
            <w:tcBorders>
              <w:tl2br w:val="nil"/>
              <w:tr2bl w:val="nil"/>
            </w:tcBorders>
            <w:vAlign w:val="center"/>
          </w:tcPr>
          <w:p w14:paraId="4B88302F">
            <w:pPr>
              <w:pStyle w:val="7"/>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bCs/>
                <w:sz w:val="21"/>
                <w:szCs w:val="21"/>
              </w:rPr>
            </w:pPr>
            <w:r>
              <w:rPr>
                <w:rFonts w:hint="default" w:ascii="Times New Roman" w:hAnsi="Times New Roman" w:eastAsia="宋体" w:cs="Times New Roman"/>
                <w:bCs/>
                <w:sz w:val="21"/>
                <w:szCs w:val="21"/>
              </w:rPr>
              <w:t>陈文洪</w:t>
            </w:r>
          </w:p>
        </w:tc>
        <w:tc>
          <w:tcPr>
            <w:tcW w:w="1550" w:type="dxa"/>
            <w:tcBorders>
              <w:tl2br w:val="nil"/>
              <w:tr2bl w:val="nil"/>
            </w:tcBorders>
            <w:vAlign w:val="center"/>
          </w:tcPr>
          <w:p w14:paraId="5F798DF0">
            <w:pPr>
              <w:pStyle w:val="7"/>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eastAsia="宋体" w:cs="Times New Roman"/>
                <w:bCs/>
                <w:sz w:val="21"/>
                <w:szCs w:val="21"/>
              </w:rPr>
            </w:pPr>
            <w:r>
              <w:rPr>
                <w:rFonts w:hint="eastAsia" w:ascii="Times New Roman" w:hAnsi="Times New Roman" w:eastAsia="宋体" w:cs="Times New Roman"/>
                <w:bCs/>
                <w:sz w:val="21"/>
                <w:szCs w:val="21"/>
                <w:lang w:val="en-US" w:eastAsia="zh-CN"/>
              </w:rPr>
              <w:t>次氯酸铵罐区</w:t>
            </w:r>
          </w:p>
        </w:tc>
      </w:tr>
    </w:tbl>
    <w:p w14:paraId="159CED71">
      <w:pPr>
        <w:tabs>
          <w:tab w:val="left" w:pos="840"/>
          <w:tab w:val="left" w:pos="1260"/>
        </w:tabs>
        <w:adjustRightInd w:val="0"/>
        <w:snapToGrid w:val="0"/>
        <w:spacing w:before="156" w:beforeLines="50" w:after="156" w:afterLines="50" w:line="360" w:lineRule="auto"/>
        <w:ind w:firstLine="562" w:firstLineChars="200"/>
        <w:jc w:val="both"/>
        <w:outlineLvl w:val="2"/>
        <w:rPr>
          <w:rFonts w:hint="default" w:ascii="Times New Roman" w:hAnsi="Times New Roman" w:eastAsia="宋体" w:cs="Times New Roman"/>
          <w:sz w:val="28"/>
          <w:szCs w:val="28"/>
          <w:lang w:val="en-US"/>
          <w14:ligatures w14:val="none"/>
        </w:rPr>
      </w:pPr>
      <w:r>
        <w:rPr>
          <w:rFonts w:hint="eastAsia" w:ascii="Times New Roman" w:hAnsi="Times New Roman" w:eastAsia="黑体" w:cs="Times New Roman"/>
          <w:b/>
          <w:sz w:val="28"/>
          <w:szCs w:val="32"/>
          <w:lang w:val="en-US" w:eastAsia="zh-CN"/>
          <w14:ligatures w14:val="none"/>
        </w:rPr>
        <w:t>2.5.5控制系统</w:t>
      </w:r>
    </w:p>
    <w:p w14:paraId="62EFF375">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sz w:val="28"/>
          <w:szCs w:val="28"/>
          <w:lang w:val="en-US" w:eastAsia="zh-CN"/>
          <w14:ligatures w14:val="none"/>
        </w:rPr>
      </w:pPr>
      <w:r>
        <w:rPr>
          <w:rFonts w:hint="eastAsia" w:ascii="Times New Roman" w:hAnsi="Times New Roman" w:eastAsia="宋体" w:cs="Times New Roman"/>
          <w:sz w:val="28"/>
          <w:szCs w:val="28"/>
          <w:lang w:val="en-US" w:eastAsia="zh-CN"/>
          <w14:ligatures w14:val="none"/>
        </w:rPr>
        <w:t>全厂设有生产控制中心，盐酸储罐设置盐酸/碱液储库PLC控制站、高硅四氯化钛储罐设置</w:t>
      </w:r>
      <w:r>
        <w:rPr>
          <w:rFonts w:hint="default" w:ascii="Times New Roman" w:hAnsi="Times New Roman" w:eastAsia="宋体" w:cs="Times New Roman"/>
          <w:sz w:val="28"/>
          <w:szCs w:val="28"/>
          <w:lang w:val="en-US" w:eastAsia="zh-CN"/>
          <w14:ligatures w14:val="none"/>
        </w:rPr>
        <w:t>精制DCS机柜室</w:t>
      </w:r>
      <w:r>
        <w:rPr>
          <w:rFonts w:hint="eastAsia" w:ascii="Times New Roman" w:hAnsi="Times New Roman" w:eastAsia="宋体" w:cs="Times New Roman"/>
          <w:sz w:val="28"/>
          <w:szCs w:val="28"/>
          <w:lang w:val="en-US" w:eastAsia="zh-CN"/>
          <w14:ligatures w14:val="none"/>
        </w:rPr>
        <w:t>、次氯酸钠储罐设置</w:t>
      </w:r>
      <w:r>
        <w:rPr>
          <w:rFonts w:hint="default" w:ascii="Times New Roman" w:hAnsi="Times New Roman" w:eastAsia="宋体" w:cs="Times New Roman"/>
          <w:sz w:val="28"/>
          <w:szCs w:val="28"/>
          <w:lang w:val="en-US" w:eastAsia="zh-CN"/>
          <w14:ligatures w14:val="none"/>
        </w:rPr>
        <w:t>DCS机柜室</w:t>
      </w:r>
      <w:r>
        <w:rPr>
          <w:rFonts w:hint="eastAsia" w:ascii="Times New Roman" w:hAnsi="Times New Roman" w:eastAsia="宋体" w:cs="Times New Roman"/>
          <w:sz w:val="28"/>
          <w:szCs w:val="28"/>
          <w:lang w:val="en-US" w:eastAsia="zh-CN"/>
          <w14:ligatures w14:val="none"/>
        </w:rPr>
        <w:t>。</w:t>
      </w:r>
    </w:p>
    <w:p w14:paraId="79E734DC">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现场DCS机柜室作为全厂生产控制中心DCS系统的一部分，放置DCS机柜、网络柜及供电设备、工程师站（1台）、操作员站（1台，含OPC通讯软件）等辅助设施，负责该区域现场仪表及电气设备的信号数据采集与控制，然后送往全厂生产控制中心进行集中监控。现场PLC控制站负责该工段现场仪表及电气设备的信号数据采集与控制，PLC机柜上设置有触摸屏，可进行生产过程参数的显示及修改，同时通过以太网络将数据送至全厂生产控制中心进行集中监控。</w:t>
      </w:r>
    </w:p>
    <w:p w14:paraId="2A59FFB6">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eastAsia" w:ascii="Times New Roman" w:hAnsi="Times New Roman" w:eastAsia="宋体" w:cs="Times New Roman"/>
          <w:sz w:val="28"/>
          <w:szCs w:val="28"/>
          <w:lang w:val="en-US" w:eastAsia="zh-CN"/>
          <w14:ligatures w14:val="none"/>
        </w:rPr>
      </w:pPr>
      <w:r>
        <w:rPr>
          <w:rFonts w:hint="eastAsia" w:ascii="Times New Roman" w:hAnsi="Times New Roman" w:eastAsia="宋体" w:cs="Times New Roman"/>
          <w:sz w:val="28"/>
          <w:szCs w:val="28"/>
          <w:lang w:val="en-US" w:eastAsia="zh-CN"/>
          <w14:ligatures w14:val="none"/>
        </w:rPr>
        <w:t>控制室通过DCS对储罐进行液位等参数的监控、记录、调节。各储罐设置高高液位报警，盐酸储罐设置高高液位报警值为5000mm、高硅四氯化钛储罐设置高高液位报警值为2900mm、次氯酸钠储罐设置高高液位报警值为9000mm。当液位达到高高限时，报警且手动进行切断。</w:t>
      </w:r>
    </w:p>
    <w:p w14:paraId="2371254B">
      <w:pPr>
        <w:tabs>
          <w:tab w:val="left" w:pos="840"/>
          <w:tab w:val="left" w:pos="1260"/>
        </w:tabs>
        <w:adjustRightInd w:val="0"/>
        <w:snapToGrid w:val="0"/>
        <w:spacing w:before="156" w:beforeLines="50" w:after="156" w:afterLines="50" w:line="360" w:lineRule="auto"/>
        <w:ind w:firstLine="562" w:firstLineChars="200"/>
        <w:jc w:val="both"/>
        <w:outlineLvl w:val="2"/>
        <w:rPr>
          <w:rFonts w:hint="eastAsia" w:ascii="Times New Roman" w:hAnsi="Times New Roman" w:eastAsia="黑体" w:cs="Times New Roman"/>
          <w:b/>
          <w:sz w:val="28"/>
          <w:szCs w:val="32"/>
          <w:lang w:val="en-US" w:eastAsia="zh-CN"/>
          <w14:ligatures w14:val="none"/>
        </w:rPr>
      </w:pPr>
      <w:r>
        <w:rPr>
          <w:rFonts w:hint="eastAsia" w:ascii="Times New Roman" w:hAnsi="Times New Roman" w:eastAsia="黑体" w:cs="Times New Roman"/>
          <w:b/>
          <w:sz w:val="28"/>
          <w:szCs w:val="32"/>
          <w:lang w:val="en-US" w:eastAsia="zh-CN"/>
          <w14:ligatures w14:val="none"/>
        </w:rPr>
        <w:t>2.5.6应急救援物资</w:t>
      </w:r>
    </w:p>
    <w:p w14:paraId="0B88AB07">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eastAsia" w:ascii="Times New Roman" w:hAnsi="Times New Roman" w:eastAsia="宋体" w:cs="Times New Roman"/>
          <w:sz w:val="28"/>
          <w:szCs w:val="28"/>
          <w:lang w:val="en-US" w:eastAsia="zh-CN"/>
          <w14:ligatures w14:val="none"/>
        </w:rPr>
      </w:pPr>
      <w:r>
        <w:rPr>
          <w:rFonts w:hint="eastAsia" w:ascii="Times New Roman" w:hAnsi="Times New Roman" w:eastAsia="宋体" w:cs="Times New Roman"/>
          <w:sz w:val="28"/>
          <w:szCs w:val="28"/>
          <w:lang w:val="en-US" w:eastAsia="zh-CN"/>
          <w14:ligatures w14:val="none"/>
        </w:rPr>
        <w:t>应急救援物资见表2.5-2。</w:t>
      </w:r>
    </w:p>
    <w:p w14:paraId="53D7C0B4">
      <w:pPr>
        <w:keepNext/>
        <w:adjustRightInd w:val="0"/>
        <w:snapToGrid w:val="0"/>
        <w:spacing w:before="156" w:beforeLines="50" w:after="156" w:afterLines="50" w:line="240" w:lineRule="auto"/>
        <w:jc w:val="center"/>
        <w:rPr>
          <w:rFonts w:hint="default" w:ascii="Times New Roman" w:hAnsi="Times New Roman" w:eastAsia="宋体" w:cs="Times New Roman"/>
          <w:sz w:val="28"/>
          <w:szCs w:val="28"/>
          <w:highlight w:val="none"/>
          <w:lang w:val="en-US" w:eastAsia="zh-CN"/>
          <w14:ligatures w14:val="none"/>
        </w:rPr>
      </w:pPr>
      <w:r>
        <w:rPr>
          <w:rFonts w:ascii="Times New Roman" w:hAnsi="Times New Roman" w:eastAsia="黑体" w:cs="Times New Roman"/>
          <w:sz w:val="24"/>
          <w:highlight w:val="none"/>
          <w14:ligatures w14:val="none"/>
        </w:rPr>
        <w:t>表2.</w:t>
      </w:r>
      <w:r>
        <w:rPr>
          <w:rFonts w:hint="eastAsia" w:ascii="Times New Roman" w:hAnsi="Times New Roman" w:eastAsia="黑体" w:cs="Times New Roman"/>
          <w:sz w:val="24"/>
          <w:highlight w:val="none"/>
          <w:lang w:val="en-US" w:eastAsia="zh-CN"/>
          <w14:ligatures w14:val="none"/>
        </w:rPr>
        <w:t>5-2</w:t>
      </w:r>
      <w:r>
        <w:rPr>
          <w:rFonts w:ascii="Times New Roman" w:hAnsi="Times New Roman" w:eastAsia="黑体" w:cs="Times New Roman"/>
          <w:sz w:val="24"/>
          <w:highlight w:val="none"/>
          <w14:ligatures w14:val="none"/>
        </w:rPr>
        <w:t xml:space="preserve">  </w:t>
      </w:r>
      <w:r>
        <w:rPr>
          <w:rFonts w:hint="eastAsia" w:ascii="Times New Roman" w:hAnsi="Times New Roman" w:eastAsia="黑体" w:cs="Times New Roman"/>
          <w:sz w:val="24"/>
          <w:highlight w:val="none"/>
          <w:lang w:val="en-US" w:eastAsia="zh-CN"/>
          <w14:ligatures w14:val="none"/>
        </w:rPr>
        <w:t>应急救援物资配备</w:t>
      </w:r>
      <w:r>
        <w:rPr>
          <w:rFonts w:ascii="Times New Roman" w:hAnsi="Times New Roman" w:eastAsia="黑体" w:cs="Times New Roman"/>
          <w:sz w:val="24"/>
          <w:highlight w:val="none"/>
          <w14:ligatures w14:val="none"/>
        </w:rPr>
        <w:t>情况表</w:t>
      </w:r>
    </w:p>
    <w:tbl>
      <w:tblPr>
        <w:tblStyle w:val="1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4"/>
        <w:gridCol w:w="2447"/>
        <w:gridCol w:w="1163"/>
        <w:gridCol w:w="1840"/>
        <w:gridCol w:w="1336"/>
        <w:gridCol w:w="1740"/>
      </w:tblGrid>
      <w:tr w14:paraId="0BEC93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trPr>
        <w:tc>
          <w:tcPr>
            <w:tcW w:w="776" w:type="dxa"/>
            <w:noWrap w:val="0"/>
            <w:vAlign w:val="center"/>
          </w:tcPr>
          <w:p w14:paraId="54573963">
            <w:pPr>
              <w:keepNext w:val="0"/>
              <w:keepLines w:val="0"/>
              <w:pageBreakBefore w:val="0"/>
              <w:widowControl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lang w:val="en-US" w:eastAsia="zh-CN"/>
              </w:rPr>
              <w:t>序号</w:t>
            </w:r>
          </w:p>
        </w:tc>
        <w:tc>
          <w:tcPr>
            <w:tcW w:w="2173" w:type="dxa"/>
            <w:noWrap w:val="0"/>
            <w:vAlign w:val="center"/>
          </w:tcPr>
          <w:p w14:paraId="68397C3B">
            <w:pPr>
              <w:keepNext w:val="0"/>
              <w:keepLines w:val="0"/>
              <w:pageBreakBefore w:val="0"/>
              <w:widowControl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lang w:val="en-US" w:eastAsia="zh-CN"/>
              </w:rPr>
              <w:t>物资名称</w:t>
            </w:r>
          </w:p>
        </w:tc>
        <w:tc>
          <w:tcPr>
            <w:tcW w:w="1033" w:type="dxa"/>
            <w:noWrap w:val="0"/>
            <w:vAlign w:val="center"/>
          </w:tcPr>
          <w:p w14:paraId="1C182166">
            <w:pPr>
              <w:keepNext w:val="0"/>
              <w:keepLines w:val="0"/>
              <w:pageBreakBefore w:val="0"/>
              <w:widowControl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lang w:val="en-US" w:eastAsia="zh-CN"/>
              </w:rPr>
              <w:t>数量</w:t>
            </w:r>
          </w:p>
        </w:tc>
        <w:tc>
          <w:tcPr>
            <w:tcW w:w="1634" w:type="dxa"/>
            <w:noWrap w:val="0"/>
            <w:vAlign w:val="center"/>
          </w:tcPr>
          <w:p w14:paraId="58F5D359">
            <w:pPr>
              <w:keepNext w:val="0"/>
              <w:keepLines w:val="0"/>
              <w:pageBreakBefore w:val="0"/>
              <w:widowControl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lang w:val="en-US" w:eastAsia="zh-CN"/>
              </w:rPr>
              <w:t>存放地点</w:t>
            </w:r>
          </w:p>
        </w:tc>
        <w:tc>
          <w:tcPr>
            <w:tcW w:w="1186" w:type="dxa"/>
            <w:noWrap w:val="0"/>
            <w:vAlign w:val="center"/>
          </w:tcPr>
          <w:p w14:paraId="601552AD">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lang w:val="en-US" w:eastAsia="zh-CN" w:bidi="ar-SA"/>
              </w:rPr>
              <w:t>责任人</w:t>
            </w:r>
          </w:p>
        </w:tc>
        <w:tc>
          <w:tcPr>
            <w:tcW w:w="1545" w:type="dxa"/>
            <w:noWrap w:val="0"/>
            <w:vAlign w:val="center"/>
          </w:tcPr>
          <w:p w14:paraId="224FB665">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lang w:val="en-US" w:eastAsia="zh-CN" w:bidi="ar-SA"/>
              </w:rPr>
              <w:t>电话</w:t>
            </w:r>
          </w:p>
        </w:tc>
      </w:tr>
      <w:tr w14:paraId="24BB2E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776" w:type="dxa"/>
            <w:shd w:val="clear" w:color="auto" w:fill="auto"/>
            <w:noWrap w:val="0"/>
            <w:vAlign w:val="center"/>
          </w:tcPr>
          <w:p w14:paraId="57DE37A6">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p>
        </w:tc>
        <w:tc>
          <w:tcPr>
            <w:tcW w:w="2173" w:type="dxa"/>
            <w:shd w:val="clear" w:color="auto" w:fill="auto"/>
            <w:noWrap w:val="0"/>
            <w:vAlign w:val="center"/>
          </w:tcPr>
          <w:p w14:paraId="529D3D63">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泵吸式氯气检测仪</w:t>
            </w:r>
          </w:p>
        </w:tc>
        <w:tc>
          <w:tcPr>
            <w:tcW w:w="1033" w:type="dxa"/>
            <w:shd w:val="clear" w:color="auto" w:fill="auto"/>
            <w:noWrap w:val="0"/>
            <w:vAlign w:val="center"/>
          </w:tcPr>
          <w:p w14:paraId="52B90B7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4</w:t>
            </w:r>
          </w:p>
        </w:tc>
        <w:tc>
          <w:tcPr>
            <w:tcW w:w="1634" w:type="dxa"/>
            <w:shd w:val="clear" w:color="auto" w:fill="auto"/>
            <w:noWrap w:val="0"/>
            <w:vAlign w:val="center"/>
          </w:tcPr>
          <w:p w14:paraId="5416B4BF">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i w:val="0"/>
                <w:iCs w:val="0"/>
                <w:color w:val="000000"/>
                <w:kern w:val="2"/>
                <w:sz w:val="21"/>
                <w:szCs w:val="21"/>
                <w:u w:val="none"/>
                <w:lang w:val="en-US" w:eastAsia="zh-CN" w:bidi="ar-SA"/>
              </w:rPr>
              <w:t>气防站</w:t>
            </w:r>
          </w:p>
        </w:tc>
        <w:tc>
          <w:tcPr>
            <w:tcW w:w="1186" w:type="dxa"/>
            <w:shd w:val="clear" w:color="auto" w:fill="auto"/>
            <w:noWrap w:val="0"/>
            <w:vAlign w:val="center"/>
          </w:tcPr>
          <w:p w14:paraId="04000452">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张力增</w:t>
            </w:r>
          </w:p>
        </w:tc>
        <w:tc>
          <w:tcPr>
            <w:tcW w:w="1545" w:type="dxa"/>
            <w:noWrap w:val="0"/>
            <w:vAlign w:val="center"/>
          </w:tcPr>
          <w:p w14:paraId="10FF8F25">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13464444519</w:t>
            </w:r>
          </w:p>
        </w:tc>
      </w:tr>
      <w:tr w14:paraId="4A6C6C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76" w:type="dxa"/>
            <w:shd w:val="clear" w:color="auto" w:fill="auto"/>
            <w:noWrap w:val="0"/>
            <w:vAlign w:val="center"/>
          </w:tcPr>
          <w:p w14:paraId="73BC5B17">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p>
        </w:tc>
        <w:tc>
          <w:tcPr>
            <w:tcW w:w="2173" w:type="dxa"/>
            <w:shd w:val="clear" w:color="auto" w:fill="auto"/>
            <w:noWrap w:val="0"/>
            <w:vAlign w:val="center"/>
          </w:tcPr>
          <w:p w14:paraId="2ACB9262">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二级防护服</w:t>
            </w:r>
          </w:p>
        </w:tc>
        <w:tc>
          <w:tcPr>
            <w:tcW w:w="1033" w:type="dxa"/>
            <w:shd w:val="clear" w:color="auto" w:fill="auto"/>
            <w:noWrap w:val="0"/>
            <w:vAlign w:val="center"/>
          </w:tcPr>
          <w:p w14:paraId="78625FCA">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4</w:t>
            </w:r>
          </w:p>
        </w:tc>
        <w:tc>
          <w:tcPr>
            <w:tcW w:w="1634" w:type="dxa"/>
            <w:shd w:val="clear" w:color="auto" w:fill="auto"/>
            <w:noWrap w:val="0"/>
            <w:vAlign w:val="center"/>
          </w:tcPr>
          <w:p w14:paraId="0B9BADBD">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i w:val="0"/>
                <w:iCs w:val="0"/>
                <w:color w:val="000000"/>
                <w:kern w:val="2"/>
                <w:sz w:val="21"/>
                <w:szCs w:val="21"/>
                <w:u w:val="none"/>
                <w:lang w:val="en-US" w:eastAsia="zh-CN" w:bidi="ar-SA"/>
              </w:rPr>
              <w:t>气防站</w:t>
            </w:r>
          </w:p>
        </w:tc>
        <w:tc>
          <w:tcPr>
            <w:tcW w:w="1186" w:type="dxa"/>
            <w:shd w:val="clear" w:color="auto" w:fill="auto"/>
            <w:noWrap w:val="0"/>
            <w:vAlign w:val="center"/>
          </w:tcPr>
          <w:p w14:paraId="528BEDAA">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color w:val="auto"/>
                <w:sz w:val="21"/>
                <w:szCs w:val="21"/>
                <w:lang w:eastAsia="zh-CN"/>
              </w:rPr>
            </w:pPr>
            <w:r>
              <w:rPr>
                <w:rFonts w:hint="eastAsia" w:ascii="Times New Roman" w:hAnsi="Times New Roman" w:eastAsia="宋体" w:cs="Times New Roman"/>
                <w:color w:val="auto"/>
                <w:kern w:val="2"/>
                <w:sz w:val="21"/>
                <w:szCs w:val="21"/>
                <w:lang w:val="en-US" w:eastAsia="zh-CN" w:bidi="ar-SA"/>
              </w:rPr>
              <w:t>张力增</w:t>
            </w:r>
          </w:p>
        </w:tc>
        <w:tc>
          <w:tcPr>
            <w:tcW w:w="1545" w:type="dxa"/>
            <w:noWrap w:val="0"/>
            <w:vAlign w:val="center"/>
          </w:tcPr>
          <w:p w14:paraId="332B702A">
            <w:pPr>
              <w:keepNext w:val="0"/>
              <w:keepLines w:val="0"/>
              <w:pageBreakBefore w:val="0"/>
              <w:widowControl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color w:val="auto"/>
                <w:sz w:val="21"/>
                <w:szCs w:val="21"/>
                <w:lang w:eastAsia="zh-CN"/>
              </w:rPr>
            </w:pPr>
            <w:r>
              <w:rPr>
                <w:rFonts w:hint="eastAsia" w:ascii="Times New Roman" w:hAnsi="Times New Roman" w:eastAsia="宋体" w:cs="Times New Roman"/>
                <w:color w:val="auto"/>
                <w:kern w:val="2"/>
                <w:sz w:val="21"/>
                <w:szCs w:val="21"/>
                <w:lang w:val="en-US" w:eastAsia="zh-CN" w:bidi="ar-SA"/>
              </w:rPr>
              <w:t>13464444519</w:t>
            </w:r>
          </w:p>
        </w:tc>
      </w:tr>
      <w:tr w14:paraId="4805AE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76" w:type="dxa"/>
            <w:shd w:val="clear" w:color="auto" w:fill="auto"/>
            <w:noWrap w:val="0"/>
            <w:vAlign w:val="center"/>
          </w:tcPr>
          <w:p w14:paraId="1FE8EE1B">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p>
        </w:tc>
        <w:tc>
          <w:tcPr>
            <w:tcW w:w="2173" w:type="dxa"/>
            <w:shd w:val="clear" w:color="auto" w:fill="auto"/>
            <w:noWrap w:val="0"/>
            <w:vAlign w:val="center"/>
          </w:tcPr>
          <w:p w14:paraId="0FE578B1">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正压式空气呼吸器</w:t>
            </w:r>
          </w:p>
        </w:tc>
        <w:tc>
          <w:tcPr>
            <w:tcW w:w="1033" w:type="dxa"/>
            <w:shd w:val="clear" w:color="auto" w:fill="auto"/>
            <w:noWrap w:val="0"/>
            <w:vAlign w:val="center"/>
          </w:tcPr>
          <w:p w14:paraId="48317333">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i w:val="0"/>
                <w:iCs w:val="0"/>
                <w:color w:val="000000"/>
                <w:kern w:val="2"/>
                <w:sz w:val="21"/>
                <w:szCs w:val="21"/>
                <w:u w:val="none"/>
                <w:lang w:val="en-US" w:eastAsia="zh-CN" w:bidi="ar-SA"/>
              </w:rPr>
              <w:t>12</w:t>
            </w:r>
          </w:p>
        </w:tc>
        <w:tc>
          <w:tcPr>
            <w:tcW w:w="1634" w:type="dxa"/>
            <w:shd w:val="clear" w:color="auto" w:fill="auto"/>
            <w:noWrap w:val="0"/>
            <w:vAlign w:val="center"/>
          </w:tcPr>
          <w:p w14:paraId="2176AA38">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i w:val="0"/>
                <w:iCs w:val="0"/>
                <w:color w:val="000000"/>
                <w:kern w:val="2"/>
                <w:sz w:val="21"/>
                <w:szCs w:val="21"/>
                <w:u w:val="none"/>
                <w:lang w:val="en-US" w:eastAsia="zh-CN" w:bidi="ar-SA"/>
              </w:rPr>
              <w:t>液氯库、气防站</w:t>
            </w:r>
          </w:p>
        </w:tc>
        <w:tc>
          <w:tcPr>
            <w:tcW w:w="1186" w:type="dxa"/>
            <w:shd w:val="clear" w:color="auto" w:fill="auto"/>
            <w:noWrap w:val="0"/>
            <w:vAlign w:val="center"/>
          </w:tcPr>
          <w:p w14:paraId="3811FC3C">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i w:val="0"/>
                <w:iCs w:val="0"/>
                <w:color w:val="000000"/>
                <w:kern w:val="2"/>
                <w:sz w:val="21"/>
                <w:szCs w:val="21"/>
                <w:u w:val="none"/>
                <w:lang w:val="en-US" w:eastAsia="zh-CN" w:bidi="ar-SA"/>
              </w:rPr>
              <w:t>张亚明</w:t>
            </w:r>
          </w:p>
          <w:p w14:paraId="1DDF4838">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color w:val="auto"/>
                <w:sz w:val="21"/>
                <w:szCs w:val="21"/>
                <w:lang w:eastAsia="zh-CN"/>
              </w:rPr>
            </w:pPr>
            <w:r>
              <w:rPr>
                <w:rFonts w:hint="eastAsia" w:ascii="Times New Roman" w:hAnsi="Times New Roman" w:eastAsia="宋体" w:cs="Times New Roman"/>
                <w:i w:val="0"/>
                <w:iCs w:val="0"/>
                <w:color w:val="000000"/>
                <w:kern w:val="2"/>
                <w:sz w:val="21"/>
                <w:szCs w:val="21"/>
                <w:u w:val="none"/>
                <w:lang w:val="en-US" w:eastAsia="zh-CN" w:bidi="ar-SA"/>
              </w:rPr>
              <w:t>张力增</w:t>
            </w:r>
          </w:p>
        </w:tc>
        <w:tc>
          <w:tcPr>
            <w:tcW w:w="1545" w:type="dxa"/>
            <w:noWrap w:val="0"/>
            <w:vAlign w:val="center"/>
          </w:tcPr>
          <w:p w14:paraId="5B73470B">
            <w:pPr>
              <w:keepNext w:val="0"/>
              <w:keepLines w:val="0"/>
              <w:pageBreakBefore w:val="0"/>
              <w:widowControl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1464444519</w:t>
            </w:r>
          </w:p>
          <w:p w14:paraId="4C2B77AF">
            <w:pPr>
              <w:keepNext w:val="0"/>
              <w:keepLines w:val="0"/>
              <w:pageBreakBefore w:val="0"/>
              <w:widowControl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13028246989</w:t>
            </w:r>
          </w:p>
        </w:tc>
      </w:tr>
      <w:tr w14:paraId="609A84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76" w:type="dxa"/>
            <w:shd w:val="clear" w:color="auto" w:fill="auto"/>
            <w:noWrap w:val="0"/>
            <w:vAlign w:val="center"/>
          </w:tcPr>
          <w:p w14:paraId="33789EDC">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p>
        </w:tc>
        <w:tc>
          <w:tcPr>
            <w:tcW w:w="2173" w:type="dxa"/>
            <w:shd w:val="clear" w:color="auto" w:fill="auto"/>
            <w:noWrap w:val="0"/>
            <w:vAlign w:val="center"/>
          </w:tcPr>
          <w:p w14:paraId="7CFC04F4">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心肺复苏模拟人</w:t>
            </w:r>
          </w:p>
        </w:tc>
        <w:tc>
          <w:tcPr>
            <w:tcW w:w="1033" w:type="dxa"/>
            <w:shd w:val="clear" w:color="auto" w:fill="auto"/>
            <w:noWrap w:val="0"/>
            <w:vAlign w:val="center"/>
          </w:tcPr>
          <w:p w14:paraId="7FDBEEE4">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1</w:t>
            </w:r>
          </w:p>
        </w:tc>
        <w:tc>
          <w:tcPr>
            <w:tcW w:w="1634" w:type="dxa"/>
            <w:shd w:val="clear" w:color="auto" w:fill="auto"/>
            <w:noWrap w:val="0"/>
            <w:vAlign w:val="center"/>
          </w:tcPr>
          <w:p w14:paraId="6ACCCF6E">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i w:val="0"/>
                <w:iCs w:val="0"/>
                <w:color w:val="000000"/>
                <w:kern w:val="2"/>
                <w:sz w:val="21"/>
                <w:szCs w:val="21"/>
                <w:u w:val="none"/>
                <w:lang w:val="en-US" w:eastAsia="zh-CN" w:bidi="ar-SA"/>
              </w:rPr>
              <w:t>气防站</w:t>
            </w:r>
          </w:p>
        </w:tc>
        <w:tc>
          <w:tcPr>
            <w:tcW w:w="1186" w:type="dxa"/>
            <w:shd w:val="clear" w:color="auto" w:fill="auto"/>
            <w:noWrap w:val="0"/>
            <w:vAlign w:val="center"/>
          </w:tcPr>
          <w:p w14:paraId="445033E8">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color w:val="auto"/>
                <w:sz w:val="21"/>
                <w:szCs w:val="21"/>
                <w:lang w:eastAsia="zh-CN"/>
              </w:rPr>
            </w:pPr>
            <w:r>
              <w:rPr>
                <w:rFonts w:hint="eastAsia" w:ascii="Times New Roman" w:hAnsi="Times New Roman" w:eastAsia="宋体" w:cs="Times New Roman"/>
                <w:color w:val="auto"/>
                <w:kern w:val="2"/>
                <w:sz w:val="21"/>
                <w:szCs w:val="21"/>
                <w:lang w:val="en-US" w:eastAsia="zh-CN" w:bidi="ar-SA"/>
              </w:rPr>
              <w:t>张力增</w:t>
            </w:r>
          </w:p>
        </w:tc>
        <w:tc>
          <w:tcPr>
            <w:tcW w:w="1545" w:type="dxa"/>
            <w:noWrap w:val="0"/>
            <w:vAlign w:val="center"/>
          </w:tcPr>
          <w:p w14:paraId="2C74CD26">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color w:val="auto"/>
                <w:sz w:val="21"/>
                <w:szCs w:val="21"/>
                <w:lang w:eastAsia="zh-CN"/>
              </w:rPr>
            </w:pPr>
            <w:r>
              <w:rPr>
                <w:rFonts w:hint="eastAsia" w:ascii="Times New Roman" w:hAnsi="Times New Roman" w:eastAsia="宋体" w:cs="Times New Roman"/>
                <w:color w:val="auto"/>
                <w:kern w:val="2"/>
                <w:sz w:val="21"/>
                <w:szCs w:val="21"/>
                <w:lang w:val="en-US" w:eastAsia="zh-CN" w:bidi="ar-SA"/>
              </w:rPr>
              <w:t>13464444519</w:t>
            </w:r>
          </w:p>
        </w:tc>
      </w:tr>
      <w:tr w14:paraId="38F173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76" w:type="dxa"/>
            <w:shd w:val="clear" w:color="auto" w:fill="auto"/>
            <w:noWrap w:val="0"/>
            <w:vAlign w:val="center"/>
          </w:tcPr>
          <w:p w14:paraId="1B534657">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p>
        </w:tc>
        <w:tc>
          <w:tcPr>
            <w:tcW w:w="2173" w:type="dxa"/>
            <w:shd w:val="clear" w:color="auto" w:fill="auto"/>
            <w:noWrap w:val="0"/>
            <w:vAlign w:val="center"/>
          </w:tcPr>
          <w:p w14:paraId="5FBA417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洗眼器</w:t>
            </w:r>
          </w:p>
        </w:tc>
        <w:tc>
          <w:tcPr>
            <w:tcW w:w="1033" w:type="dxa"/>
            <w:shd w:val="clear" w:color="auto" w:fill="auto"/>
            <w:noWrap w:val="0"/>
            <w:vAlign w:val="center"/>
          </w:tcPr>
          <w:p w14:paraId="0C02EB4B">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2</w:t>
            </w:r>
          </w:p>
        </w:tc>
        <w:tc>
          <w:tcPr>
            <w:tcW w:w="1634" w:type="dxa"/>
            <w:shd w:val="clear" w:color="auto" w:fill="auto"/>
            <w:noWrap w:val="0"/>
            <w:vAlign w:val="center"/>
          </w:tcPr>
          <w:p w14:paraId="63DDFE1D">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i w:val="0"/>
                <w:iCs w:val="0"/>
                <w:color w:val="000000"/>
                <w:kern w:val="2"/>
                <w:sz w:val="21"/>
                <w:szCs w:val="21"/>
                <w:u w:val="none"/>
                <w:lang w:val="en-US" w:eastAsia="zh-CN" w:bidi="ar-SA"/>
              </w:rPr>
              <w:t>气防站</w:t>
            </w:r>
          </w:p>
        </w:tc>
        <w:tc>
          <w:tcPr>
            <w:tcW w:w="1186" w:type="dxa"/>
            <w:shd w:val="clear" w:color="auto" w:fill="auto"/>
            <w:noWrap w:val="0"/>
            <w:vAlign w:val="center"/>
          </w:tcPr>
          <w:p w14:paraId="0E6705D1">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color w:val="auto"/>
                <w:sz w:val="21"/>
                <w:szCs w:val="21"/>
                <w:lang w:eastAsia="zh-CN"/>
              </w:rPr>
            </w:pPr>
            <w:r>
              <w:rPr>
                <w:rFonts w:hint="eastAsia" w:ascii="Times New Roman" w:hAnsi="Times New Roman" w:eastAsia="宋体" w:cs="Times New Roman"/>
                <w:color w:val="auto"/>
                <w:kern w:val="2"/>
                <w:sz w:val="21"/>
                <w:szCs w:val="21"/>
                <w:lang w:val="en-US" w:eastAsia="zh-CN" w:bidi="ar-SA"/>
              </w:rPr>
              <w:t>张力增</w:t>
            </w:r>
          </w:p>
        </w:tc>
        <w:tc>
          <w:tcPr>
            <w:tcW w:w="1545" w:type="dxa"/>
            <w:noWrap w:val="0"/>
            <w:vAlign w:val="center"/>
          </w:tcPr>
          <w:p w14:paraId="105CB111">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color w:val="auto"/>
                <w:sz w:val="21"/>
                <w:szCs w:val="21"/>
                <w:lang w:eastAsia="zh-CN"/>
              </w:rPr>
            </w:pPr>
            <w:r>
              <w:rPr>
                <w:rFonts w:hint="eastAsia" w:ascii="Times New Roman" w:hAnsi="Times New Roman" w:eastAsia="宋体" w:cs="Times New Roman"/>
                <w:color w:val="auto"/>
                <w:kern w:val="2"/>
                <w:sz w:val="21"/>
                <w:szCs w:val="21"/>
                <w:lang w:val="en-US" w:eastAsia="zh-CN" w:bidi="ar-SA"/>
              </w:rPr>
              <w:t>13464444519</w:t>
            </w:r>
          </w:p>
        </w:tc>
      </w:tr>
      <w:tr w14:paraId="52652A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76" w:type="dxa"/>
            <w:shd w:val="clear" w:color="auto" w:fill="auto"/>
            <w:noWrap w:val="0"/>
            <w:vAlign w:val="center"/>
          </w:tcPr>
          <w:p w14:paraId="7EFE072A">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p>
        </w:tc>
        <w:tc>
          <w:tcPr>
            <w:tcW w:w="2173" w:type="dxa"/>
            <w:shd w:val="clear" w:color="auto" w:fill="auto"/>
            <w:noWrap w:val="0"/>
            <w:vAlign w:val="center"/>
          </w:tcPr>
          <w:p w14:paraId="4072D4E7">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急救担架</w:t>
            </w:r>
          </w:p>
        </w:tc>
        <w:tc>
          <w:tcPr>
            <w:tcW w:w="1033" w:type="dxa"/>
            <w:shd w:val="clear" w:color="auto" w:fill="auto"/>
            <w:noWrap w:val="0"/>
            <w:vAlign w:val="center"/>
          </w:tcPr>
          <w:p w14:paraId="1A6C5C5E">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i w:val="0"/>
                <w:iCs w:val="0"/>
                <w:color w:val="000000"/>
                <w:kern w:val="2"/>
                <w:sz w:val="21"/>
                <w:szCs w:val="21"/>
                <w:u w:val="none"/>
                <w:lang w:val="en-US" w:eastAsia="zh-CN" w:bidi="ar-SA"/>
              </w:rPr>
              <w:t>2</w:t>
            </w:r>
          </w:p>
        </w:tc>
        <w:tc>
          <w:tcPr>
            <w:tcW w:w="1634" w:type="dxa"/>
            <w:shd w:val="clear" w:color="auto" w:fill="auto"/>
            <w:noWrap w:val="0"/>
            <w:vAlign w:val="center"/>
          </w:tcPr>
          <w:p w14:paraId="3C7F073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i w:val="0"/>
                <w:iCs w:val="0"/>
                <w:color w:val="000000"/>
                <w:kern w:val="2"/>
                <w:sz w:val="21"/>
                <w:szCs w:val="21"/>
                <w:u w:val="none"/>
                <w:lang w:val="en-US" w:eastAsia="zh-CN" w:bidi="ar-SA"/>
              </w:rPr>
              <w:t>气防站</w:t>
            </w:r>
          </w:p>
        </w:tc>
        <w:tc>
          <w:tcPr>
            <w:tcW w:w="1186" w:type="dxa"/>
            <w:shd w:val="clear" w:color="auto" w:fill="auto"/>
            <w:noWrap w:val="0"/>
            <w:vAlign w:val="center"/>
          </w:tcPr>
          <w:p w14:paraId="0DECB869">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color w:val="auto"/>
                <w:kern w:val="2"/>
                <w:sz w:val="21"/>
                <w:szCs w:val="21"/>
                <w:lang w:val="en-US" w:eastAsia="zh-CN" w:bidi="ar-SA"/>
              </w:rPr>
              <w:t>张力增</w:t>
            </w:r>
          </w:p>
        </w:tc>
        <w:tc>
          <w:tcPr>
            <w:tcW w:w="1545" w:type="dxa"/>
            <w:noWrap w:val="0"/>
            <w:vAlign w:val="center"/>
          </w:tcPr>
          <w:p w14:paraId="4E799C8E">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color w:val="auto"/>
                <w:sz w:val="21"/>
                <w:szCs w:val="21"/>
                <w:lang w:eastAsia="zh-CN"/>
              </w:rPr>
            </w:pPr>
            <w:r>
              <w:rPr>
                <w:rFonts w:hint="eastAsia" w:ascii="Times New Roman" w:hAnsi="Times New Roman" w:eastAsia="宋体" w:cs="Times New Roman"/>
                <w:color w:val="auto"/>
                <w:kern w:val="2"/>
                <w:sz w:val="21"/>
                <w:szCs w:val="21"/>
                <w:lang w:val="en-US" w:eastAsia="zh-CN" w:bidi="ar-SA"/>
              </w:rPr>
              <w:t>13464444519</w:t>
            </w:r>
          </w:p>
        </w:tc>
      </w:tr>
      <w:tr w14:paraId="16898A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shd w:val="clear" w:color="auto" w:fill="auto"/>
            <w:vAlign w:val="center"/>
          </w:tcPr>
          <w:p w14:paraId="0B83E890">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p>
        </w:tc>
        <w:tc>
          <w:tcPr>
            <w:tcW w:w="2173" w:type="dxa"/>
            <w:shd w:val="clear" w:color="auto" w:fill="auto"/>
            <w:vAlign w:val="center"/>
          </w:tcPr>
          <w:p w14:paraId="0C16348A">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四合一检测仪</w:t>
            </w:r>
          </w:p>
        </w:tc>
        <w:tc>
          <w:tcPr>
            <w:tcW w:w="1033" w:type="dxa"/>
            <w:shd w:val="clear" w:color="auto" w:fill="auto"/>
            <w:vAlign w:val="center"/>
          </w:tcPr>
          <w:p w14:paraId="57EDC91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i w:val="0"/>
                <w:iCs w:val="0"/>
                <w:color w:val="000000"/>
                <w:kern w:val="2"/>
                <w:sz w:val="21"/>
                <w:szCs w:val="21"/>
                <w:u w:val="none"/>
                <w:lang w:val="en-US" w:eastAsia="zh-CN" w:bidi="ar-SA"/>
              </w:rPr>
              <w:t>3</w:t>
            </w:r>
          </w:p>
        </w:tc>
        <w:tc>
          <w:tcPr>
            <w:tcW w:w="0" w:type="auto"/>
            <w:shd w:val="clear" w:color="auto" w:fill="auto"/>
            <w:vAlign w:val="center"/>
          </w:tcPr>
          <w:p w14:paraId="4B905488">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i w:val="0"/>
                <w:iCs w:val="0"/>
                <w:color w:val="000000"/>
                <w:kern w:val="2"/>
                <w:sz w:val="21"/>
                <w:szCs w:val="21"/>
                <w:u w:val="none"/>
                <w:lang w:val="en-US" w:eastAsia="zh-CN" w:bidi="ar-SA"/>
              </w:rPr>
              <w:t>气防站</w:t>
            </w:r>
          </w:p>
        </w:tc>
        <w:tc>
          <w:tcPr>
            <w:tcW w:w="0" w:type="auto"/>
            <w:shd w:val="clear" w:color="auto" w:fill="auto"/>
            <w:vAlign w:val="center"/>
          </w:tcPr>
          <w:p w14:paraId="759CCBF8">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color w:val="auto"/>
                <w:kern w:val="2"/>
                <w:sz w:val="21"/>
                <w:szCs w:val="21"/>
                <w:lang w:val="en-US" w:eastAsia="zh-CN" w:bidi="ar-SA"/>
              </w:rPr>
              <w:t>张力增</w:t>
            </w:r>
          </w:p>
        </w:tc>
        <w:tc>
          <w:tcPr>
            <w:tcW w:w="0" w:type="auto"/>
            <w:vAlign w:val="center"/>
          </w:tcPr>
          <w:p w14:paraId="330B4A51">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color w:val="auto"/>
                <w:sz w:val="21"/>
                <w:szCs w:val="21"/>
                <w:lang w:eastAsia="zh-CN"/>
              </w:rPr>
            </w:pPr>
            <w:r>
              <w:rPr>
                <w:rFonts w:hint="eastAsia" w:ascii="Times New Roman" w:hAnsi="Times New Roman" w:eastAsia="宋体" w:cs="Times New Roman"/>
                <w:color w:val="auto"/>
                <w:kern w:val="2"/>
                <w:sz w:val="21"/>
                <w:szCs w:val="21"/>
                <w:lang w:val="en-US" w:eastAsia="zh-CN" w:bidi="ar-SA"/>
              </w:rPr>
              <w:t>13464444519</w:t>
            </w:r>
          </w:p>
        </w:tc>
      </w:tr>
      <w:tr w14:paraId="39AD72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shd w:val="clear" w:color="auto" w:fill="auto"/>
            <w:vAlign w:val="center"/>
          </w:tcPr>
          <w:p w14:paraId="63703427">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p>
        </w:tc>
        <w:tc>
          <w:tcPr>
            <w:tcW w:w="2173" w:type="dxa"/>
            <w:shd w:val="clear" w:color="auto" w:fill="auto"/>
            <w:vAlign w:val="center"/>
          </w:tcPr>
          <w:p w14:paraId="2A3D938F">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氯气捕消器</w:t>
            </w:r>
          </w:p>
        </w:tc>
        <w:tc>
          <w:tcPr>
            <w:tcW w:w="1033" w:type="dxa"/>
            <w:shd w:val="clear" w:color="auto" w:fill="auto"/>
            <w:vAlign w:val="center"/>
          </w:tcPr>
          <w:p w14:paraId="55326FD2">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1</w:t>
            </w:r>
          </w:p>
        </w:tc>
        <w:tc>
          <w:tcPr>
            <w:tcW w:w="0" w:type="auto"/>
            <w:shd w:val="clear" w:color="auto" w:fill="auto"/>
            <w:vAlign w:val="center"/>
          </w:tcPr>
          <w:p w14:paraId="6375F2A4">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i w:val="0"/>
                <w:iCs w:val="0"/>
                <w:color w:val="000000"/>
                <w:kern w:val="2"/>
                <w:sz w:val="21"/>
                <w:szCs w:val="21"/>
                <w:u w:val="none"/>
                <w:lang w:val="en-US" w:eastAsia="zh-CN" w:bidi="ar-SA"/>
              </w:rPr>
              <w:t>液氯库</w:t>
            </w:r>
          </w:p>
        </w:tc>
        <w:tc>
          <w:tcPr>
            <w:tcW w:w="0" w:type="auto"/>
            <w:shd w:val="clear" w:color="auto" w:fill="auto"/>
            <w:vAlign w:val="center"/>
          </w:tcPr>
          <w:p w14:paraId="64396098">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i w:val="0"/>
                <w:iCs w:val="0"/>
                <w:color w:val="000000"/>
                <w:kern w:val="2"/>
                <w:sz w:val="21"/>
                <w:szCs w:val="21"/>
                <w:u w:val="none"/>
                <w:lang w:val="en-US" w:eastAsia="zh-CN" w:bidi="ar-SA"/>
              </w:rPr>
              <w:t>张亚明</w:t>
            </w:r>
          </w:p>
        </w:tc>
        <w:tc>
          <w:tcPr>
            <w:tcW w:w="0" w:type="auto"/>
            <w:vAlign w:val="center"/>
          </w:tcPr>
          <w:p w14:paraId="370A441C">
            <w:pPr>
              <w:keepNext w:val="0"/>
              <w:keepLines w:val="0"/>
              <w:pageBreakBefore w:val="0"/>
              <w:widowControl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color w:val="auto"/>
                <w:sz w:val="21"/>
                <w:szCs w:val="21"/>
                <w:lang w:eastAsia="zh-CN"/>
              </w:rPr>
            </w:pPr>
            <w:r>
              <w:rPr>
                <w:rFonts w:hint="eastAsia" w:ascii="Times New Roman" w:hAnsi="Times New Roman" w:eastAsia="宋体" w:cs="Times New Roman"/>
                <w:color w:val="auto"/>
                <w:sz w:val="21"/>
                <w:szCs w:val="21"/>
                <w:lang w:val="en-US" w:eastAsia="zh-CN"/>
              </w:rPr>
              <w:t>13028246989</w:t>
            </w:r>
          </w:p>
        </w:tc>
      </w:tr>
      <w:tr w14:paraId="5DF5BC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shd w:val="clear" w:color="auto" w:fill="auto"/>
            <w:vAlign w:val="center"/>
          </w:tcPr>
          <w:p w14:paraId="3BBE08AC">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p>
        </w:tc>
        <w:tc>
          <w:tcPr>
            <w:tcW w:w="2173" w:type="dxa"/>
            <w:shd w:val="clear" w:color="auto" w:fill="auto"/>
            <w:vAlign w:val="center"/>
          </w:tcPr>
          <w:p w14:paraId="2F432F2E">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轴流风机</w:t>
            </w:r>
          </w:p>
        </w:tc>
        <w:tc>
          <w:tcPr>
            <w:tcW w:w="1033" w:type="dxa"/>
            <w:shd w:val="clear" w:color="auto" w:fill="auto"/>
            <w:vAlign w:val="center"/>
          </w:tcPr>
          <w:p w14:paraId="53F37AD0">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1</w:t>
            </w:r>
          </w:p>
        </w:tc>
        <w:tc>
          <w:tcPr>
            <w:tcW w:w="0" w:type="auto"/>
            <w:shd w:val="clear" w:color="auto" w:fill="auto"/>
            <w:vAlign w:val="center"/>
          </w:tcPr>
          <w:p w14:paraId="468FEE3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i w:val="0"/>
                <w:iCs w:val="0"/>
                <w:color w:val="000000"/>
                <w:kern w:val="2"/>
                <w:sz w:val="21"/>
                <w:szCs w:val="21"/>
                <w:u w:val="none"/>
                <w:lang w:val="en-US" w:eastAsia="zh-CN" w:bidi="ar-SA"/>
              </w:rPr>
              <w:t>气防站</w:t>
            </w:r>
          </w:p>
        </w:tc>
        <w:tc>
          <w:tcPr>
            <w:tcW w:w="0" w:type="auto"/>
            <w:shd w:val="clear" w:color="auto" w:fill="auto"/>
            <w:vAlign w:val="center"/>
          </w:tcPr>
          <w:p w14:paraId="03E3B77A">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color w:val="auto"/>
                <w:kern w:val="2"/>
                <w:sz w:val="21"/>
                <w:szCs w:val="21"/>
                <w:lang w:val="en-US" w:eastAsia="zh-CN" w:bidi="ar-SA"/>
              </w:rPr>
              <w:t>张力增</w:t>
            </w:r>
          </w:p>
        </w:tc>
        <w:tc>
          <w:tcPr>
            <w:tcW w:w="0" w:type="auto"/>
            <w:vAlign w:val="center"/>
          </w:tcPr>
          <w:p w14:paraId="068398F5">
            <w:pPr>
              <w:keepNext w:val="0"/>
              <w:keepLines w:val="0"/>
              <w:pageBreakBefore w:val="0"/>
              <w:widowControl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color w:val="auto"/>
                <w:sz w:val="21"/>
                <w:szCs w:val="21"/>
                <w:lang w:eastAsia="zh-CN"/>
              </w:rPr>
            </w:pPr>
            <w:r>
              <w:rPr>
                <w:rFonts w:hint="eastAsia" w:ascii="Times New Roman" w:hAnsi="Times New Roman" w:eastAsia="宋体" w:cs="Times New Roman"/>
                <w:color w:val="auto"/>
                <w:kern w:val="2"/>
                <w:sz w:val="21"/>
                <w:szCs w:val="21"/>
                <w:lang w:val="en-US" w:eastAsia="zh-CN" w:bidi="ar-SA"/>
              </w:rPr>
              <w:t>13464444519</w:t>
            </w:r>
          </w:p>
        </w:tc>
      </w:tr>
      <w:tr w14:paraId="106286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shd w:val="clear" w:color="auto" w:fill="auto"/>
            <w:vAlign w:val="center"/>
          </w:tcPr>
          <w:p w14:paraId="707C2BE9">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p>
        </w:tc>
        <w:tc>
          <w:tcPr>
            <w:tcW w:w="2173" w:type="dxa"/>
            <w:shd w:val="clear" w:color="auto" w:fill="auto"/>
            <w:vAlign w:val="center"/>
          </w:tcPr>
          <w:p w14:paraId="0535D701">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氧气检测仪</w:t>
            </w:r>
          </w:p>
        </w:tc>
        <w:tc>
          <w:tcPr>
            <w:tcW w:w="1033" w:type="dxa"/>
            <w:shd w:val="clear" w:color="auto" w:fill="auto"/>
            <w:vAlign w:val="center"/>
          </w:tcPr>
          <w:p w14:paraId="07B82A2D">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1</w:t>
            </w:r>
          </w:p>
        </w:tc>
        <w:tc>
          <w:tcPr>
            <w:tcW w:w="0" w:type="auto"/>
            <w:shd w:val="clear" w:color="auto" w:fill="auto"/>
            <w:vAlign w:val="center"/>
          </w:tcPr>
          <w:p w14:paraId="4DF52363">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i w:val="0"/>
                <w:iCs w:val="0"/>
                <w:color w:val="000000"/>
                <w:kern w:val="2"/>
                <w:sz w:val="21"/>
                <w:szCs w:val="21"/>
                <w:u w:val="none"/>
                <w:lang w:val="en-US" w:eastAsia="zh-CN" w:bidi="ar-SA"/>
              </w:rPr>
              <w:t>气防站</w:t>
            </w:r>
          </w:p>
        </w:tc>
        <w:tc>
          <w:tcPr>
            <w:tcW w:w="0" w:type="auto"/>
            <w:shd w:val="clear" w:color="auto" w:fill="auto"/>
            <w:vAlign w:val="center"/>
          </w:tcPr>
          <w:p w14:paraId="08F434C1">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color w:val="auto"/>
                <w:kern w:val="2"/>
                <w:sz w:val="21"/>
                <w:szCs w:val="21"/>
                <w:lang w:val="en-US" w:eastAsia="zh-CN" w:bidi="ar-SA"/>
              </w:rPr>
              <w:t>张力增</w:t>
            </w:r>
          </w:p>
        </w:tc>
        <w:tc>
          <w:tcPr>
            <w:tcW w:w="0" w:type="auto"/>
            <w:vAlign w:val="center"/>
          </w:tcPr>
          <w:p w14:paraId="66453858">
            <w:pPr>
              <w:keepNext w:val="0"/>
              <w:keepLines w:val="0"/>
              <w:pageBreakBefore w:val="0"/>
              <w:widowControl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color w:val="auto"/>
                <w:sz w:val="21"/>
                <w:szCs w:val="21"/>
                <w:lang w:eastAsia="zh-CN"/>
              </w:rPr>
            </w:pPr>
            <w:r>
              <w:rPr>
                <w:rFonts w:hint="eastAsia" w:ascii="Times New Roman" w:hAnsi="Times New Roman" w:eastAsia="宋体" w:cs="Times New Roman"/>
                <w:color w:val="auto"/>
                <w:kern w:val="2"/>
                <w:sz w:val="21"/>
                <w:szCs w:val="21"/>
                <w:lang w:val="en-US" w:eastAsia="zh-CN" w:bidi="ar-SA"/>
              </w:rPr>
              <w:t>13464444519</w:t>
            </w:r>
          </w:p>
        </w:tc>
      </w:tr>
      <w:tr w14:paraId="6B5D03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shd w:val="clear" w:color="auto" w:fill="auto"/>
            <w:vAlign w:val="center"/>
          </w:tcPr>
          <w:p w14:paraId="7A53B99A">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p>
        </w:tc>
        <w:tc>
          <w:tcPr>
            <w:tcW w:w="2173" w:type="dxa"/>
            <w:shd w:val="clear" w:color="auto" w:fill="auto"/>
            <w:vAlign w:val="center"/>
          </w:tcPr>
          <w:p w14:paraId="2B42822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金属堵漏套管</w:t>
            </w:r>
          </w:p>
        </w:tc>
        <w:tc>
          <w:tcPr>
            <w:tcW w:w="1033" w:type="dxa"/>
            <w:shd w:val="clear" w:color="auto" w:fill="auto"/>
            <w:vAlign w:val="center"/>
          </w:tcPr>
          <w:p w14:paraId="7973594E">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i w:val="0"/>
                <w:iCs w:val="0"/>
                <w:color w:val="000000"/>
                <w:kern w:val="2"/>
                <w:sz w:val="21"/>
                <w:szCs w:val="21"/>
                <w:u w:val="none"/>
                <w:lang w:val="en-US" w:eastAsia="zh-CN" w:bidi="ar-SA"/>
              </w:rPr>
              <w:t>2</w:t>
            </w:r>
          </w:p>
        </w:tc>
        <w:tc>
          <w:tcPr>
            <w:tcW w:w="0" w:type="auto"/>
            <w:shd w:val="clear" w:color="auto" w:fill="auto"/>
            <w:vAlign w:val="center"/>
          </w:tcPr>
          <w:p w14:paraId="0943DB87">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i w:val="0"/>
                <w:iCs w:val="0"/>
                <w:color w:val="000000"/>
                <w:kern w:val="2"/>
                <w:sz w:val="21"/>
                <w:szCs w:val="21"/>
                <w:u w:val="none"/>
                <w:lang w:val="en-US" w:eastAsia="zh-CN" w:bidi="ar-SA"/>
              </w:rPr>
              <w:t>液氯库、气防站</w:t>
            </w:r>
          </w:p>
        </w:tc>
        <w:tc>
          <w:tcPr>
            <w:tcW w:w="0" w:type="auto"/>
            <w:shd w:val="clear" w:color="auto" w:fill="auto"/>
            <w:vAlign w:val="center"/>
          </w:tcPr>
          <w:p w14:paraId="4FD4E4A0">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eastAsia"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i w:val="0"/>
                <w:iCs w:val="0"/>
                <w:color w:val="000000"/>
                <w:kern w:val="2"/>
                <w:sz w:val="21"/>
                <w:szCs w:val="21"/>
                <w:u w:val="none"/>
                <w:lang w:val="en-US" w:eastAsia="zh-CN" w:bidi="ar-SA"/>
              </w:rPr>
              <w:t>张亚明</w:t>
            </w:r>
          </w:p>
          <w:p w14:paraId="15BAAE4D">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i w:val="0"/>
                <w:iCs w:val="0"/>
                <w:color w:val="000000"/>
                <w:kern w:val="2"/>
                <w:sz w:val="21"/>
                <w:szCs w:val="21"/>
                <w:u w:val="none"/>
                <w:lang w:val="en-US" w:eastAsia="zh-CN" w:bidi="ar-SA"/>
              </w:rPr>
              <w:t>张力增</w:t>
            </w:r>
          </w:p>
        </w:tc>
        <w:tc>
          <w:tcPr>
            <w:tcW w:w="0" w:type="auto"/>
            <w:vAlign w:val="center"/>
          </w:tcPr>
          <w:p w14:paraId="67A84C6C">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1464444519</w:t>
            </w:r>
          </w:p>
          <w:p w14:paraId="7123FEBB">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color w:val="auto"/>
                <w:sz w:val="21"/>
                <w:szCs w:val="21"/>
                <w:lang w:eastAsia="zh-CN"/>
              </w:rPr>
            </w:pPr>
            <w:r>
              <w:rPr>
                <w:rFonts w:hint="eastAsia" w:ascii="Times New Roman" w:hAnsi="Times New Roman" w:eastAsia="宋体" w:cs="Times New Roman"/>
                <w:color w:val="auto"/>
                <w:sz w:val="21"/>
                <w:szCs w:val="21"/>
                <w:lang w:val="en-US" w:eastAsia="zh-CN"/>
              </w:rPr>
              <w:t>13028246989</w:t>
            </w:r>
          </w:p>
        </w:tc>
      </w:tr>
      <w:tr w14:paraId="337DC4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shd w:val="clear" w:color="auto" w:fill="auto"/>
            <w:vAlign w:val="center"/>
          </w:tcPr>
          <w:p w14:paraId="12261A72">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p>
        </w:tc>
        <w:tc>
          <w:tcPr>
            <w:tcW w:w="2173" w:type="dxa"/>
            <w:shd w:val="clear" w:color="auto" w:fill="auto"/>
            <w:vAlign w:val="center"/>
          </w:tcPr>
          <w:p w14:paraId="3BECD090">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小孔堵漏工具</w:t>
            </w:r>
          </w:p>
        </w:tc>
        <w:tc>
          <w:tcPr>
            <w:tcW w:w="1033" w:type="dxa"/>
            <w:shd w:val="clear" w:color="auto" w:fill="auto"/>
            <w:vAlign w:val="center"/>
          </w:tcPr>
          <w:p w14:paraId="43229541">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i w:val="0"/>
                <w:iCs w:val="0"/>
                <w:color w:val="000000"/>
                <w:kern w:val="2"/>
                <w:sz w:val="21"/>
                <w:szCs w:val="21"/>
                <w:u w:val="none"/>
                <w:lang w:val="en-US" w:eastAsia="zh-CN" w:bidi="ar-SA"/>
              </w:rPr>
              <w:t>2</w:t>
            </w:r>
          </w:p>
        </w:tc>
        <w:tc>
          <w:tcPr>
            <w:tcW w:w="0" w:type="auto"/>
            <w:shd w:val="clear" w:color="auto" w:fill="auto"/>
            <w:vAlign w:val="center"/>
          </w:tcPr>
          <w:p w14:paraId="05A3516F">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i w:val="0"/>
                <w:iCs w:val="0"/>
                <w:color w:val="000000"/>
                <w:kern w:val="2"/>
                <w:sz w:val="21"/>
                <w:szCs w:val="21"/>
                <w:u w:val="none"/>
                <w:lang w:val="en-US" w:eastAsia="zh-CN" w:bidi="ar-SA"/>
              </w:rPr>
              <w:t>液氯库、气防站</w:t>
            </w:r>
          </w:p>
        </w:tc>
        <w:tc>
          <w:tcPr>
            <w:tcW w:w="0" w:type="auto"/>
            <w:shd w:val="clear" w:color="auto" w:fill="auto"/>
            <w:vAlign w:val="center"/>
          </w:tcPr>
          <w:p w14:paraId="35535796">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i w:val="0"/>
                <w:iCs w:val="0"/>
                <w:color w:val="000000"/>
                <w:kern w:val="2"/>
                <w:sz w:val="21"/>
                <w:szCs w:val="21"/>
                <w:u w:val="none"/>
                <w:lang w:val="en-US" w:eastAsia="zh-CN" w:bidi="ar-SA"/>
              </w:rPr>
              <w:t>张亚明、张力增</w:t>
            </w:r>
          </w:p>
        </w:tc>
        <w:tc>
          <w:tcPr>
            <w:tcW w:w="0" w:type="auto"/>
            <w:vAlign w:val="center"/>
          </w:tcPr>
          <w:p w14:paraId="3A485941">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1464444519</w:t>
            </w:r>
          </w:p>
          <w:p w14:paraId="386342E6">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color w:val="auto"/>
                <w:sz w:val="21"/>
                <w:szCs w:val="21"/>
                <w:lang w:eastAsia="zh-CN"/>
              </w:rPr>
            </w:pPr>
            <w:r>
              <w:rPr>
                <w:rFonts w:hint="eastAsia" w:ascii="Times New Roman" w:hAnsi="Times New Roman" w:eastAsia="宋体" w:cs="Times New Roman"/>
                <w:color w:val="auto"/>
                <w:sz w:val="21"/>
                <w:szCs w:val="21"/>
                <w:lang w:val="en-US" w:eastAsia="zh-CN"/>
              </w:rPr>
              <w:t>13028246989</w:t>
            </w:r>
          </w:p>
        </w:tc>
      </w:tr>
      <w:tr w14:paraId="279485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shd w:val="clear" w:color="auto" w:fill="auto"/>
            <w:vAlign w:val="center"/>
          </w:tcPr>
          <w:p w14:paraId="2A500EDC">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p>
        </w:tc>
        <w:tc>
          <w:tcPr>
            <w:tcW w:w="2173" w:type="dxa"/>
            <w:shd w:val="clear" w:color="auto" w:fill="auto"/>
            <w:vAlign w:val="center"/>
          </w:tcPr>
          <w:p w14:paraId="44E4881E">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烟雾弹</w:t>
            </w:r>
          </w:p>
        </w:tc>
        <w:tc>
          <w:tcPr>
            <w:tcW w:w="1033" w:type="dxa"/>
            <w:shd w:val="clear" w:color="auto" w:fill="auto"/>
            <w:vAlign w:val="center"/>
          </w:tcPr>
          <w:p w14:paraId="16C4BA21">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i w:val="0"/>
                <w:iCs w:val="0"/>
                <w:color w:val="000000"/>
                <w:kern w:val="2"/>
                <w:sz w:val="21"/>
                <w:szCs w:val="21"/>
                <w:u w:val="none"/>
                <w:lang w:val="en-US" w:eastAsia="zh-CN" w:bidi="ar-SA"/>
              </w:rPr>
              <w:t>1</w:t>
            </w:r>
          </w:p>
        </w:tc>
        <w:tc>
          <w:tcPr>
            <w:tcW w:w="0" w:type="auto"/>
            <w:shd w:val="clear" w:color="auto" w:fill="auto"/>
            <w:vAlign w:val="center"/>
          </w:tcPr>
          <w:p w14:paraId="471CD1C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i w:val="0"/>
                <w:iCs w:val="0"/>
                <w:color w:val="000000"/>
                <w:kern w:val="2"/>
                <w:sz w:val="21"/>
                <w:szCs w:val="21"/>
                <w:u w:val="none"/>
                <w:lang w:val="en-US" w:eastAsia="zh-CN" w:bidi="ar-SA"/>
              </w:rPr>
              <w:t>气防站</w:t>
            </w:r>
          </w:p>
        </w:tc>
        <w:tc>
          <w:tcPr>
            <w:tcW w:w="0" w:type="auto"/>
            <w:shd w:val="clear" w:color="auto" w:fill="auto"/>
            <w:vAlign w:val="center"/>
          </w:tcPr>
          <w:p w14:paraId="106938C0">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color w:val="auto"/>
                <w:kern w:val="2"/>
                <w:sz w:val="21"/>
                <w:szCs w:val="21"/>
                <w:lang w:val="en-US" w:eastAsia="zh-CN" w:bidi="ar-SA"/>
              </w:rPr>
              <w:t>张力增</w:t>
            </w:r>
          </w:p>
        </w:tc>
        <w:tc>
          <w:tcPr>
            <w:tcW w:w="0" w:type="auto"/>
            <w:vAlign w:val="center"/>
          </w:tcPr>
          <w:p w14:paraId="25DE2DC4">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color w:val="auto"/>
                <w:sz w:val="21"/>
                <w:szCs w:val="21"/>
                <w:lang w:eastAsia="zh-CN"/>
              </w:rPr>
            </w:pPr>
            <w:r>
              <w:rPr>
                <w:rFonts w:hint="eastAsia" w:ascii="Times New Roman" w:hAnsi="Times New Roman" w:eastAsia="宋体" w:cs="Times New Roman"/>
                <w:color w:val="auto"/>
                <w:kern w:val="2"/>
                <w:sz w:val="21"/>
                <w:szCs w:val="21"/>
                <w:lang w:val="en-US" w:eastAsia="zh-CN" w:bidi="ar-SA"/>
              </w:rPr>
              <w:t>13464444519</w:t>
            </w:r>
          </w:p>
        </w:tc>
      </w:tr>
      <w:tr w14:paraId="08189E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shd w:val="clear" w:color="auto" w:fill="auto"/>
            <w:vAlign w:val="center"/>
          </w:tcPr>
          <w:p w14:paraId="20E4FBE7">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2173" w:type="dxa"/>
            <w:shd w:val="clear" w:color="auto" w:fill="auto"/>
            <w:vAlign w:val="center"/>
          </w:tcPr>
          <w:p w14:paraId="3B99999D">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消防作战服</w:t>
            </w:r>
          </w:p>
        </w:tc>
        <w:tc>
          <w:tcPr>
            <w:tcW w:w="1033" w:type="dxa"/>
            <w:shd w:val="clear" w:color="auto" w:fill="auto"/>
            <w:vAlign w:val="center"/>
          </w:tcPr>
          <w:p w14:paraId="499703D8">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20套</w:t>
            </w:r>
          </w:p>
        </w:tc>
        <w:tc>
          <w:tcPr>
            <w:tcW w:w="0" w:type="auto"/>
            <w:shd w:val="clear" w:color="auto" w:fill="auto"/>
            <w:vAlign w:val="center"/>
          </w:tcPr>
          <w:p w14:paraId="3860D243">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i w:val="0"/>
                <w:iCs w:val="0"/>
                <w:color w:val="000000"/>
                <w:kern w:val="2"/>
                <w:sz w:val="21"/>
                <w:szCs w:val="21"/>
                <w:u w:val="none"/>
                <w:lang w:val="en-US" w:eastAsia="zh-CN" w:bidi="ar-SA"/>
              </w:rPr>
              <w:t>气防站</w:t>
            </w:r>
          </w:p>
        </w:tc>
        <w:tc>
          <w:tcPr>
            <w:tcW w:w="0" w:type="auto"/>
            <w:shd w:val="clear" w:color="auto" w:fill="auto"/>
            <w:vAlign w:val="center"/>
          </w:tcPr>
          <w:p w14:paraId="08520397">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color w:val="auto"/>
                <w:kern w:val="2"/>
                <w:sz w:val="21"/>
                <w:szCs w:val="21"/>
                <w:lang w:val="en-US" w:eastAsia="zh-CN" w:bidi="ar-SA"/>
              </w:rPr>
              <w:t>张力增</w:t>
            </w:r>
          </w:p>
        </w:tc>
        <w:tc>
          <w:tcPr>
            <w:tcW w:w="0" w:type="auto"/>
            <w:vAlign w:val="center"/>
          </w:tcPr>
          <w:p w14:paraId="7EC308B9">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color w:val="auto"/>
                <w:sz w:val="21"/>
                <w:szCs w:val="21"/>
                <w:lang w:eastAsia="zh-CN"/>
              </w:rPr>
            </w:pPr>
            <w:r>
              <w:rPr>
                <w:rFonts w:hint="eastAsia" w:ascii="Times New Roman" w:hAnsi="Times New Roman" w:eastAsia="宋体" w:cs="Times New Roman"/>
                <w:color w:val="auto"/>
                <w:kern w:val="2"/>
                <w:sz w:val="21"/>
                <w:szCs w:val="21"/>
                <w:lang w:val="en-US" w:eastAsia="zh-CN" w:bidi="ar-SA"/>
              </w:rPr>
              <w:t>13464444519</w:t>
            </w:r>
          </w:p>
        </w:tc>
      </w:tr>
      <w:tr w14:paraId="541DDE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shd w:val="clear" w:color="auto" w:fill="auto"/>
            <w:vAlign w:val="center"/>
          </w:tcPr>
          <w:p w14:paraId="30B84D87">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2173" w:type="dxa"/>
            <w:shd w:val="clear" w:color="auto" w:fill="auto"/>
            <w:vAlign w:val="center"/>
          </w:tcPr>
          <w:p w14:paraId="22B5B292">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过滤式自救呼吸器</w:t>
            </w:r>
          </w:p>
        </w:tc>
        <w:tc>
          <w:tcPr>
            <w:tcW w:w="1033" w:type="dxa"/>
            <w:shd w:val="clear" w:color="auto" w:fill="auto"/>
            <w:vAlign w:val="center"/>
          </w:tcPr>
          <w:p w14:paraId="3A5788AB">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5盒</w:t>
            </w:r>
          </w:p>
        </w:tc>
        <w:tc>
          <w:tcPr>
            <w:tcW w:w="0" w:type="auto"/>
            <w:shd w:val="clear" w:color="auto" w:fill="auto"/>
            <w:vAlign w:val="center"/>
          </w:tcPr>
          <w:p w14:paraId="1E60873F">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i w:val="0"/>
                <w:iCs w:val="0"/>
                <w:color w:val="000000"/>
                <w:kern w:val="2"/>
                <w:sz w:val="21"/>
                <w:szCs w:val="21"/>
                <w:u w:val="none"/>
                <w:lang w:val="en-US" w:eastAsia="zh-CN" w:bidi="ar-SA"/>
              </w:rPr>
              <w:t>气防站</w:t>
            </w:r>
          </w:p>
        </w:tc>
        <w:tc>
          <w:tcPr>
            <w:tcW w:w="0" w:type="auto"/>
            <w:shd w:val="clear" w:color="auto" w:fill="auto"/>
            <w:vAlign w:val="center"/>
          </w:tcPr>
          <w:p w14:paraId="6B1E8FFB">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color w:val="auto"/>
                <w:kern w:val="2"/>
                <w:sz w:val="21"/>
                <w:szCs w:val="21"/>
                <w:lang w:val="en-US" w:eastAsia="zh-CN" w:bidi="ar-SA"/>
              </w:rPr>
              <w:t>张力增</w:t>
            </w:r>
          </w:p>
        </w:tc>
        <w:tc>
          <w:tcPr>
            <w:tcW w:w="0" w:type="auto"/>
            <w:vAlign w:val="center"/>
          </w:tcPr>
          <w:p w14:paraId="332C8265">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color w:val="auto"/>
                <w:sz w:val="21"/>
                <w:szCs w:val="21"/>
                <w:lang w:eastAsia="zh-CN"/>
              </w:rPr>
            </w:pPr>
            <w:r>
              <w:rPr>
                <w:rFonts w:hint="eastAsia" w:ascii="Times New Roman" w:hAnsi="Times New Roman" w:eastAsia="宋体" w:cs="Times New Roman"/>
                <w:color w:val="auto"/>
                <w:kern w:val="2"/>
                <w:sz w:val="21"/>
                <w:szCs w:val="21"/>
                <w:lang w:val="en-US" w:eastAsia="zh-CN" w:bidi="ar-SA"/>
              </w:rPr>
              <w:t>13464444519</w:t>
            </w:r>
          </w:p>
        </w:tc>
      </w:tr>
      <w:tr w14:paraId="47FEAB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shd w:val="clear" w:color="auto" w:fill="auto"/>
            <w:vAlign w:val="center"/>
          </w:tcPr>
          <w:p w14:paraId="60D44007">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2173" w:type="dxa"/>
            <w:shd w:val="clear" w:color="auto" w:fill="auto"/>
            <w:vAlign w:val="center"/>
          </w:tcPr>
          <w:p w14:paraId="76109A37">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高灵敏金属探测仪</w:t>
            </w:r>
          </w:p>
        </w:tc>
        <w:tc>
          <w:tcPr>
            <w:tcW w:w="1033" w:type="dxa"/>
            <w:shd w:val="clear" w:color="auto" w:fill="auto"/>
            <w:vAlign w:val="center"/>
          </w:tcPr>
          <w:p w14:paraId="3F38E91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6</w:t>
            </w:r>
          </w:p>
        </w:tc>
        <w:tc>
          <w:tcPr>
            <w:tcW w:w="0" w:type="auto"/>
            <w:shd w:val="clear" w:color="auto" w:fill="auto"/>
            <w:vAlign w:val="center"/>
          </w:tcPr>
          <w:p w14:paraId="4F8E8CD2">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i w:val="0"/>
                <w:iCs w:val="0"/>
                <w:color w:val="000000"/>
                <w:kern w:val="2"/>
                <w:sz w:val="21"/>
                <w:szCs w:val="21"/>
                <w:u w:val="none"/>
                <w:lang w:val="en-US" w:eastAsia="zh-CN" w:bidi="ar-SA"/>
              </w:rPr>
              <w:t>气防站</w:t>
            </w:r>
          </w:p>
        </w:tc>
        <w:tc>
          <w:tcPr>
            <w:tcW w:w="0" w:type="auto"/>
            <w:shd w:val="clear" w:color="auto" w:fill="auto"/>
            <w:vAlign w:val="center"/>
          </w:tcPr>
          <w:p w14:paraId="2A86F04E">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color w:val="auto"/>
                <w:kern w:val="2"/>
                <w:sz w:val="21"/>
                <w:szCs w:val="21"/>
                <w:lang w:val="en-US" w:eastAsia="zh-CN" w:bidi="ar-SA"/>
              </w:rPr>
              <w:t>张力增</w:t>
            </w:r>
          </w:p>
        </w:tc>
        <w:tc>
          <w:tcPr>
            <w:tcW w:w="0" w:type="auto"/>
            <w:vAlign w:val="center"/>
          </w:tcPr>
          <w:p w14:paraId="2876EBA0">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color w:val="auto"/>
                <w:sz w:val="21"/>
                <w:szCs w:val="21"/>
                <w:lang w:eastAsia="zh-CN"/>
              </w:rPr>
            </w:pPr>
            <w:r>
              <w:rPr>
                <w:rFonts w:hint="eastAsia" w:ascii="Times New Roman" w:hAnsi="Times New Roman" w:eastAsia="宋体" w:cs="Times New Roman"/>
                <w:color w:val="auto"/>
                <w:kern w:val="2"/>
                <w:sz w:val="21"/>
                <w:szCs w:val="21"/>
                <w:lang w:val="en-US" w:eastAsia="zh-CN" w:bidi="ar-SA"/>
              </w:rPr>
              <w:t>13464444519</w:t>
            </w:r>
          </w:p>
        </w:tc>
      </w:tr>
      <w:tr w14:paraId="4CFD9F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shd w:val="clear" w:color="auto" w:fill="auto"/>
            <w:vAlign w:val="center"/>
          </w:tcPr>
          <w:p w14:paraId="285437D1">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2173" w:type="dxa"/>
            <w:shd w:val="clear" w:color="auto" w:fill="auto"/>
            <w:vAlign w:val="center"/>
          </w:tcPr>
          <w:p w14:paraId="14BD4101">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消防水带</w:t>
            </w:r>
          </w:p>
        </w:tc>
        <w:tc>
          <w:tcPr>
            <w:tcW w:w="1033" w:type="dxa"/>
            <w:shd w:val="clear" w:color="auto" w:fill="auto"/>
            <w:vAlign w:val="center"/>
          </w:tcPr>
          <w:p w14:paraId="03EDD778">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1</w:t>
            </w:r>
          </w:p>
        </w:tc>
        <w:tc>
          <w:tcPr>
            <w:tcW w:w="0" w:type="auto"/>
            <w:shd w:val="clear" w:color="auto" w:fill="auto"/>
            <w:vAlign w:val="center"/>
          </w:tcPr>
          <w:p w14:paraId="56355063">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i w:val="0"/>
                <w:iCs w:val="0"/>
                <w:color w:val="000000"/>
                <w:kern w:val="2"/>
                <w:sz w:val="21"/>
                <w:szCs w:val="21"/>
                <w:u w:val="none"/>
                <w:lang w:val="en-US" w:eastAsia="zh-CN" w:bidi="ar-SA"/>
              </w:rPr>
              <w:t>气防站</w:t>
            </w:r>
          </w:p>
        </w:tc>
        <w:tc>
          <w:tcPr>
            <w:tcW w:w="0" w:type="auto"/>
            <w:shd w:val="clear" w:color="auto" w:fill="auto"/>
            <w:vAlign w:val="center"/>
          </w:tcPr>
          <w:p w14:paraId="05C9B42D">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color w:val="auto"/>
                <w:kern w:val="2"/>
                <w:sz w:val="21"/>
                <w:szCs w:val="21"/>
                <w:lang w:val="en-US" w:eastAsia="zh-CN" w:bidi="ar-SA"/>
              </w:rPr>
              <w:t>张力增</w:t>
            </w:r>
          </w:p>
        </w:tc>
        <w:tc>
          <w:tcPr>
            <w:tcW w:w="0" w:type="auto"/>
            <w:vAlign w:val="center"/>
          </w:tcPr>
          <w:p w14:paraId="3A48518E">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color w:val="auto"/>
                <w:sz w:val="21"/>
                <w:szCs w:val="21"/>
                <w:lang w:eastAsia="zh-CN"/>
              </w:rPr>
            </w:pPr>
            <w:r>
              <w:rPr>
                <w:rFonts w:hint="eastAsia" w:ascii="Times New Roman" w:hAnsi="Times New Roman" w:eastAsia="宋体" w:cs="Times New Roman"/>
                <w:color w:val="auto"/>
                <w:kern w:val="2"/>
                <w:sz w:val="21"/>
                <w:szCs w:val="21"/>
                <w:lang w:val="en-US" w:eastAsia="zh-CN" w:bidi="ar-SA"/>
              </w:rPr>
              <w:t>13464444519</w:t>
            </w:r>
          </w:p>
        </w:tc>
      </w:tr>
      <w:tr w14:paraId="6C71C0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shd w:val="clear" w:color="auto" w:fill="auto"/>
            <w:vAlign w:val="center"/>
          </w:tcPr>
          <w:p w14:paraId="46B48EAA">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2173" w:type="dxa"/>
            <w:shd w:val="clear" w:color="auto" w:fill="auto"/>
            <w:vAlign w:val="center"/>
          </w:tcPr>
          <w:p w14:paraId="0CA94844">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消防水枪</w:t>
            </w:r>
          </w:p>
        </w:tc>
        <w:tc>
          <w:tcPr>
            <w:tcW w:w="1033" w:type="dxa"/>
            <w:shd w:val="clear" w:color="auto" w:fill="auto"/>
            <w:vAlign w:val="center"/>
          </w:tcPr>
          <w:p w14:paraId="6AD206A1">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1</w:t>
            </w:r>
          </w:p>
        </w:tc>
        <w:tc>
          <w:tcPr>
            <w:tcW w:w="0" w:type="auto"/>
            <w:shd w:val="clear" w:color="auto" w:fill="auto"/>
            <w:vAlign w:val="center"/>
          </w:tcPr>
          <w:p w14:paraId="6F9B3AB7">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i w:val="0"/>
                <w:iCs w:val="0"/>
                <w:color w:val="000000"/>
                <w:kern w:val="2"/>
                <w:sz w:val="21"/>
                <w:szCs w:val="21"/>
                <w:u w:val="none"/>
                <w:lang w:val="en-US" w:eastAsia="zh-CN" w:bidi="ar-SA"/>
              </w:rPr>
              <w:t>气防站</w:t>
            </w:r>
          </w:p>
        </w:tc>
        <w:tc>
          <w:tcPr>
            <w:tcW w:w="0" w:type="auto"/>
            <w:shd w:val="clear" w:color="auto" w:fill="auto"/>
            <w:vAlign w:val="center"/>
          </w:tcPr>
          <w:p w14:paraId="3CB5FE06">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color w:val="auto"/>
                <w:kern w:val="2"/>
                <w:sz w:val="21"/>
                <w:szCs w:val="21"/>
                <w:lang w:val="en-US" w:eastAsia="zh-CN" w:bidi="ar-SA"/>
              </w:rPr>
              <w:t>张力增</w:t>
            </w:r>
          </w:p>
        </w:tc>
        <w:tc>
          <w:tcPr>
            <w:tcW w:w="0" w:type="auto"/>
            <w:vAlign w:val="center"/>
          </w:tcPr>
          <w:p w14:paraId="44FAC1A7">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color w:val="auto"/>
                <w:sz w:val="21"/>
                <w:szCs w:val="21"/>
                <w:lang w:eastAsia="zh-CN"/>
              </w:rPr>
            </w:pPr>
            <w:r>
              <w:rPr>
                <w:rFonts w:hint="eastAsia" w:ascii="Times New Roman" w:hAnsi="Times New Roman" w:eastAsia="宋体" w:cs="Times New Roman"/>
                <w:color w:val="auto"/>
                <w:kern w:val="2"/>
                <w:sz w:val="21"/>
                <w:szCs w:val="21"/>
                <w:lang w:val="en-US" w:eastAsia="zh-CN" w:bidi="ar-SA"/>
              </w:rPr>
              <w:t>13464444519</w:t>
            </w:r>
          </w:p>
        </w:tc>
      </w:tr>
      <w:tr w14:paraId="64EE33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shd w:val="clear" w:color="auto" w:fill="auto"/>
            <w:vAlign w:val="center"/>
          </w:tcPr>
          <w:p w14:paraId="188A2FC0">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2173" w:type="dxa"/>
            <w:shd w:val="clear" w:color="auto" w:fill="auto"/>
            <w:vAlign w:val="center"/>
          </w:tcPr>
          <w:p w14:paraId="3EEC402F">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五点式安全带</w:t>
            </w:r>
          </w:p>
        </w:tc>
        <w:tc>
          <w:tcPr>
            <w:tcW w:w="1033" w:type="dxa"/>
            <w:shd w:val="clear" w:color="auto" w:fill="auto"/>
            <w:vAlign w:val="center"/>
          </w:tcPr>
          <w:p w14:paraId="0AF3DBA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2</w:t>
            </w:r>
          </w:p>
        </w:tc>
        <w:tc>
          <w:tcPr>
            <w:tcW w:w="0" w:type="auto"/>
            <w:shd w:val="clear" w:color="auto" w:fill="auto"/>
            <w:vAlign w:val="center"/>
          </w:tcPr>
          <w:p w14:paraId="47D516A2">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i w:val="0"/>
                <w:iCs w:val="0"/>
                <w:color w:val="000000"/>
                <w:kern w:val="2"/>
                <w:sz w:val="21"/>
                <w:szCs w:val="21"/>
                <w:u w:val="none"/>
                <w:lang w:val="en-US" w:eastAsia="zh-CN" w:bidi="ar-SA"/>
              </w:rPr>
              <w:t>气防站</w:t>
            </w:r>
          </w:p>
        </w:tc>
        <w:tc>
          <w:tcPr>
            <w:tcW w:w="0" w:type="auto"/>
            <w:shd w:val="clear" w:color="auto" w:fill="auto"/>
            <w:vAlign w:val="center"/>
          </w:tcPr>
          <w:p w14:paraId="1249922C">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color w:val="auto"/>
                <w:kern w:val="2"/>
                <w:sz w:val="21"/>
                <w:szCs w:val="21"/>
                <w:lang w:val="en-US" w:eastAsia="zh-CN" w:bidi="ar-SA"/>
              </w:rPr>
              <w:t>张力增</w:t>
            </w:r>
          </w:p>
        </w:tc>
        <w:tc>
          <w:tcPr>
            <w:tcW w:w="0" w:type="auto"/>
            <w:vAlign w:val="center"/>
          </w:tcPr>
          <w:p w14:paraId="709C9269">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color w:val="auto"/>
                <w:sz w:val="21"/>
                <w:szCs w:val="21"/>
                <w:lang w:eastAsia="zh-CN"/>
              </w:rPr>
            </w:pPr>
            <w:r>
              <w:rPr>
                <w:rFonts w:hint="eastAsia" w:ascii="Times New Roman" w:hAnsi="Times New Roman" w:eastAsia="宋体" w:cs="Times New Roman"/>
                <w:color w:val="auto"/>
                <w:kern w:val="2"/>
                <w:sz w:val="21"/>
                <w:szCs w:val="21"/>
                <w:lang w:val="en-US" w:eastAsia="zh-CN" w:bidi="ar-SA"/>
              </w:rPr>
              <w:t>13464444519</w:t>
            </w:r>
          </w:p>
        </w:tc>
      </w:tr>
      <w:tr w14:paraId="03C373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shd w:val="clear" w:color="auto" w:fill="auto"/>
            <w:vAlign w:val="center"/>
          </w:tcPr>
          <w:p w14:paraId="4F505F42">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2173" w:type="dxa"/>
            <w:shd w:val="clear" w:color="auto" w:fill="auto"/>
            <w:vAlign w:val="center"/>
          </w:tcPr>
          <w:p w14:paraId="75BBAE6F">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强光手电筒</w:t>
            </w:r>
          </w:p>
        </w:tc>
        <w:tc>
          <w:tcPr>
            <w:tcW w:w="1033" w:type="dxa"/>
            <w:shd w:val="clear" w:color="auto" w:fill="auto"/>
            <w:vAlign w:val="center"/>
          </w:tcPr>
          <w:p w14:paraId="29B82727">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5</w:t>
            </w:r>
          </w:p>
        </w:tc>
        <w:tc>
          <w:tcPr>
            <w:tcW w:w="0" w:type="auto"/>
            <w:shd w:val="clear" w:color="auto" w:fill="auto"/>
            <w:vAlign w:val="center"/>
          </w:tcPr>
          <w:p w14:paraId="2A24D811">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i w:val="0"/>
                <w:iCs w:val="0"/>
                <w:color w:val="000000"/>
                <w:kern w:val="2"/>
                <w:sz w:val="21"/>
                <w:szCs w:val="21"/>
                <w:u w:val="none"/>
                <w:lang w:val="en-US" w:eastAsia="zh-CN" w:bidi="ar-SA"/>
              </w:rPr>
              <w:t>气防站</w:t>
            </w:r>
          </w:p>
        </w:tc>
        <w:tc>
          <w:tcPr>
            <w:tcW w:w="0" w:type="auto"/>
            <w:shd w:val="clear" w:color="auto" w:fill="auto"/>
            <w:vAlign w:val="center"/>
          </w:tcPr>
          <w:p w14:paraId="1BA994FE">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color w:val="auto"/>
                <w:kern w:val="2"/>
                <w:sz w:val="21"/>
                <w:szCs w:val="21"/>
                <w:lang w:val="en-US" w:eastAsia="zh-CN" w:bidi="ar-SA"/>
              </w:rPr>
              <w:t>张力增</w:t>
            </w:r>
          </w:p>
        </w:tc>
        <w:tc>
          <w:tcPr>
            <w:tcW w:w="0" w:type="auto"/>
            <w:vAlign w:val="center"/>
          </w:tcPr>
          <w:p w14:paraId="3EF7FB7B">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color w:val="auto"/>
                <w:sz w:val="21"/>
                <w:szCs w:val="21"/>
                <w:lang w:eastAsia="zh-CN"/>
              </w:rPr>
            </w:pPr>
            <w:r>
              <w:rPr>
                <w:rFonts w:hint="eastAsia" w:ascii="Times New Roman" w:hAnsi="Times New Roman" w:eastAsia="宋体" w:cs="Times New Roman"/>
                <w:color w:val="auto"/>
                <w:kern w:val="2"/>
                <w:sz w:val="21"/>
                <w:szCs w:val="21"/>
                <w:lang w:val="en-US" w:eastAsia="zh-CN" w:bidi="ar-SA"/>
              </w:rPr>
              <w:t>13464444519</w:t>
            </w:r>
          </w:p>
        </w:tc>
      </w:tr>
      <w:tr w14:paraId="342F73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shd w:val="clear" w:color="auto" w:fill="auto"/>
            <w:vAlign w:val="center"/>
          </w:tcPr>
          <w:p w14:paraId="7DD4A123">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2173" w:type="dxa"/>
            <w:shd w:val="clear" w:color="auto" w:fill="auto"/>
            <w:vAlign w:val="center"/>
          </w:tcPr>
          <w:p w14:paraId="7534F9E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扩音器</w:t>
            </w:r>
          </w:p>
        </w:tc>
        <w:tc>
          <w:tcPr>
            <w:tcW w:w="1033" w:type="dxa"/>
            <w:shd w:val="clear" w:color="auto" w:fill="auto"/>
            <w:vAlign w:val="center"/>
          </w:tcPr>
          <w:p w14:paraId="77EB084A">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2</w:t>
            </w:r>
          </w:p>
        </w:tc>
        <w:tc>
          <w:tcPr>
            <w:tcW w:w="0" w:type="auto"/>
            <w:shd w:val="clear" w:color="auto" w:fill="auto"/>
            <w:vAlign w:val="center"/>
          </w:tcPr>
          <w:p w14:paraId="06B6D5ED">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i w:val="0"/>
                <w:iCs w:val="0"/>
                <w:color w:val="000000"/>
                <w:kern w:val="2"/>
                <w:sz w:val="21"/>
                <w:szCs w:val="21"/>
                <w:u w:val="none"/>
                <w:lang w:val="en-US" w:eastAsia="zh-CN" w:bidi="ar-SA"/>
              </w:rPr>
              <w:t>气防站</w:t>
            </w:r>
          </w:p>
        </w:tc>
        <w:tc>
          <w:tcPr>
            <w:tcW w:w="0" w:type="auto"/>
            <w:shd w:val="clear" w:color="auto" w:fill="auto"/>
            <w:vAlign w:val="center"/>
          </w:tcPr>
          <w:p w14:paraId="2DE88E5F">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color w:val="auto"/>
                <w:kern w:val="2"/>
                <w:sz w:val="21"/>
                <w:szCs w:val="21"/>
                <w:lang w:val="en-US" w:eastAsia="zh-CN" w:bidi="ar-SA"/>
              </w:rPr>
              <w:t>张力增</w:t>
            </w:r>
          </w:p>
        </w:tc>
        <w:tc>
          <w:tcPr>
            <w:tcW w:w="0" w:type="auto"/>
            <w:vAlign w:val="center"/>
          </w:tcPr>
          <w:p w14:paraId="725F0AA5">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color w:val="auto"/>
                <w:sz w:val="21"/>
                <w:szCs w:val="21"/>
                <w:lang w:eastAsia="zh-CN"/>
              </w:rPr>
            </w:pPr>
            <w:r>
              <w:rPr>
                <w:rFonts w:hint="eastAsia" w:ascii="Times New Roman" w:hAnsi="Times New Roman" w:eastAsia="宋体" w:cs="Times New Roman"/>
                <w:color w:val="auto"/>
                <w:kern w:val="2"/>
                <w:sz w:val="21"/>
                <w:szCs w:val="21"/>
                <w:lang w:val="en-US" w:eastAsia="zh-CN" w:bidi="ar-SA"/>
              </w:rPr>
              <w:t>13464444519</w:t>
            </w:r>
          </w:p>
        </w:tc>
      </w:tr>
      <w:tr w14:paraId="623720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shd w:val="clear" w:color="auto" w:fill="auto"/>
            <w:vAlign w:val="center"/>
          </w:tcPr>
          <w:p w14:paraId="179FEA86">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2173" w:type="dxa"/>
            <w:shd w:val="clear" w:color="auto" w:fill="auto"/>
            <w:vAlign w:val="center"/>
          </w:tcPr>
          <w:p w14:paraId="68CC3420">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消防斧</w:t>
            </w:r>
          </w:p>
        </w:tc>
        <w:tc>
          <w:tcPr>
            <w:tcW w:w="1033" w:type="dxa"/>
            <w:shd w:val="clear" w:color="auto" w:fill="auto"/>
            <w:vAlign w:val="center"/>
          </w:tcPr>
          <w:p w14:paraId="2B6D169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2</w:t>
            </w:r>
          </w:p>
        </w:tc>
        <w:tc>
          <w:tcPr>
            <w:tcW w:w="0" w:type="auto"/>
            <w:shd w:val="clear" w:color="auto" w:fill="auto"/>
            <w:vAlign w:val="center"/>
          </w:tcPr>
          <w:p w14:paraId="788333BD">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i w:val="0"/>
                <w:iCs w:val="0"/>
                <w:color w:val="000000"/>
                <w:kern w:val="2"/>
                <w:sz w:val="21"/>
                <w:szCs w:val="21"/>
                <w:u w:val="none"/>
                <w:lang w:val="en-US" w:eastAsia="zh-CN" w:bidi="ar-SA"/>
              </w:rPr>
              <w:t>气防站</w:t>
            </w:r>
          </w:p>
        </w:tc>
        <w:tc>
          <w:tcPr>
            <w:tcW w:w="0" w:type="auto"/>
            <w:shd w:val="clear" w:color="auto" w:fill="auto"/>
            <w:vAlign w:val="center"/>
          </w:tcPr>
          <w:p w14:paraId="1AFBCD2A">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color w:val="auto"/>
                <w:kern w:val="2"/>
                <w:sz w:val="21"/>
                <w:szCs w:val="21"/>
                <w:lang w:val="en-US" w:eastAsia="zh-CN" w:bidi="ar-SA"/>
              </w:rPr>
              <w:t>张力增</w:t>
            </w:r>
          </w:p>
        </w:tc>
        <w:tc>
          <w:tcPr>
            <w:tcW w:w="0" w:type="auto"/>
            <w:vAlign w:val="center"/>
          </w:tcPr>
          <w:p w14:paraId="67CD1673">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color w:val="auto"/>
                <w:sz w:val="21"/>
                <w:szCs w:val="21"/>
                <w:lang w:eastAsia="zh-CN"/>
              </w:rPr>
            </w:pPr>
            <w:r>
              <w:rPr>
                <w:rFonts w:hint="eastAsia" w:ascii="Times New Roman" w:hAnsi="Times New Roman" w:eastAsia="宋体" w:cs="Times New Roman"/>
                <w:color w:val="auto"/>
                <w:kern w:val="2"/>
                <w:sz w:val="21"/>
                <w:szCs w:val="21"/>
                <w:lang w:val="en-US" w:eastAsia="zh-CN" w:bidi="ar-SA"/>
              </w:rPr>
              <w:t>13464444519</w:t>
            </w:r>
          </w:p>
        </w:tc>
      </w:tr>
      <w:tr w14:paraId="191AE2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199917BD">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2173" w:type="dxa"/>
            <w:shd w:val="clear" w:color="auto" w:fill="auto"/>
            <w:vAlign w:val="center"/>
          </w:tcPr>
          <w:p w14:paraId="3695E281">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反光贴</w:t>
            </w:r>
          </w:p>
        </w:tc>
        <w:tc>
          <w:tcPr>
            <w:tcW w:w="1033" w:type="dxa"/>
            <w:shd w:val="clear" w:color="auto" w:fill="auto"/>
            <w:vAlign w:val="center"/>
          </w:tcPr>
          <w:p w14:paraId="64D208B3">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4</w:t>
            </w:r>
          </w:p>
        </w:tc>
        <w:tc>
          <w:tcPr>
            <w:tcW w:w="0" w:type="auto"/>
            <w:vAlign w:val="center"/>
          </w:tcPr>
          <w:p w14:paraId="13049B4D">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i w:val="0"/>
                <w:iCs w:val="0"/>
                <w:color w:val="000000"/>
                <w:kern w:val="2"/>
                <w:sz w:val="21"/>
                <w:szCs w:val="21"/>
                <w:u w:val="none"/>
                <w:lang w:val="en-US" w:eastAsia="zh-CN" w:bidi="ar-SA"/>
              </w:rPr>
              <w:t>气防站</w:t>
            </w:r>
          </w:p>
        </w:tc>
        <w:tc>
          <w:tcPr>
            <w:tcW w:w="0" w:type="auto"/>
            <w:vAlign w:val="center"/>
          </w:tcPr>
          <w:p w14:paraId="376589E0">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color w:val="auto"/>
                <w:kern w:val="2"/>
                <w:sz w:val="21"/>
                <w:szCs w:val="21"/>
                <w:lang w:val="en-US" w:eastAsia="zh-CN" w:bidi="ar-SA"/>
              </w:rPr>
              <w:t>张力增</w:t>
            </w:r>
          </w:p>
        </w:tc>
        <w:tc>
          <w:tcPr>
            <w:tcW w:w="0" w:type="auto"/>
            <w:vAlign w:val="center"/>
          </w:tcPr>
          <w:p w14:paraId="7340ECD2">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color w:val="auto"/>
                <w:sz w:val="21"/>
                <w:szCs w:val="21"/>
                <w:lang w:eastAsia="zh-CN"/>
              </w:rPr>
            </w:pPr>
            <w:r>
              <w:rPr>
                <w:rFonts w:hint="eastAsia" w:ascii="Times New Roman" w:hAnsi="Times New Roman" w:eastAsia="宋体" w:cs="Times New Roman"/>
                <w:color w:val="auto"/>
                <w:kern w:val="2"/>
                <w:sz w:val="21"/>
                <w:szCs w:val="21"/>
                <w:lang w:val="en-US" w:eastAsia="zh-CN" w:bidi="ar-SA"/>
              </w:rPr>
              <w:t>13464444519</w:t>
            </w:r>
          </w:p>
        </w:tc>
      </w:tr>
      <w:tr w14:paraId="412D76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06BD81A7">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2173" w:type="dxa"/>
            <w:shd w:val="clear" w:color="auto" w:fill="auto"/>
            <w:vAlign w:val="center"/>
          </w:tcPr>
          <w:p w14:paraId="70041401">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灭火器</w:t>
            </w:r>
          </w:p>
        </w:tc>
        <w:tc>
          <w:tcPr>
            <w:tcW w:w="1033" w:type="dxa"/>
            <w:shd w:val="clear" w:color="auto" w:fill="auto"/>
            <w:vAlign w:val="center"/>
          </w:tcPr>
          <w:p w14:paraId="5E393E01">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4</w:t>
            </w:r>
          </w:p>
        </w:tc>
        <w:tc>
          <w:tcPr>
            <w:tcW w:w="0" w:type="auto"/>
            <w:vAlign w:val="center"/>
          </w:tcPr>
          <w:p w14:paraId="3983E2C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i w:val="0"/>
                <w:iCs w:val="0"/>
                <w:color w:val="000000"/>
                <w:kern w:val="2"/>
                <w:sz w:val="21"/>
                <w:szCs w:val="21"/>
                <w:u w:val="none"/>
                <w:lang w:val="en-US" w:eastAsia="zh-CN" w:bidi="ar-SA"/>
              </w:rPr>
              <w:t>气防站</w:t>
            </w:r>
          </w:p>
        </w:tc>
        <w:tc>
          <w:tcPr>
            <w:tcW w:w="0" w:type="auto"/>
            <w:vAlign w:val="center"/>
          </w:tcPr>
          <w:p w14:paraId="160E0AC0">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color w:val="auto"/>
                <w:kern w:val="2"/>
                <w:sz w:val="21"/>
                <w:szCs w:val="21"/>
                <w:lang w:val="en-US" w:eastAsia="zh-CN" w:bidi="ar-SA"/>
              </w:rPr>
              <w:t>张力增</w:t>
            </w:r>
          </w:p>
        </w:tc>
        <w:tc>
          <w:tcPr>
            <w:tcW w:w="0" w:type="auto"/>
            <w:vAlign w:val="center"/>
          </w:tcPr>
          <w:p w14:paraId="728A7E64">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color w:val="auto"/>
                <w:sz w:val="21"/>
                <w:szCs w:val="21"/>
                <w:lang w:eastAsia="zh-CN"/>
              </w:rPr>
            </w:pPr>
            <w:r>
              <w:rPr>
                <w:rFonts w:hint="eastAsia" w:ascii="Times New Roman" w:hAnsi="Times New Roman" w:eastAsia="宋体" w:cs="Times New Roman"/>
                <w:color w:val="auto"/>
                <w:kern w:val="2"/>
                <w:sz w:val="21"/>
                <w:szCs w:val="21"/>
                <w:lang w:val="en-US" w:eastAsia="zh-CN" w:bidi="ar-SA"/>
              </w:rPr>
              <w:t>13464444519</w:t>
            </w:r>
          </w:p>
        </w:tc>
      </w:tr>
      <w:tr w14:paraId="5CA1D3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6315A893">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2173" w:type="dxa"/>
            <w:shd w:val="clear" w:color="auto" w:fill="auto"/>
            <w:vAlign w:val="center"/>
          </w:tcPr>
          <w:p w14:paraId="6391F8AB">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绳梯</w:t>
            </w:r>
          </w:p>
        </w:tc>
        <w:tc>
          <w:tcPr>
            <w:tcW w:w="1033" w:type="dxa"/>
            <w:shd w:val="clear" w:color="auto" w:fill="auto"/>
            <w:vAlign w:val="center"/>
          </w:tcPr>
          <w:p w14:paraId="6F7999A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1</w:t>
            </w:r>
          </w:p>
        </w:tc>
        <w:tc>
          <w:tcPr>
            <w:tcW w:w="0" w:type="auto"/>
            <w:vAlign w:val="center"/>
          </w:tcPr>
          <w:p w14:paraId="511113DD">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i w:val="0"/>
                <w:iCs w:val="0"/>
                <w:color w:val="000000"/>
                <w:kern w:val="2"/>
                <w:sz w:val="21"/>
                <w:szCs w:val="21"/>
                <w:u w:val="none"/>
                <w:lang w:val="en-US" w:eastAsia="zh-CN" w:bidi="ar-SA"/>
              </w:rPr>
              <w:t>气防站</w:t>
            </w:r>
          </w:p>
        </w:tc>
        <w:tc>
          <w:tcPr>
            <w:tcW w:w="0" w:type="auto"/>
            <w:vAlign w:val="center"/>
          </w:tcPr>
          <w:p w14:paraId="0B612787">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color w:val="auto"/>
                <w:kern w:val="2"/>
                <w:sz w:val="21"/>
                <w:szCs w:val="21"/>
                <w:lang w:val="en-US" w:eastAsia="zh-CN" w:bidi="ar-SA"/>
              </w:rPr>
              <w:t>张力增</w:t>
            </w:r>
          </w:p>
        </w:tc>
        <w:tc>
          <w:tcPr>
            <w:tcW w:w="0" w:type="auto"/>
            <w:vAlign w:val="center"/>
          </w:tcPr>
          <w:p w14:paraId="317724BC">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color w:val="auto"/>
                <w:sz w:val="21"/>
                <w:szCs w:val="21"/>
                <w:lang w:eastAsia="zh-CN"/>
              </w:rPr>
            </w:pPr>
            <w:r>
              <w:rPr>
                <w:rFonts w:hint="eastAsia" w:ascii="Times New Roman" w:hAnsi="Times New Roman" w:eastAsia="宋体" w:cs="Times New Roman"/>
                <w:color w:val="auto"/>
                <w:kern w:val="2"/>
                <w:sz w:val="21"/>
                <w:szCs w:val="21"/>
                <w:lang w:val="en-US" w:eastAsia="zh-CN" w:bidi="ar-SA"/>
              </w:rPr>
              <w:t>13464444519</w:t>
            </w:r>
          </w:p>
        </w:tc>
      </w:tr>
      <w:tr w14:paraId="11B657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206C8682">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2173" w:type="dxa"/>
            <w:shd w:val="clear" w:color="auto" w:fill="auto"/>
            <w:vAlign w:val="center"/>
          </w:tcPr>
          <w:p w14:paraId="4A95558F">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反光带</w:t>
            </w:r>
          </w:p>
        </w:tc>
        <w:tc>
          <w:tcPr>
            <w:tcW w:w="1033" w:type="dxa"/>
            <w:shd w:val="clear" w:color="auto" w:fill="auto"/>
            <w:vAlign w:val="center"/>
          </w:tcPr>
          <w:p w14:paraId="2C2B2AFA">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i w:val="0"/>
                <w:iCs w:val="0"/>
                <w:color w:val="000000"/>
                <w:kern w:val="0"/>
                <w:sz w:val="21"/>
                <w:szCs w:val="21"/>
                <w:u w:val="none"/>
                <w:lang w:val="en-US" w:eastAsia="zh-CN" w:bidi="ar"/>
              </w:rPr>
              <w:t>4</w:t>
            </w:r>
            <w:r>
              <w:rPr>
                <w:rFonts w:hint="default" w:ascii="Times New Roman" w:hAnsi="Times New Roman" w:eastAsia="宋体" w:cs="Times New Roman"/>
                <w:i w:val="0"/>
                <w:iCs w:val="0"/>
                <w:color w:val="000000"/>
                <w:kern w:val="0"/>
                <w:sz w:val="21"/>
                <w:szCs w:val="21"/>
                <w:u w:val="none"/>
                <w:lang w:val="en-US" w:eastAsia="zh-CN" w:bidi="ar"/>
              </w:rPr>
              <w:t>卷</w:t>
            </w:r>
          </w:p>
        </w:tc>
        <w:tc>
          <w:tcPr>
            <w:tcW w:w="0" w:type="auto"/>
            <w:vAlign w:val="center"/>
          </w:tcPr>
          <w:p w14:paraId="60A87BC8">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i w:val="0"/>
                <w:iCs w:val="0"/>
                <w:color w:val="000000"/>
                <w:kern w:val="2"/>
                <w:sz w:val="21"/>
                <w:szCs w:val="21"/>
                <w:u w:val="none"/>
                <w:lang w:val="en-US" w:eastAsia="zh-CN" w:bidi="ar-SA"/>
              </w:rPr>
              <w:t>气防站</w:t>
            </w:r>
          </w:p>
        </w:tc>
        <w:tc>
          <w:tcPr>
            <w:tcW w:w="0" w:type="auto"/>
            <w:vAlign w:val="center"/>
          </w:tcPr>
          <w:p w14:paraId="6E3AA9EA">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i w:val="0"/>
                <w:iCs w:val="0"/>
                <w:color w:val="000000"/>
                <w:kern w:val="2"/>
                <w:sz w:val="21"/>
                <w:szCs w:val="21"/>
                <w:u w:val="none"/>
                <w:lang w:val="en-US" w:eastAsia="zh-CN" w:bidi="ar-SA"/>
              </w:rPr>
            </w:pPr>
            <w:r>
              <w:rPr>
                <w:rFonts w:hint="eastAsia" w:ascii="Times New Roman" w:hAnsi="Times New Roman" w:eastAsia="宋体" w:cs="Times New Roman"/>
                <w:color w:val="auto"/>
                <w:kern w:val="2"/>
                <w:sz w:val="21"/>
                <w:szCs w:val="21"/>
                <w:lang w:val="en-US" w:eastAsia="zh-CN" w:bidi="ar-SA"/>
              </w:rPr>
              <w:t>张力增</w:t>
            </w:r>
          </w:p>
        </w:tc>
        <w:tc>
          <w:tcPr>
            <w:tcW w:w="0" w:type="auto"/>
            <w:vAlign w:val="center"/>
          </w:tcPr>
          <w:p w14:paraId="3CDFECAF">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color w:val="auto"/>
                <w:sz w:val="21"/>
                <w:szCs w:val="21"/>
                <w:lang w:eastAsia="zh-CN"/>
              </w:rPr>
            </w:pPr>
            <w:r>
              <w:rPr>
                <w:rFonts w:hint="eastAsia" w:ascii="Times New Roman" w:hAnsi="Times New Roman" w:eastAsia="宋体" w:cs="Times New Roman"/>
                <w:color w:val="auto"/>
                <w:kern w:val="2"/>
                <w:sz w:val="21"/>
                <w:szCs w:val="21"/>
                <w:lang w:val="en-US" w:eastAsia="zh-CN" w:bidi="ar-SA"/>
              </w:rPr>
              <w:t>13464444519</w:t>
            </w:r>
          </w:p>
        </w:tc>
      </w:tr>
      <w:tr w14:paraId="4D95C5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4D196C10">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2173" w:type="dxa"/>
            <w:shd w:val="clear" w:color="auto" w:fill="auto"/>
            <w:vAlign w:val="center"/>
          </w:tcPr>
          <w:p w14:paraId="4C7A1331">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氨水10%</w:t>
            </w:r>
          </w:p>
        </w:tc>
        <w:tc>
          <w:tcPr>
            <w:tcW w:w="1033" w:type="dxa"/>
            <w:shd w:val="clear" w:color="auto" w:fill="auto"/>
            <w:vAlign w:val="center"/>
          </w:tcPr>
          <w:p w14:paraId="6A1D72D7">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10瓶</w:t>
            </w:r>
          </w:p>
        </w:tc>
        <w:tc>
          <w:tcPr>
            <w:tcW w:w="0" w:type="auto"/>
            <w:shd w:val="clear" w:color="auto" w:fill="auto"/>
            <w:vAlign w:val="center"/>
          </w:tcPr>
          <w:p w14:paraId="6E03A4F2">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氯压机室</w:t>
            </w:r>
          </w:p>
        </w:tc>
        <w:tc>
          <w:tcPr>
            <w:tcW w:w="0" w:type="auto"/>
            <w:shd w:val="clear" w:color="auto" w:fill="auto"/>
            <w:vAlign w:val="center"/>
          </w:tcPr>
          <w:p w14:paraId="781EA7C8">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陈文洪</w:t>
            </w:r>
          </w:p>
        </w:tc>
        <w:tc>
          <w:tcPr>
            <w:tcW w:w="0" w:type="auto"/>
            <w:shd w:val="clear" w:color="auto" w:fill="auto"/>
            <w:vAlign w:val="center"/>
          </w:tcPr>
          <w:p w14:paraId="69D82269">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17542160800</w:t>
            </w:r>
          </w:p>
        </w:tc>
      </w:tr>
      <w:tr w14:paraId="334DF7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2D560307">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2173" w:type="dxa"/>
            <w:shd w:val="clear" w:color="auto" w:fill="auto"/>
            <w:vAlign w:val="center"/>
          </w:tcPr>
          <w:p w14:paraId="4140BE7C">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正压空气呼吸器</w:t>
            </w:r>
          </w:p>
        </w:tc>
        <w:tc>
          <w:tcPr>
            <w:tcW w:w="1033" w:type="dxa"/>
            <w:shd w:val="clear" w:color="auto" w:fill="auto"/>
            <w:vAlign w:val="center"/>
          </w:tcPr>
          <w:p w14:paraId="12953BA4">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8套</w:t>
            </w:r>
          </w:p>
        </w:tc>
        <w:tc>
          <w:tcPr>
            <w:tcW w:w="0" w:type="auto"/>
            <w:shd w:val="clear" w:color="auto" w:fill="auto"/>
            <w:vAlign w:val="center"/>
          </w:tcPr>
          <w:p w14:paraId="4006E30C">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镁电解车间、氯压机室</w:t>
            </w:r>
          </w:p>
        </w:tc>
        <w:tc>
          <w:tcPr>
            <w:tcW w:w="0" w:type="auto"/>
            <w:shd w:val="clear" w:color="auto" w:fill="auto"/>
            <w:vAlign w:val="center"/>
          </w:tcPr>
          <w:p w14:paraId="3AF3C2A1">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刘师刚</w:t>
            </w:r>
          </w:p>
        </w:tc>
        <w:tc>
          <w:tcPr>
            <w:tcW w:w="0" w:type="auto"/>
            <w:shd w:val="clear" w:color="auto" w:fill="auto"/>
            <w:vAlign w:val="center"/>
          </w:tcPr>
          <w:p w14:paraId="322AA3F0">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13204217017</w:t>
            </w:r>
          </w:p>
        </w:tc>
      </w:tr>
      <w:tr w14:paraId="627EA6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4435DFD8">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2173" w:type="dxa"/>
            <w:shd w:val="clear" w:color="auto" w:fill="auto"/>
            <w:vAlign w:val="center"/>
          </w:tcPr>
          <w:p w14:paraId="7B7D6C86">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洗眼器</w:t>
            </w:r>
          </w:p>
        </w:tc>
        <w:tc>
          <w:tcPr>
            <w:tcW w:w="1033" w:type="dxa"/>
            <w:shd w:val="clear" w:color="auto" w:fill="auto"/>
            <w:vAlign w:val="center"/>
          </w:tcPr>
          <w:p w14:paraId="6D5F1D50">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4个</w:t>
            </w:r>
          </w:p>
        </w:tc>
        <w:tc>
          <w:tcPr>
            <w:tcW w:w="0" w:type="auto"/>
            <w:shd w:val="clear" w:color="auto" w:fill="auto"/>
            <w:vAlign w:val="center"/>
          </w:tcPr>
          <w:p w14:paraId="722BCAD5">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氯压机室</w:t>
            </w:r>
          </w:p>
        </w:tc>
        <w:tc>
          <w:tcPr>
            <w:tcW w:w="0" w:type="auto"/>
            <w:shd w:val="clear" w:color="auto" w:fill="auto"/>
            <w:vAlign w:val="center"/>
          </w:tcPr>
          <w:p w14:paraId="12E596A8">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陈文洪</w:t>
            </w:r>
          </w:p>
        </w:tc>
        <w:tc>
          <w:tcPr>
            <w:tcW w:w="0" w:type="auto"/>
            <w:shd w:val="clear" w:color="auto" w:fill="auto"/>
            <w:vAlign w:val="center"/>
          </w:tcPr>
          <w:p w14:paraId="3BEB1A8B">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17542160800</w:t>
            </w:r>
          </w:p>
        </w:tc>
      </w:tr>
      <w:tr w14:paraId="049CC5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31AAEE28">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2173" w:type="dxa"/>
            <w:shd w:val="clear" w:color="auto" w:fill="auto"/>
            <w:vAlign w:val="center"/>
          </w:tcPr>
          <w:p w14:paraId="5B1EF207">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便携式洗眼器</w:t>
            </w:r>
          </w:p>
        </w:tc>
        <w:tc>
          <w:tcPr>
            <w:tcW w:w="1033" w:type="dxa"/>
            <w:shd w:val="clear" w:color="auto" w:fill="auto"/>
            <w:vAlign w:val="center"/>
          </w:tcPr>
          <w:p w14:paraId="20011D2B">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4个</w:t>
            </w:r>
          </w:p>
        </w:tc>
        <w:tc>
          <w:tcPr>
            <w:tcW w:w="0" w:type="auto"/>
            <w:shd w:val="clear" w:color="auto" w:fill="auto"/>
            <w:vAlign w:val="center"/>
          </w:tcPr>
          <w:p w14:paraId="52940B2E">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镁电解车间</w:t>
            </w:r>
          </w:p>
        </w:tc>
        <w:tc>
          <w:tcPr>
            <w:tcW w:w="0" w:type="auto"/>
            <w:shd w:val="clear" w:color="auto" w:fill="auto"/>
            <w:vAlign w:val="center"/>
          </w:tcPr>
          <w:p w14:paraId="54BFAFC0">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刘师刚</w:t>
            </w:r>
          </w:p>
        </w:tc>
        <w:tc>
          <w:tcPr>
            <w:tcW w:w="0" w:type="auto"/>
            <w:shd w:val="clear" w:color="auto" w:fill="auto"/>
            <w:vAlign w:val="center"/>
          </w:tcPr>
          <w:p w14:paraId="53F36189">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13204217017</w:t>
            </w:r>
          </w:p>
        </w:tc>
      </w:tr>
      <w:tr w14:paraId="336F68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5F967020">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2173" w:type="dxa"/>
            <w:shd w:val="clear" w:color="auto" w:fill="auto"/>
            <w:vAlign w:val="center"/>
          </w:tcPr>
          <w:p w14:paraId="36F7206E">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白酒</w:t>
            </w:r>
          </w:p>
        </w:tc>
        <w:tc>
          <w:tcPr>
            <w:tcW w:w="1033" w:type="dxa"/>
            <w:shd w:val="clear" w:color="auto" w:fill="auto"/>
            <w:vAlign w:val="center"/>
          </w:tcPr>
          <w:p w14:paraId="77AA51BE">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48瓶</w:t>
            </w:r>
          </w:p>
        </w:tc>
        <w:tc>
          <w:tcPr>
            <w:tcW w:w="0" w:type="auto"/>
            <w:shd w:val="clear" w:color="auto" w:fill="auto"/>
            <w:vAlign w:val="center"/>
          </w:tcPr>
          <w:p w14:paraId="609B790F">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镁电解车间、氯压机室</w:t>
            </w:r>
          </w:p>
        </w:tc>
        <w:tc>
          <w:tcPr>
            <w:tcW w:w="0" w:type="auto"/>
            <w:shd w:val="clear" w:color="auto" w:fill="auto"/>
            <w:vAlign w:val="center"/>
          </w:tcPr>
          <w:p w14:paraId="455EB165">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刘师刚</w:t>
            </w:r>
          </w:p>
        </w:tc>
        <w:tc>
          <w:tcPr>
            <w:tcW w:w="0" w:type="auto"/>
            <w:shd w:val="clear" w:color="auto" w:fill="auto"/>
            <w:vAlign w:val="center"/>
          </w:tcPr>
          <w:p w14:paraId="2CDE4A30">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13204217017</w:t>
            </w:r>
          </w:p>
        </w:tc>
      </w:tr>
      <w:tr w14:paraId="0F2A51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6D808F6E">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2173" w:type="dxa"/>
            <w:shd w:val="clear" w:color="auto" w:fill="auto"/>
            <w:vAlign w:val="center"/>
          </w:tcPr>
          <w:p w14:paraId="3E7ECC4D">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担架</w:t>
            </w:r>
          </w:p>
        </w:tc>
        <w:tc>
          <w:tcPr>
            <w:tcW w:w="1033" w:type="dxa"/>
            <w:shd w:val="clear" w:color="auto" w:fill="auto"/>
            <w:vAlign w:val="center"/>
          </w:tcPr>
          <w:p w14:paraId="26A8F1BA">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1个</w:t>
            </w:r>
          </w:p>
        </w:tc>
        <w:tc>
          <w:tcPr>
            <w:tcW w:w="0" w:type="auto"/>
            <w:shd w:val="clear" w:color="auto" w:fill="auto"/>
            <w:vAlign w:val="center"/>
          </w:tcPr>
          <w:p w14:paraId="6DE6D40A">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镁电解车间</w:t>
            </w:r>
          </w:p>
        </w:tc>
        <w:tc>
          <w:tcPr>
            <w:tcW w:w="0" w:type="auto"/>
            <w:shd w:val="clear" w:color="auto" w:fill="auto"/>
            <w:vAlign w:val="center"/>
          </w:tcPr>
          <w:p w14:paraId="5091CA78">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刘师刚</w:t>
            </w:r>
          </w:p>
        </w:tc>
        <w:tc>
          <w:tcPr>
            <w:tcW w:w="0" w:type="auto"/>
            <w:shd w:val="clear" w:color="auto" w:fill="auto"/>
            <w:vAlign w:val="center"/>
          </w:tcPr>
          <w:p w14:paraId="13E58A6C">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13204217017</w:t>
            </w:r>
          </w:p>
        </w:tc>
      </w:tr>
      <w:tr w14:paraId="69C8D4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60893E93">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2173" w:type="dxa"/>
            <w:shd w:val="clear" w:color="auto" w:fill="auto"/>
            <w:vAlign w:val="center"/>
          </w:tcPr>
          <w:p w14:paraId="75328389">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浮力救生衣</w:t>
            </w:r>
          </w:p>
        </w:tc>
        <w:tc>
          <w:tcPr>
            <w:tcW w:w="1033" w:type="dxa"/>
            <w:shd w:val="clear" w:color="auto" w:fill="auto"/>
            <w:vAlign w:val="center"/>
          </w:tcPr>
          <w:p w14:paraId="1902F68C">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4件</w:t>
            </w:r>
          </w:p>
        </w:tc>
        <w:tc>
          <w:tcPr>
            <w:tcW w:w="0" w:type="auto"/>
            <w:shd w:val="clear" w:color="auto" w:fill="auto"/>
            <w:vAlign w:val="center"/>
          </w:tcPr>
          <w:p w14:paraId="781FB143">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水泵房值班室</w:t>
            </w:r>
          </w:p>
        </w:tc>
        <w:tc>
          <w:tcPr>
            <w:tcW w:w="0" w:type="auto"/>
            <w:shd w:val="clear" w:color="auto" w:fill="auto"/>
            <w:vAlign w:val="center"/>
          </w:tcPr>
          <w:p w14:paraId="2CD9D4C1">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孙洪兴</w:t>
            </w:r>
          </w:p>
        </w:tc>
        <w:tc>
          <w:tcPr>
            <w:tcW w:w="0" w:type="auto"/>
            <w:shd w:val="clear" w:color="auto" w:fill="auto"/>
            <w:vAlign w:val="center"/>
          </w:tcPr>
          <w:p w14:paraId="6E0C0D87">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13942157570</w:t>
            </w:r>
          </w:p>
        </w:tc>
      </w:tr>
      <w:tr w14:paraId="737EF9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3815CCAF">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2173" w:type="dxa"/>
            <w:shd w:val="clear" w:color="auto" w:fill="auto"/>
            <w:vAlign w:val="center"/>
          </w:tcPr>
          <w:p w14:paraId="7974D4CD">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氯气捕消器</w:t>
            </w:r>
          </w:p>
        </w:tc>
        <w:tc>
          <w:tcPr>
            <w:tcW w:w="1033" w:type="dxa"/>
            <w:shd w:val="clear" w:color="auto" w:fill="auto"/>
            <w:vAlign w:val="center"/>
          </w:tcPr>
          <w:p w14:paraId="3728C26D">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8具</w:t>
            </w:r>
          </w:p>
        </w:tc>
        <w:tc>
          <w:tcPr>
            <w:tcW w:w="0" w:type="auto"/>
            <w:shd w:val="clear" w:color="auto" w:fill="auto"/>
            <w:vAlign w:val="center"/>
          </w:tcPr>
          <w:p w14:paraId="5DE0EB04">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氯压机室</w:t>
            </w:r>
          </w:p>
        </w:tc>
        <w:tc>
          <w:tcPr>
            <w:tcW w:w="0" w:type="auto"/>
            <w:shd w:val="clear" w:color="auto" w:fill="auto"/>
            <w:vAlign w:val="center"/>
          </w:tcPr>
          <w:p w14:paraId="626D5051">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陈文洪</w:t>
            </w:r>
          </w:p>
        </w:tc>
        <w:tc>
          <w:tcPr>
            <w:tcW w:w="0" w:type="auto"/>
            <w:shd w:val="clear" w:color="auto" w:fill="auto"/>
            <w:vAlign w:val="center"/>
          </w:tcPr>
          <w:p w14:paraId="5F3BD96D">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17542160800</w:t>
            </w:r>
          </w:p>
        </w:tc>
      </w:tr>
      <w:tr w14:paraId="2856CC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472E7CE6">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2173" w:type="dxa"/>
            <w:shd w:val="clear" w:color="auto" w:fill="auto"/>
            <w:vAlign w:val="center"/>
          </w:tcPr>
          <w:p w14:paraId="4E73F7AE">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防化服</w:t>
            </w:r>
          </w:p>
        </w:tc>
        <w:tc>
          <w:tcPr>
            <w:tcW w:w="1033" w:type="dxa"/>
            <w:shd w:val="clear" w:color="auto" w:fill="auto"/>
            <w:vAlign w:val="center"/>
          </w:tcPr>
          <w:p w14:paraId="606367A4">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4套</w:t>
            </w:r>
          </w:p>
        </w:tc>
        <w:tc>
          <w:tcPr>
            <w:tcW w:w="0" w:type="auto"/>
            <w:shd w:val="clear" w:color="auto" w:fill="auto"/>
            <w:vAlign w:val="center"/>
          </w:tcPr>
          <w:p w14:paraId="3EA0ECBF">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氯压机室、镁电解车间</w:t>
            </w:r>
          </w:p>
        </w:tc>
        <w:tc>
          <w:tcPr>
            <w:tcW w:w="0" w:type="auto"/>
            <w:shd w:val="clear" w:color="auto" w:fill="auto"/>
            <w:vAlign w:val="center"/>
          </w:tcPr>
          <w:p w14:paraId="676C1813">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刘师刚</w:t>
            </w:r>
          </w:p>
        </w:tc>
        <w:tc>
          <w:tcPr>
            <w:tcW w:w="0" w:type="auto"/>
            <w:shd w:val="clear" w:color="auto" w:fill="auto"/>
            <w:vAlign w:val="center"/>
          </w:tcPr>
          <w:p w14:paraId="37AFAB1F">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13204217017</w:t>
            </w:r>
          </w:p>
        </w:tc>
      </w:tr>
      <w:tr w14:paraId="67B86E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26ECFDE8">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2173" w:type="dxa"/>
            <w:shd w:val="clear" w:color="auto" w:fill="auto"/>
            <w:vAlign w:val="center"/>
          </w:tcPr>
          <w:p w14:paraId="6DC34873">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消防战斗服</w:t>
            </w:r>
          </w:p>
        </w:tc>
        <w:tc>
          <w:tcPr>
            <w:tcW w:w="1033" w:type="dxa"/>
            <w:shd w:val="clear" w:color="auto" w:fill="auto"/>
            <w:vAlign w:val="center"/>
          </w:tcPr>
          <w:p w14:paraId="5392A142">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12套</w:t>
            </w:r>
          </w:p>
        </w:tc>
        <w:tc>
          <w:tcPr>
            <w:tcW w:w="0" w:type="auto"/>
            <w:shd w:val="clear" w:color="auto" w:fill="auto"/>
            <w:vAlign w:val="center"/>
          </w:tcPr>
          <w:p w14:paraId="434B8351">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氯压机室、电解车间</w:t>
            </w:r>
          </w:p>
        </w:tc>
        <w:tc>
          <w:tcPr>
            <w:tcW w:w="0" w:type="auto"/>
            <w:shd w:val="clear" w:color="auto" w:fill="auto"/>
            <w:vAlign w:val="center"/>
          </w:tcPr>
          <w:p w14:paraId="0657D78B">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刘师刚</w:t>
            </w:r>
          </w:p>
        </w:tc>
        <w:tc>
          <w:tcPr>
            <w:tcW w:w="0" w:type="auto"/>
            <w:shd w:val="clear" w:color="auto" w:fill="auto"/>
            <w:vAlign w:val="center"/>
          </w:tcPr>
          <w:p w14:paraId="2B0C9A00">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13204217017</w:t>
            </w:r>
          </w:p>
        </w:tc>
      </w:tr>
      <w:tr w14:paraId="36D896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610C11E7">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2173" w:type="dxa"/>
            <w:shd w:val="clear" w:color="auto" w:fill="auto"/>
            <w:vAlign w:val="center"/>
          </w:tcPr>
          <w:p w14:paraId="51065A5A">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过滤式消防自救呼吸器</w:t>
            </w:r>
          </w:p>
        </w:tc>
        <w:tc>
          <w:tcPr>
            <w:tcW w:w="1033" w:type="dxa"/>
            <w:shd w:val="clear" w:color="auto" w:fill="auto"/>
            <w:vAlign w:val="center"/>
          </w:tcPr>
          <w:p w14:paraId="07E52F53">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12个</w:t>
            </w:r>
          </w:p>
        </w:tc>
        <w:tc>
          <w:tcPr>
            <w:tcW w:w="0" w:type="auto"/>
            <w:shd w:val="clear" w:color="auto" w:fill="auto"/>
            <w:vAlign w:val="center"/>
          </w:tcPr>
          <w:p w14:paraId="3697670D">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氯压机室、镁电解车间</w:t>
            </w:r>
          </w:p>
        </w:tc>
        <w:tc>
          <w:tcPr>
            <w:tcW w:w="0" w:type="auto"/>
            <w:shd w:val="clear" w:color="auto" w:fill="auto"/>
            <w:vAlign w:val="center"/>
          </w:tcPr>
          <w:p w14:paraId="1AEA6973">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刘师刚</w:t>
            </w:r>
          </w:p>
        </w:tc>
        <w:tc>
          <w:tcPr>
            <w:tcW w:w="0" w:type="auto"/>
            <w:shd w:val="clear" w:color="auto" w:fill="auto"/>
            <w:vAlign w:val="center"/>
          </w:tcPr>
          <w:p w14:paraId="76EF345D">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13204217017</w:t>
            </w:r>
          </w:p>
        </w:tc>
      </w:tr>
      <w:tr w14:paraId="132701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091D29F9">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2173" w:type="dxa"/>
            <w:shd w:val="clear" w:color="auto" w:fill="auto"/>
            <w:vAlign w:val="center"/>
          </w:tcPr>
          <w:p w14:paraId="32B8B9F7">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强光手电</w:t>
            </w:r>
          </w:p>
        </w:tc>
        <w:tc>
          <w:tcPr>
            <w:tcW w:w="1033" w:type="dxa"/>
            <w:shd w:val="clear" w:color="auto" w:fill="auto"/>
            <w:vAlign w:val="center"/>
          </w:tcPr>
          <w:p w14:paraId="212348B5">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12个</w:t>
            </w:r>
          </w:p>
        </w:tc>
        <w:tc>
          <w:tcPr>
            <w:tcW w:w="0" w:type="auto"/>
            <w:shd w:val="clear" w:color="auto" w:fill="auto"/>
            <w:vAlign w:val="center"/>
          </w:tcPr>
          <w:p w14:paraId="34473E90">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氯压机室、镁电解车间</w:t>
            </w:r>
          </w:p>
        </w:tc>
        <w:tc>
          <w:tcPr>
            <w:tcW w:w="0" w:type="auto"/>
            <w:shd w:val="clear" w:color="auto" w:fill="auto"/>
            <w:vAlign w:val="center"/>
          </w:tcPr>
          <w:p w14:paraId="71D7D5D1">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刘师刚</w:t>
            </w:r>
          </w:p>
        </w:tc>
        <w:tc>
          <w:tcPr>
            <w:tcW w:w="0" w:type="auto"/>
            <w:shd w:val="clear" w:color="auto" w:fill="auto"/>
            <w:vAlign w:val="center"/>
          </w:tcPr>
          <w:p w14:paraId="277B06AF">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13204217017</w:t>
            </w:r>
          </w:p>
        </w:tc>
      </w:tr>
      <w:tr w14:paraId="53605A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4F9A9F9B">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2173" w:type="dxa"/>
            <w:shd w:val="clear" w:color="auto" w:fill="auto"/>
            <w:vAlign w:val="center"/>
          </w:tcPr>
          <w:p w14:paraId="436A6A6F">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对讲机</w:t>
            </w:r>
          </w:p>
        </w:tc>
        <w:tc>
          <w:tcPr>
            <w:tcW w:w="1033" w:type="dxa"/>
            <w:shd w:val="clear" w:color="auto" w:fill="auto"/>
            <w:vAlign w:val="center"/>
          </w:tcPr>
          <w:p w14:paraId="4108411E">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20个</w:t>
            </w:r>
          </w:p>
        </w:tc>
        <w:tc>
          <w:tcPr>
            <w:tcW w:w="0" w:type="auto"/>
            <w:shd w:val="clear" w:color="auto" w:fill="auto"/>
            <w:vAlign w:val="center"/>
          </w:tcPr>
          <w:p w14:paraId="06F1592E">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氯压机室、镁电解车间</w:t>
            </w:r>
          </w:p>
        </w:tc>
        <w:tc>
          <w:tcPr>
            <w:tcW w:w="0" w:type="auto"/>
            <w:shd w:val="clear" w:color="auto" w:fill="auto"/>
            <w:vAlign w:val="center"/>
          </w:tcPr>
          <w:p w14:paraId="22B02697">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刘师刚</w:t>
            </w:r>
          </w:p>
        </w:tc>
        <w:tc>
          <w:tcPr>
            <w:tcW w:w="0" w:type="auto"/>
            <w:shd w:val="clear" w:color="auto" w:fill="auto"/>
            <w:vAlign w:val="center"/>
          </w:tcPr>
          <w:p w14:paraId="40DD33D8">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13204217017</w:t>
            </w:r>
          </w:p>
        </w:tc>
      </w:tr>
      <w:tr w14:paraId="0DE391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4365E441">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2173" w:type="dxa"/>
            <w:shd w:val="clear" w:color="auto" w:fill="auto"/>
            <w:vAlign w:val="center"/>
          </w:tcPr>
          <w:p w14:paraId="6C319074">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耐酸碱披肩安全帽</w:t>
            </w:r>
          </w:p>
        </w:tc>
        <w:tc>
          <w:tcPr>
            <w:tcW w:w="1033" w:type="dxa"/>
            <w:shd w:val="clear" w:color="auto" w:fill="auto"/>
            <w:vAlign w:val="center"/>
          </w:tcPr>
          <w:p w14:paraId="2EAF3855">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2个</w:t>
            </w:r>
          </w:p>
        </w:tc>
        <w:tc>
          <w:tcPr>
            <w:tcW w:w="0" w:type="auto"/>
            <w:shd w:val="clear" w:color="auto" w:fill="auto"/>
            <w:vAlign w:val="center"/>
          </w:tcPr>
          <w:p w14:paraId="03930DAF">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镁电解车间</w:t>
            </w:r>
          </w:p>
        </w:tc>
        <w:tc>
          <w:tcPr>
            <w:tcW w:w="0" w:type="auto"/>
            <w:shd w:val="clear" w:color="auto" w:fill="auto"/>
            <w:vAlign w:val="center"/>
          </w:tcPr>
          <w:p w14:paraId="6CCC2BFD">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刘师刚</w:t>
            </w:r>
          </w:p>
        </w:tc>
        <w:tc>
          <w:tcPr>
            <w:tcW w:w="0" w:type="auto"/>
            <w:shd w:val="clear" w:color="auto" w:fill="auto"/>
            <w:vAlign w:val="center"/>
          </w:tcPr>
          <w:p w14:paraId="0A802FD9">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13204217017</w:t>
            </w:r>
          </w:p>
        </w:tc>
      </w:tr>
      <w:tr w14:paraId="44735B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32C60F96">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2173" w:type="dxa"/>
            <w:shd w:val="clear" w:color="auto" w:fill="auto"/>
            <w:vAlign w:val="center"/>
          </w:tcPr>
          <w:p w14:paraId="2F0FD0E8">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全面罩防毒面具</w:t>
            </w:r>
          </w:p>
        </w:tc>
        <w:tc>
          <w:tcPr>
            <w:tcW w:w="1033" w:type="dxa"/>
            <w:shd w:val="clear" w:color="auto" w:fill="auto"/>
            <w:vAlign w:val="center"/>
          </w:tcPr>
          <w:p w14:paraId="20A80FC4">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20个</w:t>
            </w:r>
          </w:p>
        </w:tc>
        <w:tc>
          <w:tcPr>
            <w:tcW w:w="0" w:type="auto"/>
            <w:shd w:val="clear" w:color="auto" w:fill="auto"/>
            <w:vAlign w:val="center"/>
          </w:tcPr>
          <w:p w14:paraId="542B4498">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氯压机室、镁电解车间</w:t>
            </w:r>
          </w:p>
        </w:tc>
        <w:tc>
          <w:tcPr>
            <w:tcW w:w="0" w:type="auto"/>
            <w:shd w:val="clear" w:color="auto" w:fill="auto"/>
            <w:vAlign w:val="center"/>
          </w:tcPr>
          <w:p w14:paraId="1254A2F1">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刘师刚</w:t>
            </w:r>
          </w:p>
        </w:tc>
        <w:tc>
          <w:tcPr>
            <w:tcW w:w="0" w:type="auto"/>
            <w:shd w:val="clear" w:color="auto" w:fill="auto"/>
            <w:vAlign w:val="center"/>
          </w:tcPr>
          <w:p w14:paraId="49558B7F">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13204217017</w:t>
            </w:r>
          </w:p>
        </w:tc>
      </w:tr>
      <w:tr w14:paraId="32DF30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43695ADC">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2173" w:type="dxa"/>
            <w:shd w:val="clear" w:color="auto" w:fill="auto"/>
            <w:vAlign w:val="center"/>
          </w:tcPr>
          <w:p w14:paraId="3890F2B3">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便携式氯气报警仪</w:t>
            </w:r>
          </w:p>
        </w:tc>
        <w:tc>
          <w:tcPr>
            <w:tcW w:w="1033" w:type="dxa"/>
            <w:shd w:val="clear" w:color="auto" w:fill="auto"/>
            <w:vAlign w:val="center"/>
          </w:tcPr>
          <w:p w14:paraId="3A6084CE">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12台</w:t>
            </w:r>
          </w:p>
        </w:tc>
        <w:tc>
          <w:tcPr>
            <w:tcW w:w="0" w:type="auto"/>
            <w:shd w:val="clear" w:color="auto" w:fill="auto"/>
            <w:vAlign w:val="center"/>
          </w:tcPr>
          <w:p w14:paraId="1DF22F35">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氯压机室、镁电解车间</w:t>
            </w:r>
          </w:p>
        </w:tc>
        <w:tc>
          <w:tcPr>
            <w:tcW w:w="0" w:type="auto"/>
            <w:shd w:val="clear" w:color="auto" w:fill="auto"/>
            <w:vAlign w:val="center"/>
          </w:tcPr>
          <w:p w14:paraId="213956D6">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刘师刚</w:t>
            </w:r>
          </w:p>
        </w:tc>
        <w:tc>
          <w:tcPr>
            <w:tcW w:w="0" w:type="auto"/>
            <w:shd w:val="clear" w:color="auto" w:fill="auto"/>
            <w:vAlign w:val="center"/>
          </w:tcPr>
          <w:p w14:paraId="19525DBD">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13204217017</w:t>
            </w:r>
          </w:p>
        </w:tc>
      </w:tr>
      <w:tr w14:paraId="18E1C7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4760D7F3">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2173" w:type="dxa"/>
            <w:shd w:val="clear" w:color="auto" w:fill="auto"/>
            <w:vAlign w:val="center"/>
          </w:tcPr>
          <w:p w14:paraId="1008D674">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便携式氧气检测仪</w:t>
            </w:r>
          </w:p>
        </w:tc>
        <w:tc>
          <w:tcPr>
            <w:tcW w:w="1033" w:type="dxa"/>
            <w:shd w:val="clear" w:color="auto" w:fill="auto"/>
            <w:vAlign w:val="center"/>
          </w:tcPr>
          <w:p w14:paraId="72D70490">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3台</w:t>
            </w:r>
          </w:p>
        </w:tc>
        <w:tc>
          <w:tcPr>
            <w:tcW w:w="0" w:type="auto"/>
            <w:shd w:val="clear" w:color="auto" w:fill="auto"/>
            <w:vAlign w:val="center"/>
          </w:tcPr>
          <w:p w14:paraId="3EFB4CC9">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氯压机室、镁电解车间</w:t>
            </w:r>
          </w:p>
        </w:tc>
        <w:tc>
          <w:tcPr>
            <w:tcW w:w="0" w:type="auto"/>
            <w:shd w:val="clear" w:color="auto" w:fill="auto"/>
            <w:vAlign w:val="center"/>
          </w:tcPr>
          <w:p w14:paraId="1EDCC182">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刘师刚</w:t>
            </w:r>
          </w:p>
        </w:tc>
        <w:tc>
          <w:tcPr>
            <w:tcW w:w="0" w:type="auto"/>
            <w:shd w:val="clear" w:color="auto" w:fill="auto"/>
            <w:vAlign w:val="center"/>
          </w:tcPr>
          <w:p w14:paraId="68A8B42A">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13204217017</w:t>
            </w:r>
          </w:p>
        </w:tc>
      </w:tr>
      <w:tr w14:paraId="6EAA64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6E40B874">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2173" w:type="dxa"/>
            <w:shd w:val="clear" w:color="auto" w:fill="auto"/>
            <w:vAlign w:val="center"/>
          </w:tcPr>
          <w:p w14:paraId="63B3CF2A">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便携式有害气体检测仪（四合一）</w:t>
            </w:r>
          </w:p>
        </w:tc>
        <w:tc>
          <w:tcPr>
            <w:tcW w:w="1033" w:type="dxa"/>
            <w:shd w:val="clear" w:color="auto" w:fill="auto"/>
            <w:vAlign w:val="center"/>
          </w:tcPr>
          <w:p w14:paraId="5692FB00">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10台</w:t>
            </w:r>
          </w:p>
        </w:tc>
        <w:tc>
          <w:tcPr>
            <w:tcW w:w="0" w:type="auto"/>
            <w:shd w:val="clear" w:color="auto" w:fill="auto"/>
            <w:vAlign w:val="center"/>
          </w:tcPr>
          <w:p w14:paraId="492FD82C">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氯压机室、镁电解车间</w:t>
            </w:r>
          </w:p>
        </w:tc>
        <w:tc>
          <w:tcPr>
            <w:tcW w:w="0" w:type="auto"/>
            <w:shd w:val="clear" w:color="auto" w:fill="auto"/>
            <w:vAlign w:val="center"/>
          </w:tcPr>
          <w:p w14:paraId="0BB59C9E">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刘师刚</w:t>
            </w:r>
          </w:p>
        </w:tc>
        <w:tc>
          <w:tcPr>
            <w:tcW w:w="0" w:type="auto"/>
            <w:shd w:val="clear" w:color="auto" w:fill="auto"/>
            <w:vAlign w:val="center"/>
          </w:tcPr>
          <w:p w14:paraId="764BDA00">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13204217017</w:t>
            </w:r>
          </w:p>
        </w:tc>
      </w:tr>
      <w:tr w14:paraId="4FF4BB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5C0576E0">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2173" w:type="dxa"/>
            <w:shd w:val="clear" w:color="auto" w:fill="auto"/>
            <w:vAlign w:val="center"/>
          </w:tcPr>
          <w:p w14:paraId="039D6950">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急救箱（含应急药品）</w:t>
            </w:r>
          </w:p>
        </w:tc>
        <w:tc>
          <w:tcPr>
            <w:tcW w:w="1033" w:type="dxa"/>
            <w:shd w:val="clear" w:color="auto" w:fill="auto"/>
            <w:vAlign w:val="center"/>
          </w:tcPr>
          <w:p w14:paraId="7DCD8162">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2个</w:t>
            </w:r>
          </w:p>
        </w:tc>
        <w:tc>
          <w:tcPr>
            <w:tcW w:w="0" w:type="auto"/>
            <w:shd w:val="clear" w:color="auto" w:fill="auto"/>
            <w:vAlign w:val="center"/>
          </w:tcPr>
          <w:p w14:paraId="28C3D59B">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氯压机室、镁电解车间</w:t>
            </w:r>
          </w:p>
        </w:tc>
        <w:tc>
          <w:tcPr>
            <w:tcW w:w="0" w:type="auto"/>
            <w:shd w:val="clear" w:color="auto" w:fill="auto"/>
            <w:vAlign w:val="center"/>
          </w:tcPr>
          <w:p w14:paraId="23E54A67">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刘师刚</w:t>
            </w:r>
          </w:p>
        </w:tc>
        <w:tc>
          <w:tcPr>
            <w:tcW w:w="0" w:type="auto"/>
            <w:shd w:val="clear" w:color="auto" w:fill="auto"/>
            <w:vAlign w:val="center"/>
          </w:tcPr>
          <w:p w14:paraId="10A80784">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13204217017</w:t>
            </w:r>
          </w:p>
        </w:tc>
      </w:tr>
      <w:tr w14:paraId="26D9F8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61A5F945">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2173" w:type="dxa"/>
            <w:shd w:val="clear" w:color="auto" w:fill="auto"/>
            <w:vAlign w:val="center"/>
          </w:tcPr>
          <w:p w14:paraId="03F16DB0">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医用氧气袋</w:t>
            </w:r>
          </w:p>
        </w:tc>
        <w:tc>
          <w:tcPr>
            <w:tcW w:w="1033" w:type="dxa"/>
            <w:shd w:val="clear" w:color="auto" w:fill="auto"/>
            <w:vAlign w:val="center"/>
          </w:tcPr>
          <w:p w14:paraId="3D1F7AED">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2个</w:t>
            </w:r>
          </w:p>
        </w:tc>
        <w:tc>
          <w:tcPr>
            <w:tcW w:w="0" w:type="auto"/>
            <w:shd w:val="clear" w:color="auto" w:fill="auto"/>
            <w:vAlign w:val="center"/>
          </w:tcPr>
          <w:p w14:paraId="1D776F9D">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镁电解车间</w:t>
            </w:r>
          </w:p>
        </w:tc>
        <w:tc>
          <w:tcPr>
            <w:tcW w:w="0" w:type="auto"/>
            <w:shd w:val="clear" w:color="auto" w:fill="auto"/>
            <w:vAlign w:val="center"/>
          </w:tcPr>
          <w:p w14:paraId="2587FCB0">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刘师刚</w:t>
            </w:r>
          </w:p>
        </w:tc>
        <w:tc>
          <w:tcPr>
            <w:tcW w:w="0" w:type="auto"/>
            <w:shd w:val="clear" w:color="auto" w:fill="auto"/>
            <w:vAlign w:val="center"/>
          </w:tcPr>
          <w:p w14:paraId="2ABF045E">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13204217017</w:t>
            </w:r>
          </w:p>
        </w:tc>
      </w:tr>
      <w:tr w14:paraId="12A633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07FF976D">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2173" w:type="dxa"/>
            <w:shd w:val="clear" w:color="auto" w:fill="auto"/>
            <w:vAlign w:val="center"/>
          </w:tcPr>
          <w:p w14:paraId="4014CE9A">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医用注射器</w:t>
            </w:r>
          </w:p>
        </w:tc>
        <w:tc>
          <w:tcPr>
            <w:tcW w:w="1033" w:type="dxa"/>
            <w:shd w:val="clear" w:color="auto" w:fill="auto"/>
            <w:vAlign w:val="center"/>
          </w:tcPr>
          <w:p w14:paraId="14B9D6F6">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1个</w:t>
            </w:r>
          </w:p>
        </w:tc>
        <w:tc>
          <w:tcPr>
            <w:tcW w:w="0" w:type="auto"/>
            <w:shd w:val="clear" w:color="auto" w:fill="auto"/>
            <w:vAlign w:val="center"/>
          </w:tcPr>
          <w:p w14:paraId="5B4F7EF0">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镁电解车间</w:t>
            </w:r>
          </w:p>
        </w:tc>
        <w:tc>
          <w:tcPr>
            <w:tcW w:w="0" w:type="auto"/>
            <w:shd w:val="clear" w:color="auto" w:fill="auto"/>
            <w:vAlign w:val="center"/>
          </w:tcPr>
          <w:p w14:paraId="128420E8">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刘师刚</w:t>
            </w:r>
          </w:p>
        </w:tc>
        <w:tc>
          <w:tcPr>
            <w:tcW w:w="0" w:type="auto"/>
            <w:shd w:val="clear" w:color="auto" w:fill="auto"/>
            <w:vAlign w:val="center"/>
          </w:tcPr>
          <w:p w14:paraId="1F654C4C">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13204217017</w:t>
            </w:r>
          </w:p>
        </w:tc>
      </w:tr>
      <w:tr w14:paraId="3946F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19C9AFE7">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2173" w:type="dxa"/>
            <w:shd w:val="clear" w:color="auto" w:fill="auto"/>
            <w:vAlign w:val="center"/>
          </w:tcPr>
          <w:p w14:paraId="60F4267B">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输氧管</w:t>
            </w:r>
          </w:p>
        </w:tc>
        <w:tc>
          <w:tcPr>
            <w:tcW w:w="1033" w:type="dxa"/>
            <w:shd w:val="clear" w:color="auto" w:fill="auto"/>
            <w:vAlign w:val="center"/>
          </w:tcPr>
          <w:p w14:paraId="58DF847C">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2根</w:t>
            </w:r>
          </w:p>
        </w:tc>
        <w:tc>
          <w:tcPr>
            <w:tcW w:w="0" w:type="auto"/>
            <w:shd w:val="clear" w:color="auto" w:fill="auto"/>
            <w:vAlign w:val="center"/>
          </w:tcPr>
          <w:p w14:paraId="300C33A9">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镁电解车间</w:t>
            </w:r>
          </w:p>
        </w:tc>
        <w:tc>
          <w:tcPr>
            <w:tcW w:w="0" w:type="auto"/>
            <w:shd w:val="clear" w:color="auto" w:fill="auto"/>
            <w:vAlign w:val="center"/>
          </w:tcPr>
          <w:p w14:paraId="7444B22C">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刘师刚</w:t>
            </w:r>
          </w:p>
        </w:tc>
        <w:tc>
          <w:tcPr>
            <w:tcW w:w="0" w:type="auto"/>
            <w:shd w:val="clear" w:color="auto" w:fill="auto"/>
            <w:vAlign w:val="center"/>
          </w:tcPr>
          <w:p w14:paraId="726A8CD4">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13204217017</w:t>
            </w:r>
          </w:p>
        </w:tc>
      </w:tr>
      <w:tr w14:paraId="13E689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07DBB2E4">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2173" w:type="dxa"/>
            <w:shd w:val="clear" w:color="auto" w:fill="auto"/>
            <w:vAlign w:val="center"/>
          </w:tcPr>
          <w:p w14:paraId="33A0F270">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头灯</w:t>
            </w:r>
          </w:p>
        </w:tc>
        <w:tc>
          <w:tcPr>
            <w:tcW w:w="1033" w:type="dxa"/>
            <w:shd w:val="clear" w:color="auto" w:fill="auto"/>
            <w:vAlign w:val="center"/>
          </w:tcPr>
          <w:p w14:paraId="26DB9D8E">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20个</w:t>
            </w:r>
          </w:p>
        </w:tc>
        <w:tc>
          <w:tcPr>
            <w:tcW w:w="0" w:type="auto"/>
            <w:shd w:val="clear" w:color="auto" w:fill="auto"/>
            <w:vAlign w:val="center"/>
          </w:tcPr>
          <w:p w14:paraId="145AF2CF">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氯压机室、镁电解车间</w:t>
            </w:r>
          </w:p>
        </w:tc>
        <w:tc>
          <w:tcPr>
            <w:tcW w:w="0" w:type="auto"/>
            <w:shd w:val="clear" w:color="auto" w:fill="auto"/>
            <w:vAlign w:val="center"/>
          </w:tcPr>
          <w:p w14:paraId="3FDA13AA">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刘师刚</w:t>
            </w:r>
          </w:p>
        </w:tc>
        <w:tc>
          <w:tcPr>
            <w:tcW w:w="0" w:type="auto"/>
            <w:shd w:val="clear" w:color="auto" w:fill="auto"/>
            <w:vAlign w:val="center"/>
          </w:tcPr>
          <w:p w14:paraId="1CC2B7FE">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13204217017</w:t>
            </w:r>
          </w:p>
        </w:tc>
      </w:tr>
      <w:tr w14:paraId="74F266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36CE9373">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2173" w:type="dxa"/>
            <w:shd w:val="clear" w:color="auto" w:fill="auto"/>
            <w:vAlign w:val="center"/>
          </w:tcPr>
          <w:p w14:paraId="133C311F">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尼龙绳</w:t>
            </w:r>
          </w:p>
        </w:tc>
        <w:tc>
          <w:tcPr>
            <w:tcW w:w="1033" w:type="dxa"/>
            <w:shd w:val="clear" w:color="auto" w:fill="auto"/>
            <w:vAlign w:val="center"/>
          </w:tcPr>
          <w:p w14:paraId="53205C70">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6KG</w:t>
            </w:r>
          </w:p>
        </w:tc>
        <w:tc>
          <w:tcPr>
            <w:tcW w:w="0" w:type="auto"/>
            <w:shd w:val="clear" w:color="auto" w:fill="auto"/>
            <w:vAlign w:val="center"/>
          </w:tcPr>
          <w:p w14:paraId="60F9E7CB">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镁电解车间</w:t>
            </w:r>
          </w:p>
        </w:tc>
        <w:tc>
          <w:tcPr>
            <w:tcW w:w="0" w:type="auto"/>
            <w:shd w:val="clear" w:color="auto" w:fill="auto"/>
            <w:vAlign w:val="center"/>
          </w:tcPr>
          <w:p w14:paraId="3703FD8A">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刘师刚</w:t>
            </w:r>
          </w:p>
        </w:tc>
        <w:tc>
          <w:tcPr>
            <w:tcW w:w="0" w:type="auto"/>
            <w:shd w:val="clear" w:color="auto" w:fill="auto"/>
            <w:vAlign w:val="center"/>
          </w:tcPr>
          <w:p w14:paraId="29315274">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13204217017</w:t>
            </w:r>
          </w:p>
        </w:tc>
      </w:tr>
      <w:tr w14:paraId="7D08EE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09575C7D">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2173" w:type="dxa"/>
            <w:shd w:val="clear" w:color="auto" w:fill="auto"/>
            <w:vAlign w:val="center"/>
          </w:tcPr>
          <w:p w14:paraId="441C7FFC">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彩条布</w:t>
            </w:r>
          </w:p>
        </w:tc>
        <w:tc>
          <w:tcPr>
            <w:tcW w:w="1033" w:type="dxa"/>
            <w:shd w:val="clear" w:color="auto" w:fill="auto"/>
            <w:vAlign w:val="center"/>
          </w:tcPr>
          <w:p w14:paraId="65791F9C">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30米</w:t>
            </w:r>
          </w:p>
        </w:tc>
        <w:tc>
          <w:tcPr>
            <w:tcW w:w="0" w:type="auto"/>
            <w:shd w:val="clear" w:color="auto" w:fill="auto"/>
            <w:vAlign w:val="center"/>
          </w:tcPr>
          <w:p w14:paraId="6C0E2177">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镁电解车间</w:t>
            </w:r>
          </w:p>
        </w:tc>
        <w:tc>
          <w:tcPr>
            <w:tcW w:w="0" w:type="auto"/>
            <w:shd w:val="clear" w:color="auto" w:fill="auto"/>
            <w:vAlign w:val="center"/>
          </w:tcPr>
          <w:p w14:paraId="6DE70C6D">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刘师刚</w:t>
            </w:r>
          </w:p>
        </w:tc>
        <w:tc>
          <w:tcPr>
            <w:tcW w:w="0" w:type="auto"/>
            <w:shd w:val="clear" w:color="auto" w:fill="auto"/>
            <w:vAlign w:val="center"/>
          </w:tcPr>
          <w:p w14:paraId="7795D03E">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13204217017</w:t>
            </w:r>
          </w:p>
        </w:tc>
      </w:tr>
      <w:tr w14:paraId="251698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62FFF227">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2173" w:type="dxa"/>
            <w:shd w:val="clear" w:color="auto" w:fill="auto"/>
            <w:vAlign w:val="center"/>
          </w:tcPr>
          <w:p w14:paraId="70A6EA49">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篷布</w:t>
            </w:r>
          </w:p>
        </w:tc>
        <w:tc>
          <w:tcPr>
            <w:tcW w:w="1033" w:type="dxa"/>
            <w:shd w:val="clear" w:color="auto" w:fill="auto"/>
            <w:vAlign w:val="center"/>
          </w:tcPr>
          <w:p w14:paraId="71E66BB7">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80米</w:t>
            </w:r>
          </w:p>
        </w:tc>
        <w:tc>
          <w:tcPr>
            <w:tcW w:w="0" w:type="auto"/>
            <w:shd w:val="clear" w:color="auto" w:fill="auto"/>
            <w:vAlign w:val="center"/>
          </w:tcPr>
          <w:p w14:paraId="52F02E30">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镁电解车间</w:t>
            </w:r>
          </w:p>
        </w:tc>
        <w:tc>
          <w:tcPr>
            <w:tcW w:w="0" w:type="auto"/>
            <w:shd w:val="clear" w:color="auto" w:fill="auto"/>
            <w:vAlign w:val="center"/>
          </w:tcPr>
          <w:p w14:paraId="42A61D30">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刘师刚</w:t>
            </w:r>
          </w:p>
        </w:tc>
        <w:tc>
          <w:tcPr>
            <w:tcW w:w="0" w:type="auto"/>
            <w:shd w:val="clear" w:color="auto" w:fill="auto"/>
            <w:vAlign w:val="center"/>
          </w:tcPr>
          <w:p w14:paraId="5D4263A2">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13204217017</w:t>
            </w:r>
          </w:p>
        </w:tc>
      </w:tr>
      <w:tr w14:paraId="33B61F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71B1CFD4">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2173" w:type="dxa"/>
            <w:shd w:val="clear" w:color="auto" w:fill="auto"/>
            <w:vAlign w:val="center"/>
          </w:tcPr>
          <w:p w14:paraId="556377B4">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编织袋</w:t>
            </w:r>
          </w:p>
        </w:tc>
        <w:tc>
          <w:tcPr>
            <w:tcW w:w="1033" w:type="dxa"/>
            <w:shd w:val="clear" w:color="auto" w:fill="auto"/>
            <w:vAlign w:val="center"/>
          </w:tcPr>
          <w:p w14:paraId="63521309">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200个</w:t>
            </w:r>
          </w:p>
        </w:tc>
        <w:tc>
          <w:tcPr>
            <w:tcW w:w="0" w:type="auto"/>
            <w:shd w:val="clear" w:color="auto" w:fill="auto"/>
            <w:vAlign w:val="center"/>
          </w:tcPr>
          <w:p w14:paraId="72FD63B7">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镁电解车间</w:t>
            </w:r>
          </w:p>
        </w:tc>
        <w:tc>
          <w:tcPr>
            <w:tcW w:w="0" w:type="auto"/>
            <w:shd w:val="clear" w:color="auto" w:fill="auto"/>
            <w:vAlign w:val="center"/>
          </w:tcPr>
          <w:p w14:paraId="313CF6AC">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刘师刚</w:t>
            </w:r>
          </w:p>
        </w:tc>
        <w:tc>
          <w:tcPr>
            <w:tcW w:w="0" w:type="auto"/>
            <w:shd w:val="clear" w:color="auto" w:fill="auto"/>
            <w:vAlign w:val="center"/>
          </w:tcPr>
          <w:p w14:paraId="26792ED7">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13204217017</w:t>
            </w:r>
          </w:p>
        </w:tc>
      </w:tr>
      <w:tr w14:paraId="547E9D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073B4026">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2173" w:type="dxa"/>
            <w:shd w:val="clear" w:color="auto" w:fill="auto"/>
            <w:vAlign w:val="center"/>
          </w:tcPr>
          <w:p w14:paraId="58629E41">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带把平锹</w:t>
            </w:r>
          </w:p>
        </w:tc>
        <w:tc>
          <w:tcPr>
            <w:tcW w:w="1033" w:type="dxa"/>
            <w:shd w:val="clear" w:color="auto" w:fill="auto"/>
            <w:vAlign w:val="center"/>
          </w:tcPr>
          <w:p w14:paraId="2F71CD0F">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10把</w:t>
            </w:r>
          </w:p>
        </w:tc>
        <w:tc>
          <w:tcPr>
            <w:tcW w:w="0" w:type="auto"/>
            <w:shd w:val="clear" w:color="auto" w:fill="auto"/>
            <w:vAlign w:val="center"/>
          </w:tcPr>
          <w:p w14:paraId="658B91E2">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镁电解车间</w:t>
            </w:r>
          </w:p>
        </w:tc>
        <w:tc>
          <w:tcPr>
            <w:tcW w:w="0" w:type="auto"/>
            <w:shd w:val="clear" w:color="auto" w:fill="auto"/>
            <w:vAlign w:val="center"/>
          </w:tcPr>
          <w:p w14:paraId="7E3A3318">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刘师刚</w:t>
            </w:r>
          </w:p>
        </w:tc>
        <w:tc>
          <w:tcPr>
            <w:tcW w:w="0" w:type="auto"/>
            <w:shd w:val="clear" w:color="auto" w:fill="auto"/>
            <w:vAlign w:val="center"/>
          </w:tcPr>
          <w:p w14:paraId="07DD8B53">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13204217017</w:t>
            </w:r>
          </w:p>
        </w:tc>
      </w:tr>
      <w:tr w14:paraId="02E8E6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1DF5B7D4">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2173" w:type="dxa"/>
            <w:shd w:val="clear" w:color="auto" w:fill="auto"/>
            <w:vAlign w:val="center"/>
          </w:tcPr>
          <w:p w14:paraId="2C256828">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带把尖锹</w:t>
            </w:r>
          </w:p>
        </w:tc>
        <w:tc>
          <w:tcPr>
            <w:tcW w:w="1033" w:type="dxa"/>
            <w:shd w:val="clear" w:color="auto" w:fill="auto"/>
            <w:vAlign w:val="center"/>
          </w:tcPr>
          <w:p w14:paraId="2B9A2FEC">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10把</w:t>
            </w:r>
          </w:p>
        </w:tc>
        <w:tc>
          <w:tcPr>
            <w:tcW w:w="0" w:type="auto"/>
            <w:shd w:val="clear" w:color="auto" w:fill="auto"/>
            <w:vAlign w:val="center"/>
          </w:tcPr>
          <w:p w14:paraId="26EED392">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镁电解车间</w:t>
            </w:r>
          </w:p>
        </w:tc>
        <w:tc>
          <w:tcPr>
            <w:tcW w:w="0" w:type="auto"/>
            <w:shd w:val="clear" w:color="auto" w:fill="auto"/>
            <w:vAlign w:val="center"/>
          </w:tcPr>
          <w:p w14:paraId="3A64B7B8">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刘师刚</w:t>
            </w:r>
          </w:p>
        </w:tc>
        <w:tc>
          <w:tcPr>
            <w:tcW w:w="0" w:type="auto"/>
            <w:shd w:val="clear" w:color="auto" w:fill="auto"/>
            <w:vAlign w:val="center"/>
          </w:tcPr>
          <w:p w14:paraId="2CC0D8B6">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13204217017</w:t>
            </w:r>
          </w:p>
        </w:tc>
      </w:tr>
      <w:tr w14:paraId="123B1A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74B61604">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2173" w:type="dxa"/>
            <w:shd w:val="clear" w:color="auto" w:fill="auto"/>
            <w:vAlign w:val="center"/>
          </w:tcPr>
          <w:p w14:paraId="1F3F2D27">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安全警示带</w:t>
            </w:r>
          </w:p>
        </w:tc>
        <w:tc>
          <w:tcPr>
            <w:tcW w:w="1033" w:type="dxa"/>
            <w:shd w:val="clear" w:color="auto" w:fill="auto"/>
            <w:vAlign w:val="center"/>
          </w:tcPr>
          <w:p w14:paraId="50800F78">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20卷</w:t>
            </w:r>
          </w:p>
        </w:tc>
        <w:tc>
          <w:tcPr>
            <w:tcW w:w="0" w:type="auto"/>
            <w:shd w:val="clear" w:color="auto" w:fill="auto"/>
            <w:vAlign w:val="center"/>
          </w:tcPr>
          <w:p w14:paraId="0122BDE4">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镁电解车间</w:t>
            </w:r>
          </w:p>
        </w:tc>
        <w:tc>
          <w:tcPr>
            <w:tcW w:w="0" w:type="auto"/>
            <w:shd w:val="clear" w:color="auto" w:fill="auto"/>
            <w:vAlign w:val="center"/>
          </w:tcPr>
          <w:p w14:paraId="63B7107B">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刘师刚</w:t>
            </w:r>
          </w:p>
        </w:tc>
        <w:tc>
          <w:tcPr>
            <w:tcW w:w="0" w:type="auto"/>
            <w:shd w:val="clear" w:color="auto" w:fill="auto"/>
            <w:vAlign w:val="center"/>
          </w:tcPr>
          <w:p w14:paraId="4DDFE18A">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13204217017</w:t>
            </w:r>
          </w:p>
        </w:tc>
      </w:tr>
      <w:tr w14:paraId="4234F4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0513085C">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2173" w:type="dxa"/>
            <w:shd w:val="clear" w:color="auto" w:fill="auto"/>
            <w:vAlign w:val="center"/>
          </w:tcPr>
          <w:p w14:paraId="2FE2BB37">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镀锌铁丝</w:t>
            </w:r>
          </w:p>
        </w:tc>
        <w:tc>
          <w:tcPr>
            <w:tcW w:w="1033" w:type="dxa"/>
            <w:shd w:val="clear" w:color="auto" w:fill="auto"/>
            <w:vAlign w:val="center"/>
          </w:tcPr>
          <w:p w14:paraId="6E83D6C3">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10KG</w:t>
            </w:r>
          </w:p>
        </w:tc>
        <w:tc>
          <w:tcPr>
            <w:tcW w:w="0" w:type="auto"/>
            <w:shd w:val="clear" w:color="auto" w:fill="auto"/>
            <w:vAlign w:val="center"/>
          </w:tcPr>
          <w:p w14:paraId="52B225AC">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镁电解车间</w:t>
            </w:r>
          </w:p>
        </w:tc>
        <w:tc>
          <w:tcPr>
            <w:tcW w:w="0" w:type="auto"/>
            <w:shd w:val="clear" w:color="auto" w:fill="auto"/>
            <w:vAlign w:val="center"/>
          </w:tcPr>
          <w:p w14:paraId="5B42E541">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刘师刚</w:t>
            </w:r>
          </w:p>
        </w:tc>
        <w:tc>
          <w:tcPr>
            <w:tcW w:w="0" w:type="auto"/>
            <w:shd w:val="clear" w:color="auto" w:fill="auto"/>
            <w:vAlign w:val="center"/>
          </w:tcPr>
          <w:p w14:paraId="2CA1F800">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13204217017</w:t>
            </w:r>
          </w:p>
        </w:tc>
      </w:tr>
      <w:tr w14:paraId="38EEF9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5A45C664">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2173" w:type="dxa"/>
            <w:shd w:val="clear" w:color="auto" w:fill="auto"/>
            <w:vAlign w:val="center"/>
          </w:tcPr>
          <w:p w14:paraId="448B9215">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镀锌铁丝</w:t>
            </w:r>
          </w:p>
        </w:tc>
        <w:tc>
          <w:tcPr>
            <w:tcW w:w="1033" w:type="dxa"/>
            <w:shd w:val="clear" w:color="auto" w:fill="auto"/>
            <w:vAlign w:val="center"/>
          </w:tcPr>
          <w:p w14:paraId="6FE6B29E">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10KG</w:t>
            </w:r>
          </w:p>
        </w:tc>
        <w:tc>
          <w:tcPr>
            <w:tcW w:w="0" w:type="auto"/>
            <w:shd w:val="clear" w:color="auto" w:fill="auto"/>
            <w:vAlign w:val="center"/>
          </w:tcPr>
          <w:p w14:paraId="4FEC1BA7">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镁电解车间</w:t>
            </w:r>
          </w:p>
        </w:tc>
        <w:tc>
          <w:tcPr>
            <w:tcW w:w="0" w:type="auto"/>
            <w:shd w:val="clear" w:color="auto" w:fill="auto"/>
            <w:vAlign w:val="center"/>
          </w:tcPr>
          <w:p w14:paraId="4476E102">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刘师刚</w:t>
            </w:r>
          </w:p>
        </w:tc>
        <w:tc>
          <w:tcPr>
            <w:tcW w:w="0" w:type="auto"/>
            <w:shd w:val="clear" w:color="auto" w:fill="auto"/>
            <w:vAlign w:val="center"/>
          </w:tcPr>
          <w:p w14:paraId="53620A7E">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13204217017</w:t>
            </w:r>
          </w:p>
        </w:tc>
      </w:tr>
      <w:tr w14:paraId="7EECC1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6DFCBB14">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2173" w:type="dxa"/>
            <w:shd w:val="clear" w:color="auto" w:fill="auto"/>
            <w:vAlign w:val="center"/>
          </w:tcPr>
          <w:p w14:paraId="56EFAAFA">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锯弓</w:t>
            </w:r>
          </w:p>
        </w:tc>
        <w:tc>
          <w:tcPr>
            <w:tcW w:w="1033" w:type="dxa"/>
            <w:shd w:val="clear" w:color="auto" w:fill="auto"/>
            <w:vAlign w:val="center"/>
          </w:tcPr>
          <w:p w14:paraId="1A12E4A7">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2把</w:t>
            </w:r>
          </w:p>
        </w:tc>
        <w:tc>
          <w:tcPr>
            <w:tcW w:w="0" w:type="auto"/>
            <w:shd w:val="clear" w:color="auto" w:fill="auto"/>
            <w:vAlign w:val="center"/>
          </w:tcPr>
          <w:p w14:paraId="7D051080">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镁电解车间</w:t>
            </w:r>
          </w:p>
        </w:tc>
        <w:tc>
          <w:tcPr>
            <w:tcW w:w="0" w:type="auto"/>
            <w:shd w:val="clear" w:color="auto" w:fill="auto"/>
            <w:vAlign w:val="center"/>
          </w:tcPr>
          <w:p w14:paraId="6C197950">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刘师刚</w:t>
            </w:r>
          </w:p>
        </w:tc>
        <w:tc>
          <w:tcPr>
            <w:tcW w:w="0" w:type="auto"/>
            <w:shd w:val="clear" w:color="auto" w:fill="auto"/>
            <w:vAlign w:val="center"/>
          </w:tcPr>
          <w:p w14:paraId="17040D0F">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13204217017</w:t>
            </w:r>
          </w:p>
        </w:tc>
      </w:tr>
      <w:tr w14:paraId="04C469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0EEEB029">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2173" w:type="dxa"/>
            <w:shd w:val="clear" w:color="auto" w:fill="auto"/>
            <w:vAlign w:val="center"/>
          </w:tcPr>
          <w:p w14:paraId="4974EAC7">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锯条</w:t>
            </w:r>
          </w:p>
        </w:tc>
        <w:tc>
          <w:tcPr>
            <w:tcW w:w="1033" w:type="dxa"/>
            <w:shd w:val="clear" w:color="auto" w:fill="auto"/>
            <w:vAlign w:val="center"/>
          </w:tcPr>
          <w:p w14:paraId="1F7CBFF3">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10根</w:t>
            </w:r>
          </w:p>
        </w:tc>
        <w:tc>
          <w:tcPr>
            <w:tcW w:w="0" w:type="auto"/>
            <w:shd w:val="clear" w:color="auto" w:fill="auto"/>
            <w:vAlign w:val="center"/>
          </w:tcPr>
          <w:p w14:paraId="5BAE1E85">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镁电解车间</w:t>
            </w:r>
          </w:p>
        </w:tc>
        <w:tc>
          <w:tcPr>
            <w:tcW w:w="0" w:type="auto"/>
            <w:shd w:val="clear" w:color="auto" w:fill="auto"/>
            <w:vAlign w:val="center"/>
          </w:tcPr>
          <w:p w14:paraId="165795B1">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刘师刚</w:t>
            </w:r>
          </w:p>
        </w:tc>
        <w:tc>
          <w:tcPr>
            <w:tcW w:w="0" w:type="auto"/>
            <w:shd w:val="clear" w:color="auto" w:fill="auto"/>
            <w:vAlign w:val="center"/>
          </w:tcPr>
          <w:p w14:paraId="3B2CBDDE">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13204217017</w:t>
            </w:r>
          </w:p>
        </w:tc>
      </w:tr>
      <w:tr w14:paraId="57571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0295E146">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2173" w:type="dxa"/>
            <w:shd w:val="clear" w:color="auto" w:fill="auto"/>
            <w:vAlign w:val="center"/>
          </w:tcPr>
          <w:p w14:paraId="5463F770">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十字稿</w:t>
            </w:r>
          </w:p>
        </w:tc>
        <w:tc>
          <w:tcPr>
            <w:tcW w:w="1033" w:type="dxa"/>
            <w:shd w:val="clear" w:color="auto" w:fill="auto"/>
            <w:vAlign w:val="center"/>
          </w:tcPr>
          <w:p w14:paraId="3C48D285">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2把</w:t>
            </w:r>
          </w:p>
        </w:tc>
        <w:tc>
          <w:tcPr>
            <w:tcW w:w="0" w:type="auto"/>
            <w:shd w:val="clear" w:color="auto" w:fill="auto"/>
            <w:vAlign w:val="center"/>
          </w:tcPr>
          <w:p w14:paraId="085F56D4">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镁电解车间</w:t>
            </w:r>
          </w:p>
        </w:tc>
        <w:tc>
          <w:tcPr>
            <w:tcW w:w="0" w:type="auto"/>
            <w:shd w:val="clear" w:color="auto" w:fill="auto"/>
            <w:vAlign w:val="center"/>
          </w:tcPr>
          <w:p w14:paraId="3A8AF405">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刘师刚</w:t>
            </w:r>
          </w:p>
        </w:tc>
        <w:tc>
          <w:tcPr>
            <w:tcW w:w="0" w:type="auto"/>
            <w:shd w:val="clear" w:color="auto" w:fill="auto"/>
            <w:vAlign w:val="center"/>
          </w:tcPr>
          <w:p w14:paraId="4AFD8004">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13204217017</w:t>
            </w:r>
          </w:p>
        </w:tc>
      </w:tr>
      <w:tr w14:paraId="541273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50709ECE">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2173" w:type="dxa"/>
            <w:shd w:val="clear" w:color="auto" w:fill="auto"/>
            <w:vAlign w:val="center"/>
          </w:tcPr>
          <w:p w14:paraId="1547D313">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移动卷线盘</w:t>
            </w:r>
          </w:p>
        </w:tc>
        <w:tc>
          <w:tcPr>
            <w:tcW w:w="1033" w:type="dxa"/>
            <w:shd w:val="clear" w:color="auto" w:fill="auto"/>
            <w:vAlign w:val="center"/>
          </w:tcPr>
          <w:p w14:paraId="3DD6B1CF">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2个</w:t>
            </w:r>
          </w:p>
        </w:tc>
        <w:tc>
          <w:tcPr>
            <w:tcW w:w="0" w:type="auto"/>
            <w:shd w:val="clear" w:color="auto" w:fill="auto"/>
            <w:vAlign w:val="center"/>
          </w:tcPr>
          <w:p w14:paraId="57141947">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镁电解车间</w:t>
            </w:r>
          </w:p>
        </w:tc>
        <w:tc>
          <w:tcPr>
            <w:tcW w:w="0" w:type="auto"/>
            <w:shd w:val="clear" w:color="auto" w:fill="auto"/>
            <w:vAlign w:val="center"/>
          </w:tcPr>
          <w:p w14:paraId="42425AFA">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刘师刚</w:t>
            </w:r>
          </w:p>
        </w:tc>
        <w:tc>
          <w:tcPr>
            <w:tcW w:w="0" w:type="auto"/>
            <w:shd w:val="clear" w:color="auto" w:fill="auto"/>
            <w:vAlign w:val="center"/>
          </w:tcPr>
          <w:p w14:paraId="10B5D2BD">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13204217017</w:t>
            </w:r>
          </w:p>
        </w:tc>
      </w:tr>
      <w:tr w14:paraId="098E20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604A2DD4">
            <w:pPr>
              <w:keepNext w:val="0"/>
              <w:keepLines w:val="0"/>
              <w:pageBreakBefore w:val="0"/>
              <w:widowControl/>
              <w:numPr>
                <w:ilvl w:val="0"/>
                <w:numId w:val="8"/>
              </w:numPr>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2173" w:type="dxa"/>
            <w:shd w:val="clear" w:color="auto" w:fill="auto"/>
            <w:vAlign w:val="center"/>
          </w:tcPr>
          <w:p w14:paraId="597AF818">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电动送风长管呼吸器</w:t>
            </w:r>
          </w:p>
        </w:tc>
        <w:tc>
          <w:tcPr>
            <w:tcW w:w="1033" w:type="dxa"/>
            <w:shd w:val="clear" w:color="auto" w:fill="auto"/>
            <w:vAlign w:val="center"/>
          </w:tcPr>
          <w:p w14:paraId="2342AFA4">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1台</w:t>
            </w:r>
          </w:p>
        </w:tc>
        <w:tc>
          <w:tcPr>
            <w:tcW w:w="0" w:type="auto"/>
            <w:shd w:val="clear" w:color="auto" w:fill="auto"/>
            <w:vAlign w:val="center"/>
          </w:tcPr>
          <w:p w14:paraId="35B4EC8C">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镁电解车间</w:t>
            </w:r>
          </w:p>
        </w:tc>
        <w:tc>
          <w:tcPr>
            <w:tcW w:w="0" w:type="auto"/>
            <w:shd w:val="clear" w:color="auto" w:fill="auto"/>
            <w:vAlign w:val="center"/>
          </w:tcPr>
          <w:p w14:paraId="51927E76">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刘师刚</w:t>
            </w:r>
          </w:p>
        </w:tc>
        <w:tc>
          <w:tcPr>
            <w:tcW w:w="0" w:type="auto"/>
            <w:shd w:val="clear" w:color="auto" w:fill="auto"/>
            <w:vAlign w:val="center"/>
          </w:tcPr>
          <w:p w14:paraId="3EAD09AA">
            <w:pPr>
              <w:keepNext w:val="0"/>
              <w:keepLines w:val="0"/>
              <w:pageBreakBefore w:val="0"/>
              <w:suppressLineNumbers w:val="0"/>
              <w:tabs>
                <w:tab w:val="left" w:pos="525"/>
              </w:tabs>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13204217017</w:t>
            </w:r>
          </w:p>
        </w:tc>
      </w:tr>
    </w:tbl>
    <w:p w14:paraId="7637D3D9">
      <w:pPr>
        <w:bidi w:val="0"/>
        <w:rPr>
          <w:rFonts w:hint="default"/>
          <w:lang w:val="en-US" w:eastAsia="zh-CN"/>
        </w:rPr>
      </w:pPr>
    </w:p>
    <w:p w14:paraId="4ECCDFE9">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ascii="Times New Roman" w:hAnsi="Times New Roman" w:eastAsia="宋体" w:cs="Times New Roman"/>
          <w:sz w:val="28"/>
          <w:szCs w:val="28"/>
          <w14:ligatures w14:val="none"/>
        </w:rPr>
      </w:pPr>
      <w:r>
        <w:rPr>
          <w:rFonts w:ascii="Times New Roman" w:hAnsi="Times New Roman" w:eastAsia="宋体" w:cs="Times New Roman"/>
          <w:sz w:val="28"/>
          <w:szCs w:val="28"/>
          <w14:ligatures w14:val="none"/>
        </w:rPr>
        <w:br w:type="page"/>
      </w:r>
    </w:p>
    <w:p w14:paraId="39AD628F">
      <w:pPr>
        <w:adjustRightInd w:val="0"/>
        <w:snapToGrid w:val="0"/>
        <w:spacing w:before="468" w:beforeLines="150" w:after="468" w:afterLines="150" w:line="360" w:lineRule="auto"/>
        <w:jc w:val="center"/>
        <w:outlineLvl w:val="0"/>
        <w:rPr>
          <w:rFonts w:ascii="Times New Roman" w:hAnsi="Times New Roman" w:eastAsia="黑体" w:cs="黑体"/>
          <w:b/>
          <w:kern w:val="44"/>
          <w:sz w:val="32"/>
          <w:szCs w:val="44"/>
          <w14:ligatures w14:val="none"/>
        </w:rPr>
      </w:pPr>
      <w:bookmarkStart w:id="98" w:name="_Toc26181"/>
      <w:bookmarkStart w:id="99" w:name="_Toc163051348"/>
      <w:r>
        <w:rPr>
          <w:rFonts w:ascii="Times New Roman" w:hAnsi="Times New Roman" w:eastAsia="黑体" w:cs="黑体"/>
          <w:b/>
          <w:kern w:val="44"/>
          <w:sz w:val="32"/>
          <w:szCs w:val="44"/>
          <w14:ligatures w14:val="none"/>
        </w:rPr>
        <w:t>3危险、有害因素辨识分析</w:t>
      </w:r>
      <w:bookmarkEnd w:id="98"/>
      <w:bookmarkEnd w:id="99"/>
    </w:p>
    <w:p w14:paraId="4BAACEE8">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bookmarkStart w:id="100" w:name="_Toc141759634"/>
      <w:bookmarkStart w:id="101" w:name="_Toc141324799"/>
      <w:bookmarkStart w:id="102" w:name="_Toc141260348"/>
      <w:bookmarkStart w:id="103" w:name="_Toc141324902"/>
      <w:bookmarkStart w:id="104" w:name="_Toc492367650"/>
      <w:bookmarkStart w:id="105" w:name="_Toc527536706"/>
      <w:r>
        <w:rPr>
          <w:rFonts w:ascii="Times New Roman" w:hAnsi="Times New Roman" w:eastAsia="宋体" w:cs="Times New Roman"/>
          <w:sz w:val="28"/>
          <w:szCs w:val="28"/>
          <w14:ligatures w14:val="none"/>
        </w:rPr>
        <w:t>危险、有害因素分析，是对该企业在生产过程中的物料、工艺、设备及公用设施等方面潜在的危险、有害因素及能量失控时出现的危险、有害因素的性质、类别、条件和可能带来的后果进行分析。</w:t>
      </w:r>
    </w:p>
    <w:p w14:paraId="72D074A4">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ascii="Times New Roman" w:hAnsi="Times New Roman" w:eastAsia="宋体" w:cs="Times New Roman"/>
          <w:sz w:val="28"/>
          <w:szCs w:val="28"/>
          <w14:ligatures w14:val="none"/>
        </w:rPr>
        <w:t>危险因素的分析目的是对系统中潜在危险进行辨别，提出防止这些隐患转变为事故的安全对策措施。</w:t>
      </w:r>
    </w:p>
    <w:p w14:paraId="4217BA07">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ascii="Times New Roman" w:hAnsi="Times New Roman" w:eastAsia="宋体" w:cs="Times New Roman"/>
          <w:sz w:val="28"/>
          <w:szCs w:val="28"/>
          <w14:ligatures w14:val="none"/>
        </w:rPr>
        <w:t>有害因素分析的目的则是找出生产活动中对作业人员的健康可能产生危害的因素，提出改善作业条件和作业环境的对策措施。通过贯彻和落实提出的措施，达到控制和减少职业危害，保证职工身体健康和安全。</w:t>
      </w:r>
      <w:bookmarkEnd w:id="100"/>
      <w:bookmarkEnd w:id="101"/>
      <w:bookmarkEnd w:id="102"/>
      <w:bookmarkEnd w:id="103"/>
    </w:p>
    <w:bookmarkEnd w:id="104"/>
    <w:bookmarkEnd w:id="105"/>
    <w:p w14:paraId="23488186">
      <w:pPr>
        <w:adjustRightInd w:val="0"/>
        <w:snapToGrid w:val="0"/>
        <w:spacing w:before="312" w:beforeLines="100" w:after="312" w:afterLines="100" w:line="360" w:lineRule="auto"/>
        <w:jc w:val="center"/>
        <w:outlineLvl w:val="1"/>
        <w:rPr>
          <w:rFonts w:ascii="Times New Roman" w:hAnsi="Times New Roman" w:eastAsia="楷体" w:cs="黑体"/>
          <w:b/>
          <w:sz w:val="32"/>
          <w:szCs w:val="32"/>
          <w14:ligatures w14:val="none"/>
        </w:rPr>
      </w:pPr>
      <w:bookmarkStart w:id="106" w:name="_Toc25193"/>
      <w:bookmarkStart w:id="107" w:name="_Toc153164283"/>
      <w:bookmarkStart w:id="108" w:name="_Toc184353431"/>
      <w:bookmarkStart w:id="109" w:name="_Toc153188276"/>
      <w:bookmarkStart w:id="110" w:name="_Toc154481646"/>
      <w:bookmarkStart w:id="111" w:name="_Toc163051349"/>
      <w:bookmarkStart w:id="112" w:name="_Toc153188309"/>
      <w:bookmarkStart w:id="113" w:name="_Toc153164199"/>
      <w:bookmarkStart w:id="114" w:name="_Toc153164239"/>
      <w:bookmarkStart w:id="115" w:name="_Toc479257160"/>
      <w:bookmarkStart w:id="116" w:name="_Toc152296973"/>
      <w:bookmarkStart w:id="117" w:name="_Toc149036055"/>
      <w:bookmarkStart w:id="118" w:name="_Toc150762738"/>
      <w:bookmarkStart w:id="119" w:name="_Toc152300719"/>
      <w:bookmarkStart w:id="120" w:name="_Toc141260349"/>
      <w:bookmarkStart w:id="121" w:name="_Toc150762520"/>
      <w:bookmarkStart w:id="122" w:name="_Toc151433084"/>
      <w:bookmarkStart w:id="123" w:name="_Toc148271303"/>
      <w:bookmarkStart w:id="124" w:name="_Toc152308737"/>
      <w:bookmarkStart w:id="125" w:name="_Toc141324800"/>
      <w:bookmarkStart w:id="126" w:name="_Toc152386213"/>
      <w:bookmarkStart w:id="127" w:name="_Toc141759635"/>
      <w:bookmarkStart w:id="128" w:name="_Toc151432833"/>
      <w:bookmarkStart w:id="129" w:name="_Toc141324903"/>
      <w:bookmarkStart w:id="130" w:name="_Toc148271244"/>
      <w:bookmarkStart w:id="131" w:name="_Toc151432892"/>
      <w:bookmarkStart w:id="132" w:name="_Toc150744345"/>
      <w:bookmarkStart w:id="133" w:name="_Toc148274187"/>
      <w:bookmarkStart w:id="134" w:name="_Toc148415651"/>
      <w:r>
        <w:rPr>
          <w:rFonts w:ascii="Times New Roman" w:hAnsi="Times New Roman" w:eastAsia="楷体" w:cs="黑体"/>
          <w:b/>
          <w:sz w:val="32"/>
          <w:szCs w:val="32"/>
          <w14:ligatures w14:val="none"/>
        </w:rPr>
        <w:t>3.1物质的危险、有害因素分析</w:t>
      </w:r>
      <w:bookmarkEnd w:id="106"/>
      <w:bookmarkEnd w:id="107"/>
      <w:bookmarkEnd w:id="108"/>
      <w:bookmarkEnd w:id="109"/>
      <w:bookmarkEnd w:id="110"/>
      <w:bookmarkEnd w:id="111"/>
      <w:bookmarkEnd w:id="112"/>
      <w:bookmarkEnd w:id="113"/>
      <w:bookmarkEnd w:id="114"/>
      <w:bookmarkEnd w:id="115"/>
    </w:p>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p w14:paraId="1DD663F7">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lang w:val="en-US" w:eastAsia="zh-CN"/>
          <w14:ligatures w14:val="none"/>
        </w:rPr>
        <w:t>本项目涉及的物料有：高硅</w:t>
      </w:r>
      <w:r>
        <w:rPr>
          <w:rFonts w:hint="eastAsia" w:ascii="Times New Roman" w:hAnsi="Times New Roman" w:eastAsia="宋体" w:cs="Times New Roman"/>
          <w:sz w:val="28"/>
          <w:szCs w:val="28"/>
          <w14:ligatures w14:val="none"/>
        </w:rPr>
        <w:t>四氯化钛</w:t>
      </w:r>
      <w:r>
        <w:rPr>
          <w:rFonts w:hint="eastAsia" w:ascii="Times New Roman" w:hAnsi="Times New Roman" w:eastAsia="宋体" w:cs="Times New Roman"/>
          <w:sz w:val="28"/>
          <w:szCs w:val="28"/>
          <w:lang w:eastAsia="zh-CN"/>
          <w14:ligatures w14:val="none"/>
        </w:rPr>
        <w:t>、</w:t>
      </w:r>
      <w:r>
        <w:rPr>
          <w:rFonts w:hint="eastAsia" w:ascii="Times New Roman" w:hAnsi="Times New Roman" w:eastAsia="宋体" w:cs="Times New Roman"/>
          <w:sz w:val="28"/>
          <w:szCs w:val="28"/>
          <w14:ligatures w14:val="none"/>
        </w:rPr>
        <w:t>盐酸</w:t>
      </w:r>
      <w:r>
        <w:rPr>
          <w:rFonts w:hint="eastAsia" w:ascii="Times New Roman" w:hAnsi="Times New Roman" w:eastAsia="宋体" w:cs="Times New Roman"/>
          <w:sz w:val="28"/>
          <w:szCs w:val="28"/>
          <w:lang w:eastAsia="zh-CN"/>
          <w14:ligatures w14:val="none"/>
        </w:rPr>
        <w:t>、</w:t>
      </w:r>
      <w:r>
        <w:rPr>
          <w:rFonts w:hint="eastAsia" w:ascii="Times New Roman" w:hAnsi="Times New Roman" w:eastAsia="宋体" w:cs="Times New Roman"/>
          <w:sz w:val="28"/>
          <w:szCs w:val="28"/>
          <w14:ligatures w14:val="none"/>
        </w:rPr>
        <w:t>次氯酸钠</w:t>
      </w:r>
      <w:r>
        <w:rPr>
          <w:rFonts w:hint="eastAsia" w:ascii="Times New Roman" w:hAnsi="Times New Roman" w:eastAsia="宋体" w:cs="Times New Roman"/>
          <w:sz w:val="28"/>
          <w:szCs w:val="28"/>
          <w:lang w:eastAsia="zh-CN"/>
          <w14:ligatures w14:val="none"/>
        </w:rPr>
        <w:t>、</w:t>
      </w:r>
      <w:r>
        <w:rPr>
          <w:rFonts w:hint="eastAsia" w:ascii="Times New Roman" w:hAnsi="Times New Roman" w:eastAsia="宋体" w:cs="Times New Roman"/>
          <w:sz w:val="28"/>
          <w:szCs w:val="28"/>
          <w:lang w:val="en-US" w:eastAsia="zh-CN"/>
          <w14:ligatures w14:val="none"/>
        </w:rPr>
        <w:t>硫酸（无储存）。</w:t>
      </w:r>
    </w:p>
    <w:p w14:paraId="3625B246">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ascii="Times New Roman" w:hAnsi="Times New Roman" w:eastAsia="宋体" w:cs="Times New Roman"/>
          <w:sz w:val="28"/>
          <w:szCs w:val="28"/>
          <w14:ligatures w14:val="none"/>
        </w:rPr>
        <w:t>依据《危险化学品目录（2015年版）》（国家安全生产监督管理总局等十部门公告2015年第5号）</w:t>
      </w:r>
      <w:r>
        <w:rPr>
          <w:rFonts w:hint="eastAsia" w:ascii="Times New Roman" w:hAnsi="Times New Roman" w:eastAsia="宋体" w:cs="Times New Roman"/>
          <w:sz w:val="28"/>
          <w:szCs w:val="28"/>
          <w14:ligatures w14:val="none"/>
        </w:rPr>
        <w:t>和《关于调整危险化学品目录(2015版)的公告》（中华人民共和国应急管理部等十部门公告2022年第8号）</w:t>
      </w:r>
      <w:r>
        <w:rPr>
          <w:rFonts w:hint="eastAsia" w:ascii="Times New Roman" w:hAnsi="Times New Roman" w:eastAsia="宋体" w:cs="Times New Roman"/>
          <w:sz w:val="28"/>
          <w:szCs w:val="28"/>
          <w:lang w:eastAsia="zh-CN"/>
          <w14:ligatures w14:val="none"/>
        </w:rPr>
        <w:t>，</w:t>
      </w:r>
      <w:r>
        <w:rPr>
          <w:rFonts w:ascii="Times New Roman" w:hAnsi="Times New Roman" w:eastAsia="宋体" w:cs="Times New Roman"/>
          <w:sz w:val="28"/>
          <w:szCs w:val="28"/>
          <w14:ligatures w14:val="none"/>
        </w:rPr>
        <w:t>本项目涉及的</w:t>
      </w:r>
      <w:r>
        <w:rPr>
          <w:rFonts w:hint="eastAsia" w:ascii="Times New Roman" w:hAnsi="Times New Roman" w:eastAsia="宋体" w:cs="Times New Roman"/>
          <w:sz w:val="28"/>
          <w:szCs w:val="28"/>
          <w:lang w:val="en-US" w:eastAsia="zh-CN"/>
          <w14:ligatures w14:val="none"/>
        </w:rPr>
        <w:t>高硅</w:t>
      </w:r>
      <w:r>
        <w:rPr>
          <w:rFonts w:hint="eastAsia" w:ascii="Times New Roman" w:hAnsi="Times New Roman" w:eastAsia="宋体" w:cs="Times New Roman"/>
          <w:sz w:val="28"/>
          <w:szCs w:val="28"/>
          <w14:ligatures w14:val="none"/>
        </w:rPr>
        <w:t>四氯化钛</w:t>
      </w:r>
      <w:r>
        <w:rPr>
          <w:rFonts w:hint="eastAsia" w:ascii="Times New Roman" w:hAnsi="Times New Roman" w:eastAsia="宋体" w:cs="Times New Roman"/>
          <w:sz w:val="28"/>
          <w:szCs w:val="28"/>
          <w:lang w:eastAsia="zh-CN"/>
          <w14:ligatures w14:val="none"/>
        </w:rPr>
        <w:t>、</w:t>
      </w:r>
      <w:r>
        <w:rPr>
          <w:rFonts w:hint="eastAsia" w:ascii="Times New Roman" w:hAnsi="Times New Roman" w:eastAsia="宋体" w:cs="Times New Roman"/>
          <w:sz w:val="28"/>
          <w:szCs w:val="28"/>
          <w14:ligatures w14:val="none"/>
        </w:rPr>
        <w:t>盐酸</w:t>
      </w:r>
      <w:r>
        <w:rPr>
          <w:rFonts w:hint="eastAsia" w:ascii="Times New Roman" w:hAnsi="Times New Roman" w:eastAsia="宋体" w:cs="Times New Roman"/>
          <w:sz w:val="28"/>
          <w:szCs w:val="28"/>
          <w:lang w:eastAsia="zh-CN"/>
          <w14:ligatures w14:val="none"/>
        </w:rPr>
        <w:t>、</w:t>
      </w:r>
      <w:r>
        <w:rPr>
          <w:rFonts w:hint="eastAsia" w:ascii="Times New Roman" w:hAnsi="Times New Roman" w:eastAsia="宋体" w:cs="Times New Roman"/>
          <w:sz w:val="28"/>
          <w:szCs w:val="28"/>
          <w14:ligatures w14:val="none"/>
        </w:rPr>
        <w:t>次氯酸钠</w:t>
      </w:r>
      <w:r>
        <w:rPr>
          <w:rFonts w:hint="eastAsia" w:ascii="Times New Roman" w:hAnsi="Times New Roman" w:eastAsia="宋体" w:cs="Times New Roman"/>
          <w:sz w:val="28"/>
          <w:szCs w:val="28"/>
          <w:lang w:eastAsia="zh-CN"/>
          <w14:ligatures w14:val="none"/>
        </w:rPr>
        <w:t>、</w:t>
      </w:r>
      <w:r>
        <w:rPr>
          <w:rFonts w:hint="eastAsia" w:ascii="Times New Roman" w:hAnsi="Times New Roman" w:eastAsia="宋体" w:cs="Times New Roman"/>
          <w:sz w:val="28"/>
          <w:szCs w:val="28"/>
          <w:lang w:val="en-US" w:eastAsia="zh-CN"/>
          <w14:ligatures w14:val="none"/>
        </w:rPr>
        <w:t>硫酸（无储存）</w:t>
      </w:r>
      <w:r>
        <w:rPr>
          <w:rFonts w:hint="eastAsia" w:ascii="Times New Roman" w:hAnsi="Times New Roman" w:eastAsia="宋体" w:cs="Times New Roman"/>
          <w:sz w:val="28"/>
          <w:szCs w:val="28"/>
          <w14:ligatures w14:val="none"/>
        </w:rPr>
        <w:t>属于</w:t>
      </w:r>
      <w:r>
        <w:rPr>
          <w:rFonts w:ascii="Times New Roman" w:hAnsi="Times New Roman" w:eastAsia="宋体" w:cs="Times New Roman"/>
          <w:sz w:val="28"/>
          <w:szCs w:val="28"/>
          <w14:ligatures w14:val="none"/>
        </w:rPr>
        <w:t>危险化学品。</w:t>
      </w:r>
    </w:p>
    <w:p w14:paraId="11F00D8C">
      <w:pPr>
        <w:adjustRightInd w:val="0"/>
        <w:snapToGrid w:val="0"/>
        <w:spacing w:after="0" w:line="360" w:lineRule="auto"/>
        <w:ind w:firstLine="560" w:firstLineChars="20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本项目涉及的物质理化性质详见下表3.1-1</w:t>
      </w:r>
      <w:r>
        <w:rPr>
          <w:rFonts w:hint="eastAsia" w:ascii="Times New Roman" w:hAnsi="Times New Roman" w:eastAsia="宋体" w:cs="Times New Roman"/>
          <w:sz w:val="28"/>
          <w:szCs w:val="28"/>
          <w:lang w:val="en-US" w:eastAsia="zh-CN"/>
          <w14:ligatures w14:val="none"/>
        </w:rPr>
        <w:t>～</w:t>
      </w:r>
      <w:r>
        <w:rPr>
          <w:rFonts w:hint="eastAsia" w:ascii="Times New Roman" w:hAnsi="Times New Roman" w:eastAsia="宋体" w:cs="Times New Roman"/>
          <w:sz w:val="28"/>
          <w:szCs w:val="28"/>
          <w14:ligatures w14:val="none"/>
        </w:rPr>
        <w:t>3.1-</w:t>
      </w:r>
      <w:r>
        <w:rPr>
          <w:rFonts w:hint="eastAsia" w:ascii="Times New Roman" w:hAnsi="Times New Roman" w:eastAsia="宋体" w:cs="Times New Roman"/>
          <w:sz w:val="28"/>
          <w:szCs w:val="28"/>
          <w:lang w:val="en-US" w:eastAsia="zh-CN"/>
          <w14:ligatures w14:val="none"/>
        </w:rPr>
        <w:t>6</w:t>
      </w:r>
      <w:r>
        <w:rPr>
          <w:rFonts w:hint="eastAsia" w:ascii="Times New Roman" w:hAnsi="Times New Roman" w:eastAsia="宋体" w:cs="Times New Roman"/>
          <w:sz w:val="28"/>
          <w:szCs w:val="28"/>
          <w14:ligatures w14:val="none"/>
        </w:rPr>
        <w:t>。</w:t>
      </w:r>
    </w:p>
    <w:p w14:paraId="66612436">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sectPr>
          <w:pgSz w:w="11906" w:h="16838"/>
          <w:pgMar w:top="1418" w:right="1134" w:bottom="1134" w:left="1588" w:header="851" w:footer="992" w:gutter="0"/>
          <w:pgBorders>
            <w:top w:val="none" w:sz="0" w:space="0"/>
            <w:left w:val="none" w:sz="0" w:space="0"/>
            <w:bottom w:val="none" w:sz="0" w:space="0"/>
            <w:right w:val="none" w:sz="0" w:space="0"/>
          </w:pgBorders>
          <w:pgNumType w:fmt="decimal"/>
          <w:cols w:space="425" w:num="1"/>
          <w:docGrid w:type="lines" w:linePitch="312" w:charSpace="0"/>
        </w:sectPr>
      </w:pPr>
    </w:p>
    <w:p w14:paraId="68B745F9">
      <w:pPr>
        <w:keepNext/>
        <w:adjustRightInd w:val="0"/>
        <w:snapToGrid w:val="0"/>
        <w:spacing w:before="120" w:beforeLines="50" w:after="120" w:afterLines="50"/>
        <w:jc w:val="center"/>
        <w:rPr>
          <w:rStyle w:val="32"/>
          <w:rFonts w:hint="default" w:ascii="Times New Roman" w:hAnsi="Times New Roman" w:eastAsia="黑体"/>
          <w:color w:val="auto"/>
          <w:sz w:val="24"/>
          <w:szCs w:val="21"/>
          <w:highlight w:val="none"/>
        </w:rPr>
      </w:pPr>
      <w:r>
        <w:rPr>
          <w:rStyle w:val="32"/>
          <w:rFonts w:hint="default" w:ascii="Times New Roman" w:hAnsi="Times New Roman" w:eastAsia="黑体"/>
          <w:color w:val="auto"/>
          <w:sz w:val="24"/>
          <w:szCs w:val="21"/>
          <w:highlight w:val="none"/>
        </w:rPr>
        <w:t>表3.1-1  涉及的危险化学品理化性质一览表</w:t>
      </w:r>
    </w:p>
    <w:tbl>
      <w:tblPr>
        <w:tblStyle w:val="13"/>
        <w:tblW w:w="5000" w:type="pct"/>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autofit"/>
        <w:tblCellMar>
          <w:top w:w="0" w:type="dxa"/>
          <w:left w:w="108" w:type="dxa"/>
          <w:bottom w:w="0" w:type="dxa"/>
          <w:right w:w="108" w:type="dxa"/>
        </w:tblCellMar>
      </w:tblPr>
      <w:tblGrid>
        <w:gridCol w:w="487"/>
        <w:gridCol w:w="975"/>
        <w:gridCol w:w="1302"/>
        <w:gridCol w:w="975"/>
        <w:gridCol w:w="830"/>
        <w:gridCol w:w="2259"/>
        <w:gridCol w:w="919"/>
        <w:gridCol w:w="919"/>
        <w:gridCol w:w="977"/>
        <w:gridCol w:w="977"/>
        <w:gridCol w:w="977"/>
        <w:gridCol w:w="977"/>
        <w:gridCol w:w="1141"/>
        <w:gridCol w:w="787"/>
      </w:tblGrid>
      <w:tr w14:paraId="4D41C13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blHeader/>
          <w:jc w:val="center"/>
        </w:trPr>
        <w:tc>
          <w:tcPr>
            <w:tcW w:w="168" w:type="pct"/>
            <w:vAlign w:val="center"/>
          </w:tcPr>
          <w:p w14:paraId="5A0452BF">
            <w:pPr>
              <w:keepNext w:val="0"/>
              <w:keepLines w:val="0"/>
              <w:widowControl/>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0"/>
                <w:sz w:val="21"/>
                <w:szCs w:val="21"/>
                <w14:ligatures w14:val="none"/>
              </w:rPr>
            </w:pPr>
            <w:bookmarkStart w:id="135" w:name="_Hlk187420566"/>
            <w:r>
              <w:rPr>
                <w:rFonts w:hint="default" w:ascii="Times New Roman" w:hAnsi="Times New Roman" w:eastAsia="宋体" w:cs="Times New Roman"/>
                <w:kern w:val="0"/>
                <w:sz w:val="21"/>
                <w:szCs w:val="21"/>
                <w14:ligatures w14:val="none"/>
              </w:rPr>
              <w:t>序号</w:t>
            </w:r>
          </w:p>
        </w:tc>
        <w:tc>
          <w:tcPr>
            <w:tcW w:w="336" w:type="pct"/>
            <w:vAlign w:val="center"/>
          </w:tcPr>
          <w:p w14:paraId="72E75BCD">
            <w:pPr>
              <w:keepNext w:val="0"/>
              <w:keepLines w:val="0"/>
              <w:widowControl/>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名称</w:t>
            </w:r>
          </w:p>
        </w:tc>
        <w:tc>
          <w:tcPr>
            <w:tcW w:w="449" w:type="pct"/>
            <w:vAlign w:val="center"/>
          </w:tcPr>
          <w:p w14:paraId="30B9AF53">
            <w:pPr>
              <w:keepNext w:val="0"/>
              <w:keepLines w:val="0"/>
              <w:widowControl/>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CAS号</w:t>
            </w:r>
          </w:p>
        </w:tc>
        <w:tc>
          <w:tcPr>
            <w:tcW w:w="336" w:type="pct"/>
            <w:vAlign w:val="center"/>
          </w:tcPr>
          <w:p w14:paraId="5E87D3B3">
            <w:pPr>
              <w:keepNext w:val="0"/>
              <w:keepLines w:val="0"/>
              <w:widowControl/>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UN编号</w:t>
            </w:r>
          </w:p>
        </w:tc>
        <w:tc>
          <w:tcPr>
            <w:tcW w:w="286" w:type="pct"/>
            <w:vAlign w:val="center"/>
          </w:tcPr>
          <w:p w14:paraId="1BD15DFC">
            <w:pPr>
              <w:keepNext w:val="0"/>
              <w:keepLines w:val="0"/>
              <w:widowControl/>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危化品序号</w:t>
            </w:r>
          </w:p>
        </w:tc>
        <w:tc>
          <w:tcPr>
            <w:tcW w:w="779" w:type="pct"/>
            <w:vAlign w:val="center"/>
          </w:tcPr>
          <w:p w14:paraId="4A0F4BDC">
            <w:pPr>
              <w:keepNext w:val="0"/>
              <w:keepLines w:val="0"/>
              <w:widowControl/>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危险性类别</w:t>
            </w:r>
          </w:p>
        </w:tc>
        <w:tc>
          <w:tcPr>
            <w:tcW w:w="317" w:type="pct"/>
            <w:vAlign w:val="center"/>
          </w:tcPr>
          <w:p w14:paraId="47DE236B">
            <w:pPr>
              <w:keepNext w:val="0"/>
              <w:keepLines w:val="0"/>
              <w:widowControl/>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毒性等级</w:t>
            </w:r>
          </w:p>
        </w:tc>
        <w:tc>
          <w:tcPr>
            <w:tcW w:w="317" w:type="pct"/>
            <w:vAlign w:val="center"/>
          </w:tcPr>
          <w:p w14:paraId="30019A50">
            <w:pPr>
              <w:keepNext w:val="0"/>
              <w:keepLines w:val="0"/>
              <w:widowControl/>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火灾危险性分类</w:t>
            </w:r>
          </w:p>
        </w:tc>
        <w:tc>
          <w:tcPr>
            <w:tcW w:w="337" w:type="pct"/>
            <w:vAlign w:val="center"/>
          </w:tcPr>
          <w:p w14:paraId="00F1548E">
            <w:pPr>
              <w:keepNext w:val="0"/>
              <w:keepLines w:val="0"/>
              <w:widowControl/>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包装类别</w:t>
            </w:r>
          </w:p>
        </w:tc>
        <w:tc>
          <w:tcPr>
            <w:tcW w:w="337" w:type="pct"/>
            <w:vAlign w:val="center"/>
          </w:tcPr>
          <w:p w14:paraId="51DE2B91">
            <w:pPr>
              <w:keepNext w:val="0"/>
              <w:keepLines w:val="0"/>
              <w:widowControl/>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主要危险性</w:t>
            </w:r>
          </w:p>
        </w:tc>
        <w:tc>
          <w:tcPr>
            <w:tcW w:w="337" w:type="pct"/>
            <w:vAlign w:val="center"/>
          </w:tcPr>
          <w:p w14:paraId="7AE5DABA">
            <w:pPr>
              <w:keepNext w:val="0"/>
              <w:keepLines w:val="0"/>
              <w:widowControl/>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次要危险性</w:t>
            </w:r>
          </w:p>
        </w:tc>
        <w:tc>
          <w:tcPr>
            <w:tcW w:w="337" w:type="pct"/>
            <w:vAlign w:val="center"/>
          </w:tcPr>
          <w:p w14:paraId="4889ABC1">
            <w:pPr>
              <w:keepNext w:val="0"/>
              <w:keepLines w:val="0"/>
              <w:widowControl/>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闪点（℃）</w:t>
            </w:r>
          </w:p>
        </w:tc>
        <w:tc>
          <w:tcPr>
            <w:tcW w:w="393" w:type="pct"/>
            <w:vAlign w:val="center"/>
          </w:tcPr>
          <w:p w14:paraId="648EE9E5">
            <w:pPr>
              <w:keepNext w:val="0"/>
              <w:keepLines w:val="0"/>
              <w:widowControl/>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爆炸极限（%）</w:t>
            </w:r>
          </w:p>
        </w:tc>
        <w:tc>
          <w:tcPr>
            <w:tcW w:w="262" w:type="pct"/>
            <w:vAlign w:val="center"/>
          </w:tcPr>
          <w:p w14:paraId="59AFEDC7">
            <w:pPr>
              <w:keepNext w:val="0"/>
              <w:keepLines w:val="0"/>
              <w:widowControl/>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备注</w:t>
            </w:r>
          </w:p>
        </w:tc>
      </w:tr>
      <w:tr w14:paraId="77FC7D6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blHeader/>
          <w:jc w:val="center"/>
        </w:trPr>
        <w:tc>
          <w:tcPr>
            <w:tcW w:w="168" w:type="pct"/>
            <w:vAlign w:val="center"/>
          </w:tcPr>
          <w:p w14:paraId="6E9F01BF">
            <w:pPr>
              <w:keepNext w:val="0"/>
              <w:keepLines w:val="0"/>
              <w:widowControl/>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1</w:t>
            </w:r>
          </w:p>
        </w:tc>
        <w:tc>
          <w:tcPr>
            <w:tcW w:w="336" w:type="pct"/>
            <w:vAlign w:val="center"/>
          </w:tcPr>
          <w:p w14:paraId="6512EC41">
            <w:pPr>
              <w:keepNext w:val="0"/>
              <w:keepLines w:val="0"/>
              <w:widowControl/>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盐酸</w:t>
            </w:r>
          </w:p>
        </w:tc>
        <w:tc>
          <w:tcPr>
            <w:tcW w:w="449" w:type="pct"/>
            <w:vAlign w:val="center"/>
          </w:tcPr>
          <w:p w14:paraId="21FE5ACC">
            <w:pPr>
              <w:keepNext w:val="0"/>
              <w:keepLines w:val="0"/>
              <w:widowControl/>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7647-01-0</w:t>
            </w:r>
          </w:p>
        </w:tc>
        <w:tc>
          <w:tcPr>
            <w:tcW w:w="336" w:type="pct"/>
            <w:vAlign w:val="center"/>
          </w:tcPr>
          <w:p w14:paraId="35EE0E24">
            <w:pPr>
              <w:keepNext w:val="0"/>
              <w:keepLines w:val="0"/>
              <w:widowControl/>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1789</w:t>
            </w:r>
          </w:p>
        </w:tc>
        <w:tc>
          <w:tcPr>
            <w:tcW w:w="286" w:type="pct"/>
            <w:vAlign w:val="center"/>
          </w:tcPr>
          <w:p w14:paraId="08A1403E">
            <w:pPr>
              <w:keepNext w:val="0"/>
              <w:keepLines w:val="0"/>
              <w:widowControl/>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2507</w:t>
            </w:r>
          </w:p>
        </w:tc>
        <w:tc>
          <w:tcPr>
            <w:tcW w:w="779" w:type="pct"/>
            <w:vAlign w:val="center"/>
          </w:tcPr>
          <w:p w14:paraId="2D2A30BD">
            <w:pPr>
              <w:keepNext w:val="0"/>
              <w:keepLines w:val="0"/>
              <w:widowControl/>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皮肤腐蚀/刺激，类别1B</w:t>
            </w:r>
          </w:p>
          <w:p w14:paraId="469C8E90">
            <w:pPr>
              <w:keepNext w:val="0"/>
              <w:keepLines w:val="0"/>
              <w:widowControl/>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严重眼损伤/眼刺激，类别1</w:t>
            </w:r>
          </w:p>
          <w:p w14:paraId="7F160439">
            <w:pPr>
              <w:keepNext w:val="0"/>
              <w:keepLines w:val="0"/>
              <w:widowControl/>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特异性靶器官毒性-一次接触，类别3（呼吸道刺激）</w:t>
            </w:r>
          </w:p>
          <w:p w14:paraId="0AACFDB7">
            <w:pPr>
              <w:keepNext w:val="0"/>
              <w:keepLines w:val="0"/>
              <w:widowControl/>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危害水生环境-急性危害，类别2</w:t>
            </w:r>
          </w:p>
        </w:tc>
        <w:tc>
          <w:tcPr>
            <w:tcW w:w="317" w:type="pct"/>
            <w:vAlign w:val="center"/>
          </w:tcPr>
          <w:p w14:paraId="76F743FA">
            <w:pPr>
              <w:keepNext w:val="0"/>
              <w:keepLines w:val="0"/>
              <w:widowControl/>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轻度</w:t>
            </w:r>
          </w:p>
          <w:p w14:paraId="298E0476">
            <w:pPr>
              <w:keepNext w:val="0"/>
              <w:keepLines w:val="0"/>
              <w:widowControl/>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危害</w:t>
            </w:r>
          </w:p>
        </w:tc>
        <w:tc>
          <w:tcPr>
            <w:tcW w:w="317" w:type="pct"/>
            <w:vAlign w:val="center"/>
          </w:tcPr>
          <w:p w14:paraId="484DF86F">
            <w:pPr>
              <w:keepNext w:val="0"/>
              <w:keepLines w:val="0"/>
              <w:widowControl/>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戊类</w:t>
            </w:r>
          </w:p>
        </w:tc>
        <w:tc>
          <w:tcPr>
            <w:tcW w:w="337" w:type="pct"/>
            <w:vAlign w:val="center"/>
          </w:tcPr>
          <w:p w14:paraId="168A1617">
            <w:pPr>
              <w:keepNext w:val="0"/>
              <w:keepLines w:val="0"/>
              <w:widowControl/>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Ⅱ</w:t>
            </w:r>
            <w:r>
              <w:rPr>
                <w:rFonts w:hint="eastAsia" w:ascii="Times New Roman" w:hAnsi="Times New Roman" w:eastAsia="宋体" w:cs="Times New Roman"/>
                <w:kern w:val="0"/>
                <w:sz w:val="21"/>
                <w:szCs w:val="21"/>
                <w:lang w:val="en-US" w:eastAsia="zh-CN"/>
                <w14:ligatures w14:val="none"/>
              </w:rPr>
              <w:t>/</w:t>
            </w:r>
            <w:r>
              <w:rPr>
                <w:rFonts w:hint="eastAsia" w:ascii="Times New Roman" w:hAnsi="Times New Roman" w:eastAsia="宋体" w:cs="Times New Roman"/>
                <w:kern w:val="0"/>
                <w:sz w:val="21"/>
                <w:szCs w:val="21"/>
                <w:highlight w:val="none"/>
                <w14:ligatures w14:val="none"/>
              </w:rPr>
              <w:t>Ⅲ</w:t>
            </w:r>
          </w:p>
        </w:tc>
        <w:tc>
          <w:tcPr>
            <w:tcW w:w="337" w:type="pct"/>
            <w:vAlign w:val="center"/>
          </w:tcPr>
          <w:p w14:paraId="7AAC0290">
            <w:pPr>
              <w:keepNext w:val="0"/>
              <w:keepLines w:val="0"/>
              <w:widowControl/>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8</w:t>
            </w:r>
          </w:p>
        </w:tc>
        <w:tc>
          <w:tcPr>
            <w:tcW w:w="337" w:type="pct"/>
            <w:vAlign w:val="center"/>
          </w:tcPr>
          <w:p w14:paraId="61A71DBE">
            <w:pPr>
              <w:keepNext w:val="0"/>
              <w:keepLines w:val="0"/>
              <w:widowControl/>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w:t>
            </w:r>
          </w:p>
        </w:tc>
        <w:tc>
          <w:tcPr>
            <w:tcW w:w="337" w:type="pct"/>
            <w:vAlign w:val="center"/>
          </w:tcPr>
          <w:p w14:paraId="7240A4CB">
            <w:pPr>
              <w:keepNext w:val="0"/>
              <w:keepLines w:val="0"/>
              <w:widowControl/>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w:t>
            </w:r>
          </w:p>
        </w:tc>
        <w:tc>
          <w:tcPr>
            <w:tcW w:w="393" w:type="pct"/>
            <w:vAlign w:val="center"/>
          </w:tcPr>
          <w:p w14:paraId="34FF0438">
            <w:pPr>
              <w:keepNext w:val="0"/>
              <w:keepLines w:val="0"/>
              <w:widowControl/>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w:t>
            </w:r>
          </w:p>
        </w:tc>
        <w:tc>
          <w:tcPr>
            <w:tcW w:w="262" w:type="pct"/>
            <w:vAlign w:val="center"/>
          </w:tcPr>
          <w:p w14:paraId="3651B794">
            <w:pPr>
              <w:keepNext w:val="0"/>
              <w:keepLines w:val="0"/>
              <w:widowControl/>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易制毒</w:t>
            </w:r>
          </w:p>
        </w:tc>
      </w:tr>
      <w:tr w14:paraId="77312D6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blHeader/>
          <w:jc w:val="center"/>
        </w:trPr>
        <w:tc>
          <w:tcPr>
            <w:tcW w:w="168" w:type="pct"/>
            <w:vAlign w:val="center"/>
          </w:tcPr>
          <w:p w14:paraId="10B71F5D">
            <w:pPr>
              <w:keepNext w:val="0"/>
              <w:keepLines w:val="0"/>
              <w:widowControl/>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0"/>
                <w:sz w:val="21"/>
                <w:szCs w:val="21"/>
                <w:lang w:val="en-US" w:eastAsia="zh-CN"/>
                <w14:ligatures w14:val="none"/>
              </w:rPr>
            </w:pPr>
            <w:r>
              <w:rPr>
                <w:rFonts w:hint="eastAsia" w:ascii="Times New Roman" w:hAnsi="Times New Roman" w:eastAsia="宋体" w:cs="Times New Roman"/>
                <w:kern w:val="0"/>
                <w:sz w:val="21"/>
                <w:szCs w:val="21"/>
                <w:lang w:val="en-US" w:eastAsia="zh-CN"/>
                <w14:ligatures w14:val="none"/>
              </w:rPr>
              <w:t>2</w:t>
            </w:r>
          </w:p>
        </w:tc>
        <w:tc>
          <w:tcPr>
            <w:tcW w:w="336" w:type="pct"/>
            <w:vAlign w:val="center"/>
          </w:tcPr>
          <w:p w14:paraId="0CBDBC47">
            <w:pPr>
              <w:keepNext w:val="0"/>
              <w:keepLines w:val="0"/>
              <w:widowControl/>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0"/>
                <w:sz w:val="21"/>
                <w:szCs w:val="21"/>
                <w:lang w:val="en-US" w:eastAsia="zh-CN"/>
                <w14:ligatures w14:val="none"/>
              </w:rPr>
            </w:pPr>
            <w:r>
              <w:rPr>
                <w:rFonts w:hint="eastAsia" w:ascii="Times New Roman" w:hAnsi="Times New Roman" w:eastAsia="宋体" w:cs="Times New Roman"/>
                <w:kern w:val="0"/>
                <w:sz w:val="21"/>
                <w:szCs w:val="21"/>
                <w:lang w:val="en-US" w:eastAsia="zh-CN"/>
                <w14:ligatures w14:val="none"/>
              </w:rPr>
              <w:t>次氯酸钠[含有效氯＞5%]</w:t>
            </w:r>
          </w:p>
        </w:tc>
        <w:tc>
          <w:tcPr>
            <w:tcW w:w="449" w:type="pct"/>
            <w:vAlign w:val="center"/>
          </w:tcPr>
          <w:p w14:paraId="01534768">
            <w:pPr>
              <w:keepNext w:val="0"/>
              <w:keepLines w:val="0"/>
              <w:widowControl/>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7681-52- 9</w:t>
            </w:r>
          </w:p>
        </w:tc>
        <w:tc>
          <w:tcPr>
            <w:tcW w:w="336" w:type="pct"/>
            <w:vAlign w:val="center"/>
          </w:tcPr>
          <w:p w14:paraId="3D70470B">
            <w:pPr>
              <w:keepNext w:val="0"/>
              <w:keepLines w:val="0"/>
              <w:widowControl/>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0"/>
                <w:sz w:val="21"/>
                <w:szCs w:val="21"/>
                <w:lang w:val="en-US" w:eastAsia="zh-CN"/>
                <w14:ligatures w14:val="none"/>
              </w:rPr>
            </w:pPr>
            <w:r>
              <w:rPr>
                <w:rFonts w:hint="eastAsia" w:ascii="Times New Roman" w:hAnsi="Times New Roman" w:eastAsia="宋体" w:cs="Times New Roman"/>
                <w:kern w:val="0"/>
                <w:sz w:val="21"/>
                <w:szCs w:val="21"/>
                <w:lang w:val="en-US" w:eastAsia="zh-CN"/>
                <w14:ligatures w14:val="none"/>
              </w:rPr>
              <w:t>1791</w:t>
            </w:r>
          </w:p>
        </w:tc>
        <w:tc>
          <w:tcPr>
            <w:tcW w:w="286" w:type="pct"/>
            <w:vAlign w:val="center"/>
          </w:tcPr>
          <w:p w14:paraId="1AF9E057">
            <w:pPr>
              <w:keepNext w:val="0"/>
              <w:keepLines w:val="0"/>
              <w:widowControl/>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0"/>
                <w:sz w:val="21"/>
                <w:szCs w:val="21"/>
                <w:lang w:val="en-US" w:eastAsia="zh-CN"/>
                <w14:ligatures w14:val="none"/>
              </w:rPr>
            </w:pPr>
            <w:r>
              <w:rPr>
                <w:rFonts w:hint="eastAsia" w:ascii="Times New Roman" w:hAnsi="Times New Roman" w:eastAsia="宋体" w:cs="Times New Roman"/>
                <w:kern w:val="0"/>
                <w:sz w:val="21"/>
                <w:szCs w:val="21"/>
                <w:lang w:val="en-US" w:eastAsia="zh-CN"/>
                <w14:ligatures w14:val="none"/>
              </w:rPr>
              <w:t>166</w:t>
            </w:r>
          </w:p>
        </w:tc>
        <w:tc>
          <w:tcPr>
            <w:tcW w:w="779" w:type="pct"/>
            <w:vAlign w:val="center"/>
          </w:tcPr>
          <w:p w14:paraId="44A7D5F1">
            <w:pPr>
              <w:keepNext w:val="0"/>
              <w:keepLines w:val="0"/>
              <w:widowControl/>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皮肤腐蚀/刺激,类别1B</w:t>
            </w:r>
          </w:p>
          <w:p w14:paraId="6D728BD7">
            <w:pPr>
              <w:keepNext w:val="0"/>
              <w:keepLines w:val="0"/>
              <w:widowControl/>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严重眼损伤/眼刺激,类别1</w:t>
            </w:r>
          </w:p>
          <w:p w14:paraId="7FB4BCC1">
            <w:pPr>
              <w:keepNext w:val="0"/>
              <w:keepLines w:val="0"/>
              <w:widowControl/>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危害水生环境-急性危害,类别1</w:t>
            </w:r>
          </w:p>
          <w:p w14:paraId="70EED70A">
            <w:pPr>
              <w:keepNext w:val="0"/>
              <w:keepLines w:val="0"/>
              <w:widowControl/>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危害水生环境-长期危害,类别1</w:t>
            </w:r>
          </w:p>
        </w:tc>
        <w:tc>
          <w:tcPr>
            <w:tcW w:w="317" w:type="pct"/>
            <w:shd w:val="clear" w:color="auto" w:fill="auto"/>
            <w:vAlign w:val="center"/>
          </w:tcPr>
          <w:p w14:paraId="2761F93E">
            <w:pPr>
              <w:keepNext w:val="0"/>
              <w:keepLines w:val="0"/>
              <w:widowControl/>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轻度</w:t>
            </w:r>
          </w:p>
          <w:p w14:paraId="1CEB6CEE">
            <w:pPr>
              <w:keepNext w:val="0"/>
              <w:keepLines w:val="0"/>
              <w:widowControl/>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0"/>
                <w:sz w:val="21"/>
                <w:szCs w:val="21"/>
                <w:lang w:val="en-US" w:eastAsia="zh-CN" w:bidi="ar-SA"/>
                <w14:ligatures w14:val="none"/>
              </w:rPr>
            </w:pPr>
            <w:r>
              <w:rPr>
                <w:rFonts w:hint="eastAsia" w:ascii="Times New Roman" w:hAnsi="Times New Roman" w:eastAsia="宋体" w:cs="Times New Roman"/>
                <w:kern w:val="0"/>
                <w:sz w:val="21"/>
                <w:szCs w:val="21"/>
                <w14:ligatures w14:val="none"/>
              </w:rPr>
              <w:t>危害</w:t>
            </w:r>
          </w:p>
        </w:tc>
        <w:tc>
          <w:tcPr>
            <w:tcW w:w="317" w:type="pct"/>
            <w:vAlign w:val="center"/>
          </w:tcPr>
          <w:p w14:paraId="36265338">
            <w:pPr>
              <w:keepNext w:val="0"/>
              <w:keepLines w:val="0"/>
              <w:widowControl/>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戊类</w:t>
            </w:r>
          </w:p>
        </w:tc>
        <w:tc>
          <w:tcPr>
            <w:tcW w:w="337" w:type="pct"/>
            <w:vAlign w:val="center"/>
          </w:tcPr>
          <w:p w14:paraId="2496AE82">
            <w:pPr>
              <w:keepNext w:val="0"/>
              <w:keepLines w:val="0"/>
              <w:widowControl/>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Ⅱ</w:t>
            </w:r>
            <w:r>
              <w:rPr>
                <w:rFonts w:hint="eastAsia" w:ascii="Times New Roman" w:hAnsi="Times New Roman" w:eastAsia="宋体" w:cs="Times New Roman"/>
                <w:kern w:val="0"/>
                <w:sz w:val="21"/>
                <w:szCs w:val="21"/>
                <w:lang w:val="en-US" w:eastAsia="zh-CN"/>
                <w14:ligatures w14:val="none"/>
              </w:rPr>
              <w:t>/</w:t>
            </w:r>
            <w:r>
              <w:rPr>
                <w:rFonts w:hint="eastAsia" w:ascii="Times New Roman" w:hAnsi="Times New Roman" w:eastAsia="宋体" w:cs="Times New Roman"/>
                <w:kern w:val="0"/>
                <w:sz w:val="21"/>
                <w:szCs w:val="21"/>
                <w:highlight w:val="none"/>
                <w14:ligatures w14:val="none"/>
              </w:rPr>
              <w:t>Ⅲ</w:t>
            </w:r>
          </w:p>
        </w:tc>
        <w:tc>
          <w:tcPr>
            <w:tcW w:w="337" w:type="pct"/>
            <w:vAlign w:val="center"/>
          </w:tcPr>
          <w:p w14:paraId="6834B592">
            <w:pPr>
              <w:keepNext w:val="0"/>
              <w:keepLines w:val="0"/>
              <w:widowControl/>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highlight w:val="none"/>
                <w14:ligatures w14:val="none"/>
              </w:rPr>
              <w:t>8</w:t>
            </w:r>
          </w:p>
        </w:tc>
        <w:tc>
          <w:tcPr>
            <w:tcW w:w="337" w:type="pct"/>
            <w:vAlign w:val="center"/>
          </w:tcPr>
          <w:p w14:paraId="1E9CC0D0">
            <w:pPr>
              <w:keepNext w:val="0"/>
              <w:keepLines w:val="0"/>
              <w:widowControl/>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w:t>
            </w:r>
          </w:p>
        </w:tc>
        <w:tc>
          <w:tcPr>
            <w:tcW w:w="337" w:type="pct"/>
            <w:vAlign w:val="center"/>
          </w:tcPr>
          <w:p w14:paraId="6623487A">
            <w:pPr>
              <w:keepNext w:val="0"/>
              <w:keepLines w:val="0"/>
              <w:widowControl/>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w:t>
            </w:r>
          </w:p>
        </w:tc>
        <w:tc>
          <w:tcPr>
            <w:tcW w:w="393" w:type="pct"/>
            <w:vAlign w:val="center"/>
          </w:tcPr>
          <w:p w14:paraId="340CA512">
            <w:pPr>
              <w:keepNext w:val="0"/>
              <w:keepLines w:val="0"/>
              <w:widowControl/>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w:t>
            </w:r>
          </w:p>
        </w:tc>
        <w:tc>
          <w:tcPr>
            <w:tcW w:w="262" w:type="pct"/>
            <w:vAlign w:val="center"/>
          </w:tcPr>
          <w:p w14:paraId="3F0FB31A">
            <w:pPr>
              <w:keepNext w:val="0"/>
              <w:keepLines w:val="0"/>
              <w:widowControl/>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0"/>
                <w:sz w:val="21"/>
                <w:szCs w:val="21"/>
                <w:lang w:val="en-US" w:eastAsia="zh-CN"/>
                <w14:ligatures w14:val="none"/>
              </w:rPr>
            </w:pPr>
          </w:p>
        </w:tc>
      </w:tr>
      <w:tr w14:paraId="333D84E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blHeader/>
          <w:jc w:val="center"/>
        </w:trPr>
        <w:tc>
          <w:tcPr>
            <w:tcW w:w="168" w:type="pct"/>
            <w:vAlign w:val="center"/>
          </w:tcPr>
          <w:p w14:paraId="1D5861FF">
            <w:pPr>
              <w:keepNext w:val="0"/>
              <w:keepLines w:val="0"/>
              <w:widowControl/>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0"/>
                <w:sz w:val="21"/>
                <w:szCs w:val="21"/>
                <w:lang w:val="en-US" w:eastAsia="zh-CN"/>
                <w14:ligatures w14:val="none"/>
              </w:rPr>
            </w:pPr>
            <w:r>
              <w:rPr>
                <w:rFonts w:hint="eastAsia" w:ascii="Times New Roman" w:hAnsi="Times New Roman" w:eastAsia="宋体" w:cs="Times New Roman"/>
                <w:kern w:val="0"/>
                <w:sz w:val="21"/>
                <w:szCs w:val="21"/>
                <w:lang w:val="en-US" w:eastAsia="zh-CN"/>
                <w14:ligatures w14:val="none"/>
              </w:rPr>
              <w:t>3</w:t>
            </w:r>
          </w:p>
        </w:tc>
        <w:tc>
          <w:tcPr>
            <w:tcW w:w="336" w:type="pct"/>
            <w:vAlign w:val="center"/>
          </w:tcPr>
          <w:p w14:paraId="09A5F06C">
            <w:pPr>
              <w:keepNext w:val="0"/>
              <w:keepLines w:val="0"/>
              <w:widowControl/>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0"/>
                <w:sz w:val="21"/>
                <w:szCs w:val="21"/>
                <w:lang w:val="en-US" w:eastAsia="zh-CN"/>
                <w14:ligatures w14:val="none"/>
              </w:rPr>
            </w:pPr>
            <w:r>
              <w:rPr>
                <w:rFonts w:hint="eastAsia" w:ascii="Times New Roman" w:hAnsi="Times New Roman" w:eastAsia="宋体" w:cs="Times New Roman"/>
                <w:kern w:val="0"/>
                <w:sz w:val="21"/>
                <w:szCs w:val="21"/>
                <w:lang w:val="en-US" w:eastAsia="zh-CN"/>
                <w14:ligatures w14:val="none"/>
              </w:rPr>
              <w:t>四氯化钛</w:t>
            </w:r>
          </w:p>
        </w:tc>
        <w:tc>
          <w:tcPr>
            <w:tcW w:w="449" w:type="pct"/>
            <w:vAlign w:val="center"/>
          </w:tcPr>
          <w:p w14:paraId="3BB9D072">
            <w:pPr>
              <w:keepNext w:val="0"/>
              <w:keepLines w:val="0"/>
              <w:widowControl/>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7550-45- 0</w:t>
            </w:r>
          </w:p>
        </w:tc>
        <w:tc>
          <w:tcPr>
            <w:tcW w:w="336" w:type="pct"/>
            <w:vAlign w:val="center"/>
          </w:tcPr>
          <w:p w14:paraId="31A58838">
            <w:pPr>
              <w:keepNext w:val="0"/>
              <w:keepLines w:val="0"/>
              <w:widowControl/>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0"/>
                <w:sz w:val="21"/>
                <w:szCs w:val="21"/>
                <w:lang w:val="en-US" w:eastAsia="zh-CN"/>
                <w14:ligatures w14:val="none"/>
              </w:rPr>
            </w:pPr>
            <w:r>
              <w:rPr>
                <w:rFonts w:hint="eastAsia" w:ascii="Times New Roman" w:hAnsi="Times New Roman" w:eastAsia="宋体" w:cs="Times New Roman"/>
                <w:kern w:val="0"/>
                <w:sz w:val="21"/>
                <w:szCs w:val="21"/>
                <w:lang w:val="en-US" w:eastAsia="zh-CN"/>
                <w14:ligatures w14:val="none"/>
              </w:rPr>
              <w:t>1838</w:t>
            </w:r>
          </w:p>
        </w:tc>
        <w:tc>
          <w:tcPr>
            <w:tcW w:w="286" w:type="pct"/>
            <w:vAlign w:val="center"/>
          </w:tcPr>
          <w:p w14:paraId="0E1BD10F">
            <w:pPr>
              <w:keepNext w:val="0"/>
              <w:keepLines w:val="0"/>
              <w:widowControl/>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0"/>
                <w:sz w:val="21"/>
                <w:szCs w:val="21"/>
                <w:lang w:val="en-US" w:eastAsia="zh-CN"/>
                <w14:ligatures w14:val="none"/>
              </w:rPr>
            </w:pPr>
            <w:r>
              <w:rPr>
                <w:rFonts w:hint="eastAsia" w:ascii="Times New Roman" w:hAnsi="Times New Roman" w:eastAsia="宋体" w:cs="Times New Roman"/>
                <w:kern w:val="0"/>
                <w:sz w:val="21"/>
                <w:szCs w:val="21"/>
                <w:lang w:val="en-US" w:eastAsia="zh-CN"/>
                <w14:ligatures w14:val="none"/>
              </w:rPr>
              <w:t>2055</w:t>
            </w:r>
          </w:p>
        </w:tc>
        <w:tc>
          <w:tcPr>
            <w:tcW w:w="779" w:type="pct"/>
            <w:vAlign w:val="center"/>
          </w:tcPr>
          <w:p w14:paraId="5F5A4AF4">
            <w:pPr>
              <w:keepNext w:val="0"/>
              <w:keepLines w:val="0"/>
              <w:widowControl/>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皮肤腐蚀/刺激,类别1B</w:t>
            </w:r>
          </w:p>
          <w:p w14:paraId="4DFEF4CB">
            <w:pPr>
              <w:keepNext w:val="0"/>
              <w:keepLines w:val="0"/>
              <w:widowControl/>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严重眼损伤/眼刺激,类别1</w:t>
            </w:r>
          </w:p>
        </w:tc>
        <w:tc>
          <w:tcPr>
            <w:tcW w:w="317" w:type="pct"/>
            <w:vAlign w:val="center"/>
          </w:tcPr>
          <w:p w14:paraId="0EF57B28">
            <w:pPr>
              <w:keepNext w:val="0"/>
              <w:keepLines w:val="0"/>
              <w:widowControl/>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轻度</w:t>
            </w:r>
          </w:p>
          <w:p w14:paraId="5AAC0B4D">
            <w:pPr>
              <w:keepNext w:val="0"/>
              <w:keepLines w:val="0"/>
              <w:widowControl/>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危害</w:t>
            </w:r>
          </w:p>
        </w:tc>
        <w:tc>
          <w:tcPr>
            <w:tcW w:w="317" w:type="pct"/>
            <w:vAlign w:val="center"/>
          </w:tcPr>
          <w:p w14:paraId="7D5F5AAF">
            <w:pPr>
              <w:keepNext w:val="0"/>
              <w:keepLines w:val="0"/>
              <w:widowControl/>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戊类</w:t>
            </w:r>
          </w:p>
        </w:tc>
        <w:tc>
          <w:tcPr>
            <w:tcW w:w="337" w:type="pct"/>
            <w:vAlign w:val="center"/>
          </w:tcPr>
          <w:p w14:paraId="1DD91221">
            <w:pPr>
              <w:keepNext w:val="0"/>
              <w:keepLines w:val="0"/>
              <w:widowControl/>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0"/>
                <w:sz w:val="21"/>
                <w:szCs w:val="21"/>
                <w:highlight w:val="none"/>
                <w:lang w:val="en-US" w:eastAsia="zh-CN"/>
                <w14:ligatures w14:val="none"/>
              </w:rPr>
            </w:pPr>
            <w:r>
              <w:rPr>
                <w:rFonts w:hint="eastAsia" w:ascii="Times New Roman" w:hAnsi="Times New Roman" w:eastAsia="宋体" w:cs="Times New Roman"/>
                <w:kern w:val="0"/>
                <w:sz w:val="21"/>
                <w:szCs w:val="21"/>
                <w:highlight w:val="none"/>
                <w:lang w:val="en-US" w:eastAsia="zh-CN"/>
                <w14:ligatures w14:val="none"/>
              </w:rPr>
              <w:t>Ⅰ</w:t>
            </w:r>
          </w:p>
        </w:tc>
        <w:tc>
          <w:tcPr>
            <w:tcW w:w="337" w:type="pct"/>
            <w:vAlign w:val="center"/>
          </w:tcPr>
          <w:p w14:paraId="659FCF14">
            <w:pPr>
              <w:keepNext w:val="0"/>
              <w:keepLines w:val="0"/>
              <w:widowControl/>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0"/>
                <w:sz w:val="21"/>
                <w:szCs w:val="21"/>
                <w:highlight w:val="none"/>
                <w:lang w:val="en-US" w:eastAsia="zh-CN"/>
                <w14:ligatures w14:val="none"/>
              </w:rPr>
            </w:pPr>
            <w:r>
              <w:rPr>
                <w:rFonts w:hint="eastAsia" w:ascii="Times New Roman" w:hAnsi="Times New Roman" w:eastAsia="宋体" w:cs="Times New Roman"/>
                <w:kern w:val="0"/>
                <w:sz w:val="21"/>
                <w:szCs w:val="21"/>
                <w:highlight w:val="none"/>
                <w:lang w:val="en-US" w:eastAsia="zh-CN"/>
                <w14:ligatures w14:val="none"/>
              </w:rPr>
              <w:t>6.1</w:t>
            </w:r>
          </w:p>
        </w:tc>
        <w:tc>
          <w:tcPr>
            <w:tcW w:w="337" w:type="pct"/>
            <w:vAlign w:val="center"/>
          </w:tcPr>
          <w:p w14:paraId="7D7682F4">
            <w:pPr>
              <w:keepNext w:val="0"/>
              <w:keepLines w:val="0"/>
              <w:widowControl/>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0"/>
                <w:sz w:val="21"/>
                <w:szCs w:val="21"/>
                <w:highlight w:val="none"/>
                <w:lang w:val="en-US" w:eastAsia="zh-CN"/>
                <w14:ligatures w14:val="none"/>
              </w:rPr>
            </w:pPr>
            <w:r>
              <w:rPr>
                <w:rFonts w:hint="eastAsia" w:ascii="Times New Roman" w:hAnsi="Times New Roman" w:eastAsia="宋体" w:cs="Times New Roman"/>
                <w:kern w:val="0"/>
                <w:sz w:val="21"/>
                <w:szCs w:val="21"/>
                <w:highlight w:val="none"/>
                <w:lang w:val="en-US" w:eastAsia="zh-CN"/>
                <w14:ligatures w14:val="none"/>
              </w:rPr>
              <w:t>8</w:t>
            </w:r>
          </w:p>
        </w:tc>
        <w:tc>
          <w:tcPr>
            <w:tcW w:w="337" w:type="pct"/>
            <w:vAlign w:val="center"/>
          </w:tcPr>
          <w:p w14:paraId="1C8D5808">
            <w:pPr>
              <w:keepNext w:val="0"/>
              <w:keepLines w:val="0"/>
              <w:widowControl/>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0"/>
                <w:sz w:val="21"/>
                <w:szCs w:val="21"/>
                <w:lang w:val="en-US" w:eastAsia="zh-CN"/>
                <w14:ligatures w14:val="none"/>
              </w:rPr>
            </w:pPr>
            <w:r>
              <w:rPr>
                <w:rFonts w:hint="eastAsia" w:ascii="Times New Roman" w:hAnsi="Times New Roman" w:eastAsia="宋体" w:cs="Times New Roman"/>
                <w:kern w:val="0"/>
                <w:sz w:val="21"/>
                <w:szCs w:val="21"/>
                <w:lang w:val="en-US" w:eastAsia="zh-CN"/>
                <w14:ligatures w14:val="none"/>
              </w:rPr>
              <w:t>-</w:t>
            </w:r>
          </w:p>
        </w:tc>
        <w:tc>
          <w:tcPr>
            <w:tcW w:w="393" w:type="pct"/>
            <w:vAlign w:val="center"/>
          </w:tcPr>
          <w:p w14:paraId="0122BE88">
            <w:pPr>
              <w:keepNext w:val="0"/>
              <w:keepLines w:val="0"/>
              <w:widowControl/>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0"/>
                <w:sz w:val="21"/>
                <w:szCs w:val="21"/>
                <w:lang w:val="en-US" w:eastAsia="zh-CN"/>
                <w14:ligatures w14:val="none"/>
              </w:rPr>
            </w:pPr>
            <w:r>
              <w:rPr>
                <w:rFonts w:hint="eastAsia" w:ascii="Times New Roman" w:hAnsi="Times New Roman" w:eastAsia="宋体" w:cs="Times New Roman"/>
                <w:kern w:val="0"/>
                <w:sz w:val="21"/>
                <w:szCs w:val="21"/>
                <w:lang w:val="en-US" w:eastAsia="zh-CN"/>
                <w14:ligatures w14:val="none"/>
              </w:rPr>
              <w:t>-</w:t>
            </w:r>
          </w:p>
        </w:tc>
        <w:tc>
          <w:tcPr>
            <w:tcW w:w="262" w:type="pct"/>
            <w:vAlign w:val="center"/>
          </w:tcPr>
          <w:p w14:paraId="0724928B">
            <w:pPr>
              <w:keepNext w:val="0"/>
              <w:keepLines w:val="0"/>
              <w:widowControl/>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lang w:val="en-US" w:eastAsia="zh-CN"/>
                <w14:ligatures w14:val="none"/>
              </w:rPr>
              <w:t>重点监管的危险化学品</w:t>
            </w:r>
          </w:p>
        </w:tc>
      </w:tr>
      <w:tr w14:paraId="3575505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blHeader/>
          <w:jc w:val="center"/>
        </w:trPr>
        <w:tc>
          <w:tcPr>
            <w:tcW w:w="168" w:type="pct"/>
            <w:vAlign w:val="center"/>
          </w:tcPr>
          <w:p w14:paraId="2E2F11C8">
            <w:pPr>
              <w:keepNext w:val="0"/>
              <w:keepLines w:val="0"/>
              <w:widowControl/>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0"/>
                <w:sz w:val="21"/>
                <w:szCs w:val="21"/>
                <w:lang w:val="en-US" w:eastAsia="zh-CN"/>
                <w14:ligatures w14:val="none"/>
              </w:rPr>
            </w:pPr>
            <w:r>
              <w:rPr>
                <w:rFonts w:hint="eastAsia" w:ascii="Times New Roman" w:hAnsi="Times New Roman" w:eastAsia="宋体" w:cs="Times New Roman"/>
                <w:kern w:val="0"/>
                <w:sz w:val="21"/>
                <w:szCs w:val="21"/>
                <w:lang w:val="en-US" w:eastAsia="zh-CN"/>
                <w14:ligatures w14:val="none"/>
              </w:rPr>
              <w:t>4</w:t>
            </w:r>
          </w:p>
        </w:tc>
        <w:tc>
          <w:tcPr>
            <w:tcW w:w="336" w:type="pct"/>
            <w:vAlign w:val="center"/>
          </w:tcPr>
          <w:p w14:paraId="4411ED7A">
            <w:pPr>
              <w:keepNext w:val="0"/>
              <w:keepLines w:val="0"/>
              <w:widowControl/>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0"/>
                <w:sz w:val="21"/>
                <w:szCs w:val="21"/>
                <w:lang w:val="en-US" w:eastAsia="zh-CN"/>
                <w14:ligatures w14:val="none"/>
              </w:rPr>
            </w:pPr>
            <w:r>
              <w:rPr>
                <w:rFonts w:hint="eastAsia" w:ascii="Times New Roman" w:hAnsi="Times New Roman" w:eastAsia="宋体" w:cs="Times New Roman"/>
                <w:kern w:val="0"/>
                <w:sz w:val="21"/>
                <w:szCs w:val="21"/>
                <w:lang w:val="en-US" w:eastAsia="zh-CN"/>
                <w14:ligatures w14:val="none"/>
              </w:rPr>
              <w:t>硫酸</w:t>
            </w:r>
          </w:p>
        </w:tc>
        <w:tc>
          <w:tcPr>
            <w:tcW w:w="449" w:type="pct"/>
            <w:vAlign w:val="center"/>
          </w:tcPr>
          <w:p w14:paraId="71CC26F4">
            <w:pPr>
              <w:keepNext w:val="0"/>
              <w:keepLines w:val="0"/>
              <w:widowControl/>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0"/>
                <w:sz w:val="21"/>
                <w:szCs w:val="21"/>
                <w14:ligatures w14:val="none"/>
              </w:rPr>
            </w:pPr>
            <w:r>
              <w:rPr>
                <w:rFonts w:hint="default" w:ascii="Times New Roman" w:hAnsi="Times New Roman" w:cs="Times New Roman"/>
                <w:kern w:val="0"/>
                <w:sz w:val="21"/>
                <w:szCs w:val="21"/>
              </w:rPr>
              <w:t>7664-93-9</w:t>
            </w:r>
          </w:p>
        </w:tc>
        <w:tc>
          <w:tcPr>
            <w:tcW w:w="336" w:type="pct"/>
            <w:vAlign w:val="center"/>
          </w:tcPr>
          <w:p w14:paraId="1BE89E94">
            <w:pPr>
              <w:keepNext w:val="0"/>
              <w:keepLines w:val="0"/>
              <w:widowControl/>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0"/>
                <w:sz w:val="21"/>
                <w:szCs w:val="21"/>
                <w:lang w:val="en-US" w:eastAsia="zh-CN"/>
                <w14:ligatures w14:val="none"/>
              </w:rPr>
            </w:pPr>
            <w:r>
              <w:rPr>
                <w:rFonts w:hint="eastAsia" w:ascii="Times New Roman" w:hAnsi="Times New Roman" w:eastAsia="宋体" w:cs="Times New Roman"/>
                <w:kern w:val="0"/>
                <w:sz w:val="21"/>
                <w:szCs w:val="21"/>
                <w:lang w:val="en-US" w:eastAsia="zh-CN"/>
                <w14:ligatures w14:val="none"/>
              </w:rPr>
              <w:t>1830</w:t>
            </w:r>
          </w:p>
        </w:tc>
        <w:tc>
          <w:tcPr>
            <w:tcW w:w="286" w:type="pct"/>
            <w:vAlign w:val="center"/>
          </w:tcPr>
          <w:p w14:paraId="1C0429EF">
            <w:pPr>
              <w:keepNext w:val="0"/>
              <w:keepLines w:val="0"/>
              <w:widowControl/>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0"/>
                <w:sz w:val="21"/>
                <w:szCs w:val="21"/>
                <w:lang w:val="en-US" w:eastAsia="zh-CN"/>
                <w14:ligatures w14:val="none"/>
              </w:rPr>
            </w:pPr>
            <w:r>
              <w:rPr>
                <w:rFonts w:hint="eastAsia" w:ascii="Times New Roman" w:hAnsi="Times New Roman" w:eastAsia="宋体" w:cs="Times New Roman"/>
                <w:kern w:val="0"/>
                <w:sz w:val="21"/>
                <w:szCs w:val="21"/>
                <w:lang w:val="en-US" w:eastAsia="zh-CN"/>
                <w14:ligatures w14:val="none"/>
              </w:rPr>
              <w:t>1302</w:t>
            </w:r>
          </w:p>
        </w:tc>
        <w:tc>
          <w:tcPr>
            <w:tcW w:w="779" w:type="pct"/>
            <w:vAlign w:val="center"/>
          </w:tcPr>
          <w:p w14:paraId="3C8317C8">
            <w:pPr>
              <w:keepNext w:val="0"/>
              <w:keepLines w:val="0"/>
              <w:widowControl/>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皮肤腐蚀/刺激,类别1A</w:t>
            </w:r>
          </w:p>
          <w:p w14:paraId="2B8E48EC">
            <w:pPr>
              <w:keepNext w:val="0"/>
              <w:keepLines w:val="0"/>
              <w:widowControl/>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严重眼损伤/眼刺激,类别1</w:t>
            </w:r>
          </w:p>
        </w:tc>
        <w:tc>
          <w:tcPr>
            <w:tcW w:w="317" w:type="pct"/>
            <w:vAlign w:val="center"/>
          </w:tcPr>
          <w:p w14:paraId="6E7BC659">
            <w:pPr>
              <w:keepNext w:val="0"/>
              <w:keepLines w:val="0"/>
              <w:widowControl/>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0"/>
                <w:sz w:val="21"/>
                <w:szCs w:val="21"/>
                <w:lang w:val="en-US" w:eastAsia="zh-CN"/>
                <w14:ligatures w14:val="none"/>
              </w:rPr>
            </w:pPr>
            <w:r>
              <w:rPr>
                <w:rFonts w:hint="eastAsia" w:ascii="Times New Roman" w:hAnsi="Times New Roman" w:eastAsia="宋体" w:cs="Times New Roman"/>
                <w:kern w:val="0"/>
                <w:sz w:val="21"/>
                <w:szCs w:val="21"/>
                <w:lang w:val="en-US" w:eastAsia="zh-CN"/>
                <w14:ligatures w14:val="none"/>
              </w:rPr>
              <w:t>中等</w:t>
            </w:r>
          </w:p>
          <w:p w14:paraId="24F64891">
            <w:pPr>
              <w:keepNext w:val="0"/>
              <w:keepLines w:val="0"/>
              <w:widowControl/>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0"/>
                <w:sz w:val="21"/>
                <w:szCs w:val="21"/>
                <w:lang w:val="en-US" w:eastAsia="zh-CN"/>
                <w14:ligatures w14:val="none"/>
              </w:rPr>
            </w:pPr>
            <w:r>
              <w:rPr>
                <w:rFonts w:hint="eastAsia" w:ascii="Times New Roman" w:hAnsi="Times New Roman" w:eastAsia="宋体" w:cs="Times New Roman"/>
                <w:kern w:val="0"/>
                <w:sz w:val="21"/>
                <w:szCs w:val="21"/>
                <w:lang w:val="en-US" w:eastAsia="zh-CN"/>
                <w14:ligatures w14:val="none"/>
              </w:rPr>
              <w:t>毒性</w:t>
            </w:r>
          </w:p>
        </w:tc>
        <w:tc>
          <w:tcPr>
            <w:tcW w:w="317" w:type="pct"/>
            <w:vAlign w:val="center"/>
          </w:tcPr>
          <w:p w14:paraId="513BF0E6">
            <w:pPr>
              <w:keepNext w:val="0"/>
              <w:keepLines w:val="0"/>
              <w:widowControl/>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戊类</w:t>
            </w:r>
          </w:p>
        </w:tc>
        <w:tc>
          <w:tcPr>
            <w:tcW w:w="337" w:type="pct"/>
            <w:vAlign w:val="center"/>
          </w:tcPr>
          <w:p w14:paraId="3E4BFD88">
            <w:pPr>
              <w:keepNext w:val="0"/>
              <w:keepLines w:val="0"/>
              <w:widowControl/>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Ⅱ</w:t>
            </w:r>
          </w:p>
        </w:tc>
        <w:tc>
          <w:tcPr>
            <w:tcW w:w="337" w:type="pct"/>
            <w:vAlign w:val="center"/>
          </w:tcPr>
          <w:p w14:paraId="221A5FC5">
            <w:pPr>
              <w:keepNext w:val="0"/>
              <w:keepLines w:val="0"/>
              <w:widowControl/>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0"/>
                <w:sz w:val="21"/>
                <w:szCs w:val="21"/>
                <w:lang w:val="en-US" w:eastAsia="zh-CN"/>
                <w14:ligatures w14:val="none"/>
              </w:rPr>
            </w:pPr>
            <w:r>
              <w:rPr>
                <w:rFonts w:hint="eastAsia" w:ascii="Times New Roman" w:hAnsi="Times New Roman" w:eastAsia="宋体" w:cs="Times New Roman"/>
                <w:kern w:val="0"/>
                <w:sz w:val="21"/>
                <w:szCs w:val="21"/>
                <w:lang w:val="en-US" w:eastAsia="zh-CN"/>
                <w14:ligatures w14:val="none"/>
              </w:rPr>
              <w:t>8</w:t>
            </w:r>
          </w:p>
        </w:tc>
        <w:tc>
          <w:tcPr>
            <w:tcW w:w="337" w:type="pct"/>
            <w:vAlign w:val="center"/>
          </w:tcPr>
          <w:p w14:paraId="5AD69DFF">
            <w:pPr>
              <w:keepNext w:val="0"/>
              <w:keepLines w:val="0"/>
              <w:widowControl/>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0"/>
                <w:sz w:val="21"/>
                <w:szCs w:val="21"/>
                <w:lang w:val="en-US" w:eastAsia="zh-CN"/>
                <w14:ligatures w14:val="none"/>
              </w:rPr>
            </w:pPr>
            <w:r>
              <w:rPr>
                <w:rFonts w:hint="eastAsia" w:ascii="Times New Roman" w:hAnsi="Times New Roman" w:eastAsia="宋体" w:cs="Times New Roman"/>
                <w:kern w:val="0"/>
                <w:sz w:val="21"/>
                <w:szCs w:val="21"/>
                <w:lang w:val="en-US" w:eastAsia="zh-CN"/>
                <w14:ligatures w14:val="none"/>
              </w:rPr>
              <w:t>-</w:t>
            </w:r>
          </w:p>
        </w:tc>
        <w:tc>
          <w:tcPr>
            <w:tcW w:w="337" w:type="pct"/>
            <w:vAlign w:val="center"/>
          </w:tcPr>
          <w:p w14:paraId="548F5DD2">
            <w:pPr>
              <w:keepNext w:val="0"/>
              <w:keepLines w:val="0"/>
              <w:widowControl/>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0"/>
                <w:sz w:val="21"/>
                <w:szCs w:val="21"/>
                <w:lang w:val="en-US" w:eastAsia="zh-CN"/>
                <w14:ligatures w14:val="none"/>
              </w:rPr>
            </w:pPr>
            <w:r>
              <w:rPr>
                <w:rFonts w:hint="eastAsia" w:ascii="Times New Roman" w:hAnsi="Times New Roman" w:eastAsia="宋体" w:cs="Times New Roman"/>
                <w:kern w:val="0"/>
                <w:sz w:val="21"/>
                <w:szCs w:val="21"/>
                <w:lang w:val="en-US" w:eastAsia="zh-CN"/>
                <w14:ligatures w14:val="none"/>
              </w:rPr>
              <w:t>-</w:t>
            </w:r>
          </w:p>
        </w:tc>
        <w:tc>
          <w:tcPr>
            <w:tcW w:w="393" w:type="pct"/>
            <w:vAlign w:val="center"/>
          </w:tcPr>
          <w:p w14:paraId="37452208">
            <w:pPr>
              <w:keepNext w:val="0"/>
              <w:keepLines w:val="0"/>
              <w:widowControl/>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0"/>
                <w:sz w:val="21"/>
                <w:szCs w:val="21"/>
                <w:lang w:val="en-US" w:eastAsia="zh-CN"/>
                <w14:ligatures w14:val="none"/>
              </w:rPr>
            </w:pPr>
            <w:r>
              <w:rPr>
                <w:rFonts w:hint="eastAsia" w:ascii="Times New Roman" w:hAnsi="Times New Roman" w:eastAsia="宋体" w:cs="Times New Roman"/>
                <w:kern w:val="0"/>
                <w:sz w:val="21"/>
                <w:szCs w:val="21"/>
                <w:lang w:val="en-US" w:eastAsia="zh-CN"/>
                <w14:ligatures w14:val="none"/>
              </w:rPr>
              <w:t>-</w:t>
            </w:r>
          </w:p>
        </w:tc>
        <w:tc>
          <w:tcPr>
            <w:tcW w:w="262" w:type="pct"/>
            <w:vAlign w:val="center"/>
          </w:tcPr>
          <w:p w14:paraId="5E798DDA">
            <w:pPr>
              <w:keepNext w:val="0"/>
              <w:keepLines w:val="0"/>
              <w:widowControl/>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0"/>
                <w:sz w:val="21"/>
                <w:szCs w:val="21"/>
                <w:lang w:val="en-US" w:eastAsia="zh-CN"/>
                <w14:ligatures w14:val="none"/>
              </w:rPr>
            </w:pPr>
            <w:r>
              <w:rPr>
                <w:rFonts w:hint="eastAsia" w:ascii="Times New Roman" w:hAnsi="Times New Roman" w:eastAsia="宋体" w:cs="Times New Roman"/>
                <w:kern w:val="0"/>
                <w:sz w:val="21"/>
                <w:szCs w:val="21"/>
                <w:lang w:val="en-US" w:eastAsia="zh-CN"/>
                <w14:ligatures w14:val="none"/>
              </w:rPr>
              <w:t>易制毒</w:t>
            </w:r>
          </w:p>
        </w:tc>
      </w:tr>
      <w:tr w14:paraId="0220FA3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blHeader/>
          <w:jc w:val="center"/>
        </w:trPr>
        <w:tc>
          <w:tcPr>
            <w:tcW w:w="5000" w:type="pct"/>
            <w:gridSpan w:val="14"/>
            <w:vAlign w:val="top"/>
          </w:tcPr>
          <w:p w14:paraId="2C64EEE8">
            <w:pPr>
              <w:keepNext w:val="0"/>
              <w:keepLines w:val="0"/>
              <w:widowControl/>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注：</w:t>
            </w:r>
          </w:p>
          <w:p w14:paraId="372DFD31">
            <w:pPr>
              <w:keepNext w:val="0"/>
              <w:keepLines w:val="0"/>
              <w:widowControl/>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1、物质的火灾危险性依据《</w:t>
            </w:r>
            <w:r>
              <w:rPr>
                <w:rFonts w:hint="eastAsia" w:ascii="Times New Roman" w:hAnsi="Times New Roman" w:eastAsia="宋体" w:cs="Times New Roman"/>
                <w:kern w:val="0"/>
                <w:sz w:val="21"/>
                <w:szCs w:val="21"/>
                <w14:ligatures w14:val="none"/>
              </w:rPr>
              <w:t>建筑设计防火规范</w:t>
            </w:r>
            <w:r>
              <w:rPr>
                <w:rFonts w:hint="default" w:ascii="Times New Roman" w:hAnsi="Times New Roman" w:eastAsia="宋体" w:cs="Times New Roman"/>
                <w:kern w:val="0"/>
                <w:sz w:val="21"/>
                <w:szCs w:val="21"/>
                <w14:ligatures w14:val="none"/>
              </w:rPr>
              <w:t>（2018年版）》</w:t>
            </w:r>
            <w:r>
              <w:rPr>
                <w:rFonts w:hint="eastAsia" w:ascii="Times New Roman" w:hAnsi="Times New Roman" w:eastAsia="宋体" w:cs="Times New Roman"/>
                <w:kern w:val="0"/>
                <w:sz w:val="21"/>
                <w:szCs w:val="21"/>
                <w14:ligatures w14:val="none"/>
              </w:rPr>
              <w:t>（GB50016-2014）</w:t>
            </w:r>
            <w:r>
              <w:rPr>
                <w:rFonts w:hint="default" w:ascii="Times New Roman" w:hAnsi="Times New Roman" w:eastAsia="宋体" w:cs="Times New Roman"/>
                <w:kern w:val="0"/>
                <w:sz w:val="21"/>
                <w:szCs w:val="21"/>
                <w14:ligatures w14:val="none"/>
              </w:rPr>
              <w:t>划分；</w:t>
            </w:r>
          </w:p>
          <w:p w14:paraId="7A572281">
            <w:pPr>
              <w:keepNext w:val="0"/>
              <w:keepLines w:val="0"/>
              <w:widowControl/>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2、危险化学品依据《危险化学品目录（2015版）》（国家安全生产监督管理总局等十部门公告2015年第5号）和《关于调整危险化学品目录（2015版）的公告》（中华人民共和国应急管理部等十部门公告2022年第8号）辨识；</w:t>
            </w:r>
          </w:p>
          <w:p w14:paraId="4A052704">
            <w:pPr>
              <w:keepNext w:val="0"/>
              <w:keepLines w:val="0"/>
              <w:widowControl/>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lang w:val="en-US" w:eastAsia="zh-CN"/>
                <w14:ligatures w14:val="none"/>
              </w:rPr>
              <w:t>3、</w:t>
            </w:r>
            <w:r>
              <w:rPr>
                <w:rFonts w:hint="default" w:ascii="Times New Roman" w:hAnsi="Times New Roman" w:eastAsia="宋体" w:cs="Times New Roman"/>
                <w:kern w:val="0"/>
                <w:sz w:val="21"/>
                <w:szCs w:val="21"/>
                <w14:ligatures w14:val="none"/>
              </w:rPr>
              <w:t>重点监管的危险化学品依据《国家安全监管总局关于公布首批重点监管的危险化学品名录的通知》、《国家安全监管总局关于公布第二批重点监管危险化学品名录的通知》进行辨识；</w:t>
            </w:r>
          </w:p>
          <w:p w14:paraId="0D344D7D">
            <w:pPr>
              <w:keepNext w:val="0"/>
              <w:keepLines w:val="0"/>
              <w:widowControl/>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lang w:val="en-US" w:eastAsia="zh-CN"/>
                <w14:ligatures w14:val="none"/>
              </w:rPr>
              <w:t>4</w:t>
            </w:r>
            <w:r>
              <w:rPr>
                <w:rFonts w:hint="eastAsia" w:ascii="Times New Roman" w:hAnsi="Times New Roman" w:eastAsia="宋体" w:cs="Times New Roman"/>
                <w:kern w:val="0"/>
                <w:sz w:val="21"/>
                <w:szCs w:val="21"/>
                <w14:ligatures w14:val="none"/>
              </w:rPr>
              <w:t>、包装类别、主要危险性、次要危险性依据《危险货物品名表》（GB 12268-2012）辨识；</w:t>
            </w:r>
          </w:p>
          <w:p w14:paraId="7BD3A9AB">
            <w:pPr>
              <w:keepNext w:val="0"/>
              <w:keepLines w:val="0"/>
              <w:widowControl/>
              <w:suppressLineNumbers w:val="0"/>
              <w:adjustRightInd w:val="0"/>
              <w:snapToGrid w:val="0"/>
              <w:spacing w:before="0" w:beforeAutospacing="0" w:after="0" w:afterAutospacing="0" w:line="240" w:lineRule="auto"/>
              <w:ind w:left="0" w:right="0"/>
              <w:jc w:val="both"/>
              <w:rPr>
                <w:rFonts w:hint="eastAsia"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lang w:val="en-US" w:eastAsia="zh-CN"/>
                <w14:ligatures w14:val="none"/>
              </w:rPr>
              <w:t>5</w:t>
            </w:r>
            <w:r>
              <w:rPr>
                <w:rFonts w:hint="default" w:ascii="Times New Roman" w:hAnsi="Times New Roman" w:eastAsia="宋体" w:cs="Times New Roman"/>
                <w:kern w:val="0"/>
                <w:sz w:val="21"/>
                <w:szCs w:val="21"/>
                <w14:ligatures w14:val="none"/>
              </w:rPr>
              <w:t>、</w:t>
            </w:r>
            <w:r>
              <w:rPr>
                <w:rFonts w:hint="eastAsia" w:ascii="Times New Roman" w:hAnsi="Times New Roman" w:eastAsia="宋体" w:cs="Times New Roman"/>
                <w:kern w:val="0"/>
                <w:sz w:val="21"/>
                <w:szCs w:val="21"/>
                <w14:ligatures w14:val="none"/>
              </w:rPr>
              <w:t>易制毒化学品依据</w:t>
            </w:r>
            <w:r>
              <w:rPr>
                <w:rFonts w:hint="default" w:ascii="Times New Roman" w:hAnsi="Times New Roman" w:eastAsia="宋体" w:cs="Times New Roman"/>
                <w:kern w:val="0"/>
                <w:sz w:val="21"/>
                <w:szCs w:val="21"/>
                <w14:ligatures w14:val="none"/>
              </w:rPr>
              <w:t>《易制毒化学品的分类和品种目录（2024年版）》</w:t>
            </w:r>
            <w:r>
              <w:rPr>
                <w:rFonts w:hint="eastAsia" w:ascii="Times New Roman" w:hAnsi="Times New Roman" w:eastAsia="宋体" w:cs="Times New Roman"/>
                <w:kern w:val="0"/>
                <w:sz w:val="21"/>
                <w:szCs w:val="21"/>
                <w14:ligatures w14:val="none"/>
              </w:rPr>
              <w:t>辨识。</w:t>
            </w:r>
          </w:p>
          <w:p w14:paraId="39842EFD">
            <w:pPr>
              <w:keepNext w:val="0"/>
              <w:keepLines w:val="0"/>
              <w:widowControl/>
              <w:suppressLineNumbers w:val="0"/>
              <w:adjustRightInd w:val="0"/>
              <w:snapToGrid w:val="0"/>
              <w:spacing w:before="0" w:beforeAutospacing="0" w:after="0" w:afterAutospacing="0" w:line="240" w:lineRule="auto"/>
              <w:ind w:left="0" w:right="0"/>
              <w:jc w:val="both"/>
              <w:rPr>
                <w:rFonts w:hint="eastAsia" w:ascii="Times New Roman" w:hAnsi="Times New Roman" w:eastAsia="宋体" w:cs="Times New Roman"/>
                <w:kern w:val="0"/>
                <w:sz w:val="21"/>
                <w:szCs w:val="21"/>
                <w:lang w:val="en-US" w:eastAsia="zh-CN"/>
                <w14:ligatures w14:val="none"/>
              </w:rPr>
            </w:pPr>
            <w:r>
              <w:rPr>
                <w:rFonts w:hint="eastAsia" w:ascii="Times New Roman" w:hAnsi="Times New Roman" w:eastAsia="宋体" w:cs="Times New Roman"/>
                <w:kern w:val="0"/>
                <w:sz w:val="21"/>
                <w:szCs w:val="21"/>
                <w:lang w:val="en-US" w:eastAsia="zh-CN"/>
                <w14:ligatures w14:val="none"/>
              </w:rPr>
              <w:t>6、高毒物品依据《高毒物品目录》进行辨识；</w:t>
            </w:r>
          </w:p>
        </w:tc>
      </w:tr>
      <w:bookmarkEnd w:id="135"/>
    </w:tbl>
    <w:p w14:paraId="7A899C07">
      <w:pPr>
        <w:adjustRightInd w:val="0"/>
        <w:snapToGrid w:val="0"/>
        <w:spacing w:after="0" w:line="360" w:lineRule="auto"/>
        <w:jc w:val="both"/>
        <w:rPr>
          <w:rFonts w:hint="eastAsia" w:ascii="Times New Roman" w:hAnsi="Times New Roman" w:eastAsia="宋体" w:cs="Times New Roman"/>
          <w:sz w:val="28"/>
          <w:szCs w:val="28"/>
          <w:lang w:eastAsia="zh-CN"/>
          <w14:ligatures w14:val="none"/>
        </w:rPr>
      </w:pPr>
    </w:p>
    <w:p w14:paraId="4A35317E">
      <w:pPr>
        <w:adjustRightInd w:val="0"/>
        <w:snapToGrid w:val="0"/>
        <w:spacing w:after="0" w:line="360" w:lineRule="auto"/>
        <w:jc w:val="both"/>
        <w:rPr>
          <w:rFonts w:hint="eastAsia" w:ascii="Times New Roman" w:hAnsi="Times New Roman" w:eastAsia="宋体" w:cs="Times New Roman"/>
          <w:sz w:val="28"/>
          <w:szCs w:val="28"/>
          <w:lang w:eastAsia="zh-CN"/>
          <w14:ligatures w14:val="none"/>
        </w:rPr>
      </w:pPr>
    </w:p>
    <w:p w14:paraId="2264FFED">
      <w:pPr>
        <w:adjustRightInd w:val="0"/>
        <w:snapToGrid w:val="0"/>
        <w:spacing w:after="0" w:line="360" w:lineRule="auto"/>
        <w:ind w:firstLine="560" w:firstLineChars="200"/>
        <w:jc w:val="both"/>
        <w:rPr>
          <w:rFonts w:hint="eastAsia" w:ascii="Times New Roman" w:hAnsi="Times New Roman" w:eastAsia="宋体" w:cs="Times New Roman"/>
          <w:sz w:val="28"/>
          <w:szCs w:val="28"/>
          <w:lang w:eastAsia="zh-CN"/>
          <w14:ligatures w14:val="none"/>
        </w:rPr>
      </w:pPr>
    </w:p>
    <w:p w14:paraId="00320065">
      <w:pPr>
        <w:adjustRightInd w:val="0"/>
        <w:snapToGrid w:val="0"/>
        <w:spacing w:after="0" w:line="360" w:lineRule="auto"/>
        <w:ind w:firstLine="560" w:firstLineChars="200"/>
        <w:jc w:val="both"/>
        <w:rPr>
          <w:rFonts w:hint="eastAsia" w:ascii="Times New Roman" w:hAnsi="Times New Roman" w:eastAsia="宋体" w:cs="Times New Roman"/>
          <w:sz w:val="28"/>
          <w:szCs w:val="28"/>
          <w:lang w:eastAsia="zh-CN"/>
          <w14:ligatures w14:val="none"/>
        </w:rPr>
      </w:pPr>
    </w:p>
    <w:p w14:paraId="4AE9B9C8">
      <w:pPr>
        <w:adjustRightInd w:val="0"/>
        <w:snapToGrid w:val="0"/>
        <w:spacing w:after="0" w:line="360" w:lineRule="auto"/>
        <w:ind w:firstLine="560" w:firstLineChars="200"/>
        <w:jc w:val="both"/>
        <w:rPr>
          <w:rFonts w:hint="eastAsia" w:ascii="Times New Roman" w:hAnsi="Times New Roman" w:eastAsia="宋体" w:cs="Times New Roman"/>
          <w:sz w:val="28"/>
          <w:szCs w:val="28"/>
          <w:lang w:eastAsia="zh-CN"/>
          <w14:ligatures w14:val="none"/>
        </w:rPr>
      </w:pPr>
    </w:p>
    <w:p w14:paraId="5686E90F">
      <w:pPr>
        <w:adjustRightInd w:val="0"/>
        <w:snapToGrid w:val="0"/>
        <w:spacing w:after="0" w:line="360" w:lineRule="auto"/>
        <w:ind w:firstLine="560" w:firstLineChars="200"/>
        <w:jc w:val="both"/>
        <w:rPr>
          <w:rFonts w:hint="eastAsia" w:ascii="Times New Roman" w:hAnsi="Times New Roman" w:eastAsia="宋体" w:cs="Times New Roman"/>
          <w:sz w:val="28"/>
          <w:szCs w:val="28"/>
          <w:lang w:eastAsia="zh-CN"/>
          <w14:ligatures w14:val="none"/>
        </w:rPr>
        <w:sectPr>
          <w:pgSz w:w="16838" w:h="11906" w:orient="landscape"/>
          <w:pgMar w:top="1588" w:right="1418" w:bottom="1134" w:left="1134" w:header="851" w:footer="992" w:gutter="0"/>
          <w:pgBorders>
            <w:top w:val="none" w:sz="0" w:space="0"/>
            <w:left w:val="none" w:sz="0" w:space="0"/>
            <w:bottom w:val="none" w:sz="0" w:space="0"/>
            <w:right w:val="none" w:sz="0" w:space="0"/>
          </w:pgBorders>
          <w:pgNumType w:fmt="decimal"/>
          <w:cols w:space="425" w:num="1"/>
          <w:docGrid w:type="lines" w:linePitch="312" w:charSpace="0"/>
        </w:sectPr>
      </w:pPr>
    </w:p>
    <w:p w14:paraId="7516E560">
      <w:pPr>
        <w:tabs>
          <w:tab w:val="left" w:pos="840"/>
          <w:tab w:val="left" w:pos="1260"/>
        </w:tabs>
        <w:adjustRightInd w:val="0"/>
        <w:snapToGrid w:val="0"/>
        <w:spacing w:before="156" w:beforeLines="50" w:after="156" w:afterLines="50" w:line="360" w:lineRule="auto"/>
        <w:ind w:firstLine="562" w:firstLineChars="200"/>
        <w:jc w:val="both"/>
        <w:outlineLvl w:val="2"/>
        <w:rPr>
          <w:rFonts w:hint="eastAsia" w:ascii="Times New Roman" w:hAnsi="Times New Roman" w:eastAsia="黑体" w:cs="Times New Roman"/>
          <w:b/>
          <w:sz w:val="28"/>
          <w:szCs w:val="32"/>
          <w:lang w:eastAsia="zh-CN"/>
          <w14:ligatures w14:val="none"/>
        </w:rPr>
      </w:pPr>
      <w:r>
        <w:rPr>
          <w:rFonts w:ascii="Times New Roman" w:hAnsi="Times New Roman" w:eastAsia="黑体" w:cs="Times New Roman"/>
          <w:b/>
          <w:sz w:val="28"/>
          <w:szCs w:val="32"/>
          <w14:ligatures w14:val="none"/>
        </w:rPr>
        <w:t>3.1.</w:t>
      </w:r>
      <w:r>
        <w:rPr>
          <w:rFonts w:hint="eastAsia" w:ascii="Times New Roman" w:hAnsi="Times New Roman" w:eastAsia="黑体" w:cs="Times New Roman"/>
          <w:b/>
          <w:sz w:val="28"/>
          <w:szCs w:val="32"/>
          <w:lang w:val="en-US" w:eastAsia="zh-CN"/>
          <w14:ligatures w14:val="none"/>
        </w:rPr>
        <w:t>1盐酸</w:t>
      </w:r>
    </w:p>
    <w:p w14:paraId="0A6A9CD9">
      <w:pPr>
        <w:keepNext/>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r>
        <w:rPr>
          <w:rFonts w:ascii="Times New Roman" w:hAnsi="Times New Roman" w:eastAsia="黑体" w:cs="Times New Roman"/>
          <w:sz w:val="24"/>
          <w14:ligatures w14:val="none"/>
        </w:rPr>
        <w:t>表</w:t>
      </w:r>
      <w:r>
        <w:rPr>
          <w:rFonts w:hint="eastAsia" w:ascii="Times New Roman" w:hAnsi="Times New Roman" w:eastAsia="黑体" w:cs="Times New Roman"/>
          <w:sz w:val="24"/>
          <w14:ligatures w14:val="none"/>
        </w:rPr>
        <w:t>3.1</w:t>
      </w:r>
      <w:r>
        <w:rPr>
          <w:rFonts w:ascii="Times New Roman" w:hAnsi="Times New Roman" w:eastAsia="黑体" w:cs="Times New Roman"/>
          <w:sz w:val="24"/>
          <w14:ligatures w14:val="none"/>
        </w:rPr>
        <w:t>-</w:t>
      </w:r>
      <w:r>
        <w:rPr>
          <w:rFonts w:hint="eastAsia" w:ascii="Times New Roman" w:hAnsi="Times New Roman" w:eastAsia="黑体" w:cs="Times New Roman"/>
          <w:sz w:val="24"/>
          <w:lang w:val="en-US" w:eastAsia="zh-CN"/>
          <w14:ligatures w14:val="none"/>
        </w:rPr>
        <w:t>2</w:t>
      </w:r>
      <w:r>
        <w:rPr>
          <w:rFonts w:hint="eastAsia" w:ascii="Times New Roman" w:hAnsi="Times New Roman" w:eastAsia="黑体" w:cs="Times New Roman"/>
          <w:sz w:val="24"/>
          <w14:ligatures w14:val="none"/>
        </w:rPr>
        <w:t xml:space="preserve">  </w:t>
      </w:r>
      <w:r>
        <w:rPr>
          <w:rFonts w:hint="eastAsia" w:ascii="Times New Roman" w:hAnsi="Times New Roman" w:eastAsia="黑体" w:cs="Times New Roman"/>
          <w:sz w:val="24"/>
          <w:lang w:val="en-US" w:eastAsia="zh-CN"/>
          <w14:ligatures w14:val="none"/>
        </w:rPr>
        <w:t>盐酸</w:t>
      </w:r>
      <w:r>
        <w:rPr>
          <w:rFonts w:hint="eastAsia" w:ascii="Times New Roman" w:hAnsi="Times New Roman" w:eastAsia="黑体" w:cs="Times New Roman"/>
          <w:sz w:val="24"/>
          <w14:ligatures w14:val="none"/>
        </w:rPr>
        <w:t>理化特性表</w:t>
      </w:r>
    </w:p>
    <w:tbl>
      <w:tblPr>
        <w:tblStyle w:val="1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28" w:type="dxa"/>
          <w:bottom w:w="0" w:type="dxa"/>
          <w:right w:w="28" w:type="dxa"/>
        </w:tblCellMar>
      </w:tblPr>
      <w:tblGrid>
        <w:gridCol w:w="667"/>
        <w:gridCol w:w="1231"/>
        <w:gridCol w:w="1976"/>
        <w:gridCol w:w="264"/>
        <w:gridCol w:w="795"/>
        <w:gridCol w:w="1343"/>
        <w:gridCol w:w="2964"/>
      </w:tblGrid>
      <w:tr w14:paraId="1858DC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28" w:type="dxa"/>
            <w:bottom w:w="0" w:type="dxa"/>
            <w:right w:w="28" w:type="dxa"/>
          </w:tblCellMar>
        </w:tblPrEx>
        <w:trPr>
          <w:cantSplit/>
          <w:jc w:val="center"/>
        </w:trPr>
        <w:tc>
          <w:tcPr>
            <w:tcW w:w="2239" w:type="pct"/>
            <w:gridSpan w:val="4"/>
            <w:tcBorders>
              <w:top w:val="single" w:color="auto" w:sz="4" w:space="0"/>
              <w:left w:val="single" w:color="auto" w:sz="4" w:space="0"/>
              <w:bottom w:val="single" w:color="auto" w:sz="4" w:space="0"/>
              <w:right w:val="single" w:color="auto" w:sz="4" w:space="0"/>
            </w:tcBorders>
            <w:shd w:val="clear" w:color="auto" w:fill="auto"/>
            <w:vAlign w:val="center"/>
          </w:tcPr>
          <w:p w14:paraId="1F65BA3A">
            <w:pPr>
              <w:keepNext w:val="0"/>
              <w:keepLines w:val="0"/>
              <w:widowControl w:val="0"/>
              <w:suppressLineNumbers w:val="0"/>
              <w:autoSpaceDE w:val="0"/>
              <w:autoSpaceDN w:val="0"/>
              <w:adjustRightInd w:val="0"/>
              <w:spacing w:before="0" w:beforeAutospacing="0" w:after="0" w:afterAutospacing="0"/>
              <w:ind w:left="0" w:right="0"/>
              <w:jc w:val="both"/>
              <w:rPr>
                <w:rFonts w:hint="default" w:ascii="Times New Roman" w:hAnsi="Times New Roman" w:eastAsia="宋体" w:cs="Times New Roman"/>
                <w:kern w:val="1"/>
                <w:sz w:val="21"/>
                <w:szCs w:val="21"/>
              </w:rPr>
            </w:pPr>
            <w:r>
              <w:rPr>
                <w:rFonts w:hint="eastAsia" w:ascii="宋体" w:hAnsi="宋体" w:eastAsia="宋体" w:cs="宋体"/>
                <w:kern w:val="1"/>
                <w:sz w:val="21"/>
                <w:szCs w:val="21"/>
                <w:lang w:val="en-US" w:eastAsia="zh-CN" w:bidi="ar"/>
                <w14:ligatures w14:val="standardContextual"/>
              </w:rPr>
              <w:t>中文名称：盐酸；氢氯酸</w:t>
            </w:r>
          </w:p>
        </w:tc>
        <w:tc>
          <w:tcPr>
            <w:tcW w:w="2760"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7BD6CF99">
            <w:pPr>
              <w:keepNext w:val="0"/>
              <w:keepLines w:val="0"/>
              <w:widowControl w:val="0"/>
              <w:suppressLineNumbers w:val="0"/>
              <w:autoSpaceDE w:val="0"/>
              <w:autoSpaceDN w:val="0"/>
              <w:adjustRightInd w:val="0"/>
              <w:spacing w:before="0" w:beforeAutospacing="0" w:after="0" w:afterAutospacing="0"/>
              <w:ind w:left="0" w:right="0"/>
              <w:jc w:val="both"/>
              <w:rPr>
                <w:rFonts w:hint="default" w:ascii="Times New Roman" w:hAnsi="Times New Roman" w:eastAsia="宋体" w:cs="Times New Roman"/>
                <w:kern w:val="1"/>
                <w:sz w:val="21"/>
                <w:szCs w:val="21"/>
              </w:rPr>
            </w:pPr>
            <w:r>
              <w:rPr>
                <w:rFonts w:hint="eastAsia" w:ascii="宋体" w:hAnsi="宋体" w:eastAsia="宋体" w:cs="宋体"/>
                <w:kern w:val="1"/>
                <w:sz w:val="21"/>
                <w:szCs w:val="21"/>
                <w:lang w:val="en-US" w:eastAsia="zh-CN" w:bidi="ar"/>
                <w14:ligatures w14:val="standardContextual"/>
              </w:rPr>
              <w:t>英文名称：</w:t>
            </w:r>
            <w:r>
              <w:rPr>
                <w:rFonts w:hint="default" w:ascii="Times New Roman" w:hAnsi="Times New Roman" w:eastAsia="宋体" w:cs="Times New Roman"/>
                <w:kern w:val="1"/>
                <w:sz w:val="21"/>
                <w:szCs w:val="21"/>
                <w:lang w:val="en-US" w:eastAsia="zh-CN" w:bidi="ar"/>
                <w14:ligatures w14:val="standardContextual"/>
              </w:rPr>
              <w:t>Hydrochloric acid</w:t>
            </w:r>
            <w:r>
              <w:rPr>
                <w:rFonts w:hint="eastAsia" w:ascii="宋体" w:hAnsi="宋体" w:eastAsia="宋体" w:cs="宋体"/>
                <w:kern w:val="1"/>
                <w:sz w:val="21"/>
                <w:szCs w:val="21"/>
                <w:lang w:val="en-US" w:eastAsia="zh-CN" w:bidi="ar"/>
                <w14:ligatures w14:val="standardContextual"/>
              </w:rPr>
              <w:t>；</w:t>
            </w:r>
            <w:r>
              <w:rPr>
                <w:rFonts w:hint="default" w:ascii="Times New Roman" w:hAnsi="Times New Roman" w:eastAsia="宋体" w:cs="Times New Roman"/>
                <w:kern w:val="1"/>
                <w:sz w:val="21"/>
                <w:szCs w:val="21"/>
                <w:lang w:val="en-US" w:eastAsia="zh-CN" w:bidi="ar"/>
                <w14:ligatures w14:val="standardContextual"/>
              </w:rPr>
              <w:t>Chlorohydric acid</w:t>
            </w:r>
          </w:p>
        </w:tc>
      </w:tr>
      <w:tr w14:paraId="1B6E68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28" w:type="dxa"/>
            <w:bottom w:w="0" w:type="dxa"/>
            <w:right w:w="28" w:type="dxa"/>
          </w:tblCellMar>
        </w:tblPrEx>
        <w:trPr>
          <w:cantSplit/>
          <w:jc w:val="center"/>
        </w:trPr>
        <w:tc>
          <w:tcPr>
            <w:tcW w:w="2239" w:type="pct"/>
            <w:gridSpan w:val="4"/>
            <w:tcBorders>
              <w:top w:val="single" w:color="auto" w:sz="4" w:space="0"/>
              <w:left w:val="single" w:color="auto" w:sz="4" w:space="0"/>
              <w:bottom w:val="single" w:color="auto" w:sz="4" w:space="0"/>
              <w:right w:val="single" w:color="auto" w:sz="4" w:space="0"/>
            </w:tcBorders>
            <w:shd w:val="clear" w:color="auto" w:fill="auto"/>
            <w:vAlign w:val="center"/>
          </w:tcPr>
          <w:p w14:paraId="3B77AAA2">
            <w:pPr>
              <w:keepNext w:val="0"/>
              <w:keepLines w:val="0"/>
              <w:widowControl w:val="0"/>
              <w:suppressLineNumbers w:val="0"/>
              <w:autoSpaceDE w:val="0"/>
              <w:autoSpaceDN w:val="0"/>
              <w:adjustRightInd w:val="0"/>
              <w:spacing w:before="0" w:beforeAutospacing="0" w:after="0" w:afterAutospacing="0"/>
              <w:ind w:left="0" w:right="0"/>
              <w:jc w:val="both"/>
              <w:rPr>
                <w:rFonts w:hint="default" w:ascii="Times New Roman" w:hAnsi="Times New Roman" w:eastAsia="宋体" w:cs="Times New Roman"/>
                <w:kern w:val="1"/>
                <w:sz w:val="21"/>
                <w:szCs w:val="21"/>
              </w:rPr>
            </w:pPr>
            <w:r>
              <w:rPr>
                <w:rFonts w:hint="eastAsia" w:ascii="宋体" w:hAnsi="宋体" w:eastAsia="宋体" w:cs="宋体"/>
                <w:kern w:val="1"/>
                <w:sz w:val="21"/>
                <w:szCs w:val="21"/>
                <w:lang w:val="en-US" w:eastAsia="zh-CN" w:bidi="ar"/>
                <w14:ligatures w14:val="standardContextual"/>
              </w:rPr>
              <w:t>分子式：</w:t>
            </w:r>
            <w:r>
              <w:rPr>
                <w:rFonts w:hint="default" w:ascii="Times New Roman" w:hAnsi="Times New Roman" w:eastAsia="宋体" w:cs="Times New Roman"/>
                <w:kern w:val="1"/>
                <w:sz w:val="21"/>
                <w:szCs w:val="21"/>
                <w:lang w:val="en-US" w:eastAsia="zh-CN" w:bidi="ar"/>
                <w14:ligatures w14:val="standardContextual"/>
              </w:rPr>
              <w:t>HCl</w:t>
            </w:r>
          </w:p>
        </w:tc>
        <w:tc>
          <w:tcPr>
            <w:tcW w:w="2760"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66B43277">
            <w:pPr>
              <w:keepNext w:val="0"/>
              <w:keepLines w:val="0"/>
              <w:widowControl w:val="0"/>
              <w:suppressLineNumbers w:val="0"/>
              <w:autoSpaceDE w:val="0"/>
              <w:autoSpaceDN w:val="0"/>
              <w:adjustRightInd w:val="0"/>
              <w:spacing w:before="0" w:beforeAutospacing="0" w:after="0" w:afterAutospacing="0"/>
              <w:ind w:left="0" w:right="0"/>
              <w:jc w:val="both"/>
              <w:rPr>
                <w:rFonts w:hint="default" w:ascii="Times New Roman" w:hAnsi="Times New Roman" w:eastAsia="宋体" w:cs="Times New Roman"/>
                <w:kern w:val="1"/>
                <w:sz w:val="21"/>
                <w:szCs w:val="21"/>
              </w:rPr>
            </w:pPr>
            <w:r>
              <w:rPr>
                <w:rFonts w:hint="eastAsia" w:ascii="宋体" w:hAnsi="宋体" w:eastAsia="宋体" w:cs="宋体"/>
                <w:kern w:val="1"/>
                <w:sz w:val="21"/>
                <w:szCs w:val="21"/>
                <w:lang w:val="en-US" w:eastAsia="zh-CN" w:bidi="ar"/>
                <w14:ligatures w14:val="standardContextual"/>
              </w:rPr>
              <w:t>分子量：</w:t>
            </w:r>
            <w:r>
              <w:rPr>
                <w:rFonts w:hint="default" w:ascii="Times New Roman" w:hAnsi="Times New Roman" w:eastAsia="宋体" w:cs="Times New Roman"/>
                <w:kern w:val="1"/>
                <w:sz w:val="21"/>
                <w:szCs w:val="21"/>
                <w:lang w:val="en-US" w:eastAsia="zh-CN" w:bidi="ar"/>
                <w14:ligatures w14:val="standardContextual"/>
              </w:rPr>
              <w:t>36.46</w:t>
            </w:r>
          </w:p>
        </w:tc>
      </w:tr>
      <w:tr w14:paraId="4A6B8D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28" w:type="dxa"/>
            <w:bottom w:w="0" w:type="dxa"/>
            <w:right w:w="28" w:type="dxa"/>
          </w:tblCellMar>
        </w:tblPrEx>
        <w:trPr>
          <w:cantSplit/>
          <w:jc w:val="center"/>
        </w:trPr>
        <w:tc>
          <w:tcPr>
            <w:tcW w:w="2239" w:type="pct"/>
            <w:gridSpan w:val="4"/>
            <w:tcBorders>
              <w:top w:val="single" w:color="auto" w:sz="4" w:space="0"/>
              <w:left w:val="single" w:color="auto" w:sz="4" w:space="0"/>
              <w:bottom w:val="single" w:color="auto" w:sz="4" w:space="0"/>
              <w:right w:val="single" w:color="auto" w:sz="4" w:space="0"/>
            </w:tcBorders>
            <w:shd w:val="clear" w:color="auto" w:fill="auto"/>
            <w:vAlign w:val="center"/>
          </w:tcPr>
          <w:p w14:paraId="4071B6B0">
            <w:pPr>
              <w:keepNext w:val="0"/>
              <w:keepLines w:val="0"/>
              <w:widowControl w:val="0"/>
              <w:suppressLineNumbers w:val="0"/>
              <w:spacing w:before="0" w:beforeAutospacing="0" w:after="0" w:afterAutospacing="0"/>
              <w:ind w:left="32" w:right="0"/>
              <w:jc w:val="both"/>
              <w:rPr>
                <w:rFonts w:hint="default" w:ascii="Times New Roman" w:hAnsi="Times New Roman" w:eastAsia="宋体" w:cs="Times New Roman"/>
                <w:kern w:val="1"/>
                <w:sz w:val="21"/>
                <w:szCs w:val="21"/>
              </w:rPr>
            </w:pPr>
            <w:r>
              <w:rPr>
                <w:rFonts w:hint="eastAsia" w:ascii="宋体" w:hAnsi="宋体" w:eastAsia="宋体" w:cs="宋体"/>
                <w:kern w:val="1"/>
                <w:sz w:val="21"/>
                <w:szCs w:val="21"/>
                <w:lang w:val="en-US" w:eastAsia="zh-CN" w:bidi="ar"/>
                <w14:ligatures w14:val="standardContextual"/>
              </w:rPr>
              <w:t>危编号：</w:t>
            </w:r>
            <w:r>
              <w:rPr>
                <w:rFonts w:hint="default" w:ascii="Times New Roman" w:hAnsi="Times New Roman" w:eastAsia="宋体" w:cs="Times New Roman"/>
                <w:kern w:val="1"/>
                <w:sz w:val="21"/>
                <w:szCs w:val="21"/>
                <w:lang w:val="en-US" w:eastAsia="zh-CN" w:bidi="ar"/>
                <w14:ligatures w14:val="standardContextual"/>
              </w:rPr>
              <w:t>81013</w:t>
            </w:r>
          </w:p>
        </w:tc>
        <w:tc>
          <w:tcPr>
            <w:tcW w:w="2760"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4FE58D8B">
            <w:pPr>
              <w:keepNext w:val="0"/>
              <w:keepLines w:val="0"/>
              <w:widowControl w:val="0"/>
              <w:suppressLineNumbers w:val="0"/>
              <w:spacing w:before="0" w:beforeAutospacing="0" w:after="0" w:afterAutospacing="0"/>
              <w:ind w:left="0" w:right="0"/>
              <w:jc w:val="both"/>
              <w:rPr>
                <w:rFonts w:hint="default" w:ascii="Times New Roman" w:hAnsi="Times New Roman" w:eastAsia="宋体" w:cs="Times New Roman"/>
                <w:kern w:val="1"/>
                <w:sz w:val="21"/>
                <w:szCs w:val="21"/>
              </w:rPr>
            </w:pPr>
            <w:r>
              <w:rPr>
                <w:rFonts w:hint="default" w:ascii="Times New Roman" w:hAnsi="Times New Roman" w:eastAsia="宋体" w:cs="Times New Roman"/>
                <w:kern w:val="1"/>
                <w:sz w:val="21"/>
                <w:szCs w:val="21"/>
                <w:lang w:val="en-US" w:eastAsia="zh-CN" w:bidi="ar"/>
                <w14:ligatures w14:val="standardContextual"/>
              </w:rPr>
              <w:t>CAS</w:t>
            </w:r>
            <w:r>
              <w:rPr>
                <w:rFonts w:hint="eastAsia" w:ascii="宋体" w:hAnsi="宋体" w:eastAsia="宋体" w:cs="宋体"/>
                <w:kern w:val="1"/>
                <w:sz w:val="21"/>
                <w:szCs w:val="21"/>
                <w:lang w:val="en-US" w:eastAsia="zh-CN" w:bidi="ar"/>
                <w14:ligatures w14:val="standardContextual"/>
              </w:rPr>
              <w:t>号：</w:t>
            </w:r>
            <w:r>
              <w:rPr>
                <w:rFonts w:hint="default" w:ascii="Times New Roman" w:hAnsi="Times New Roman" w:eastAsia="宋体" w:cs="Times New Roman"/>
                <w:kern w:val="1"/>
                <w:sz w:val="21"/>
                <w:szCs w:val="21"/>
                <w:lang w:val="en-US" w:eastAsia="zh-CN" w:bidi="ar"/>
                <w14:ligatures w14:val="standardContextual"/>
              </w:rPr>
              <w:t>7647-01-0</w:t>
            </w:r>
          </w:p>
        </w:tc>
      </w:tr>
      <w:tr w14:paraId="34A09D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28" w:type="dxa"/>
            <w:bottom w:w="0" w:type="dxa"/>
            <w:right w:w="28" w:type="dxa"/>
          </w:tblCellMar>
        </w:tblPrEx>
        <w:trPr>
          <w:cantSplit/>
          <w:jc w:val="center"/>
        </w:trPr>
        <w:tc>
          <w:tcPr>
            <w:tcW w:w="361" w:type="pct"/>
            <w:vMerge w:val="restart"/>
            <w:tcBorders>
              <w:top w:val="nil"/>
              <w:left w:val="single" w:color="auto" w:sz="4" w:space="0"/>
              <w:bottom w:val="single" w:color="auto" w:sz="4" w:space="0"/>
              <w:right w:val="single" w:color="auto" w:sz="4" w:space="0"/>
            </w:tcBorders>
            <w:shd w:val="clear" w:color="auto" w:fill="auto"/>
            <w:vAlign w:val="center"/>
          </w:tcPr>
          <w:p w14:paraId="44B67FA7">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kern w:val="1"/>
                <w:sz w:val="21"/>
                <w:szCs w:val="21"/>
              </w:rPr>
            </w:pPr>
            <w:r>
              <w:rPr>
                <w:rFonts w:hint="eastAsia" w:ascii="宋体" w:hAnsi="宋体" w:eastAsia="宋体" w:cs="宋体"/>
                <w:kern w:val="1"/>
                <w:sz w:val="21"/>
                <w:szCs w:val="21"/>
                <w:lang w:val="en-US" w:eastAsia="zh-CN" w:bidi="ar"/>
                <w14:ligatures w14:val="standardContextual"/>
              </w:rPr>
              <w:t>理</w:t>
            </w:r>
          </w:p>
          <w:p w14:paraId="3184D19B">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kern w:val="1"/>
                <w:sz w:val="21"/>
                <w:szCs w:val="21"/>
              </w:rPr>
            </w:pPr>
            <w:r>
              <w:rPr>
                <w:rFonts w:hint="eastAsia" w:ascii="宋体" w:hAnsi="宋体" w:eastAsia="宋体" w:cs="宋体"/>
                <w:kern w:val="1"/>
                <w:sz w:val="21"/>
                <w:szCs w:val="21"/>
                <w:lang w:val="en-US" w:eastAsia="zh-CN" w:bidi="ar"/>
                <w14:ligatures w14:val="standardContextual"/>
              </w:rPr>
              <w:t>化</w:t>
            </w:r>
          </w:p>
          <w:p w14:paraId="6792DD9B">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kern w:val="1"/>
                <w:sz w:val="21"/>
                <w:szCs w:val="21"/>
              </w:rPr>
            </w:pPr>
            <w:r>
              <w:rPr>
                <w:rFonts w:hint="eastAsia" w:ascii="宋体" w:hAnsi="宋体" w:eastAsia="宋体" w:cs="宋体"/>
                <w:kern w:val="1"/>
                <w:sz w:val="21"/>
                <w:szCs w:val="21"/>
                <w:lang w:val="en-US" w:eastAsia="zh-CN" w:bidi="ar"/>
                <w14:ligatures w14:val="standardContextual"/>
              </w:rPr>
              <w:t>性</w:t>
            </w:r>
          </w:p>
          <w:p w14:paraId="355CB979">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kern w:val="1"/>
                <w:sz w:val="21"/>
                <w:szCs w:val="21"/>
              </w:rPr>
            </w:pPr>
            <w:r>
              <w:rPr>
                <w:rFonts w:hint="eastAsia" w:ascii="宋体" w:hAnsi="宋体" w:eastAsia="宋体" w:cs="宋体"/>
                <w:kern w:val="1"/>
                <w:sz w:val="21"/>
                <w:szCs w:val="21"/>
                <w:lang w:val="en-US" w:eastAsia="zh-CN" w:bidi="ar"/>
                <w14:ligatures w14:val="standardContextual"/>
              </w:rPr>
              <w:t>质</w:t>
            </w:r>
          </w:p>
        </w:tc>
        <w:tc>
          <w:tcPr>
            <w:tcW w:w="4639" w:type="pct"/>
            <w:gridSpan w:val="6"/>
            <w:tcBorders>
              <w:top w:val="single" w:color="auto" w:sz="4" w:space="0"/>
              <w:left w:val="single" w:color="auto" w:sz="4" w:space="0"/>
              <w:bottom w:val="single" w:color="auto" w:sz="4" w:space="0"/>
              <w:right w:val="single" w:color="auto" w:sz="4" w:space="0"/>
            </w:tcBorders>
            <w:shd w:val="clear" w:color="auto" w:fill="auto"/>
            <w:vAlign w:val="center"/>
          </w:tcPr>
          <w:p w14:paraId="738995EF">
            <w:pPr>
              <w:keepNext w:val="0"/>
              <w:keepLines w:val="0"/>
              <w:widowControl w:val="0"/>
              <w:suppressLineNumbers w:val="0"/>
              <w:autoSpaceDE w:val="0"/>
              <w:autoSpaceDN w:val="0"/>
              <w:adjustRightInd w:val="0"/>
              <w:spacing w:before="0" w:beforeAutospacing="0" w:after="0" w:afterAutospacing="0"/>
              <w:ind w:left="0" w:right="0"/>
              <w:jc w:val="both"/>
              <w:rPr>
                <w:rFonts w:hint="default" w:ascii="Times New Roman" w:hAnsi="Times New Roman" w:eastAsia="宋体" w:cs="Times New Roman"/>
                <w:kern w:val="1"/>
                <w:sz w:val="21"/>
                <w:szCs w:val="21"/>
              </w:rPr>
            </w:pPr>
            <w:r>
              <w:rPr>
                <w:rFonts w:hint="eastAsia" w:ascii="宋体" w:hAnsi="宋体" w:eastAsia="宋体" w:cs="宋体"/>
                <w:kern w:val="1"/>
                <w:sz w:val="21"/>
                <w:szCs w:val="21"/>
                <w:lang w:val="en-US" w:eastAsia="zh-CN" w:bidi="ar"/>
                <w14:ligatures w14:val="standardContextual"/>
              </w:rPr>
              <w:t>外观与性状：无色或微黄色发烟液体，有刺鼻的酸味。</w:t>
            </w:r>
          </w:p>
        </w:tc>
      </w:tr>
      <w:tr w14:paraId="45A74F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28" w:type="dxa"/>
            <w:bottom w:w="0" w:type="dxa"/>
            <w:right w:w="28" w:type="dxa"/>
          </w:tblCellMar>
        </w:tblPrEx>
        <w:trPr>
          <w:cantSplit/>
          <w:jc w:val="center"/>
        </w:trPr>
        <w:tc>
          <w:tcPr>
            <w:tcW w:w="361" w:type="pct"/>
            <w:vMerge w:val="continue"/>
            <w:tcBorders>
              <w:top w:val="nil"/>
              <w:left w:val="single" w:color="auto" w:sz="4" w:space="0"/>
              <w:bottom w:val="single" w:color="auto" w:sz="4" w:space="0"/>
              <w:right w:val="single" w:color="auto" w:sz="4" w:space="0"/>
            </w:tcBorders>
            <w:shd w:val="clear" w:color="auto" w:fill="auto"/>
            <w:vAlign w:val="center"/>
          </w:tcPr>
          <w:p w14:paraId="30A18572">
            <w:pPr>
              <w:keepNext w:val="0"/>
              <w:keepLines w:val="0"/>
              <w:suppressLineNumbers w:val="0"/>
              <w:spacing w:before="0" w:beforeAutospacing="0" w:afterAutospacing="0"/>
              <w:ind w:left="0" w:right="0"/>
              <w:rPr>
                <w:rFonts w:hint="default" w:ascii="Times New Roman" w:hAnsi="Times New Roman" w:cs="Times New Roman"/>
                <w:sz w:val="20"/>
                <w:szCs w:val="20"/>
              </w:rPr>
            </w:pPr>
          </w:p>
        </w:tc>
        <w:tc>
          <w:tcPr>
            <w:tcW w:w="1735"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5C73D880">
            <w:pPr>
              <w:keepNext w:val="0"/>
              <w:keepLines w:val="0"/>
              <w:widowControl w:val="0"/>
              <w:suppressLineNumbers w:val="0"/>
              <w:autoSpaceDE w:val="0"/>
              <w:autoSpaceDN w:val="0"/>
              <w:adjustRightInd w:val="0"/>
              <w:spacing w:before="0" w:beforeAutospacing="0" w:after="0" w:afterAutospacing="0"/>
              <w:ind w:left="0" w:right="0"/>
              <w:jc w:val="both"/>
              <w:rPr>
                <w:rFonts w:hint="default" w:ascii="Times New Roman" w:hAnsi="Times New Roman" w:eastAsia="宋体" w:cs="Times New Roman"/>
                <w:kern w:val="1"/>
                <w:sz w:val="21"/>
                <w:szCs w:val="21"/>
              </w:rPr>
            </w:pPr>
            <w:r>
              <w:rPr>
                <w:rFonts w:hint="eastAsia" w:ascii="宋体" w:hAnsi="宋体" w:eastAsia="宋体" w:cs="宋体"/>
                <w:kern w:val="1"/>
                <w:sz w:val="21"/>
                <w:szCs w:val="21"/>
                <w:lang w:val="en-US" w:eastAsia="zh-CN" w:bidi="ar"/>
                <w14:ligatures w14:val="standardContextual"/>
              </w:rPr>
              <w:t>熔点（</w:t>
            </w:r>
            <w:r>
              <w:rPr>
                <w:rFonts w:hint="default" w:ascii="Times New Roman" w:hAnsi="Times New Roman" w:eastAsia="宋体" w:cs="Times New Roman"/>
                <w:kern w:val="1"/>
                <w:sz w:val="21"/>
                <w:szCs w:val="21"/>
                <w:lang w:val="en-US" w:eastAsia="zh-CN" w:bidi="ar"/>
                <w14:ligatures w14:val="standardContextual"/>
              </w:rPr>
              <w:t>℃</w:t>
            </w:r>
            <w:r>
              <w:rPr>
                <w:rFonts w:hint="eastAsia" w:ascii="宋体" w:hAnsi="宋体" w:eastAsia="宋体" w:cs="宋体"/>
                <w:kern w:val="1"/>
                <w:sz w:val="21"/>
                <w:szCs w:val="21"/>
                <w:lang w:val="en-US" w:eastAsia="zh-CN" w:bidi="ar"/>
                <w14:ligatures w14:val="standardContextual"/>
              </w:rPr>
              <w:t>）：</w:t>
            </w:r>
            <w:r>
              <w:rPr>
                <w:rFonts w:hint="default" w:ascii="Times New Roman" w:hAnsi="Times New Roman" w:eastAsia="宋体" w:cs="Times New Roman"/>
                <w:kern w:val="1"/>
                <w:sz w:val="21"/>
                <w:szCs w:val="21"/>
                <w:lang w:val="en-US" w:eastAsia="zh-CN" w:bidi="ar"/>
                <w14:ligatures w14:val="standardContextual"/>
              </w:rPr>
              <w:t>114</w:t>
            </w:r>
            <w:r>
              <w:rPr>
                <w:rFonts w:hint="eastAsia" w:ascii="宋体" w:hAnsi="宋体" w:eastAsia="宋体" w:cs="宋体"/>
                <w:kern w:val="1"/>
                <w:sz w:val="21"/>
                <w:szCs w:val="21"/>
                <w:lang w:val="en-US" w:eastAsia="zh-CN" w:bidi="ar"/>
                <w14:ligatures w14:val="standardContextual"/>
              </w:rPr>
              <w:t>．</w:t>
            </w:r>
            <w:r>
              <w:rPr>
                <w:rFonts w:hint="default" w:ascii="Times New Roman" w:hAnsi="Times New Roman" w:eastAsia="宋体" w:cs="Times New Roman"/>
                <w:kern w:val="1"/>
                <w:sz w:val="21"/>
                <w:szCs w:val="21"/>
                <w:lang w:val="en-US" w:eastAsia="zh-CN" w:bidi="ar"/>
                <w14:ligatures w14:val="standardContextual"/>
              </w:rPr>
              <w:t>8</w:t>
            </w:r>
            <w:r>
              <w:rPr>
                <w:rFonts w:hint="eastAsia" w:ascii="宋体" w:hAnsi="宋体" w:eastAsia="宋体" w:cs="宋体"/>
                <w:kern w:val="1"/>
                <w:sz w:val="21"/>
                <w:szCs w:val="21"/>
                <w:lang w:val="en-US" w:eastAsia="zh-CN" w:bidi="ar"/>
                <w14:ligatures w14:val="standardContextual"/>
              </w:rPr>
              <w:t>（纯）</w:t>
            </w:r>
          </w:p>
        </w:tc>
        <w:tc>
          <w:tcPr>
            <w:tcW w:w="1300"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2787BC95">
            <w:pPr>
              <w:keepNext w:val="0"/>
              <w:keepLines w:val="0"/>
              <w:widowControl w:val="0"/>
              <w:suppressLineNumbers w:val="0"/>
              <w:autoSpaceDE w:val="0"/>
              <w:autoSpaceDN w:val="0"/>
              <w:adjustRightInd w:val="0"/>
              <w:spacing w:before="0" w:beforeAutospacing="0" w:after="0" w:afterAutospacing="0"/>
              <w:ind w:left="0" w:right="0"/>
              <w:jc w:val="both"/>
              <w:rPr>
                <w:rFonts w:hint="default" w:ascii="Times New Roman" w:hAnsi="Times New Roman" w:eastAsia="宋体" w:cs="Times New Roman"/>
                <w:kern w:val="1"/>
                <w:sz w:val="21"/>
                <w:szCs w:val="21"/>
              </w:rPr>
            </w:pPr>
            <w:r>
              <w:rPr>
                <w:rFonts w:hint="eastAsia" w:ascii="宋体" w:hAnsi="宋体" w:eastAsia="宋体" w:cs="宋体"/>
                <w:kern w:val="1"/>
                <w:sz w:val="21"/>
                <w:szCs w:val="21"/>
                <w:lang w:val="en-US" w:eastAsia="zh-CN" w:bidi="ar"/>
                <w14:ligatures w14:val="standardContextual"/>
              </w:rPr>
              <w:t>沸点（</w:t>
            </w:r>
            <w:r>
              <w:rPr>
                <w:rFonts w:hint="default" w:ascii="Times New Roman" w:hAnsi="Times New Roman" w:eastAsia="宋体" w:cs="Times New Roman"/>
                <w:kern w:val="1"/>
                <w:sz w:val="21"/>
                <w:szCs w:val="21"/>
                <w:lang w:val="en-US" w:eastAsia="zh-CN" w:bidi="ar"/>
                <w14:ligatures w14:val="standardContextual"/>
              </w:rPr>
              <w:t>℃</w:t>
            </w:r>
            <w:r>
              <w:rPr>
                <w:rFonts w:hint="eastAsia" w:ascii="宋体" w:hAnsi="宋体" w:eastAsia="宋体" w:cs="宋体"/>
                <w:kern w:val="1"/>
                <w:sz w:val="21"/>
                <w:szCs w:val="21"/>
                <w:lang w:val="en-US" w:eastAsia="zh-CN" w:bidi="ar"/>
                <w14:ligatures w14:val="standardContextual"/>
              </w:rPr>
              <w:t>）：</w:t>
            </w:r>
            <w:r>
              <w:rPr>
                <w:rFonts w:hint="default" w:ascii="Times New Roman" w:hAnsi="Times New Roman" w:eastAsia="宋体" w:cs="Times New Roman"/>
                <w:kern w:val="1"/>
                <w:sz w:val="21"/>
                <w:szCs w:val="21"/>
                <w:lang w:val="en-US" w:eastAsia="zh-CN" w:bidi="ar"/>
                <w14:ligatures w14:val="standardContextual"/>
              </w:rPr>
              <w:t>108</w:t>
            </w:r>
            <w:r>
              <w:rPr>
                <w:rFonts w:hint="eastAsia" w:ascii="宋体" w:hAnsi="宋体" w:eastAsia="宋体" w:cs="宋体"/>
                <w:kern w:val="1"/>
                <w:sz w:val="21"/>
                <w:szCs w:val="21"/>
                <w:lang w:val="en-US" w:eastAsia="zh-CN" w:bidi="ar"/>
                <w14:ligatures w14:val="standardContextual"/>
              </w:rPr>
              <w:t>．</w:t>
            </w:r>
            <w:r>
              <w:rPr>
                <w:rFonts w:hint="default" w:ascii="Times New Roman" w:hAnsi="Times New Roman" w:eastAsia="宋体" w:cs="Times New Roman"/>
                <w:kern w:val="1"/>
                <w:sz w:val="21"/>
                <w:szCs w:val="21"/>
                <w:lang w:val="en-US" w:eastAsia="zh-CN" w:bidi="ar"/>
                <w14:ligatures w14:val="standardContextual"/>
              </w:rPr>
              <w:t>6</w:t>
            </w:r>
            <w:r>
              <w:rPr>
                <w:rFonts w:hint="eastAsia" w:ascii="宋体" w:hAnsi="宋体" w:eastAsia="宋体" w:cs="宋体"/>
                <w:kern w:val="1"/>
                <w:sz w:val="21"/>
                <w:szCs w:val="21"/>
                <w:lang w:val="en-US" w:eastAsia="zh-CN" w:bidi="ar"/>
                <w14:ligatures w14:val="standardContextual"/>
              </w:rPr>
              <w:t>（</w:t>
            </w:r>
            <w:r>
              <w:rPr>
                <w:rFonts w:hint="default" w:ascii="Times New Roman" w:hAnsi="Times New Roman" w:eastAsia="宋体" w:cs="Times New Roman"/>
                <w:kern w:val="1"/>
                <w:sz w:val="21"/>
                <w:szCs w:val="21"/>
                <w:lang w:val="en-US" w:eastAsia="zh-CN" w:bidi="ar"/>
                <w14:ligatures w14:val="standardContextual"/>
              </w:rPr>
              <w:t>20%</w:t>
            </w:r>
            <w:r>
              <w:rPr>
                <w:rFonts w:hint="eastAsia" w:ascii="宋体" w:hAnsi="宋体" w:eastAsia="宋体" w:cs="宋体"/>
                <w:kern w:val="1"/>
                <w:sz w:val="21"/>
                <w:szCs w:val="21"/>
                <w:lang w:val="en-US" w:eastAsia="zh-CN" w:bidi="ar"/>
                <w14:ligatures w14:val="standardContextual"/>
              </w:rPr>
              <w:t>）</w:t>
            </w:r>
          </w:p>
        </w:tc>
        <w:tc>
          <w:tcPr>
            <w:tcW w:w="1603" w:type="pct"/>
            <w:tcBorders>
              <w:top w:val="single" w:color="auto" w:sz="4" w:space="0"/>
              <w:left w:val="single" w:color="auto" w:sz="4" w:space="0"/>
              <w:bottom w:val="single" w:color="auto" w:sz="4" w:space="0"/>
              <w:right w:val="single" w:color="auto" w:sz="4" w:space="0"/>
            </w:tcBorders>
            <w:shd w:val="clear" w:color="auto" w:fill="auto"/>
            <w:vAlign w:val="center"/>
          </w:tcPr>
          <w:p w14:paraId="281F5C43">
            <w:pPr>
              <w:keepNext w:val="0"/>
              <w:keepLines w:val="0"/>
              <w:widowControl w:val="0"/>
              <w:suppressLineNumbers w:val="0"/>
              <w:autoSpaceDE w:val="0"/>
              <w:autoSpaceDN w:val="0"/>
              <w:adjustRightInd w:val="0"/>
              <w:spacing w:before="0" w:beforeAutospacing="0" w:after="0" w:afterAutospacing="0"/>
              <w:ind w:left="0" w:right="0"/>
              <w:jc w:val="both"/>
              <w:rPr>
                <w:rFonts w:hint="default" w:ascii="Times New Roman" w:hAnsi="Times New Roman" w:eastAsia="宋体" w:cs="Times New Roman"/>
                <w:kern w:val="1"/>
                <w:sz w:val="21"/>
                <w:szCs w:val="21"/>
              </w:rPr>
            </w:pPr>
            <w:r>
              <w:rPr>
                <w:rFonts w:hint="eastAsia" w:ascii="宋体" w:hAnsi="宋体" w:eastAsia="宋体" w:cs="宋体"/>
                <w:kern w:val="1"/>
                <w:sz w:val="21"/>
                <w:szCs w:val="21"/>
                <w:lang w:val="en-US" w:eastAsia="zh-CN" w:bidi="ar"/>
                <w14:ligatures w14:val="standardContextual"/>
              </w:rPr>
              <w:t>自燃点（</w:t>
            </w:r>
            <w:r>
              <w:rPr>
                <w:rFonts w:hint="default" w:ascii="Times New Roman" w:hAnsi="Times New Roman" w:eastAsia="宋体" w:cs="Times New Roman"/>
                <w:kern w:val="1"/>
                <w:sz w:val="21"/>
                <w:szCs w:val="21"/>
                <w:lang w:val="en-US" w:eastAsia="zh-CN" w:bidi="ar"/>
                <w14:ligatures w14:val="standardContextual"/>
              </w:rPr>
              <w:t>℃</w:t>
            </w:r>
            <w:r>
              <w:rPr>
                <w:rFonts w:hint="eastAsia" w:ascii="宋体" w:hAnsi="宋体" w:eastAsia="宋体" w:cs="宋体"/>
                <w:kern w:val="1"/>
                <w:sz w:val="21"/>
                <w:szCs w:val="21"/>
                <w:lang w:val="en-US" w:eastAsia="zh-CN" w:bidi="ar"/>
                <w14:ligatures w14:val="standardContextual"/>
              </w:rPr>
              <w:t>）：</w:t>
            </w:r>
          </w:p>
        </w:tc>
      </w:tr>
      <w:tr w14:paraId="4255D3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28" w:type="dxa"/>
            <w:bottom w:w="0" w:type="dxa"/>
            <w:right w:w="28" w:type="dxa"/>
          </w:tblCellMar>
        </w:tblPrEx>
        <w:trPr>
          <w:cantSplit/>
          <w:jc w:val="center"/>
        </w:trPr>
        <w:tc>
          <w:tcPr>
            <w:tcW w:w="361" w:type="pct"/>
            <w:vMerge w:val="continue"/>
            <w:tcBorders>
              <w:top w:val="nil"/>
              <w:left w:val="single" w:color="auto" w:sz="4" w:space="0"/>
              <w:bottom w:val="single" w:color="auto" w:sz="4" w:space="0"/>
              <w:right w:val="single" w:color="auto" w:sz="4" w:space="0"/>
            </w:tcBorders>
            <w:shd w:val="clear" w:color="auto" w:fill="auto"/>
            <w:vAlign w:val="center"/>
          </w:tcPr>
          <w:p w14:paraId="07097F66">
            <w:pPr>
              <w:keepNext w:val="0"/>
              <w:keepLines w:val="0"/>
              <w:suppressLineNumbers w:val="0"/>
              <w:spacing w:before="0" w:beforeAutospacing="0" w:afterAutospacing="0"/>
              <w:ind w:left="0" w:right="0"/>
              <w:rPr>
                <w:rFonts w:hint="default" w:ascii="Times New Roman" w:hAnsi="Times New Roman" w:cs="Times New Roman"/>
                <w:sz w:val="20"/>
                <w:szCs w:val="20"/>
              </w:rPr>
            </w:pPr>
          </w:p>
        </w:tc>
        <w:tc>
          <w:tcPr>
            <w:tcW w:w="2308" w:type="pct"/>
            <w:gridSpan w:val="4"/>
            <w:tcBorders>
              <w:top w:val="single" w:color="auto" w:sz="4" w:space="0"/>
              <w:left w:val="single" w:color="auto" w:sz="4" w:space="0"/>
              <w:bottom w:val="single" w:color="auto" w:sz="4" w:space="0"/>
              <w:right w:val="single" w:color="auto" w:sz="4" w:space="0"/>
            </w:tcBorders>
            <w:shd w:val="clear" w:color="auto" w:fill="auto"/>
            <w:vAlign w:val="center"/>
          </w:tcPr>
          <w:p w14:paraId="049DFCF9">
            <w:pPr>
              <w:keepNext w:val="0"/>
              <w:keepLines w:val="0"/>
              <w:widowControl w:val="0"/>
              <w:suppressLineNumbers w:val="0"/>
              <w:autoSpaceDE w:val="0"/>
              <w:autoSpaceDN w:val="0"/>
              <w:adjustRightInd w:val="0"/>
              <w:spacing w:before="0" w:beforeAutospacing="0" w:after="0" w:afterAutospacing="0"/>
              <w:ind w:left="0" w:right="0"/>
              <w:jc w:val="both"/>
              <w:rPr>
                <w:rFonts w:hint="default" w:ascii="Times New Roman" w:hAnsi="Times New Roman" w:eastAsia="宋体" w:cs="Times New Roman"/>
                <w:kern w:val="1"/>
                <w:sz w:val="21"/>
                <w:szCs w:val="21"/>
              </w:rPr>
            </w:pPr>
            <w:r>
              <w:rPr>
                <w:rFonts w:hint="eastAsia" w:ascii="宋体" w:hAnsi="宋体" w:eastAsia="宋体" w:cs="宋体"/>
                <w:kern w:val="1"/>
                <w:sz w:val="21"/>
                <w:szCs w:val="21"/>
                <w:lang w:val="en-US" w:eastAsia="zh-CN" w:bidi="ar"/>
                <w14:ligatures w14:val="standardContextual"/>
              </w:rPr>
              <w:t>相对密度（空气</w:t>
            </w:r>
            <w:r>
              <w:rPr>
                <w:rFonts w:hint="default" w:ascii="Times New Roman" w:hAnsi="Times New Roman" w:eastAsia="宋体" w:cs="Times New Roman"/>
                <w:kern w:val="1"/>
                <w:sz w:val="21"/>
                <w:szCs w:val="21"/>
                <w:lang w:val="en-US" w:eastAsia="zh-CN" w:bidi="ar"/>
                <w14:ligatures w14:val="standardContextual"/>
              </w:rPr>
              <w:t>=1</w:t>
            </w:r>
            <w:r>
              <w:rPr>
                <w:rFonts w:hint="eastAsia" w:ascii="宋体" w:hAnsi="宋体" w:eastAsia="宋体" w:cs="宋体"/>
                <w:kern w:val="1"/>
                <w:sz w:val="21"/>
                <w:szCs w:val="21"/>
                <w:lang w:val="en-US" w:eastAsia="zh-CN" w:bidi="ar"/>
                <w14:ligatures w14:val="standardContextual"/>
              </w:rPr>
              <w:t>）：</w:t>
            </w:r>
            <w:r>
              <w:rPr>
                <w:rFonts w:hint="default" w:ascii="Times New Roman" w:hAnsi="Times New Roman" w:eastAsia="宋体" w:cs="Times New Roman"/>
                <w:kern w:val="1"/>
                <w:sz w:val="21"/>
                <w:szCs w:val="21"/>
                <w:lang w:val="en-US" w:eastAsia="zh-CN" w:bidi="ar"/>
                <w14:ligatures w14:val="standardContextual"/>
              </w:rPr>
              <w:t>1.2</w:t>
            </w:r>
          </w:p>
        </w:tc>
        <w:tc>
          <w:tcPr>
            <w:tcW w:w="2330"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7F408514">
            <w:pPr>
              <w:keepNext w:val="0"/>
              <w:keepLines w:val="0"/>
              <w:widowControl w:val="0"/>
              <w:suppressLineNumbers w:val="0"/>
              <w:autoSpaceDE w:val="0"/>
              <w:autoSpaceDN w:val="0"/>
              <w:adjustRightInd w:val="0"/>
              <w:spacing w:before="0" w:beforeAutospacing="0" w:after="0" w:afterAutospacing="0"/>
              <w:ind w:left="0" w:right="0"/>
              <w:jc w:val="both"/>
              <w:rPr>
                <w:rFonts w:hint="default" w:ascii="Times New Roman" w:hAnsi="Times New Roman" w:eastAsia="宋体" w:cs="Times New Roman"/>
                <w:kern w:val="1"/>
                <w:sz w:val="21"/>
                <w:szCs w:val="21"/>
              </w:rPr>
            </w:pPr>
            <w:r>
              <w:rPr>
                <w:rFonts w:hint="eastAsia" w:ascii="宋体" w:hAnsi="宋体" w:eastAsia="宋体" w:cs="宋体"/>
                <w:kern w:val="1"/>
                <w:sz w:val="21"/>
                <w:szCs w:val="21"/>
                <w:lang w:val="en-US" w:eastAsia="zh-CN" w:bidi="ar"/>
                <w14:ligatures w14:val="standardContextual"/>
              </w:rPr>
              <w:t>相对密度（水</w:t>
            </w:r>
            <w:r>
              <w:rPr>
                <w:rFonts w:hint="default" w:ascii="Times New Roman" w:hAnsi="Times New Roman" w:eastAsia="宋体" w:cs="Times New Roman"/>
                <w:kern w:val="1"/>
                <w:sz w:val="21"/>
                <w:szCs w:val="21"/>
                <w:lang w:val="en-US" w:eastAsia="zh-CN" w:bidi="ar"/>
                <w14:ligatures w14:val="standardContextual"/>
              </w:rPr>
              <w:t>=1</w:t>
            </w:r>
            <w:r>
              <w:rPr>
                <w:rFonts w:hint="eastAsia" w:ascii="宋体" w:hAnsi="宋体" w:eastAsia="宋体" w:cs="宋体"/>
                <w:kern w:val="1"/>
                <w:sz w:val="21"/>
                <w:szCs w:val="21"/>
                <w:lang w:val="en-US" w:eastAsia="zh-CN" w:bidi="ar"/>
                <w14:ligatures w14:val="standardContextual"/>
              </w:rPr>
              <w:t>）：</w:t>
            </w:r>
            <w:r>
              <w:rPr>
                <w:rFonts w:hint="default" w:ascii="Times New Roman" w:hAnsi="Times New Roman" w:eastAsia="宋体" w:cs="Times New Roman"/>
                <w:kern w:val="1"/>
                <w:sz w:val="21"/>
                <w:szCs w:val="21"/>
                <w:lang w:val="en-US" w:eastAsia="zh-CN" w:bidi="ar"/>
                <w14:ligatures w14:val="standardContextual"/>
              </w:rPr>
              <w:t>1.26</w:t>
            </w:r>
          </w:p>
        </w:tc>
      </w:tr>
      <w:tr w14:paraId="1F979D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jc w:val="center"/>
        </w:trPr>
        <w:tc>
          <w:tcPr>
            <w:tcW w:w="361" w:type="pct"/>
            <w:vMerge w:val="continue"/>
            <w:tcBorders>
              <w:top w:val="nil"/>
              <w:left w:val="single" w:color="auto" w:sz="4" w:space="0"/>
              <w:bottom w:val="single" w:color="auto" w:sz="4" w:space="0"/>
              <w:right w:val="single" w:color="auto" w:sz="4" w:space="0"/>
            </w:tcBorders>
            <w:shd w:val="clear" w:color="auto" w:fill="auto"/>
            <w:vAlign w:val="center"/>
          </w:tcPr>
          <w:p w14:paraId="466A12C7">
            <w:pPr>
              <w:keepNext w:val="0"/>
              <w:keepLines w:val="0"/>
              <w:suppressLineNumbers w:val="0"/>
              <w:spacing w:before="0" w:beforeAutospacing="0" w:afterAutospacing="0"/>
              <w:ind w:left="0" w:right="0"/>
              <w:rPr>
                <w:rFonts w:hint="default" w:ascii="Times New Roman" w:hAnsi="Times New Roman" w:cs="Times New Roman"/>
                <w:sz w:val="20"/>
                <w:szCs w:val="20"/>
              </w:rPr>
            </w:pPr>
          </w:p>
        </w:tc>
        <w:tc>
          <w:tcPr>
            <w:tcW w:w="4639" w:type="pct"/>
            <w:gridSpan w:val="6"/>
            <w:tcBorders>
              <w:top w:val="single" w:color="auto" w:sz="4" w:space="0"/>
              <w:left w:val="single" w:color="auto" w:sz="4" w:space="0"/>
              <w:bottom w:val="single" w:color="auto" w:sz="4" w:space="0"/>
              <w:right w:val="single" w:color="auto" w:sz="4" w:space="0"/>
            </w:tcBorders>
            <w:shd w:val="clear" w:color="auto" w:fill="auto"/>
            <w:vAlign w:val="center"/>
          </w:tcPr>
          <w:p w14:paraId="6E54397E">
            <w:pPr>
              <w:keepNext w:val="0"/>
              <w:keepLines w:val="0"/>
              <w:widowControl w:val="0"/>
              <w:suppressLineNumbers w:val="0"/>
              <w:autoSpaceDE w:val="0"/>
              <w:autoSpaceDN w:val="0"/>
              <w:adjustRightInd w:val="0"/>
              <w:spacing w:before="0" w:beforeAutospacing="0" w:after="0" w:afterAutospacing="0"/>
              <w:ind w:left="834" w:right="0" w:hanging="833" w:hangingChars="397"/>
              <w:jc w:val="both"/>
              <w:rPr>
                <w:rFonts w:hint="default" w:ascii="Times New Roman" w:hAnsi="Times New Roman" w:eastAsia="宋体" w:cs="Times New Roman"/>
                <w:kern w:val="1"/>
                <w:sz w:val="21"/>
                <w:szCs w:val="21"/>
              </w:rPr>
            </w:pPr>
            <w:r>
              <w:rPr>
                <w:rFonts w:hint="eastAsia" w:ascii="宋体" w:hAnsi="宋体" w:eastAsia="宋体" w:cs="宋体"/>
                <w:kern w:val="1"/>
                <w:sz w:val="21"/>
                <w:szCs w:val="21"/>
                <w:lang w:val="en-US" w:eastAsia="zh-CN" w:bidi="ar"/>
                <w14:ligatures w14:val="standardContextual"/>
              </w:rPr>
              <w:t>溶解性：与水混溶，溶于碱液。</w:t>
            </w:r>
          </w:p>
          <w:p w14:paraId="3711143E">
            <w:pPr>
              <w:keepNext w:val="0"/>
              <w:keepLines w:val="0"/>
              <w:widowControl w:val="0"/>
              <w:suppressLineNumbers w:val="0"/>
              <w:autoSpaceDE w:val="0"/>
              <w:autoSpaceDN w:val="0"/>
              <w:adjustRightInd w:val="0"/>
              <w:spacing w:before="0" w:beforeAutospacing="0" w:after="0" w:afterAutospacing="0"/>
              <w:ind w:left="660" w:leftChars="300" w:right="0" w:firstLine="210" w:firstLineChars="100"/>
              <w:jc w:val="both"/>
              <w:rPr>
                <w:rFonts w:hint="default" w:ascii="Times New Roman" w:hAnsi="Times New Roman" w:eastAsia="宋体" w:cs="Times New Roman"/>
                <w:kern w:val="1"/>
                <w:sz w:val="21"/>
                <w:szCs w:val="21"/>
              </w:rPr>
            </w:pPr>
            <w:r>
              <w:rPr>
                <w:rFonts w:hint="default" w:ascii="Times New Roman" w:hAnsi="Times New Roman" w:eastAsia="宋体" w:cs="Times New Roman"/>
                <w:kern w:val="1"/>
                <w:sz w:val="21"/>
                <w:szCs w:val="21"/>
                <w:lang w:val="en-US" w:eastAsia="zh-CN" w:bidi="ar"/>
                <w14:ligatures w14:val="standardContextual"/>
              </w:rPr>
              <w:t>UN1050</w:t>
            </w:r>
            <w:r>
              <w:rPr>
                <w:rFonts w:hint="eastAsia" w:ascii="宋体" w:hAnsi="宋体" w:eastAsia="宋体" w:cs="宋体"/>
                <w:kern w:val="1"/>
                <w:sz w:val="21"/>
                <w:szCs w:val="21"/>
                <w:lang w:val="en-US" w:eastAsia="zh-CN" w:bidi="ar"/>
                <w14:ligatures w14:val="standardContextual"/>
              </w:rPr>
              <w:t>（无水的）；</w:t>
            </w:r>
            <w:r>
              <w:rPr>
                <w:rFonts w:hint="default" w:ascii="Times New Roman" w:hAnsi="Times New Roman" w:eastAsia="宋体" w:cs="Times New Roman"/>
                <w:kern w:val="1"/>
                <w:sz w:val="21"/>
                <w:szCs w:val="21"/>
                <w:lang w:val="en-US" w:eastAsia="zh-CN" w:bidi="ar"/>
                <w14:ligatures w14:val="standardContextual"/>
              </w:rPr>
              <w:t>UN2186</w:t>
            </w:r>
            <w:r>
              <w:rPr>
                <w:rFonts w:hint="eastAsia" w:ascii="宋体" w:hAnsi="宋体" w:eastAsia="宋体" w:cs="宋体"/>
                <w:kern w:val="1"/>
                <w:sz w:val="21"/>
                <w:szCs w:val="21"/>
                <w:lang w:val="en-US" w:eastAsia="zh-CN" w:bidi="ar"/>
                <w14:ligatures w14:val="standardContextual"/>
              </w:rPr>
              <w:t>（冷冻）</w:t>
            </w:r>
          </w:p>
        </w:tc>
      </w:tr>
      <w:tr w14:paraId="1EFB8A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28" w:type="dxa"/>
            <w:bottom w:w="0" w:type="dxa"/>
            <w:right w:w="28" w:type="dxa"/>
          </w:tblCellMar>
        </w:tblPrEx>
        <w:trPr>
          <w:cantSplit/>
          <w:trHeight w:val="724" w:hRule="atLeast"/>
          <w:jc w:val="center"/>
        </w:trPr>
        <w:tc>
          <w:tcPr>
            <w:tcW w:w="361" w:type="pct"/>
            <w:vMerge w:val="restart"/>
            <w:tcBorders>
              <w:top w:val="nil"/>
              <w:left w:val="single" w:color="auto" w:sz="4" w:space="0"/>
              <w:bottom w:val="single" w:color="auto" w:sz="4" w:space="0"/>
              <w:right w:val="single" w:color="auto" w:sz="4" w:space="0"/>
            </w:tcBorders>
            <w:shd w:val="clear" w:color="auto" w:fill="auto"/>
            <w:vAlign w:val="center"/>
          </w:tcPr>
          <w:p w14:paraId="5908D0BB">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kern w:val="1"/>
                <w:sz w:val="21"/>
                <w:szCs w:val="21"/>
              </w:rPr>
            </w:pPr>
            <w:r>
              <w:rPr>
                <w:rFonts w:hint="eastAsia" w:ascii="宋体" w:hAnsi="宋体" w:eastAsia="宋体" w:cs="宋体"/>
                <w:kern w:val="1"/>
                <w:sz w:val="21"/>
                <w:szCs w:val="21"/>
                <w:lang w:val="en-US" w:eastAsia="zh-CN" w:bidi="ar"/>
                <w14:ligatures w14:val="standardContextual"/>
              </w:rPr>
              <w:t>毒</w:t>
            </w:r>
          </w:p>
          <w:p w14:paraId="02A0AD55">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kern w:val="1"/>
                <w:sz w:val="21"/>
                <w:szCs w:val="21"/>
              </w:rPr>
            </w:pPr>
            <w:r>
              <w:rPr>
                <w:rFonts w:hint="eastAsia" w:ascii="宋体" w:hAnsi="宋体" w:eastAsia="宋体" w:cs="宋体"/>
                <w:kern w:val="1"/>
                <w:sz w:val="21"/>
                <w:szCs w:val="21"/>
                <w:lang w:val="en-US" w:eastAsia="zh-CN" w:bidi="ar"/>
                <w14:ligatures w14:val="standardContextual"/>
              </w:rPr>
              <w:t>害</w:t>
            </w:r>
          </w:p>
          <w:p w14:paraId="66444BB8">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kern w:val="1"/>
                <w:sz w:val="21"/>
                <w:szCs w:val="21"/>
              </w:rPr>
            </w:pPr>
            <w:r>
              <w:rPr>
                <w:rFonts w:hint="eastAsia" w:ascii="宋体" w:hAnsi="宋体" w:eastAsia="宋体" w:cs="宋体"/>
                <w:kern w:val="1"/>
                <w:sz w:val="21"/>
                <w:szCs w:val="21"/>
                <w:lang w:val="en-US" w:eastAsia="zh-CN" w:bidi="ar"/>
                <w14:ligatures w14:val="standardContextual"/>
              </w:rPr>
              <w:t>性</w:t>
            </w:r>
          </w:p>
          <w:p w14:paraId="09B76137">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kern w:val="1"/>
                <w:sz w:val="21"/>
                <w:szCs w:val="21"/>
              </w:rPr>
            </w:pPr>
            <w:r>
              <w:rPr>
                <w:rFonts w:hint="eastAsia" w:ascii="宋体" w:hAnsi="宋体" w:eastAsia="宋体" w:cs="宋体"/>
                <w:kern w:val="1"/>
                <w:sz w:val="21"/>
                <w:szCs w:val="21"/>
                <w:lang w:val="en-US" w:eastAsia="zh-CN" w:bidi="ar"/>
                <w14:ligatures w14:val="standardContextual"/>
              </w:rPr>
              <w:t>及</w:t>
            </w:r>
          </w:p>
          <w:p w14:paraId="7C848039">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kern w:val="1"/>
                <w:sz w:val="21"/>
                <w:szCs w:val="21"/>
              </w:rPr>
            </w:pPr>
            <w:r>
              <w:rPr>
                <w:rFonts w:hint="eastAsia" w:ascii="宋体" w:hAnsi="宋体" w:eastAsia="宋体" w:cs="宋体"/>
                <w:kern w:val="1"/>
                <w:sz w:val="21"/>
                <w:szCs w:val="21"/>
                <w:lang w:val="en-US" w:eastAsia="zh-CN" w:bidi="ar"/>
                <w14:ligatures w14:val="standardContextual"/>
              </w:rPr>
              <w:t>健</w:t>
            </w:r>
          </w:p>
          <w:p w14:paraId="1859EEAF">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kern w:val="1"/>
                <w:sz w:val="21"/>
                <w:szCs w:val="21"/>
              </w:rPr>
            </w:pPr>
            <w:r>
              <w:rPr>
                <w:rFonts w:hint="eastAsia" w:ascii="宋体" w:hAnsi="宋体" w:eastAsia="宋体" w:cs="宋体"/>
                <w:kern w:val="1"/>
                <w:sz w:val="21"/>
                <w:szCs w:val="21"/>
                <w:lang w:val="en-US" w:eastAsia="zh-CN" w:bidi="ar"/>
                <w14:ligatures w14:val="standardContextual"/>
              </w:rPr>
              <w:t>康</w:t>
            </w:r>
          </w:p>
          <w:p w14:paraId="5E1245A6">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kern w:val="1"/>
                <w:sz w:val="21"/>
                <w:szCs w:val="21"/>
              </w:rPr>
            </w:pPr>
            <w:r>
              <w:rPr>
                <w:rFonts w:hint="eastAsia" w:ascii="宋体" w:hAnsi="宋体" w:eastAsia="宋体" w:cs="宋体"/>
                <w:kern w:val="1"/>
                <w:sz w:val="21"/>
                <w:szCs w:val="21"/>
                <w:lang w:val="en-US" w:eastAsia="zh-CN" w:bidi="ar"/>
                <w14:ligatures w14:val="standardContextual"/>
              </w:rPr>
              <w:t>危</w:t>
            </w:r>
          </w:p>
          <w:p w14:paraId="32052904">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kern w:val="1"/>
                <w:sz w:val="21"/>
                <w:szCs w:val="21"/>
              </w:rPr>
            </w:pPr>
            <w:r>
              <w:rPr>
                <w:rFonts w:hint="eastAsia" w:ascii="宋体" w:hAnsi="宋体" w:eastAsia="宋体" w:cs="宋体"/>
                <w:kern w:val="1"/>
                <w:sz w:val="21"/>
                <w:szCs w:val="21"/>
                <w:lang w:val="en-US" w:eastAsia="zh-CN" w:bidi="ar"/>
                <w14:ligatures w14:val="standardContextual"/>
              </w:rPr>
              <w:t>害</w:t>
            </w:r>
          </w:p>
        </w:tc>
        <w:tc>
          <w:tcPr>
            <w:tcW w:w="666" w:type="pct"/>
            <w:tcBorders>
              <w:top w:val="single" w:color="auto" w:sz="4" w:space="0"/>
              <w:left w:val="single" w:color="auto" w:sz="4" w:space="0"/>
              <w:bottom w:val="single" w:color="auto" w:sz="4" w:space="0"/>
              <w:right w:val="single" w:color="auto" w:sz="4" w:space="0"/>
            </w:tcBorders>
            <w:shd w:val="clear" w:color="auto" w:fill="auto"/>
            <w:vAlign w:val="center"/>
          </w:tcPr>
          <w:p w14:paraId="735FFE6F">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kern w:val="1"/>
                <w:sz w:val="21"/>
                <w:szCs w:val="21"/>
              </w:rPr>
            </w:pPr>
            <w:r>
              <w:rPr>
                <w:rFonts w:hint="eastAsia" w:ascii="宋体" w:hAnsi="宋体" w:eastAsia="宋体" w:cs="宋体"/>
                <w:kern w:val="1"/>
                <w:sz w:val="21"/>
                <w:szCs w:val="21"/>
                <w:lang w:val="en-US" w:eastAsia="zh-CN" w:bidi="ar"/>
                <w14:ligatures w14:val="standardContextual"/>
              </w:rPr>
              <w:t>毒性资料</w:t>
            </w:r>
          </w:p>
        </w:tc>
        <w:tc>
          <w:tcPr>
            <w:tcW w:w="3973" w:type="pct"/>
            <w:gridSpan w:val="5"/>
            <w:tcBorders>
              <w:top w:val="single" w:color="auto" w:sz="4" w:space="0"/>
              <w:left w:val="single" w:color="auto" w:sz="4" w:space="0"/>
              <w:bottom w:val="single" w:color="auto" w:sz="4" w:space="0"/>
              <w:right w:val="single" w:color="auto" w:sz="4" w:space="0"/>
            </w:tcBorders>
            <w:shd w:val="clear" w:color="auto" w:fill="auto"/>
            <w:vAlign w:val="center"/>
          </w:tcPr>
          <w:p w14:paraId="593C6248">
            <w:pPr>
              <w:keepNext w:val="0"/>
              <w:keepLines w:val="0"/>
              <w:widowControl w:val="0"/>
              <w:suppressLineNumbers w:val="0"/>
              <w:spacing w:before="0" w:beforeAutospacing="0" w:after="0" w:afterAutospacing="0"/>
              <w:ind w:left="0" w:right="0"/>
              <w:jc w:val="both"/>
              <w:rPr>
                <w:rFonts w:hint="default" w:ascii="Times New Roman" w:hAnsi="Times New Roman" w:eastAsia="宋体" w:cs="Times New Roman"/>
                <w:kern w:val="1"/>
                <w:sz w:val="21"/>
                <w:szCs w:val="21"/>
              </w:rPr>
            </w:pPr>
            <w:r>
              <w:rPr>
                <w:rFonts w:hint="default" w:ascii="Times New Roman" w:hAnsi="Times New Roman" w:eastAsia="宋体" w:cs="Times New Roman"/>
                <w:kern w:val="1"/>
                <w:sz w:val="21"/>
                <w:szCs w:val="21"/>
                <w:lang w:val="en-US" w:eastAsia="zh-CN" w:bidi="ar"/>
                <w14:ligatures w14:val="standardContextual"/>
              </w:rPr>
              <w:t>LD50</w:t>
            </w:r>
            <w:r>
              <w:rPr>
                <w:rFonts w:hint="eastAsia" w:ascii="宋体" w:hAnsi="宋体" w:eastAsia="宋体" w:cs="宋体"/>
                <w:kern w:val="1"/>
                <w:sz w:val="21"/>
                <w:szCs w:val="21"/>
                <w:lang w:val="en-US" w:eastAsia="zh-CN" w:bidi="ar"/>
                <w14:ligatures w14:val="standardContextual"/>
              </w:rPr>
              <w:t>：</w:t>
            </w:r>
            <w:r>
              <w:rPr>
                <w:rFonts w:hint="default" w:ascii="Times New Roman" w:hAnsi="Times New Roman" w:eastAsia="宋体" w:cs="Times New Roman"/>
                <w:kern w:val="1"/>
                <w:sz w:val="21"/>
                <w:szCs w:val="21"/>
                <w:lang w:val="en-US" w:eastAsia="zh-CN" w:bidi="ar"/>
                <w14:ligatures w14:val="standardContextual"/>
              </w:rPr>
              <w:t>900mg</w:t>
            </w:r>
            <w:r>
              <w:rPr>
                <w:rFonts w:hint="eastAsia" w:ascii="宋体" w:hAnsi="宋体" w:eastAsia="宋体" w:cs="宋体"/>
                <w:kern w:val="1"/>
                <w:sz w:val="21"/>
                <w:szCs w:val="21"/>
                <w:lang w:val="en-US" w:eastAsia="zh-CN" w:bidi="ar"/>
                <w14:ligatures w14:val="standardContextual"/>
              </w:rPr>
              <w:t>／</w:t>
            </w:r>
            <w:r>
              <w:rPr>
                <w:rFonts w:hint="default" w:ascii="Times New Roman" w:hAnsi="Times New Roman" w:eastAsia="宋体" w:cs="Times New Roman"/>
                <w:kern w:val="1"/>
                <w:sz w:val="21"/>
                <w:szCs w:val="21"/>
                <w:lang w:val="en-US" w:eastAsia="zh-CN" w:bidi="ar"/>
                <w14:ligatures w14:val="standardContextual"/>
              </w:rPr>
              <w:t>kg</w:t>
            </w:r>
            <w:r>
              <w:rPr>
                <w:rFonts w:hint="eastAsia" w:ascii="宋体" w:hAnsi="宋体" w:eastAsia="宋体" w:cs="宋体"/>
                <w:kern w:val="1"/>
                <w:sz w:val="21"/>
                <w:szCs w:val="21"/>
                <w:lang w:val="en-US" w:eastAsia="zh-CN" w:bidi="ar"/>
                <w14:ligatures w14:val="standardContextual"/>
              </w:rPr>
              <w:t>（兔经口）</w:t>
            </w:r>
          </w:p>
          <w:p w14:paraId="525492D3">
            <w:pPr>
              <w:keepNext w:val="0"/>
              <w:keepLines w:val="0"/>
              <w:widowControl w:val="0"/>
              <w:suppressLineNumbers w:val="0"/>
              <w:spacing w:before="0" w:beforeAutospacing="0" w:after="0" w:afterAutospacing="0"/>
              <w:ind w:left="0" w:right="0"/>
              <w:jc w:val="both"/>
              <w:rPr>
                <w:rFonts w:hint="default" w:ascii="Times New Roman" w:hAnsi="Times New Roman" w:eastAsia="宋体" w:cs="Times New Roman"/>
                <w:kern w:val="1"/>
                <w:sz w:val="21"/>
                <w:szCs w:val="21"/>
              </w:rPr>
            </w:pPr>
            <w:r>
              <w:rPr>
                <w:rFonts w:hint="default" w:ascii="Times New Roman" w:hAnsi="Times New Roman" w:eastAsia="宋体" w:cs="Times New Roman"/>
                <w:kern w:val="1"/>
                <w:sz w:val="21"/>
                <w:szCs w:val="21"/>
                <w:lang w:val="en-US" w:eastAsia="zh-CN" w:bidi="ar"/>
                <w14:ligatures w14:val="standardContextual"/>
              </w:rPr>
              <w:t>LC50</w:t>
            </w:r>
            <w:r>
              <w:rPr>
                <w:rFonts w:hint="eastAsia" w:ascii="宋体" w:hAnsi="宋体" w:eastAsia="宋体" w:cs="宋体"/>
                <w:kern w:val="1"/>
                <w:sz w:val="21"/>
                <w:szCs w:val="21"/>
                <w:lang w:val="en-US" w:eastAsia="zh-CN" w:bidi="ar"/>
                <w14:ligatures w14:val="standardContextual"/>
              </w:rPr>
              <w:t>：</w:t>
            </w:r>
            <w:r>
              <w:rPr>
                <w:rFonts w:hint="default" w:ascii="Times New Roman" w:hAnsi="Times New Roman" w:eastAsia="宋体" w:cs="Times New Roman"/>
                <w:kern w:val="1"/>
                <w:sz w:val="21"/>
                <w:szCs w:val="21"/>
                <w:lang w:val="en-US" w:eastAsia="zh-CN" w:bidi="ar"/>
                <w14:ligatures w14:val="standardContextual"/>
              </w:rPr>
              <w:t>3124ppm 1</w:t>
            </w:r>
            <w:r>
              <w:rPr>
                <w:rFonts w:hint="eastAsia" w:ascii="宋体" w:hAnsi="宋体" w:eastAsia="宋体" w:cs="宋体"/>
                <w:kern w:val="1"/>
                <w:sz w:val="21"/>
                <w:szCs w:val="21"/>
                <w:lang w:val="en-US" w:eastAsia="zh-CN" w:bidi="ar"/>
                <w14:ligatures w14:val="standardContextual"/>
              </w:rPr>
              <w:t>小时（大鼠吸入）</w:t>
            </w:r>
          </w:p>
          <w:p w14:paraId="1678679C">
            <w:pPr>
              <w:keepNext w:val="0"/>
              <w:keepLines w:val="0"/>
              <w:widowControl w:val="0"/>
              <w:suppressLineNumbers w:val="0"/>
              <w:spacing w:before="0" w:beforeAutospacing="0" w:after="0" w:afterAutospacing="0"/>
              <w:ind w:left="0" w:right="0"/>
              <w:jc w:val="both"/>
              <w:rPr>
                <w:rFonts w:hint="default" w:ascii="Times New Roman" w:hAnsi="Times New Roman" w:eastAsia="宋体" w:cs="Times New Roman"/>
                <w:kern w:val="1"/>
                <w:sz w:val="21"/>
                <w:szCs w:val="21"/>
              </w:rPr>
            </w:pPr>
            <w:r>
              <w:rPr>
                <w:rFonts w:hint="eastAsia" w:ascii="宋体" w:hAnsi="宋体" w:eastAsia="宋体" w:cs="宋体"/>
                <w:kern w:val="1"/>
                <w:sz w:val="21"/>
                <w:szCs w:val="21"/>
                <w:lang w:val="en-US" w:eastAsia="zh-CN" w:bidi="ar"/>
                <w14:ligatures w14:val="standardContextual"/>
              </w:rPr>
              <w:t>该物质对环境有危害，应特别注意对水体和土壤的污染。</w:t>
            </w:r>
          </w:p>
        </w:tc>
      </w:tr>
      <w:tr w14:paraId="425D4E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28" w:type="dxa"/>
            <w:bottom w:w="0" w:type="dxa"/>
            <w:right w:w="28" w:type="dxa"/>
          </w:tblCellMar>
        </w:tblPrEx>
        <w:trPr>
          <w:cantSplit/>
          <w:trHeight w:val="571" w:hRule="atLeast"/>
          <w:jc w:val="center"/>
        </w:trPr>
        <w:tc>
          <w:tcPr>
            <w:tcW w:w="361" w:type="pct"/>
            <w:vMerge w:val="continue"/>
            <w:tcBorders>
              <w:top w:val="nil"/>
              <w:left w:val="single" w:color="auto" w:sz="4" w:space="0"/>
              <w:bottom w:val="single" w:color="auto" w:sz="4" w:space="0"/>
              <w:right w:val="single" w:color="auto" w:sz="4" w:space="0"/>
            </w:tcBorders>
            <w:shd w:val="clear" w:color="auto" w:fill="auto"/>
            <w:vAlign w:val="center"/>
          </w:tcPr>
          <w:p w14:paraId="20D23150">
            <w:pPr>
              <w:keepNext w:val="0"/>
              <w:keepLines w:val="0"/>
              <w:suppressLineNumbers w:val="0"/>
              <w:spacing w:before="0" w:beforeAutospacing="0" w:afterAutospacing="0"/>
              <w:ind w:left="0" w:right="0"/>
              <w:rPr>
                <w:rFonts w:hint="default" w:ascii="Times New Roman" w:hAnsi="Times New Roman" w:cs="Times New Roman"/>
                <w:sz w:val="20"/>
                <w:szCs w:val="20"/>
              </w:rPr>
            </w:pPr>
          </w:p>
        </w:tc>
        <w:tc>
          <w:tcPr>
            <w:tcW w:w="666" w:type="pct"/>
            <w:tcBorders>
              <w:top w:val="single" w:color="auto" w:sz="4" w:space="0"/>
              <w:left w:val="single" w:color="auto" w:sz="4" w:space="0"/>
              <w:bottom w:val="single" w:color="auto" w:sz="4" w:space="0"/>
              <w:right w:val="single" w:color="auto" w:sz="4" w:space="0"/>
            </w:tcBorders>
            <w:shd w:val="clear" w:color="auto" w:fill="auto"/>
            <w:vAlign w:val="center"/>
          </w:tcPr>
          <w:p w14:paraId="48D9D640">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kern w:val="1"/>
                <w:sz w:val="21"/>
                <w:szCs w:val="21"/>
              </w:rPr>
            </w:pPr>
            <w:r>
              <w:rPr>
                <w:rFonts w:hint="eastAsia" w:ascii="宋体" w:hAnsi="宋体" w:eastAsia="宋体" w:cs="宋体"/>
                <w:kern w:val="1"/>
                <w:sz w:val="21"/>
                <w:szCs w:val="21"/>
                <w:lang w:val="en-US" w:eastAsia="zh-CN" w:bidi="ar"/>
                <w14:ligatures w14:val="standardContextual"/>
              </w:rPr>
              <w:t>侵入途径</w:t>
            </w:r>
          </w:p>
        </w:tc>
        <w:tc>
          <w:tcPr>
            <w:tcW w:w="3973" w:type="pct"/>
            <w:gridSpan w:val="5"/>
            <w:tcBorders>
              <w:top w:val="single" w:color="auto" w:sz="4" w:space="0"/>
              <w:left w:val="single" w:color="auto" w:sz="4" w:space="0"/>
              <w:bottom w:val="single" w:color="auto" w:sz="4" w:space="0"/>
              <w:right w:val="single" w:color="auto" w:sz="4" w:space="0"/>
            </w:tcBorders>
            <w:shd w:val="clear" w:color="auto" w:fill="auto"/>
            <w:vAlign w:val="center"/>
          </w:tcPr>
          <w:p w14:paraId="4F0C1C29">
            <w:pPr>
              <w:keepNext w:val="0"/>
              <w:keepLines w:val="0"/>
              <w:widowControl w:val="0"/>
              <w:suppressLineNumbers w:val="0"/>
              <w:spacing w:before="0" w:beforeAutospacing="0" w:after="0" w:afterAutospacing="0"/>
              <w:ind w:left="0" w:right="0"/>
              <w:jc w:val="both"/>
              <w:rPr>
                <w:rFonts w:hint="default" w:ascii="Times New Roman" w:hAnsi="Times New Roman" w:eastAsia="宋体" w:cs="Times New Roman"/>
                <w:kern w:val="1"/>
                <w:sz w:val="21"/>
                <w:szCs w:val="21"/>
              </w:rPr>
            </w:pPr>
            <w:r>
              <w:rPr>
                <w:rFonts w:hint="eastAsia" w:ascii="宋体" w:hAnsi="宋体" w:eastAsia="宋体" w:cs="宋体"/>
                <w:kern w:val="1"/>
                <w:sz w:val="21"/>
                <w:szCs w:val="21"/>
                <w:lang w:val="en-US" w:eastAsia="zh-CN" w:bidi="ar"/>
                <w14:ligatures w14:val="standardContextual"/>
              </w:rPr>
              <w:t>吸入；食入</w:t>
            </w:r>
          </w:p>
        </w:tc>
      </w:tr>
      <w:tr w14:paraId="43DF03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28" w:type="dxa"/>
            <w:bottom w:w="0" w:type="dxa"/>
            <w:right w:w="28" w:type="dxa"/>
          </w:tblCellMar>
        </w:tblPrEx>
        <w:trPr>
          <w:cantSplit/>
          <w:jc w:val="center"/>
        </w:trPr>
        <w:tc>
          <w:tcPr>
            <w:tcW w:w="361" w:type="pct"/>
            <w:vMerge w:val="continue"/>
            <w:tcBorders>
              <w:top w:val="nil"/>
              <w:left w:val="single" w:color="auto" w:sz="4" w:space="0"/>
              <w:bottom w:val="single" w:color="auto" w:sz="4" w:space="0"/>
              <w:right w:val="single" w:color="auto" w:sz="4" w:space="0"/>
            </w:tcBorders>
            <w:shd w:val="clear" w:color="auto" w:fill="auto"/>
            <w:vAlign w:val="center"/>
          </w:tcPr>
          <w:p w14:paraId="60326650">
            <w:pPr>
              <w:keepNext w:val="0"/>
              <w:keepLines w:val="0"/>
              <w:suppressLineNumbers w:val="0"/>
              <w:spacing w:before="0" w:beforeAutospacing="0" w:afterAutospacing="0"/>
              <w:ind w:left="0" w:right="0"/>
              <w:rPr>
                <w:rFonts w:hint="default" w:ascii="Times New Roman" w:hAnsi="Times New Roman" w:cs="Times New Roman"/>
                <w:sz w:val="20"/>
                <w:szCs w:val="20"/>
              </w:rPr>
            </w:pPr>
          </w:p>
        </w:tc>
        <w:tc>
          <w:tcPr>
            <w:tcW w:w="666" w:type="pct"/>
            <w:tcBorders>
              <w:top w:val="single" w:color="auto" w:sz="4" w:space="0"/>
              <w:left w:val="single" w:color="auto" w:sz="4" w:space="0"/>
              <w:bottom w:val="single" w:color="auto" w:sz="4" w:space="0"/>
              <w:right w:val="single" w:color="auto" w:sz="4" w:space="0"/>
            </w:tcBorders>
            <w:shd w:val="clear" w:color="auto" w:fill="auto"/>
            <w:vAlign w:val="center"/>
          </w:tcPr>
          <w:p w14:paraId="7B641F78">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kern w:val="1"/>
                <w:sz w:val="21"/>
                <w:szCs w:val="21"/>
              </w:rPr>
            </w:pPr>
            <w:r>
              <w:rPr>
                <w:rFonts w:hint="eastAsia" w:ascii="宋体" w:hAnsi="宋体" w:eastAsia="宋体" w:cs="宋体"/>
                <w:kern w:val="1"/>
                <w:sz w:val="21"/>
                <w:szCs w:val="21"/>
                <w:lang w:val="en-US" w:eastAsia="zh-CN" w:bidi="ar"/>
                <w14:ligatures w14:val="standardContextual"/>
              </w:rPr>
              <w:t>健康危害</w:t>
            </w:r>
          </w:p>
        </w:tc>
        <w:tc>
          <w:tcPr>
            <w:tcW w:w="3973" w:type="pct"/>
            <w:gridSpan w:val="5"/>
            <w:tcBorders>
              <w:top w:val="single" w:color="auto" w:sz="4" w:space="0"/>
              <w:left w:val="single" w:color="auto" w:sz="4" w:space="0"/>
              <w:bottom w:val="single" w:color="auto" w:sz="4" w:space="0"/>
              <w:right w:val="single" w:color="auto" w:sz="4" w:space="0"/>
            </w:tcBorders>
            <w:shd w:val="clear" w:color="auto" w:fill="auto"/>
            <w:vAlign w:val="center"/>
          </w:tcPr>
          <w:p w14:paraId="3C9F2CC7">
            <w:pPr>
              <w:keepNext w:val="0"/>
              <w:keepLines w:val="0"/>
              <w:widowControl w:val="0"/>
              <w:suppressLineNumbers w:val="0"/>
              <w:spacing w:before="0" w:beforeAutospacing="0" w:after="0" w:afterAutospacing="0"/>
              <w:ind w:left="0" w:right="0"/>
              <w:jc w:val="both"/>
              <w:rPr>
                <w:rFonts w:hint="default" w:ascii="Times New Roman" w:hAnsi="Times New Roman" w:eastAsia="宋体" w:cs="Times New Roman"/>
                <w:kern w:val="1"/>
                <w:sz w:val="21"/>
                <w:szCs w:val="21"/>
              </w:rPr>
            </w:pPr>
            <w:r>
              <w:rPr>
                <w:rFonts w:hint="eastAsia" w:ascii="宋体" w:hAnsi="宋体" w:eastAsia="宋体" w:cs="宋体"/>
                <w:kern w:val="1"/>
                <w:sz w:val="21"/>
                <w:szCs w:val="21"/>
                <w:lang w:val="en-US" w:eastAsia="zh-CN" w:bidi="ar"/>
                <w14:ligatures w14:val="standardContextual"/>
              </w:rPr>
              <w:t>接触其蒸气或烟雾，引起眼结膜炎，鼻及口腔粘膜有烧灼感，鼻衄、齿龈出血、气管炎；刺激皮肤发生皮炎，慢性支气管炎等病变。误服盐酸中毒，可引起消化道灼伤、溃疡形成，有可能胃穿孔、腹膜炎等。</w:t>
            </w:r>
          </w:p>
          <w:p w14:paraId="2AEACF0B">
            <w:pPr>
              <w:keepNext w:val="0"/>
              <w:keepLines w:val="0"/>
              <w:widowControl w:val="0"/>
              <w:suppressLineNumbers w:val="0"/>
              <w:spacing w:before="0" w:beforeAutospacing="0" w:after="0" w:afterAutospacing="0"/>
              <w:ind w:left="0" w:right="0"/>
              <w:jc w:val="both"/>
              <w:rPr>
                <w:rFonts w:hint="default" w:ascii="Times New Roman" w:hAnsi="Times New Roman" w:eastAsia="宋体" w:cs="Times New Roman"/>
                <w:kern w:val="1"/>
                <w:sz w:val="21"/>
                <w:szCs w:val="21"/>
              </w:rPr>
            </w:pPr>
            <w:r>
              <w:rPr>
                <w:rFonts w:hint="default" w:ascii="Times New Roman" w:hAnsi="Times New Roman" w:eastAsia="宋体" w:cs="Times New Roman"/>
                <w:kern w:val="1"/>
                <w:sz w:val="21"/>
                <w:szCs w:val="21"/>
                <w:lang w:val="en-US" w:eastAsia="zh-CN" w:bidi="ar"/>
                <w14:ligatures w14:val="standardContextual"/>
              </w:rPr>
              <w:t>IDLH</w:t>
            </w:r>
            <w:r>
              <w:rPr>
                <w:rFonts w:hint="eastAsia" w:ascii="宋体" w:hAnsi="宋体" w:eastAsia="宋体" w:cs="宋体"/>
                <w:kern w:val="1"/>
                <w:sz w:val="21"/>
                <w:szCs w:val="21"/>
                <w:lang w:val="en-US" w:eastAsia="zh-CN" w:bidi="ar"/>
                <w14:ligatures w14:val="standardContextual"/>
              </w:rPr>
              <w:t>：</w:t>
            </w:r>
            <w:r>
              <w:rPr>
                <w:rFonts w:hint="default" w:ascii="Times New Roman" w:hAnsi="Times New Roman" w:eastAsia="宋体" w:cs="Times New Roman"/>
                <w:kern w:val="1"/>
                <w:sz w:val="21"/>
                <w:szCs w:val="21"/>
                <w:lang w:val="en-US" w:eastAsia="zh-CN" w:bidi="ar"/>
                <w14:ligatures w14:val="standardContextual"/>
              </w:rPr>
              <w:t>50ppm</w:t>
            </w:r>
          </w:p>
          <w:p w14:paraId="07014FDF">
            <w:pPr>
              <w:keepNext w:val="0"/>
              <w:keepLines w:val="0"/>
              <w:widowControl w:val="0"/>
              <w:suppressLineNumbers w:val="0"/>
              <w:spacing w:before="0" w:beforeAutospacing="0" w:after="0" w:afterAutospacing="0"/>
              <w:ind w:left="0" w:right="0"/>
              <w:jc w:val="both"/>
              <w:rPr>
                <w:rFonts w:hint="default" w:ascii="Times New Roman" w:hAnsi="Times New Roman" w:eastAsia="宋体" w:cs="Times New Roman"/>
                <w:kern w:val="1"/>
                <w:sz w:val="21"/>
                <w:szCs w:val="21"/>
              </w:rPr>
            </w:pPr>
            <w:r>
              <w:rPr>
                <w:rFonts w:hint="eastAsia" w:ascii="宋体" w:hAnsi="宋体" w:eastAsia="宋体" w:cs="宋体"/>
                <w:kern w:val="1"/>
                <w:sz w:val="21"/>
                <w:szCs w:val="21"/>
                <w:lang w:val="en-US" w:eastAsia="zh-CN" w:bidi="ar"/>
                <w14:ligatures w14:val="standardContextual"/>
              </w:rPr>
              <w:t>嗅阈：</w:t>
            </w:r>
            <w:r>
              <w:rPr>
                <w:rFonts w:hint="default" w:ascii="Times New Roman" w:hAnsi="Times New Roman" w:eastAsia="宋体" w:cs="Times New Roman"/>
                <w:kern w:val="1"/>
                <w:sz w:val="21"/>
                <w:szCs w:val="21"/>
                <w:lang w:val="en-US" w:eastAsia="zh-CN" w:bidi="ar"/>
                <w14:ligatures w14:val="standardContextual"/>
              </w:rPr>
              <w:t>6</w:t>
            </w:r>
            <w:r>
              <w:rPr>
                <w:rFonts w:hint="eastAsia" w:ascii="宋体" w:hAnsi="宋体" w:eastAsia="宋体" w:cs="宋体"/>
                <w:kern w:val="1"/>
                <w:sz w:val="21"/>
                <w:szCs w:val="21"/>
                <w:lang w:val="en-US" w:eastAsia="zh-CN" w:bidi="ar"/>
                <w14:ligatures w14:val="standardContextual"/>
              </w:rPr>
              <w:t>．</w:t>
            </w:r>
            <w:r>
              <w:rPr>
                <w:rFonts w:hint="default" w:ascii="Times New Roman" w:hAnsi="Times New Roman" w:eastAsia="宋体" w:cs="Times New Roman"/>
                <w:kern w:val="1"/>
                <w:sz w:val="21"/>
                <w:szCs w:val="21"/>
                <w:lang w:val="en-US" w:eastAsia="zh-CN" w:bidi="ar"/>
                <w14:ligatures w14:val="standardContextual"/>
              </w:rPr>
              <w:t>31ppm</w:t>
            </w:r>
            <w:r>
              <w:rPr>
                <w:rFonts w:hint="eastAsia" w:ascii="宋体" w:hAnsi="宋体" w:eastAsia="宋体" w:cs="宋体"/>
                <w:kern w:val="1"/>
                <w:sz w:val="21"/>
                <w:szCs w:val="21"/>
                <w:lang w:val="en-US" w:eastAsia="zh-CN" w:bidi="ar"/>
                <w14:ligatures w14:val="standardContextual"/>
              </w:rPr>
              <w:t>；在</w:t>
            </w:r>
            <w:r>
              <w:rPr>
                <w:rFonts w:hint="default" w:ascii="Times New Roman" w:hAnsi="Times New Roman" w:eastAsia="宋体" w:cs="Times New Roman"/>
                <w:kern w:val="1"/>
                <w:sz w:val="21"/>
                <w:szCs w:val="21"/>
                <w:lang w:val="en-US" w:eastAsia="zh-CN" w:bidi="ar"/>
                <w14:ligatures w14:val="standardContextual"/>
              </w:rPr>
              <w:t>1</w:t>
            </w:r>
            <w:r>
              <w:rPr>
                <w:rFonts w:hint="eastAsia" w:ascii="宋体" w:hAnsi="宋体" w:eastAsia="宋体" w:cs="宋体"/>
                <w:kern w:val="1"/>
                <w:sz w:val="21"/>
                <w:szCs w:val="21"/>
                <w:lang w:val="en-US" w:eastAsia="zh-CN" w:bidi="ar"/>
                <w14:ligatures w14:val="standardContextual"/>
              </w:rPr>
              <w:t>～</w:t>
            </w:r>
            <w:r>
              <w:rPr>
                <w:rFonts w:hint="default" w:ascii="Times New Roman" w:hAnsi="Times New Roman" w:eastAsia="宋体" w:cs="Times New Roman"/>
                <w:kern w:val="1"/>
                <w:sz w:val="21"/>
                <w:szCs w:val="21"/>
                <w:lang w:val="en-US" w:eastAsia="zh-CN" w:bidi="ar"/>
                <w14:ligatures w14:val="standardContextual"/>
              </w:rPr>
              <w:t>5ppm</w:t>
            </w:r>
            <w:r>
              <w:rPr>
                <w:rFonts w:hint="eastAsia" w:ascii="宋体" w:hAnsi="宋体" w:eastAsia="宋体" w:cs="宋体"/>
                <w:kern w:val="1"/>
                <w:sz w:val="21"/>
                <w:szCs w:val="21"/>
                <w:lang w:val="en-US" w:eastAsia="zh-CN" w:bidi="ar"/>
                <w14:ligatures w14:val="standardContextual"/>
              </w:rPr>
              <w:t>范围内有强烈的窒息气味</w:t>
            </w:r>
          </w:p>
          <w:p w14:paraId="33E82D52">
            <w:pPr>
              <w:keepNext w:val="0"/>
              <w:keepLines w:val="0"/>
              <w:widowControl w:val="0"/>
              <w:suppressLineNumbers w:val="0"/>
              <w:spacing w:before="0" w:beforeAutospacing="0" w:after="0" w:afterAutospacing="0"/>
              <w:ind w:left="0" w:right="0"/>
              <w:jc w:val="both"/>
              <w:rPr>
                <w:rFonts w:hint="default" w:ascii="Times New Roman" w:hAnsi="Times New Roman" w:eastAsia="宋体" w:cs="Times New Roman"/>
                <w:kern w:val="1"/>
                <w:sz w:val="21"/>
                <w:szCs w:val="21"/>
              </w:rPr>
            </w:pPr>
            <w:r>
              <w:rPr>
                <w:rFonts w:hint="default" w:ascii="Times New Roman" w:hAnsi="Times New Roman" w:eastAsia="宋体" w:cs="Times New Roman"/>
                <w:kern w:val="1"/>
                <w:sz w:val="21"/>
                <w:szCs w:val="21"/>
                <w:lang w:val="en-US" w:eastAsia="zh-CN" w:bidi="ar"/>
                <w14:ligatures w14:val="standardContextual"/>
              </w:rPr>
              <w:t>OSHA</w:t>
            </w:r>
            <w:r>
              <w:rPr>
                <w:rFonts w:hint="eastAsia" w:ascii="宋体" w:hAnsi="宋体" w:eastAsia="宋体" w:cs="宋体"/>
                <w:kern w:val="1"/>
                <w:sz w:val="21"/>
                <w:szCs w:val="21"/>
                <w:lang w:val="en-US" w:eastAsia="zh-CN" w:bidi="ar"/>
                <w14:ligatures w14:val="standardContextual"/>
              </w:rPr>
              <w:t>：表</w:t>
            </w:r>
            <w:r>
              <w:rPr>
                <w:rFonts w:hint="default" w:ascii="Times New Roman" w:hAnsi="Times New Roman" w:eastAsia="宋体" w:cs="Times New Roman"/>
                <w:kern w:val="1"/>
                <w:sz w:val="21"/>
                <w:szCs w:val="21"/>
                <w:lang w:val="en-US" w:eastAsia="zh-CN" w:bidi="ar"/>
                <w14:ligatures w14:val="standardContextual"/>
              </w:rPr>
              <w:t>Z—1</w:t>
            </w:r>
            <w:r>
              <w:rPr>
                <w:rFonts w:hint="eastAsia" w:ascii="宋体" w:hAnsi="宋体" w:eastAsia="宋体" w:cs="宋体"/>
                <w:kern w:val="1"/>
                <w:sz w:val="21"/>
                <w:szCs w:val="21"/>
                <w:lang w:val="en-US" w:eastAsia="zh-CN" w:bidi="ar"/>
                <w14:ligatures w14:val="standardContextual"/>
              </w:rPr>
              <w:t>空气污染物</w:t>
            </w:r>
          </w:p>
          <w:p w14:paraId="391CA500">
            <w:pPr>
              <w:keepNext w:val="0"/>
              <w:keepLines w:val="0"/>
              <w:widowControl w:val="0"/>
              <w:suppressLineNumbers w:val="0"/>
              <w:spacing w:before="0" w:beforeAutospacing="0" w:after="0" w:afterAutospacing="0"/>
              <w:ind w:left="0" w:right="0"/>
              <w:jc w:val="both"/>
              <w:rPr>
                <w:rFonts w:hint="default" w:ascii="Times New Roman" w:hAnsi="Times New Roman" w:eastAsia="宋体" w:cs="Times New Roman"/>
                <w:kern w:val="1"/>
                <w:sz w:val="21"/>
                <w:szCs w:val="21"/>
              </w:rPr>
            </w:pPr>
            <w:r>
              <w:rPr>
                <w:rFonts w:hint="default" w:ascii="Times New Roman" w:hAnsi="Times New Roman" w:eastAsia="宋体" w:cs="Times New Roman"/>
                <w:kern w:val="1"/>
                <w:sz w:val="21"/>
                <w:szCs w:val="21"/>
                <w:lang w:val="en-US" w:eastAsia="zh-CN" w:bidi="ar"/>
                <w14:ligatures w14:val="standardContextual"/>
              </w:rPr>
              <w:t>OSHA</w:t>
            </w:r>
            <w:r>
              <w:rPr>
                <w:rFonts w:hint="eastAsia" w:ascii="宋体" w:hAnsi="宋体" w:eastAsia="宋体" w:cs="宋体"/>
                <w:kern w:val="1"/>
                <w:sz w:val="21"/>
                <w:szCs w:val="21"/>
                <w:lang w:val="en-US" w:eastAsia="zh-CN" w:bidi="ar"/>
                <w14:ligatures w14:val="standardContextual"/>
              </w:rPr>
              <w:t>高危险化学品过程安全管理：</w:t>
            </w:r>
            <w:r>
              <w:rPr>
                <w:rFonts w:hint="default" w:ascii="Times New Roman" w:hAnsi="Times New Roman" w:eastAsia="宋体" w:cs="Times New Roman"/>
                <w:kern w:val="1"/>
                <w:sz w:val="21"/>
                <w:szCs w:val="21"/>
                <w:lang w:val="en-US" w:eastAsia="zh-CN" w:bidi="ar"/>
                <w14:ligatures w14:val="standardContextual"/>
              </w:rPr>
              <w:t>29CFR1910</w:t>
            </w:r>
            <w:r>
              <w:rPr>
                <w:rFonts w:hint="eastAsia" w:ascii="宋体" w:hAnsi="宋体" w:eastAsia="宋体" w:cs="宋体"/>
                <w:kern w:val="1"/>
                <w:sz w:val="21"/>
                <w:szCs w:val="21"/>
                <w:lang w:val="en-US" w:eastAsia="zh-CN" w:bidi="ar"/>
                <w14:ligatures w14:val="standardContextual"/>
              </w:rPr>
              <w:t>．</w:t>
            </w:r>
            <w:r>
              <w:rPr>
                <w:rFonts w:hint="default" w:ascii="Times New Roman" w:hAnsi="Times New Roman" w:eastAsia="宋体" w:cs="Times New Roman"/>
                <w:kern w:val="1"/>
                <w:sz w:val="21"/>
                <w:szCs w:val="21"/>
                <w:lang w:val="en-US" w:eastAsia="zh-CN" w:bidi="ar"/>
                <w14:ligatures w14:val="standardContextual"/>
              </w:rPr>
              <w:t>119</w:t>
            </w:r>
            <w:r>
              <w:rPr>
                <w:rFonts w:hint="eastAsia" w:ascii="宋体" w:hAnsi="宋体" w:eastAsia="宋体" w:cs="宋体"/>
                <w:kern w:val="1"/>
                <w:sz w:val="21"/>
                <w:szCs w:val="21"/>
                <w:lang w:val="en-US" w:eastAsia="zh-CN" w:bidi="ar"/>
                <w14:ligatures w14:val="standardContextual"/>
              </w:rPr>
              <w:t>．附录</w:t>
            </w:r>
            <w:r>
              <w:rPr>
                <w:rFonts w:hint="default" w:ascii="Times New Roman" w:hAnsi="Times New Roman" w:eastAsia="宋体" w:cs="Times New Roman"/>
                <w:kern w:val="1"/>
                <w:sz w:val="21"/>
                <w:szCs w:val="21"/>
                <w:lang w:val="en-US" w:eastAsia="zh-CN" w:bidi="ar"/>
                <w14:ligatures w14:val="standardContextual"/>
              </w:rPr>
              <w:t>A</w:t>
            </w:r>
            <w:r>
              <w:rPr>
                <w:rFonts w:hint="eastAsia" w:ascii="宋体" w:hAnsi="宋体" w:eastAsia="宋体" w:cs="宋体"/>
                <w:kern w:val="1"/>
                <w:sz w:val="21"/>
                <w:szCs w:val="21"/>
                <w:lang w:val="en-US" w:eastAsia="zh-CN" w:bidi="ar"/>
                <w14:ligatures w14:val="standardContextual"/>
              </w:rPr>
              <w:t>，临界值</w:t>
            </w:r>
            <w:r>
              <w:rPr>
                <w:rFonts w:hint="default" w:ascii="Times New Roman" w:hAnsi="Times New Roman" w:eastAsia="宋体" w:cs="Times New Roman"/>
                <w:kern w:val="1"/>
                <w:sz w:val="21"/>
                <w:szCs w:val="21"/>
                <w:lang w:val="en-US" w:eastAsia="zh-CN" w:bidi="ar"/>
                <w14:ligatures w14:val="standardContextual"/>
              </w:rPr>
              <w:t>5000lb(</w:t>
            </w:r>
          </w:p>
          <w:p w14:paraId="3524F200">
            <w:pPr>
              <w:keepNext w:val="0"/>
              <w:keepLines w:val="0"/>
              <w:widowControl w:val="0"/>
              <w:suppressLineNumbers w:val="0"/>
              <w:spacing w:before="0" w:beforeAutospacing="0" w:after="0" w:afterAutospacing="0"/>
              <w:ind w:left="0" w:right="0"/>
              <w:jc w:val="both"/>
              <w:rPr>
                <w:rFonts w:hint="default" w:ascii="Times New Roman" w:hAnsi="Times New Roman" w:eastAsia="宋体" w:cs="Times New Roman"/>
                <w:kern w:val="1"/>
                <w:sz w:val="21"/>
                <w:szCs w:val="21"/>
              </w:rPr>
            </w:pPr>
            <w:r>
              <w:rPr>
                <w:rFonts w:hint="eastAsia" w:ascii="宋体" w:hAnsi="宋体" w:eastAsia="宋体" w:cs="宋体"/>
                <w:kern w:val="1"/>
                <w:sz w:val="21"/>
                <w:szCs w:val="21"/>
                <w:lang w:val="en-US" w:eastAsia="zh-CN" w:bidi="ar"/>
                <w14:ligatures w14:val="standardContextual"/>
              </w:rPr>
              <w:t>（</w:t>
            </w:r>
            <w:r>
              <w:rPr>
                <w:rFonts w:hint="default" w:ascii="Times New Roman" w:hAnsi="Times New Roman" w:eastAsia="宋体" w:cs="Times New Roman"/>
                <w:kern w:val="1"/>
                <w:sz w:val="21"/>
                <w:szCs w:val="21"/>
                <w:lang w:val="en-US" w:eastAsia="zh-CN" w:bidi="ar"/>
                <w14:ligatures w14:val="standardContextual"/>
              </w:rPr>
              <w:t>2268kg</w:t>
            </w:r>
            <w:r>
              <w:rPr>
                <w:rFonts w:hint="eastAsia" w:ascii="宋体" w:hAnsi="宋体" w:eastAsia="宋体" w:cs="宋体"/>
                <w:kern w:val="1"/>
                <w:sz w:val="21"/>
                <w:szCs w:val="21"/>
                <w:lang w:val="en-US" w:eastAsia="zh-CN" w:bidi="ar"/>
                <w14:ligatures w14:val="standardContextual"/>
              </w:rPr>
              <w:t>）（以无水盐酸氯化氢计）</w:t>
            </w:r>
          </w:p>
          <w:p w14:paraId="435D8A8C">
            <w:pPr>
              <w:keepNext w:val="0"/>
              <w:keepLines w:val="0"/>
              <w:widowControl w:val="0"/>
              <w:suppressLineNumbers w:val="0"/>
              <w:spacing w:before="0" w:beforeAutospacing="0" w:after="0" w:afterAutospacing="0"/>
              <w:ind w:left="0" w:right="0"/>
              <w:jc w:val="both"/>
              <w:rPr>
                <w:rFonts w:hint="default" w:ascii="Times New Roman" w:hAnsi="Times New Roman" w:eastAsia="宋体" w:cs="Times New Roman"/>
                <w:kern w:val="1"/>
                <w:sz w:val="21"/>
                <w:szCs w:val="21"/>
              </w:rPr>
            </w:pPr>
            <w:r>
              <w:rPr>
                <w:rFonts w:hint="eastAsia" w:ascii="宋体" w:hAnsi="宋体" w:eastAsia="宋体" w:cs="宋体"/>
                <w:kern w:val="1"/>
                <w:sz w:val="21"/>
                <w:szCs w:val="21"/>
                <w:lang w:val="en-US" w:eastAsia="zh-CN" w:bidi="ar"/>
                <w14:ligatures w14:val="standardContextual"/>
              </w:rPr>
              <w:t>健康危害（蓝色）：</w:t>
            </w:r>
            <w:r>
              <w:rPr>
                <w:rFonts w:hint="default" w:ascii="Times New Roman" w:hAnsi="Times New Roman" w:eastAsia="宋体" w:cs="Times New Roman"/>
                <w:kern w:val="1"/>
                <w:sz w:val="21"/>
                <w:szCs w:val="21"/>
                <w:lang w:val="en-US" w:eastAsia="zh-CN" w:bidi="ar"/>
                <w14:ligatures w14:val="standardContextual"/>
              </w:rPr>
              <w:t>3</w:t>
            </w:r>
          </w:p>
        </w:tc>
      </w:tr>
      <w:tr w14:paraId="553583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jc w:val="center"/>
        </w:trPr>
        <w:tc>
          <w:tcPr>
            <w:tcW w:w="361" w:type="pct"/>
            <w:vMerge w:val="continue"/>
            <w:tcBorders>
              <w:top w:val="nil"/>
              <w:left w:val="single" w:color="auto" w:sz="4" w:space="0"/>
              <w:bottom w:val="single" w:color="auto" w:sz="4" w:space="0"/>
              <w:right w:val="single" w:color="auto" w:sz="4" w:space="0"/>
            </w:tcBorders>
            <w:shd w:val="clear" w:color="auto" w:fill="auto"/>
            <w:vAlign w:val="center"/>
          </w:tcPr>
          <w:p w14:paraId="32F4C7D1">
            <w:pPr>
              <w:keepNext w:val="0"/>
              <w:keepLines w:val="0"/>
              <w:suppressLineNumbers w:val="0"/>
              <w:spacing w:before="0" w:beforeAutospacing="0" w:afterAutospacing="0"/>
              <w:ind w:left="0" w:right="0"/>
              <w:rPr>
                <w:rFonts w:hint="default" w:ascii="Times New Roman" w:hAnsi="Times New Roman" w:cs="Times New Roman"/>
                <w:sz w:val="20"/>
                <w:szCs w:val="20"/>
              </w:rPr>
            </w:pPr>
          </w:p>
        </w:tc>
        <w:tc>
          <w:tcPr>
            <w:tcW w:w="666" w:type="pct"/>
            <w:tcBorders>
              <w:top w:val="single" w:color="auto" w:sz="4" w:space="0"/>
              <w:left w:val="single" w:color="auto" w:sz="4" w:space="0"/>
              <w:bottom w:val="single" w:color="auto" w:sz="4" w:space="0"/>
              <w:right w:val="single" w:color="auto" w:sz="4" w:space="0"/>
            </w:tcBorders>
            <w:shd w:val="clear" w:color="auto" w:fill="auto"/>
            <w:vAlign w:val="center"/>
          </w:tcPr>
          <w:p w14:paraId="75F5506A">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kern w:val="1"/>
                <w:sz w:val="21"/>
                <w:szCs w:val="21"/>
              </w:rPr>
            </w:pPr>
            <w:r>
              <w:rPr>
                <w:rFonts w:hint="eastAsia" w:ascii="宋体" w:hAnsi="宋体" w:eastAsia="宋体" w:cs="宋体"/>
                <w:kern w:val="1"/>
                <w:sz w:val="21"/>
                <w:szCs w:val="21"/>
                <w:lang w:val="en-US" w:eastAsia="zh-CN" w:bidi="ar"/>
                <w14:ligatures w14:val="standardContextual"/>
              </w:rPr>
              <w:t>急救措施</w:t>
            </w:r>
          </w:p>
        </w:tc>
        <w:tc>
          <w:tcPr>
            <w:tcW w:w="3973" w:type="pct"/>
            <w:gridSpan w:val="5"/>
            <w:tcBorders>
              <w:top w:val="single" w:color="auto" w:sz="4" w:space="0"/>
              <w:left w:val="single" w:color="auto" w:sz="4" w:space="0"/>
              <w:bottom w:val="single" w:color="auto" w:sz="4" w:space="0"/>
              <w:right w:val="single" w:color="auto" w:sz="4" w:space="0"/>
            </w:tcBorders>
            <w:shd w:val="clear" w:color="auto" w:fill="auto"/>
            <w:vAlign w:val="center"/>
          </w:tcPr>
          <w:p w14:paraId="46FE17F2">
            <w:pPr>
              <w:keepNext w:val="0"/>
              <w:keepLines w:val="0"/>
              <w:widowControl w:val="0"/>
              <w:suppressLineNumbers w:val="0"/>
              <w:spacing w:before="0" w:beforeAutospacing="0" w:after="0" w:afterAutospacing="0"/>
              <w:ind w:left="0" w:right="0"/>
              <w:jc w:val="both"/>
              <w:rPr>
                <w:rFonts w:hint="default" w:ascii="Times New Roman" w:hAnsi="Times New Roman" w:eastAsia="宋体" w:cs="Times New Roman"/>
                <w:kern w:val="1"/>
                <w:sz w:val="21"/>
                <w:szCs w:val="21"/>
              </w:rPr>
            </w:pPr>
            <w:r>
              <w:rPr>
                <w:rFonts w:hint="eastAsia" w:ascii="宋体" w:hAnsi="宋体" w:eastAsia="宋体" w:cs="宋体"/>
                <w:kern w:val="1"/>
                <w:sz w:val="21"/>
                <w:szCs w:val="21"/>
                <w:lang w:val="en-US" w:eastAsia="zh-CN" w:bidi="ar"/>
                <w14:ligatures w14:val="standardContextual"/>
              </w:rPr>
              <w:t>吸入：迅速脱离现场至空气新鲜处。呼吸困难时给输氧。给予</w:t>
            </w:r>
            <w:r>
              <w:rPr>
                <w:rFonts w:hint="default" w:ascii="Times New Roman" w:hAnsi="Times New Roman" w:eastAsia="宋体" w:cs="Times New Roman"/>
                <w:kern w:val="1"/>
                <w:sz w:val="21"/>
                <w:szCs w:val="21"/>
                <w:lang w:val="en-US" w:eastAsia="zh-CN" w:bidi="ar"/>
                <w14:ligatures w14:val="standardContextual"/>
              </w:rPr>
              <w:t>2</w:t>
            </w:r>
            <w:r>
              <w:rPr>
                <w:rFonts w:hint="eastAsia" w:ascii="宋体" w:hAnsi="宋体" w:eastAsia="宋体" w:cs="宋体"/>
                <w:kern w:val="1"/>
                <w:sz w:val="21"/>
                <w:szCs w:val="21"/>
                <w:lang w:val="en-US" w:eastAsia="zh-CN" w:bidi="ar"/>
                <w14:ligatures w14:val="standardContextual"/>
              </w:rPr>
              <w:t>～</w:t>
            </w:r>
            <w:r>
              <w:rPr>
                <w:rFonts w:hint="default" w:ascii="Times New Roman" w:hAnsi="Times New Roman" w:eastAsia="宋体" w:cs="Times New Roman"/>
                <w:kern w:val="1"/>
                <w:sz w:val="21"/>
                <w:szCs w:val="21"/>
                <w:lang w:val="en-US" w:eastAsia="zh-CN" w:bidi="ar"/>
                <w14:ligatures w14:val="standardContextual"/>
              </w:rPr>
              <w:t>4%</w:t>
            </w:r>
            <w:r>
              <w:rPr>
                <w:rFonts w:hint="eastAsia" w:ascii="宋体" w:hAnsi="宋体" w:eastAsia="宋体" w:cs="宋体"/>
                <w:kern w:val="1"/>
                <w:sz w:val="21"/>
                <w:szCs w:val="21"/>
                <w:lang w:val="en-US" w:eastAsia="zh-CN" w:bidi="ar"/>
                <w14:ligatures w14:val="standardContextual"/>
              </w:rPr>
              <w:t>碳酸氢钠溶液雾化吸入。就医。如果患者食入或吸入该物质不要用口对口进行人工呼吸，可用单向阀小型呼吸器或其他适当的医疗呼吸器。注意患者保暖并且保持安静。吸入、食入或皮肤接触该物质可引起迟发反应。确保医务人员了解该物质相关的个体防护知识，注意自身防护。</w:t>
            </w:r>
          </w:p>
          <w:p w14:paraId="53CE4111">
            <w:pPr>
              <w:keepNext w:val="0"/>
              <w:keepLines w:val="0"/>
              <w:widowControl w:val="0"/>
              <w:suppressLineNumbers w:val="0"/>
              <w:spacing w:before="0" w:beforeAutospacing="0" w:after="0" w:afterAutospacing="0"/>
              <w:ind w:left="0" w:right="0"/>
              <w:jc w:val="both"/>
              <w:rPr>
                <w:rFonts w:hint="default" w:ascii="Times New Roman" w:hAnsi="Times New Roman" w:eastAsia="宋体" w:cs="Times New Roman"/>
                <w:kern w:val="1"/>
                <w:sz w:val="21"/>
                <w:szCs w:val="21"/>
              </w:rPr>
            </w:pPr>
            <w:r>
              <w:rPr>
                <w:rFonts w:hint="eastAsia" w:ascii="宋体" w:hAnsi="宋体" w:eastAsia="宋体" w:cs="宋体"/>
                <w:kern w:val="1"/>
                <w:sz w:val="21"/>
                <w:szCs w:val="21"/>
                <w:lang w:val="en-US" w:eastAsia="zh-CN" w:bidi="ar"/>
                <w14:ligatures w14:val="standardContextual"/>
              </w:rPr>
              <w:t>皮肤接触：立即用水冲洗至少</w:t>
            </w:r>
            <w:r>
              <w:rPr>
                <w:rFonts w:hint="default" w:ascii="Times New Roman" w:hAnsi="Times New Roman" w:eastAsia="宋体" w:cs="Times New Roman"/>
                <w:kern w:val="1"/>
                <w:sz w:val="21"/>
                <w:szCs w:val="21"/>
                <w:lang w:val="en-US" w:eastAsia="zh-CN" w:bidi="ar"/>
                <w14:ligatures w14:val="standardContextual"/>
              </w:rPr>
              <w:t>15</w:t>
            </w:r>
            <w:r>
              <w:rPr>
                <w:rFonts w:hint="eastAsia" w:ascii="宋体" w:hAnsi="宋体" w:eastAsia="宋体" w:cs="宋体"/>
                <w:kern w:val="1"/>
                <w:sz w:val="21"/>
                <w:szCs w:val="21"/>
                <w:lang w:val="en-US" w:eastAsia="zh-CN" w:bidi="ar"/>
                <w14:ligatures w14:val="standardContextual"/>
              </w:rPr>
              <w:t>分钟。或用</w:t>
            </w:r>
            <w:r>
              <w:rPr>
                <w:rFonts w:hint="default" w:ascii="Times New Roman" w:hAnsi="Times New Roman" w:eastAsia="宋体" w:cs="Times New Roman"/>
                <w:kern w:val="1"/>
                <w:sz w:val="21"/>
                <w:szCs w:val="21"/>
                <w:lang w:val="en-US" w:eastAsia="zh-CN" w:bidi="ar"/>
                <w14:ligatures w14:val="standardContextual"/>
              </w:rPr>
              <w:t>2%</w:t>
            </w:r>
            <w:r>
              <w:rPr>
                <w:rFonts w:hint="eastAsia" w:ascii="宋体" w:hAnsi="宋体" w:eastAsia="宋体" w:cs="宋体"/>
                <w:kern w:val="1"/>
                <w:sz w:val="21"/>
                <w:szCs w:val="21"/>
                <w:lang w:val="en-US" w:eastAsia="zh-CN" w:bidi="ar"/>
                <w14:ligatures w14:val="standardContextual"/>
              </w:rPr>
              <w:t>碳酸氢钠溶液冲洗。若有灼伤，就医治疗。</w:t>
            </w:r>
          </w:p>
          <w:p w14:paraId="260102F9">
            <w:pPr>
              <w:keepNext w:val="0"/>
              <w:keepLines w:val="0"/>
              <w:widowControl w:val="0"/>
              <w:suppressLineNumbers w:val="0"/>
              <w:spacing w:before="0" w:beforeAutospacing="0" w:after="0" w:afterAutospacing="0"/>
              <w:ind w:left="0" w:right="0"/>
              <w:jc w:val="both"/>
              <w:rPr>
                <w:rFonts w:hint="default" w:ascii="Times New Roman" w:hAnsi="Times New Roman" w:eastAsia="宋体" w:cs="Times New Roman"/>
                <w:kern w:val="1"/>
                <w:sz w:val="21"/>
                <w:szCs w:val="21"/>
              </w:rPr>
            </w:pPr>
            <w:r>
              <w:rPr>
                <w:rFonts w:hint="eastAsia" w:ascii="宋体" w:hAnsi="宋体" w:eastAsia="宋体" w:cs="宋体"/>
                <w:kern w:val="1"/>
                <w:sz w:val="21"/>
                <w:szCs w:val="21"/>
                <w:lang w:val="en-US" w:eastAsia="zh-CN" w:bidi="ar"/>
                <w14:ligatures w14:val="standardContextual"/>
              </w:rPr>
              <w:t>眼睛接触：立即提起眼睑，用流动清水冲洗</w:t>
            </w:r>
            <w:r>
              <w:rPr>
                <w:rFonts w:hint="default" w:ascii="Times New Roman" w:hAnsi="Times New Roman" w:eastAsia="宋体" w:cs="Times New Roman"/>
                <w:kern w:val="1"/>
                <w:sz w:val="21"/>
                <w:szCs w:val="21"/>
                <w:lang w:val="en-US" w:eastAsia="zh-CN" w:bidi="ar"/>
                <w14:ligatures w14:val="standardContextual"/>
              </w:rPr>
              <w:t>10</w:t>
            </w:r>
            <w:r>
              <w:rPr>
                <w:rFonts w:hint="eastAsia" w:ascii="宋体" w:hAnsi="宋体" w:eastAsia="宋体" w:cs="宋体"/>
                <w:kern w:val="1"/>
                <w:sz w:val="21"/>
                <w:szCs w:val="21"/>
                <w:lang w:val="en-US" w:eastAsia="zh-CN" w:bidi="ar"/>
                <w14:ligatures w14:val="standardContextual"/>
              </w:rPr>
              <w:t>分钟或用</w:t>
            </w:r>
            <w:r>
              <w:rPr>
                <w:rFonts w:hint="default" w:ascii="Times New Roman" w:hAnsi="Times New Roman" w:eastAsia="宋体" w:cs="Times New Roman"/>
                <w:kern w:val="1"/>
                <w:sz w:val="21"/>
                <w:szCs w:val="21"/>
                <w:lang w:val="en-US" w:eastAsia="zh-CN" w:bidi="ar"/>
                <w14:ligatures w14:val="standardContextual"/>
              </w:rPr>
              <w:t>2%</w:t>
            </w:r>
            <w:r>
              <w:rPr>
                <w:rFonts w:hint="eastAsia" w:ascii="宋体" w:hAnsi="宋体" w:eastAsia="宋体" w:cs="宋体"/>
                <w:kern w:val="1"/>
                <w:sz w:val="21"/>
                <w:szCs w:val="21"/>
                <w:lang w:val="en-US" w:eastAsia="zh-CN" w:bidi="ar"/>
                <w14:ligatures w14:val="standardContextual"/>
              </w:rPr>
              <w:t>碳酸氢钠溶液冲洗。</w:t>
            </w:r>
          </w:p>
          <w:p w14:paraId="27A59F81">
            <w:pPr>
              <w:keepNext w:val="0"/>
              <w:keepLines w:val="0"/>
              <w:widowControl w:val="0"/>
              <w:suppressLineNumbers w:val="0"/>
              <w:spacing w:before="0" w:beforeAutospacing="0" w:after="0" w:afterAutospacing="0"/>
              <w:ind w:left="0" w:right="0"/>
              <w:jc w:val="both"/>
              <w:rPr>
                <w:rFonts w:hint="default" w:ascii="Times New Roman" w:hAnsi="Times New Roman" w:eastAsia="宋体" w:cs="Times New Roman"/>
                <w:kern w:val="1"/>
                <w:sz w:val="21"/>
                <w:szCs w:val="21"/>
              </w:rPr>
            </w:pPr>
            <w:r>
              <w:rPr>
                <w:rFonts w:hint="eastAsia" w:ascii="宋体" w:hAnsi="宋体" w:eastAsia="宋体" w:cs="宋体"/>
                <w:kern w:val="1"/>
                <w:sz w:val="21"/>
                <w:szCs w:val="21"/>
                <w:lang w:val="en-US" w:eastAsia="zh-CN" w:bidi="ar"/>
                <w14:ligatures w14:val="standardContextual"/>
              </w:rPr>
              <w:t>食入：误服者立即漱口，给牛奶、蛋清、植物油等口服，不可催吐。立即就医。</w:t>
            </w:r>
          </w:p>
        </w:tc>
      </w:tr>
      <w:tr w14:paraId="7D7372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28" w:type="dxa"/>
            <w:bottom w:w="0" w:type="dxa"/>
            <w:right w:w="28" w:type="dxa"/>
          </w:tblCellMar>
        </w:tblPrEx>
        <w:trPr>
          <w:cantSplit/>
          <w:trHeight w:val="555" w:hRule="atLeast"/>
          <w:jc w:val="center"/>
        </w:trPr>
        <w:tc>
          <w:tcPr>
            <w:tcW w:w="361" w:type="pct"/>
            <w:vMerge w:val="restart"/>
            <w:tcBorders>
              <w:top w:val="nil"/>
              <w:left w:val="single" w:color="auto" w:sz="4" w:space="0"/>
              <w:bottom w:val="single" w:color="auto" w:sz="4" w:space="0"/>
              <w:right w:val="single" w:color="auto" w:sz="4" w:space="0"/>
            </w:tcBorders>
            <w:shd w:val="clear" w:color="auto" w:fill="auto"/>
            <w:vAlign w:val="center"/>
          </w:tcPr>
          <w:p w14:paraId="42A0014F">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kern w:val="1"/>
                <w:sz w:val="21"/>
                <w:szCs w:val="21"/>
              </w:rPr>
            </w:pPr>
            <w:r>
              <w:rPr>
                <w:rFonts w:hint="eastAsia" w:ascii="宋体" w:hAnsi="宋体" w:eastAsia="宋体" w:cs="宋体"/>
                <w:kern w:val="1"/>
                <w:sz w:val="21"/>
                <w:szCs w:val="21"/>
                <w:lang w:val="en-US" w:eastAsia="zh-CN" w:bidi="ar"/>
                <w14:ligatures w14:val="standardContextual"/>
              </w:rPr>
              <w:t>燃</w:t>
            </w:r>
          </w:p>
          <w:p w14:paraId="2135430C">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kern w:val="1"/>
                <w:sz w:val="21"/>
                <w:szCs w:val="21"/>
              </w:rPr>
            </w:pPr>
            <w:r>
              <w:rPr>
                <w:rFonts w:hint="eastAsia" w:ascii="宋体" w:hAnsi="宋体" w:eastAsia="宋体" w:cs="宋体"/>
                <w:kern w:val="1"/>
                <w:sz w:val="21"/>
                <w:szCs w:val="21"/>
                <w:lang w:val="en-US" w:eastAsia="zh-CN" w:bidi="ar"/>
                <w14:ligatures w14:val="standardContextual"/>
              </w:rPr>
              <w:t>烧</w:t>
            </w:r>
          </w:p>
          <w:p w14:paraId="163926AD">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kern w:val="1"/>
                <w:sz w:val="21"/>
                <w:szCs w:val="21"/>
              </w:rPr>
            </w:pPr>
            <w:r>
              <w:rPr>
                <w:rFonts w:hint="eastAsia" w:ascii="宋体" w:hAnsi="宋体" w:eastAsia="宋体" w:cs="宋体"/>
                <w:kern w:val="1"/>
                <w:sz w:val="21"/>
                <w:szCs w:val="21"/>
                <w:lang w:val="en-US" w:eastAsia="zh-CN" w:bidi="ar"/>
                <w14:ligatures w14:val="standardContextual"/>
              </w:rPr>
              <w:t>爆</w:t>
            </w:r>
          </w:p>
          <w:p w14:paraId="1AA2E08D">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kern w:val="1"/>
                <w:sz w:val="21"/>
                <w:szCs w:val="21"/>
              </w:rPr>
            </w:pPr>
            <w:r>
              <w:rPr>
                <w:rFonts w:hint="eastAsia" w:ascii="宋体" w:hAnsi="宋体" w:eastAsia="宋体" w:cs="宋体"/>
                <w:kern w:val="1"/>
                <w:sz w:val="21"/>
                <w:szCs w:val="21"/>
                <w:lang w:val="en-US" w:eastAsia="zh-CN" w:bidi="ar"/>
                <w14:ligatures w14:val="standardContextual"/>
              </w:rPr>
              <w:t>炸</w:t>
            </w:r>
          </w:p>
          <w:p w14:paraId="13C75BB9">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kern w:val="1"/>
                <w:sz w:val="21"/>
                <w:szCs w:val="21"/>
              </w:rPr>
            </w:pPr>
            <w:r>
              <w:rPr>
                <w:rFonts w:hint="eastAsia" w:ascii="宋体" w:hAnsi="宋体" w:eastAsia="宋体" w:cs="宋体"/>
                <w:kern w:val="1"/>
                <w:sz w:val="21"/>
                <w:szCs w:val="21"/>
                <w:lang w:val="en-US" w:eastAsia="zh-CN" w:bidi="ar"/>
                <w14:ligatures w14:val="standardContextual"/>
              </w:rPr>
              <w:t>危</w:t>
            </w:r>
          </w:p>
          <w:p w14:paraId="742FB9C7">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kern w:val="1"/>
                <w:sz w:val="21"/>
                <w:szCs w:val="21"/>
              </w:rPr>
            </w:pPr>
            <w:r>
              <w:rPr>
                <w:rFonts w:hint="eastAsia" w:ascii="宋体" w:hAnsi="宋体" w:eastAsia="宋体" w:cs="宋体"/>
                <w:kern w:val="1"/>
                <w:sz w:val="21"/>
                <w:szCs w:val="21"/>
                <w:lang w:val="en-US" w:eastAsia="zh-CN" w:bidi="ar"/>
                <w14:ligatures w14:val="standardContextual"/>
              </w:rPr>
              <w:t>险</w:t>
            </w:r>
          </w:p>
          <w:p w14:paraId="1662A54A">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kern w:val="1"/>
                <w:sz w:val="21"/>
                <w:szCs w:val="21"/>
              </w:rPr>
            </w:pPr>
            <w:r>
              <w:rPr>
                <w:rFonts w:hint="eastAsia" w:ascii="宋体" w:hAnsi="宋体" w:eastAsia="宋体" w:cs="宋体"/>
                <w:kern w:val="1"/>
                <w:sz w:val="21"/>
                <w:szCs w:val="21"/>
                <w:lang w:val="en-US" w:eastAsia="zh-CN" w:bidi="ar"/>
                <w14:ligatures w14:val="standardContextual"/>
              </w:rPr>
              <w:t>性</w:t>
            </w:r>
          </w:p>
        </w:tc>
        <w:tc>
          <w:tcPr>
            <w:tcW w:w="666" w:type="pct"/>
            <w:tcBorders>
              <w:top w:val="single" w:color="auto" w:sz="4" w:space="0"/>
              <w:left w:val="single" w:color="auto" w:sz="4" w:space="0"/>
              <w:bottom w:val="single" w:color="auto" w:sz="4" w:space="0"/>
              <w:right w:val="single" w:color="auto" w:sz="4" w:space="0"/>
            </w:tcBorders>
            <w:shd w:val="clear" w:color="auto" w:fill="auto"/>
            <w:vAlign w:val="center"/>
          </w:tcPr>
          <w:p w14:paraId="61DA4D85">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kern w:val="1"/>
                <w:sz w:val="21"/>
                <w:szCs w:val="21"/>
              </w:rPr>
            </w:pPr>
            <w:r>
              <w:rPr>
                <w:rFonts w:hint="eastAsia" w:ascii="宋体" w:hAnsi="宋体" w:eastAsia="宋体" w:cs="宋体"/>
                <w:kern w:val="1"/>
                <w:sz w:val="21"/>
                <w:szCs w:val="21"/>
                <w:lang w:val="en-US" w:eastAsia="zh-CN" w:bidi="ar"/>
                <w14:ligatures w14:val="standardContextual"/>
              </w:rPr>
              <w:t>危险特性</w:t>
            </w:r>
          </w:p>
        </w:tc>
        <w:tc>
          <w:tcPr>
            <w:tcW w:w="3973" w:type="pct"/>
            <w:gridSpan w:val="5"/>
            <w:tcBorders>
              <w:top w:val="single" w:color="auto" w:sz="4" w:space="0"/>
              <w:left w:val="single" w:color="auto" w:sz="4" w:space="0"/>
              <w:bottom w:val="single" w:color="auto" w:sz="4" w:space="0"/>
              <w:right w:val="single" w:color="auto" w:sz="4" w:space="0"/>
            </w:tcBorders>
            <w:shd w:val="clear" w:color="auto" w:fill="auto"/>
            <w:vAlign w:val="center"/>
          </w:tcPr>
          <w:p w14:paraId="6C793545">
            <w:pPr>
              <w:keepNext w:val="0"/>
              <w:keepLines w:val="0"/>
              <w:widowControl w:val="0"/>
              <w:suppressLineNumbers w:val="0"/>
              <w:spacing w:before="0" w:beforeAutospacing="0" w:after="0" w:afterAutospacing="0"/>
              <w:ind w:left="0" w:right="0"/>
              <w:jc w:val="both"/>
              <w:rPr>
                <w:rFonts w:hint="default" w:ascii="Times New Roman" w:hAnsi="Times New Roman" w:eastAsia="宋体" w:cs="Times New Roman"/>
                <w:kern w:val="1"/>
                <w:sz w:val="21"/>
                <w:szCs w:val="21"/>
              </w:rPr>
            </w:pPr>
            <w:r>
              <w:rPr>
                <w:rFonts w:hint="eastAsia" w:ascii="宋体" w:hAnsi="宋体" w:eastAsia="宋体" w:cs="宋体"/>
                <w:kern w:val="1"/>
                <w:sz w:val="21"/>
                <w:szCs w:val="21"/>
                <w:lang w:val="en-US" w:eastAsia="zh-CN" w:bidi="ar"/>
                <w14:ligatures w14:val="standardContextual"/>
              </w:rPr>
              <w:t>酸性腐蚀品</w:t>
            </w:r>
          </w:p>
        </w:tc>
      </w:tr>
      <w:tr w14:paraId="1D9C98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28" w:type="dxa"/>
            <w:bottom w:w="0" w:type="dxa"/>
            <w:right w:w="28" w:type="dxa"/>
          </w:tblCellMar>
        </w:tblPrEx>
        <w:trPr>
          <w:cantSplit/>
          <w:jc w:val="center"/>
        </w:trPr>
        <w:tc>
          <w:tcPr>
            <w:tcW w:w="361" w:type="pct"/>
            <w:vMerge w:val="continue"/>
            <w:tcBorders>
              <w:top w:val="nil"/>
              <w:left w:val="single" w:color="auto" w:sz="4" w:space="0"/>
              <w:bottom w:val="single" w:color="auto" w:sz="4" w:space="0"/>
              <w:right w:val="single" w:color="auto" w:sz="4" w:space="0"/>
            </w:tcBorders>
            <w:shd w:val="clear" w:color="auto" w:fill="auto"/>
            <w:vAlign w:val="center"/>
          </w:tcPr>
          <w:p w14:paraId="7C4DF5C3">
            <w:pPr>
              <w:keepNext w:val="0"/>
              <w:keepLines w:val="0"/>
              <w:suppressLineNumbers w:val="0"/>
              <w:spacing w:before="0" w:beforeAutospacing="0" w:afterAutospacing="0"/>
              <w:ind w:left="0" w:right="0"/>
              <w:rPr>
                <w:rFonts w:hint="default" w:ascii="Times New Roman" w:hAnsi="Times New Roman" w:cs="Times New Roman"/>
                <w:sz w:val="20"/>
                <w:szCs w:val="20"/>
              </w:rPr>
            </w:pPr>
          </w:p>
        </w:tc>
        <w:tc>
          <w:tcPr>
            <w:tcW w:w="666" w:type="pct"/>
            <w:tcBorders>
              <w:top w:val="single" w:color="auto" w:sz="4" w:space="0"/>
              <w:left w:val="single" w:color="auto" w:sz="4" w:space="0"/>
              <w:bottom w:val="single" w:color="auto" w:sz="4" w:space="0"/>
              <w:right w:val="single" w:color="auto" w:sz="4" w:space="0"/>
            </w:tcBorders>
            <w:shd w:val="clear" w:color="auto" w:fill="auto"/>
            <w:vAlign w:val="center"/>
          </w:tcPr>
          <w:p w14:paraId="12618E8E">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Cs/>
                <w:kern w:val="1"/>
                <w:sz w:val="21"/>
                <w:szCs w:val="21"/>
              </w:rPr>
            </w:pPr>
            <w:r>
              <w:rPr>
                <w:rFonts w:hint="eastAsia" w:ascii="宋体" w:hAnsi="宋体" w:eastAsia="宋体" w:cs="宋体"/>
                <w:bCs/>
                <w:kern w:val="1"/>
                <w:sz w:val="21"/>
                <w:szCs w:val="21"/>
                <w:lang w:val="en-US" w:eastAsia="zh-CN" w:bidi="ar"/>
                <w14:ligatures w14:val="standardContextual"/>
              </w:rPr>
              <w:t>禁忌物</w:t>
            </w:r>
          </w:p>
        </w:tc>
        <w:tc>
          <w:tcPr>
            <w:tcW w:w="3973" w:type="pct"/>
            <w:gridSpan w:val="5"/>
            <w:tcBorders>
              <w:top w:val="single" w:color="auto" w:sz="4" w:space="0"/>
              <w:left w:val="single" w:color="auto" w:sz="4" w:space="0"/>
              <w:bottom w:val="single" w:color="auto" w:sz="4" w:space="0"/>
              <w:right w:val="single" w:color="auto" w:sz="4" w:space="0"/>
            </w:tcBorders>
            <w:shd w:val="clear" w:color="auto" w:fill="auto"/>
            <w:vAlign w:val="center"/>
          </w:tcPr>
          <w:p w14:paraId="03C0BEE7">
            <w:pPr>
              <w:keepNext w:val="0"/>
              <w:keepLines w:val="0"/>
              <w:widowControl w:val="0"/>
              <w:suppressLineNumbers w:val="0"/>
              <w:spacing w:before="0" w:beforeAutospacing="0" w:after="0" w:afterAutospacing="0"/>
              <w:ind w:left="0" w:right="0"/>
              <w:jc w:val="both"/>
              <w:rPr>
                <w:rFonts w:hint="default" w:ascii="Times New Roman" w:hAnsi="Times New Roman" w:eastAsia="宋体" w:cs="Times New Roman"/>
                <w:kern w:val="1"/>
                <w:sz w:val="21"/>
                <w:szCs w:val="21"/>
              </w:rPr>
            </w:pPr>
            <w:r>
              <w:rPr>
                <w:rFonts w:hint="eastAsia" w:ascii="宋体" w:hAnsi="宋体" w:eastAsia="宋体" w:cs="宋体"/>
                <w:kern w:val="1"/>
                <w:sz w:val="21"/>
                <w:szCs w:val="21"/>
                <w:lang w:val="en-US" w:eastAsia="zh-CN" w:bidi="ar"/>
                <w14:ligatures w14:val="standardContextual"/>
              </w:rPr>
              <w:t>碱类、胺类、碱金属、易燃或可燃物。</w:t>
            </w:r>
          </w:p>
        </w:tc>
      </w:tr>
      <w:tr w14:paraId="3F6724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28" w:type="dxa"/>
            <w:bottom w:w="0" w:type="dxa"/>
            <w:right w:w="28" w:type="dxa"/>
          </w:tblCellMar>
        </w:tblPrEx>
        <w:trPr>
          <w:cantSplit/>
          <w:trHeight w:val="965" w:hRule="atLeast"/>
          <w:jc w:val="center"/>
        </w:trPr>
        <w:tc>
          <w:tcPr>
            <w:tcW w:w="361" w:type="pct"/>
            <w:vMerge w:val="continue"/>
            <w:tcBorders>
              <w:top w:val="nil"/>
              <w:left w:val="single" w:color="auto" w:sz="4" w:space="0"/>
              <w:bottom w:val="single" w:color="auto" w:sz="4" w:space="0"/>
              <w:right w:val="single" w:color="auto" w:sz="4" w:space="0"/>
            </w:tcBorders>
            <w:shd w:val="clear" w:color="auto" w:fill="auto"/>
            <w:vAlign w:val="center"/>
          </w:tcPr>
          <w:p w14:paraId="20DA458A">
            <w:pPr>
              <w:keepNext w:val="0"/>
              <w:keepLines w:val="0"/>
              <w:suppressLineNumbers w:val="0"/>
              <w:spacing w:before="0" w:beforeAutospacing="0" w:afterAutospacing="0"/>
              <w:ind w:left="0" w:right="0"/>
              <w:rPr>
                <w:rFonts w:hint="default" w:ascii="Times New Roman" w:hAnsi="Times New Roman" w:cs="Times New Roman"/>
                <w:sz w:val="20"/>
                <w:szCs w:val="20"/>
              </w:rPr>
            </w:pPr>
          </w:p>
        </w:tc>
        <w:tc>
          <w:tcPr>
            <w:tcW w:w="666" w:type="pct"/>
            <w:tcBorders>
              <w:top w:val="single" w:color="auto" w:sz="4" w:space="0"/>
              <w:left w:val="single" w:color="auto" w:sz="4" w:space="0"/>
              <w:bottom w:val="single" w:color="auto" w:sz="4" w:space="0"/>
              <w:right w:val="single" w:color="auto" w:sz="4" w:space="0"/>
            </w:tcBorders>
            <w:shd w:val="clear" w:color="auto" w:fill="auto"/>
            <w:vAlign w:val="center"/>
          </w:tcPr>
          <w:p w14:paraId="191643A9">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Cs/>
                <w:kern w:val="1"/>
                <w:sz w:val="21"/>
                <w:szCs w:val="21"/>
              </w:rPr>
            </w:pPr>
            <w:r>
              <w:rPr>
                <w:rFonts w:hint="eastAsia" w:ascii="宋体" w:hAnsi="宋体" w:eastAsia="宋体" w:cs="宋体"/>
                <w:bCs/>
                <w:kern w:val="1"/>
                <w:sz w:val="21"/>
                <w:szCs w:val="21"/>
                <w:lang w:val="en-US" w:eastAsia="zh-CN" w:bidi="ar"/>
                <w14:ligatures w14:val="standardContextual"/>
              </w:rPr>
              <w:t>灭火方法</w:t>
            </w:r>
          </w:p>
        </w:tc>
        <w:tc>
          <w:tcPr>
            <w:tcW w:w="3973" w:type="pct"/>
            <w:gridSpan w:val="5"/>
            <w:tcBorders>
              <w:top w:val="single" w:color="auto" w:sz="4" w:space="0"/>
              <w:left w:val="single" w:color="auto" w:sz="4" w:space="0"/>
              <w:bottom w:val="single" w:color="auto" w:sz="4" w:space="0"/>
              <w:right w:val="single" w:color="auto" w:sz="4" w:space="0"/>
            </w:tcBorders>
            <w:shd w:val="clear" w:color="auto" w:fill="auto"/>
            <w:vAlign w:val="center"/>
          </w:tcPr>
          <w:p w14:paraId="66A55AD3">
            <w:pPr>
              <w:keepNext w:val="0"/>
              <w:keepLines w:val="0"/>
              <w:widowControl w:val="0"/>
              <w:suppressLineNumbers w:val="0"/>
              <w:spacing w:before="0" w:beforeAutospacing="0" w:after="0" w:afterAutospacing="0"/>
              <w:ind w:left="0" w:right="0"/>
              <w:jc w:val="both"/>
              <w:rPr>
                <w:rFonts w:hint="default" w:ascii="Times New Roman" w:hAnsi="Times New Roman" w:eastAsia="宋体" w:cs="Times New Roman"/>
                <w:kern w:val="1"/>
                <w:sz w:val="21"/>
                <w:szCs w:val="21"/>
              </w:rPr>
            </w:pPr>
            <w:r>
              <w:rPr>
                <w:rFonts w:hint="eastAsia" w:ascii="宋体" w:hAnsi="宋体" w:eastAsia="宋体" w:cs="宋体"/>
                <w:kern w:val="1"/>
                <w:sz w:val="21"/>
                <w:szCs w:val="21"/>
                <w:lang w:val="en-US" w:eastAsia="zh-CN" w:bidi="ar"/>
                <w14:ligatures w14:val="standardContextual"/>
              </w:rPr>
              <w:t>雾状水、砂土。消防器具（包括</w:t>
            </w:r>
            <w:r>
              <w:rPr>
                <w:rFonts w:hint="default" w:ascii="Times New Roman" w:hAnsi="Times New Roman" w:eastAsia="宋体" w:cs="Times New Roman"/>
                <w:kern w:val="1"/>
                <w:sz w:val="21"/>
                <w:szCs w:val="21"/>
                <w:lang w:val="en-US" w:eastAsia="zh-CN" w:bidi="ar"/>
                <w14:ligatures w14:val="standardContextual"/>
              </w:rPr>
              <w:t>SCBA</w:t>
            </w:r>
            <w:r>
              <w:rPr>
                <w:rFonts w:hint="eastAsia" w:ascii="宋体" w:hAnsi="宋体" w:eastAsia="宋体" w:cs="宋体"/>
                <w:kern w:val="1"/>
                <w:sz w:val="21"/>
                <w:szCs w:val="21"/>
                <w:lang w:val="en-US" w:eastAsia="zh-CN" w:bidi="ar"/>
                <w14:ligatures w14:val="standardContextual"/>
              </w:rPr>
              <w:t>）不能提供足够有效的防护。若不小心接触，立即撤离现场，隔离器具，对人员彻底清污。蒸气比空气重，易在低处聚集。封闭区域内的蒸气遇火能爆炸。蒸气能扩散到远处，遇点火源着火，并引起回燃。储存容器及其部件可能向四面八方飞射很远。如果该物质或被污染的流体进入水路，通知有潜在水体污染的下游用户，通知地方卫生、消防官员和污染控制部门。若不能切断气源，则不允许熄灭泄漏处的火焰。受过特殊培训的人员可以利用喷雾水流冷却周围暴露物，让火自行烧尽。在安全防爆距离以外，使用雾状水冷却暴露的容器。若冷却水流不起作用</w:t>
            </w:r>
            <w:r>
              <w:rPr>
                <w:rFonts w:hint="default" w:ascii="Times New Roman" w:hAnsi="Times New Roman" w:eastAsia="宋体" w:cs="Times New Roman"/>
                <w:kern w:val="1"/>
                <w:sz w:val="21"/>
                <w:szCs w:val="21"/>
                <w:lang w:val="en-US" w:eastAsia="zh-CN" w:bidi="ar"/>
                <w14:ligatures w14:val="standardContextual"/>
              </w:rPr>
              <w:t>(</w:t>
            </w:r>
            <w:r>
              <w:rPr>
                <w:rFonts w:hint="eastAsia" w:ascii="宋体" w:hAnsi="宋体" w:eastAsia="宋体" w:cs="宋体"/>
                <w:kern w:val="1"/>
                <w:sz w:val="21"/>
                <w:szCs w:val="21"/>
                <w:lang w:val="en-US" w:eastAsia="zh-CN" w:bidi="ar"/>
                <w14:ligatures w14:val="standardContextual"/>
              </w:rPr>
              <w:t>排放音量、音调升高，罐体变色或有任何变形的迹象，立即撤离到安全区域。</w:t>
            </w:r>
          </w:p>
        </w:tc>
      </w:tr>
      <w:tr w14:paraId="768514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28" w:type="dxa"/>
            <w:bottom w:w="0" w:type="dxa"/>
            <w:right w:w="28" w:type="dxa"/>
          </w:tblCellMar>
        </w:tblPrEx>
        <w:trPr>
          <w:cantSplit/>
          <w:jc w:val="center"/>
        </w:trPr>
        <w:tc>
          <w:tcPr>
            <w:tcW w:w="361" w:type="pct"/>
            <w:tcBorders>
              <w:top w:val="single" w:color="auto" w:sz="4" w:space="0"/>
              <w:left w:val="single" w:color="auto" w:sz="4" w:space="0"/>
              <w:bottom w:val="single" w:color="auto" w:sz="4" w:space="0"/>
              <w:right w:val="single" w:color="auto" w:sz="4" w:space="0"/>
            </w:tcBorders>
            <w:shd w:val="clear" w:color="auto" w:fill="auto"/>
            <w:vAlign w:val="center"/>
          </w:tcPr>
          <w:p w14:paraId="234F22DD">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Cs/>
                <w:kern w:val="1"/>
                <w:sz w:val="21"/>
                <w:szCs w:val="21"/>
              </w:rPr>
            </w:pPr>
            <w:r>
              <w:rPr>
                <w:rFonts w:hint="eastAsia" w:ascii="宋体" w:hAnsi="宋体" w:eastAsia="宋体" w:cs="宋体"/>
                <w:bCs/>
                <w:kern w:val="1"/>
                <w:sz w:val="21"/>
                <w:szCs w:val="21"/>
                <w:lang w:val="en-US" w:eastAsia="zh-CN" w:bidi="ar"/>
                <w14:ligatures w14:val="standardContextual"/>
              </w:rPr>
              <w:t>泄</w:t>
            </w:r>
          </w:p>
          <w:p w14:paraId="3AA706BB">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Cs/>
                <w:kern w:val="1"/>
                <w:sz w:val="21"/>
                <w:szCs w:val="21"/>
              </w:rPr>
            </w:pPr>
            <w:r>
              <w:rPr>
                <w:rFonts w:hint="eastAsia" w:ascii="宋体" w:hAnsi="宋体" w:eastAsia="宋体" w:cs="宋体"/>
                <w:bCs/>
                <w:kern w:val="1"/>
                <w:sz w:val="21"/>
                <w:szCs w:val="21"/>
                <w:lang w:val="en-US" w:eastAsia="zh-CN" w:bidi="ar"/>
                <w14:ligatures w14:val="standardContextual"/>
              </w:rPr>
              <w:t>漏</w:t>
            </w:r>
          </w:p>
          <w:p w14:paraId="29DF5F4F">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Cs/>
                <w:kern w:val="1"/>
                <w:sz w:val="21"/>
                <w:szCs w:val="21"/>
              </w:rPr>
            </w:pPr>
            <w:r>
              <w:rPr>
                <w:rFonts w:hint="eastAsia" w:ascii="宋体" w:hAnsi="宋体" w:eastAsia="宋体" w:cs="宋体"/>
                <w:bCs/>
                <w:kern w:val="1"/>
                <w:sz w:val="21"/>
                <w:szCs w:val="21"/>
                <w:lang w:val="en-US" w:eastAsia="zh-CN" w:bidi="ar"/>
                <w14:ligatures w14:val="standardContextual"/>
              </w:rPr>
              <w:t>处</w:t>
            </w:r>
          </w:p>
          <w:p w14:paraId="72EA2913">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Cs/>
                <w:kern w:val="1"/>
                <w:sz w:val="21"/>
                <w:szCs w:val="21"/>
              </w:rPr>
            </w:pPr>
            <w:r>
              <w:rPr>
                <w:rFonts w:hint="eastAsia" w:ascii="宋体" w:hAnsi="宋体" w:eastAsia="宋体" w:cs="宋体"/>
                <w:bCs/>
                <w:kern w:val="1"/>
                <w:sz w:val="21"/>
                <w:szCs w:val="21"/>
                <w:lang w:val="en-US" w:eastAsia="zh-CN" w:bidi="ar"/>
                <w14:ligatures w14:val="standardContextual"/>
              </w:rPr>
              <w:t>理</w:t>
            </w:r>
          </w:p>
        </w:tc>
        <w:tc>
          <w:tcPr>
            <w:tcW w:w="4639" w:type="pct"/>
            <w:gridSpan w:val="6"/>
            <w:tcBorders>
              <w:top w:val="single" w:color="auto" w:sz="4" w:space="0"/>
              <w:left w:val="single" w:color="auto" w:sz="4" w:space="0"/>
              <w:bottom w:val="single" w:color="auto" w:sz="4" w:space="0"/>
              <w:right w:val="single" w:color="auto" w:sz="4" w:space="0"/>
            </w:tcBorders>
            <w:shd w:val="clear" w:color="auto" w:fill="auto"/>
            <w:vAlign w:val="center"/>
          </w:tcPr>
          <w:p w14:paraId="391A78D0">
            <w:pPr>
              <w:keepNext w:val="0"/>
              <w:keepLines w:val="0"/>
              <w:widowControl w:val="0"/>
              <w:suppressLineNumbers w:val="0"/>
              <w:spacing w:before="0" w:beforeAutospacing="0" w:after="0" w:afterAutospacing="0"/>
              <w:ind w:left="0" w:right="0"/>
              <w:jc w:val="both"/>
              <w:rPr>
                <w:rFonts w:hint="default" w:ascii="Times New Roman" w:hAnsi="Times New Roman" w:eastAsia="宋体" w:cs="Times New Roman"/>
                <w:bCs/>
                <w:kern w:val="1"/>
                <w:sz w:val="21"/>
                <w:szCs w:val="21"/>
              </w:rPr>
            </w:pPr>
            <w:r>
              <w:rPr>
                <w:rFonts w:hint="eastAsia" w:ascii="宋体" w:hAnsi="宋体" w:eastAsia="宋体" w:cs="宋体"/>
                <w:kern w:val="1"/>
                <w:sz w:val="21"/>
                <w:szCs w:val="21"/>
                <w:lang w:val="en-US" w:eastAsia="zh-CN" w:bidi="ar"/>
                <w14:ligatures w14:val="standardContextual"/>
              </w:rPr>
              <w:t>疏散泄漏污染区人员至安全区，禁止无关人员进入污染区，建议应急处理人员戴好防毒面具，穿化学防护服。不要直接接触泄漏物，禁止向泄漏物直接喷水，更不要让水进入包装容器内。用沙土、干燥石灰或苏打灰混合，然后收集运至废物处理场所处置。也可以用大量水冲洗，经稀释的洗水放入废水系统。如大量泄漏，利用围堤收容，然后收集、转移、回收或无害处理后废弃。</w:t>
            </w:r>
          </w:p>
        </w:tc>
      </w:tr>
      <w:tr w14:paraId="14C6AC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28" w:type="dxa"/>
            <w:bottom w:w="0" w:type="dxa"/>
            <w:right w:w="28" w:type="dxa"/>
          </w:tblCellMar>
        </w:tblPrEx>
        <w:trPr>
          <w:cantSplit/>
          <w:jc w:val="center"/>
        </w:trPr>
        <w:tc>
          <w:tcPr>
            <w:tcW w:w="361" w:type="pct"/>
            <w:vMerge w:val="restart"/>
            <w:tcBorders>
              <w:top w:val="nil"/>
              <w:left w:val="single" w:color="auto" w:sz="4" w:space="0"/>
              <w:bottom w:val="single" w:color="auto" w:sz="4" w:space="0"/>
              <w:right w:val="single" w:color="auto" w:sz="4" w:space="0"/>
            </w:tcBorders>
            <w:shd w:val="clear" w:color="auto" w:fill="auto"/>
            <w:vAlign w:val="center"/>
          </w:tcPr>
          <w:p w14:paraId="604B4453">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Cs/>
                <w:kern w:val="1"/>
                <w:sz w:val="21"/>
                <w:szCs w:val="21"/>
              </w:rPr>
            </w:pPr>
            <w:r>
              <w:rPr>
                <w:rFonts w:hint="eastAsia" w:ascii="宋体" w:hAnsi="宋体" w:eastAsia="宋体" w:cs="宋体"/>
                <w:bCs/>
                <w:kern w:val="1"/>
                <w:sz w:val="21"/>
                <w:szCs w:val="21"/>
                <w:lang w:val="en-US" w:eastAsia="zh-CN" w:bidi="ar"/>
                <w14:ligatures w14:val="standardContextual"/>
              </w:rPr>
              <w:t>防</w:t>
            </w:r>
          </w:p>
          <w:p w14:paraId="1E014692">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Cs/>
                <w:kern w:val="1"/>
                <w:sz w:val="21"/>
                <w:szCs w:val="21"/>
              </w:rPr>
            </w:pPr>
            <w:r>
              <w:rPr>
                <w:rFonts w:hint="eastAsia" w:ascii="宋体" w:hAnsi="宋体" w:eastAsia="宋体" w:cs="宋体"/>
                <w:bCs/>
                <w:kern w:val="1"/>
                <w:sz w:val="21"/>
                <w:szCs w:val="21"/>
                <w:lang w:val="en-US" w:eastAsia="zh-CN" w:bidi="ar"/>
                <w14:ligatures w14:val="standardContextual"/>
              </w:rPr>
              <w:t>护</w:t>
            </w:r>
          </w:p>
          <w:p w14:paraId="0E95140A">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Cs/>
                <w:kern w:val="1"/>
                <w:sz w:val="21"/>
                <w:szCs w:val="21"/>
              </w:rPr>
            </w:pPr>
            <w:r>
              <w:rPr>
                <w:rFonts w:hint="eastAsia" w:ascii="宋体" w:hAnsi="宋体" w:eastAsia="宋体" w:cs="宋体"/>
                <w:bCs/>
                <w:kern w:val="1"/>
                <w:sz w:val="21"/>
                <w:szCs w:val="21"/>
                <w:lang w:val="en-US" w:eastAsia="zh-CN" w:bidi="ar"/>
                <w14:ligatures w14:val="standardContextual"/>
              </w:rPr>
              <w:t>措</w:t>
            </w:r>
          </w:p>
          <w:p w14:paraId="1F7C859F">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Cs/>
                <w:kern w:val="1"/>
                <w:sz w:val="21"/>
                <w:szCs w:val="21"/>
              </w:rPr>
            </w:pPr>
            <w:r>
              <w:rPr>
                <w:rFonts w:hint="eastAsia" w:ascii="宋体" w:hAnsi="宋体" w:eastAsia="宋体" w:cs="宋体"/>
                <w:bCs/>
                <w:kern w:val="1"/>
                <w:sz w:val="21"/>
                <w:szCs w:val="21"/>
                <w:lang w:val="en-US" w:eastAsia="zh-CN" w:bidi="ar"/>
                <w14:ligatures w14:val="standardContextual"/>
              </w:rPr>
              <w:t>施</w:t>
            </w:r>
          </w:p>
        </w:tc>
        <w:tc>
          <w:tcPr>
            <w:tcW w:w="4639" w:type="pct"/>
            <w:gridSpan w:val="6"/>
            <w:tcBorders>
              <w:top w:val="single" w:color="auto" w:sz="4" w:space="0"/>
              <w:left w:val="single" w:color="auto" w:sz="4" w:space="0"/>
              <w:bottom w:val="single" w:color="auto" w:sz="4" w:space="0"/>
              <w:right w:val="single" w:color="auto" w:sz="4" w:space="0"/>
            </w:tcBorders>
            <w:shd w:val="clear" w:color="auto" w:fill="auto"/>
            <w:vAlign w:val="center"/>
          </w:tcPr>
          <w:p w14:paraId="2BD52360">
            <w:pPr>
              <w:keepNext w:val="0"/>
              <w:keepLines w:val="0"/>
              <w:widowControl w:val="0"/>
              <w:suppressLineNumbers w:val="0"/>
              <w:spacing w:before="0" w:beforeAutospacing="0" w:after="0" w:afterAutospacing="0"/>
              <w:ind w:left="0" w:right="0"/>
              <w:jc w:val="both"/>
              <w:rPr>
                <w:rFonts w:hint="default" w:ascii="Times New Roman" w:hAnsi="Times New Roman" w:eastAsia="宋体" w:cs="Times New Roman"/>
                <w:bCs/>
                <w:kern w:val="1"/>
                <w:sz w:val="21"/>
                <w:szCs w:val="21"/>
              </w:rPr>
            </w:pPr>
            <w:r>
              <w:rPr>
                <w:rFonts w:hint="eastAsia" w:ascii="宋体" w:hAnsi="宋体" w:eastAsia="宋体" w:cs="宋体"/>
                <w:kern w:val="1"/>
                <w:sz w:val="21"/>
                <w:szCs w:val="21"/>
                <w:lang w:val="en-US" w:eastAsia="zh-CN" w:bidi="ar"/>
                <w14:ligatures w14:val="standardContextual"/>
              </w:rPr>
              <w:t>呼吸系统防护</w:t>
            </w:r>
            <w:r>
              <w:rPr>
                <w:rFonts w:hint="eastAsia" w:ascii="宋体" w:hAnsi="宋体" w:eastAsia="宋体" w:cs="宋体"/>
                <w:bCs/>
                <w:kern w:val="1"/>
                <w:sz w:val="21"/>
                <w:szCs w:val="21"/>
                <w:lang w:val="en-US" w:eastAsia="zh-CN" w:bidi="ar"/>
                <w14:ligatures w14:val="standardContextual"/>
              </w:rPr>
              <w:t>：</w:t>
            </w:r>
            <w:r>
              <w:rPr>
                <w:rFonts w:hint="eastAsia" w:ascii="宋体" w:hAnsi="宋体" w:eastAsia="宋体" w:cs="宋体"/>
                <w:kern w:val="1"/>
                <w:sz w:val="21"/>
                <w:szCs w:val="21"/>
                <w:lang w:val="en-US" w:eastAsia="zh-CN" w:bidi="ar"/>
                <w14:ligatures w14:val="standardContextual"/>
              </w:rPr>
              <w:t>可能接触其蒸气或烟雾时，必须佩带防毒面具或供气式头盔。紧急事态抢救或逃生时，建议佩带自给式呼吸器。</w:t>
            </w:r>
            <w:r>
              <w:rPr>
                <w:rFonts w:hint="default" w:ascii="Times New Roman" w:hAnsi="Times New Roman" w:eastAsia="宋体" w:cs="Times New Roman"/>
                <w:kern w:val="1"/>
                <w:sz w:val="21"/>
                <w:szCs w:val="21"/>
                <w:lang w:val="en-US" w:eastAsia="zh-CN" w:bidi="ar"/>
                <w14:ligatures w14:val="standardContextual"/>
              </w:rPr>
              <w:t>NIOSH/OSHA50ppm</w:t>
            </w:r>
            <w:r>
              <w:rPr>
                <w:rFonts w:hint="eastAsia" w:ascii="宋体" w:hAnsi="宋体" w:eastAsia="宋体" w:cs="宋体"/>
                <w:kern w:val="1"/>
                <w:sz w:val="21"/>
                <w:szCs w:val="21"/>
                <w:lang w:val="en-US" w:eastAsia="zh-CN" w:bidi="ar"/>
                <w14:ligatures w14:val="standardContextual"/>
              </w:rPr>
              <w:t>：装药剂盒的呼吸器、装滤毒盒的空气净化式呼吸器、动力驱动滤毒盒空气净化呼吸器、供气式呼吸器、自携式呼吸器。应急或有计划进入浓度未知区域，或处于立即危及生命或健康的状况：自携式正压全面罩呼吸器、供气式正压全面罩呼吸器辅之以辅助自携式正压呼吸器。逃生：装滤毒罐防酸性气体的全面罩空气净化呼吸器、自携式逃生呼吸器。</w:t>
            </w:r>
          </w:p>
        </w:tc>
      </w:tr>
      <w:tr w14:paraId="000335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jc w:val="center"/>
        </w:trPr>
        <w:tc>
          <w:tcPr>
            <w:tcW w:w="361" w:type="pct"/>
            <w:vMerge w:val="continue"/>
            <w:tcBorders>
              <w:top w:val="nil"/>
              <w:left w:val="single" w:color="auto" w:sz="4" w:space="0"/>
              <w:bottom w:val="single" w:color="auto" w:sz="4" w:space="0"/>
              <w:right w:val="single" w:color="auto" w:sz="4" w:space="0"/>
            </w:tcBorders>
            <w:shd w:val="clear" w:color="auto" w:fill="auto"/>
            <w:vAlign w:val="center"/>
          </w:tcPr>
          <w:p w14:paraId="38383915">
            <w:pPr>
              <w:keepNext w:val="0"/>
              <w:keepLines w:val="0"/>
              <w:suppressLineNumbers w:val="0"/>
              <w:spacing w:before="0" w:beforeAutospacing="0" w:afterAutospacing="0"/>
              <w:ind w:left="0" w:right="0"/>
              <w:rPr>
                <w:rFonts w:hint="default" w:ascii="Times New Roman" w:hAnsi="Times New Roman" w:cs="Times New Roman"/>
                <w:sz w:val="20"/>
                <w:szCs w:val="20"/>
              </w:rPr>
            </w:pPr>
          </w:p>
        </w:tc>
        <w:tc>
          <w:tcPr>
            <w:tcW w:w="4639" w:type="pct"/>
            <w:gridSpan w:val="6"/>
            <w:tcBorders>
              <w:top w:val="single" w:color="auto" w:sz="4" w:space="0"/>
              <w:left w:val="single" w:color="auto" w:sz="4" w:space="0"/>
              <w:bottom w:val="single" w:color="auto" w:sz="4" w:space="0"/>
              <w:right w:val="single" w:color="auto" w:sz="4" w:space="0"/>
            </w:tcBorders>
            <w:shd w:val="clear" w:color="auto" w:fill="auto"/>
            <w:vAlign w:val="center"/>
          </w:tcPr>
          <w:p w14:paraId="007E3CEE">
            <w:pPr>
              <w:keepNext w:val="0"/>
              <w:keepLines w:val="0"/>
              <w:widowControl w:val="0"/>
              <w:suppressLineNumbers w:val="0"/>
              <w:spacing w:before="0" w:beforeAutospacing="0" w:after="0" w:afterAutospacing="0"/>
              <w:ind w:left="412" w:right="0" w:hanging="411" w:hangingChars="196"/>
              <w:jc w:val="both"/>
              <w:rPr>
                <w:rFonts w:hint="default" w:ascii="Times New Roman" w:hAnsi="Times New Roman" w:eastAsia="宋体" w:cs="Times New Roman"/>
                <w:bCs/>
                <w:kern w:val="1"/>
                <w:sz w:val="21"/>
                <w:szCs w:val="21"/>
              </w:rPr>
            </w:pPr>
            <w:r>
              <w:rPr>
                <w:rFonts w:hint="eastAsia" w:ascii="宋体" w:hAnsi="宋体" w:eastAsia="宋体" w:cs="宋体"/>
                <w:kern w:val="1"/>
                <w:sz w:val="21"/>
                <w:szCs w:val="21"/>
                <w:lang w:val="en-US" w:eastAsia="zh-CN" w:bidi="ar"/>
                <w14:ligatures w14:val="standardContextual"/>
              </w:rPr>
              <w:t>眼睛防护</w:t>
            </w:r>
            <w:r>
              <w:rPr>
                <w:rFonts w:hint="eastAsia" w:ascii="宋体" w:hAnsi="宋体" w:eastAsia="宋体" w:cs="宋体"/>
                <w:bCs/>
                <w:kern w:val="1"/>
                <w:sz w:val="21"/>
                <w:szCs w:val="21"/>
                <w:lang w:val="en-US" w:eastAsia="zh-CN" w:bidi="ar"/>
                <w14:ligatures w14:val="standardContextual"/>
              </w:rPr>
              <w:t>：</w:t>
            </w:r>
            <w:r>
              <w:rPr>
                <w:rFonts w:hint="eastAsia" w:ascii="宋体" w:hAnsi="宋体" w:eastAsia="宋体" w:cs="宋体"/>
                <w:kern w:val="1"/>
                <w:sz w:val="21"/>
                <w:szCs w:val="21"/>
                <w:lang w:val="en-US" w:eastAsia="zh-CN" w:bidi="ar"/>
                <w14:ligatures w14:val="standardContextual"/>
              </w:rPr>
              <w:t>戴化学安全防护眼镜。</w:t>
            </w:r>
          </w:p>
        </w:tc>
      </w:tr>
      <w:tr w14:paraId="2637C1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28" w:type="dxa"/>
            <w:bottom w:w="0" w:type="dxa"/>
            <w:right w:w="28" w:type="dxa"/>
          </w:tblCellMar>
        </w:tblPrEx>
        <w:trPr>
          <w:cantSplit/>
          <w:jc w:val="center"/>
        </w:trPr>
        <w:tc>
          <w:tcPr>
            <w:tcW w:w="361" w:type="pct"/>
            <w:vMerge w:val="continue"/>
            <w:tcBorders>
              <w:top w:val="nil"/>
              <w:left w:val="single" w:color="auto" w:sz="4" w:space="0"/>
              <w:bottom w:val="single" w:color="auto" w:sz="4" w:space="0"/>
              <w:right w:val="single" w:color="auto" w:sz="4" w:space="0"/>
            </w:tcBorders>
            <w:shd w:val="clear" w:color="auto" w:fill="auto"/>
            <w:vAlign w:val="center"/>
          </w:tcPr>
          <w:p w14:paraId="63A732DB">
            <w:pPr>
              <w:keepNext w:val="0"/>
              <w:keepLines w:val="0"/>
              <w:suppressLineNumbers w:val="0"/>
              <w:spacing w:before="0" w:beforeAutospacing="0" w:afterAutospacing="0"/>
              <w:ind w:left="0" w:right="0"/>
              <w:rPr>
                <w:rFonts w:hint="default" w:ascii="Times New Roman" w:hAnsi="Times New Roman" w:cs="Times New Roman"/>
                <w:sz w:val="20"/>
                <w:szCs w:val="20"/>
              </w:rPr>
            </w:pPr>
          </w:p>
        </w:tc>
        <w:tc>
          <w:tcPr>
            <w:tcW w:w="4639" w:type="pct"/>
            <w:gridSpan w:val="6"/>
            <w:tcBorders>
              <w:top w:val="single" w:color="auto" w:sz="4" w:space="0"/>
              <w:left w:val="single" w:color="auto" w:sz="4" w:space="0"/>
              <w:bottom w:val="single" w:color="auto" w:sz="4" w:space="0"/>
              <w:right w:val="single" w:color="auto" w:sz="4" w:space="0"/>
            </w:tcBorders>
            <w:shd w:val="clear" w:color="auto" w:fill="auto"/>
            <w:vAlign w:val="center"/>
          </w:tcPr>
          <w:p w14:paraId="375F161E">
            <w:pPr>
              <w:keepNext w:val="0"/>
              <w:keepLines w:val="0"/>
              <w:widowControl w:val="0"/>
              <w:suppressLineNumbers w:val="0"/>
              <w:spacing w:before="0" w:beforeAutospacing="0" w:after="0" w:afterAutospacing="0"/>
              <w:ind w:left="0" w:right="0"/>
              <w:jc w:val="both"/>
              <w:rPr>
                <w:rFonts w:hint="default" w:ascii="Times New Roman" w:hAnsi="Times New Roman" w:eastAsia="宋体" w:cs="Times New Roman"/>
                <w:bCs/>
                <w:kern w:val="1"/>
                <w:sz w:val="21"/>
                <w:szCs w:val="21"/>
              </w:rPr>
            </w:pPr>
            <w:r>
              <w:rPr>
                <w:rFonts w:hint="eastAsia" w:ascii="宋体" w:hAnsi="宋体" w:eastAsia="宋体" w:cs="宋体"/>
                <w:bCs/>
                <w:kern w:val="1"/>
                <w:sz w:val="21"/>
                <w:szCs w:val="21"/>
                <w:lang w:val="en-US" w:eastAsia="zh-CN" w:bidi="ar"/>
                <w14:ligatures w14:val="standardContextual"/>
              </w:rPr>
              <w:t>手部</w:t>
            </w:r>
            <w:r>
              <w:rPr>
                <w:rFonts w:hint="eastAsia" w:ascii="宋体" w:hAnsi="宋体" w:eastAsia="宋体" w:cs="宋体"/>
                <w:kern w:val="1"/>
                <w:sz w:val="21"/>
                <w:szCs w:val="21"/>
                <w:lang w:val="en-US" w:eastAsia="zh-CN" w:bidi="ar"/>
                <w14:ligatures w14:val="standardContextual"/>
              </w:rPr>
              <w:t>防护</w:t>
            </w:r>
            <w:r>
              <w:rPr>
                <w:rFonts w:hint="eastAsia" w:ascii="宋体" w:hAnsi="宋体" w:eastAsia="宋体" w:cs="宋体"/>
                <w:bCs/>
                <w:kern w:val="1"/>
                <w:sz w:val="21"/>
                <w:szCs w:val="21"/>
                <w:lang w:val="en-US" w:eastAsia="zh-CN" w:bidi="ar"/>
                <w14:ligatures w14:val="standardContextual"/>
              </w:rPr>
              <w:t>：</w:t>
            </w:r>
            <w:r>
              <w:rPr>
                <w:rFonts w:hint="eastAsia" w:ascii="宋体" w:hAnsi="宋体" w:eastAsia="宋体" w:cs="宋体"/>
                <w:kern w:val="1"/>
                <w:sz w:val="21"/>
                <w:szCs w:val="21"/>
                <w:lang w:val="en-US" w:eastAsia="zh-CN" w:bidi="ar"/>
                <w14:ligatures w14:val="standardContextual"/>
              </w:rPr>
              <w:t>戴橡皮手套。</w:t>
            </w:r>
          </w:p>
        </w:tc>
      </w:tr>
      <w:tr w14:paraId="6EAA4D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28" w:type="dxa"/>
            <w:bottom w:w="0" w:type="dxa"/>
            <w:right w:w="28" w:type="dxa"/>
          </w:tblCellMar>
        </w:tblPrEx>
        <w:trPr>
          <w:cantSplit/>
          <w:jc w:val="center"/>
        </w:trPr>
        <w:tc>
          <w:tcPr>
            <w:tcW w:w="361" w:type="pct"/>
            <w:vMerge w:val="continue"/>
            <w:tcBorders>
              <w:top w:val="nil"/>
              <w:left w:val="single" w:color="auto" w:sz="4" w:space="0"/>
              <w:bottom w:val="single" w:color="auto" w:sz="4" w:space="0"/>
              <w:right w:val="single" w:color="auto" w:sz="4" w:space="0"/>
            </w:tcBorders>
            <w:shd w:val="clear" w:color="auto" w:fill="auto"/>
            <w:vAlign w:val="center"/>
          </w:tcPr>
          <w:p w14:paraId="553EF8F1">
            <w:pPr>
              <w:keepNext w:val="0"/>
              <w:keepLines w:val="0"/>
              <w:suppressLineNumbers w:val="0"/>
              <w:spacing w:before="0" w:beforeAutospacing="0" w:afterAutospacing="0"/>
              <w:ind w:left="0" w:right="0"/>
              <w:rPr>
                <w:rFonts w:hint="default" w:ascii="Times New Roman" w:hAnsi="Times New Roman" w:cs="Times New Roman"/>
                <w:sz w:val="20"/>
                <w:szCs w:val="20"/>
              </w:rPr>
            </w:pPr>
          </w:p>
        </w:tc>
        <w:tc>
          <w:tcPr>
            <w:tcW w:w="4639" w:type="pct"/>
            <w:gridSpan w:val="6"/>
            <w:tcBorders>
              <w:top w:val="single" w:color="auto" w:sz="4" w:space="0"/>
              <w:left w:val="single" w:color="auto" w:sz="4" w:space="0"/>
              <w:bottom w:val="single" w:color="auto" w:sz="4" w:space="0"/>
              <w:right w:val="single" w:color="auto" w:sz="4" w:space="0"/>
            </w:tcBorders>
            <w:shd w:val="clear" w:color="auto" w:fill="auto"/>
            <w:vAlign w:val="center"/>
          </w:tcPr>
          <w:p w14:paraId="54B18923">
            <w:pPr>
              <w:keepNext w:val="0"/>
              <w:keepLines w:val="0"/>
              <w:widowControl w:val="0"/>
              <w:suppressLineNumbers w:val="0"/>
              <w:spacing w:before="0" w:beforeAutospacing="0" w:after="0" w:afterAutospacing="0"/>
              <w:ind w:left="0" w:right="0"/>
              <w:jc w:val="both"/>
              <w:rPr>
                <w:rFonts w:hint="default" w:ascii="Times New Roman" w:hAnsi="Times New Roman" w:eastAsia="宋体" w:cs="Times New Roman"/>
                <w:bCs/>
                <w:kern w:val="1"/>
                <w:sz w:val="21"/>
                <w:szCs w:val="21"/>
              </w:rPr>
            </w:pPr>
            <w:r>
              <w:rPr>
                <w:rFonts w:hint="eastAsia" w:ascii="宋体" w:hAnsi="宋体" w:eastAsia="宋体" w:cs="宋体"/>
                <w:bCs/>
                <w:kern w:val="1"/>
                <w:sz w:val="21"/>
                <w:szCs w:val="21"/>
                <w:lang w:val="en-US" w:eastAsia="zh-CN" w:bidi="ar"/>
                <w14:ligatures w14:val="standardContextual"/>
              </w:rPr>
              <w:t>身体防护：</w:t>
            </w:r>
            <w:r>
              <w:rPr>
                <w:rFonts w:hint="eastAsia" w:ascii="宋体" w:hAnsi="宋体" w:eastAsia="宋体" w:cs="宋体"/>
                <w:kern w:val="1"/>
                <w:sz w:val="21"/>
                <w:szCs w:val="21"/>
                <w:lang w:val="en-US" w:eastAsia="zh-CN" w:bidi="ar"/>
                <w14:ligatures w14:val="standardContextual"/>
              </w:rPr>
              <w:t>穿工作服（防腐材料制作）。</w:t>
            </w:r>
          </w:p>
        </w:tc>
      </w:tr>
      <w:tr w14:paraId="40B4DD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28" w:type="dxa"/>
            <w:bottom w:w="0" w:type="dxa"/>
            <w:right w:w="28" w:type="dxa"/>
          </w:tblCellMar>
        </w:tblPrEx>
        <w:trPr>
          <w:cantSplit/>
          <w:jc w:val="center"/>
        </w:trPr>
        <w:tc>
          <w:tcPr>
            <w:tcW w:w="361" w:type="pct"/>
            <w:vMerge w:val="continue"/>
            <w:tcBorders>
              <w:top w:val="nil"/>
              <w:left w:val="single" w:color="auto" w:sz="4" w:space="0"/>
              <w:bottom w:val="single" w:color="auto" w:sz="4" w:space="0"/>
              <w:right w:val="single" w:color="auto" w:sz="4" w:space="0"/>
            </w:tcBorders>
            <w:shd w:val="clear" w:color="auto" w:fill="auto"/>
            <w:vAlign w:val="center"/>
          </w:tcPr>
          <w:p w14:paraId="0D6CD0A8">
            <w:pPr>
              <w:keepNext w:val="0"/>
              <w:keepLines w:val="0"/>
              <w:suppressLineNumbers w:val="0"/>
              <w:spacing w:before="0" w:beforeAutospacing="0" w:afterAutospacing="0"/>
              <w:ind w:left="0" w:right="0"/>
              <w:rPr>
                <w:rFonts w:hint="default" w:ascii="Times New Roman" w:hAnsi="Times New Roman" w:cs="Times New Roman"/>
                <w:sz w:val="20"/>
                <w:szCs w:val="20"/>
              </w:rPr>
            </w:pPr>
          </w:p>
        </w:tc>
        <w:tc>
          <w:tcPr>
            <w:tcW w:w="4639" w:type="pct"/>
            <w:gridSpan w:val="6"/>
            <w:tcBorders>
              <w:top w:val="single" w:color="auto" w:sz="4" w:space="0"/>
              <w:left w:val="single" w:color="auto" w:sz="4" w:space="0"/>
              <w:bottom w:val="single" w:color="auto" w:sz="4" w:space="0"/>
              <w:right w:val="single" w:color="auto" w:sz="4" w:space="0"/>
            </w:tcBorders>
            <w:shd w:val="clear" w:color="auto" w:fill="auto"/>
            <w:vAlign w:val="center"/>
          </w:tcPr>
          <w:p w14:paraId="3EFFFBA7">
            <w:pPr>
              <w:keepNext w:val="0"/>
              <w:keepLines w:val="0"/>
              <w:widowControl w:val="0"/>
              <w:suppressLineNumbers w:val="0"/>
              <w:spacing w:before="0" w:beforeAutospacing="0" w:after="0" w:afterAutospacing="0"/>
              <w:ind w:left="0" w:right="0"/>
              <w:jc w:val="both"/>
              <w:rPr>
                <w:rFonts w:hint="default" w:ascii="Times New Roman" w:hAnsi="Times New Roman" w:eastAsia="宋体" w:cs="Times New Roman"/>
                <w:bCs/>
                <w:kern w:val="1"/>
                <w:sz w:val="21"/>
                <w:szCs w:val="21"/>
              </w:rPr>
            </w:pPr>
            <w:r>
              <w:rPr>
                <w:rFonts w:hint="eastAsia" w:ascii="宋体" w:hAnsi="宋体" w:eastAsia="宋体" w:cs="宋体"/>
                <w:bCs/>
                <w:kern w:val="1"/>
                <w:sz w:val="21"/>
                <w:szCs w:val="21"/>
                <w:lang w:val="en-US" w:eastAsia="zh-CN" w:bidi="ar"/>
                <w14:ligatures w14:val="standardContextual"/>
              </w:rPr>
              <w:t>其它：</w:t>
            </w:r>
            <w:r>
              <w:rPr>
                <w:rFonts w:hint="eastAsia" w:ascii="宋体" w:hAnsi="宋体" w:eastAsia="宋体" w:cs="宋体"/>
                <w:kern w:val="1"/>
                <w:sz w:val="21"/>
                <w:szCs w:val="21"/>
                <w:lang w:val="en-US" w:eastAsia="zh-CN" w:bidi="ar"/>
                <w14:ligatures w14:val="standardContextual"/>
              </w:rPr>
              <w:t>工作后，淋浴更衣。单独存放被毒物污染的衣服，洗后再用。保持良好的卫生习惯。</w:t>
            </w:r>
          </w:p>
        </w:tc>
      </w:tr>
      <w:tr w14:paraId="2F7E64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26" w:hRule="atLeast"/>
          <w:jc w:val="center"/>
        </w:trPr>
        <w:tc>
          <w:tcPr>
            <w:tcW w:w="361" w:type="pct"/>
            <w:vMerge w:val="restart"/>
            <w:tcBorders>
              <w:top w:val="nil"/>
              <w:left w:val="single" w:color="auto" w:sz="4" w:space="0"/>
              <w:bottom w:val="single" w:color="auto" w:sz="4" w:space="0"/>
              <w:right w:val="single" w:color="auto" w:sz="4" w:space="0"/>
            </w:tcBorders>
            <w:shd w:val="clear" w:color="auto" w:fill="auto"/>
            <w:vAlign w:val="center"/>
          </w:tcPr>
          <w:p w14:paraId="5D3F44DE">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Cs/>
                <w:kern w:val="1"/>
                <w:sz w:val="21"/>
                <w:szCs w:val="21"/>
              </w:rPr>
            </w:pPr>
            <w:r>
              <w:rPr>
                <w:rFonts w:hint="eastAsia" w:ascii="宋体" w:hAnsi="宋体" w:eastAsia="宋体" w:cs="宋体"/>
                <w:bCs/>
                <w:kern w:val="1"/>
                <w:sz w:val="21"/>
                <w:szCs w:val="21"/>
                <w:lang w:val="en-US" w:eastAsia="zh-CN" w:bidi="ar"/>
                <w14:ligatures w14:val="standardContextual"/>
              </w:rPr>
              <w:t>储</w:t>
            </w:r>
          </w:p>
          <w:p w14:paraId="4968495B">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Cs/>
                <w:kern w:val="1"/>
                <w:sz w:val="21"/>
                <w:szCs w:val="21"/>
              </w:rPr>
            </w:pPr>
            <w:r>
              <w:rPr>
                <w:rFonts w:hint="eastAsia" w:ascii="宋体" w:hAnsi="宋体" w:eastAsia="宋体" w:cs="宋体"/>
                <w:bCs/>
                <w:kern w:val="1"/>
                <w:sz w:val="21"/>
                <w:szCs w:val="21"/>
                <w:lang w:val="en-US" w:eastAsia="zh-CN" w:bidi="ar"/>
                <w14:ligatures w14:val="standardContextual"/>
              </w:rPr>
              <w:t>运</w:t>
            </w:r>
          </w:p>
        </w:tc>
        <w:tc>
          <w:tcPr>
            <w:tcW w:w="4639" w:type="pct"/>
            <w:gridSpan w:val="6"/>
            <w:vMerge w:val="restart"/>
            <w:tcBorders>
              <w:top w:val="nil"/>
              <w:left w:val="single" w:color="auto" w:sz="4" w:space="0"/>
              <w:bottom w:val="single" w:color="auto" w:sz="4" w:space="0"/>
              <w:right w:val="single" w:color="auto" w:sz="4" w:space="0"/>
            </w:tcBorders>
            <w:shd w:val="clear" w:color="auto" w:fill="auto"/>
            <w:vAlign w:val="center"/>
          </w:tcPr>
          <w:p w14:paraId="724DB519">
            <w:pPr>
              <w:keepNext w:val="0"/>
              <w:keepLines w:val="0"/>
              <w:widowControl w:val="0"/>
              <w:suppressLineNumbers w:val="0"/>
              <w:spacing w:before="0" w:beforeAutospacing="0" w:after="0" w:afterAutospacing="0"/>
              <w:ind w:left="0" w:right="0"/>
              <w:jc w:val="both"/>
              <w:rPr>
                <w:rFonts w:hint="default" w:ascii="Times New Roman" w:hAnsi="Times New Roman" w:eastAsia="宋体" w:cs="Times New Roman"/>
                <w:bCs/>
                <w:kern w:val="1"/>
                <w:sz w:val="21"/>
                <w:szCs w:val="21"/>
              </w:rPr>
            </w:pPr>
            <w:r>
              <w:rPr>
                <w:rFonts w:hint="eastAsia" w:ascii="宋体" w:hAnsi="宋体" w:eastAsia="宋体" w:cs="宋体"/>
                <w:kern w:val="1"/>
                <w:sz w:val="21"/>
                <w:szCs w:val="21"/>
                <w:lang w:val="en-US" w:eastAsia="zh-CN" w:bidi="ar"/>
                <w14:ligatures w14:val="standardContextual"/>
              </w:rPr>
              <w:t>储存于阴凉、干燥、通风处。应与碱类、金属粉末、卤素（氟、氯、溴）、易燃、可燃物等分开存放。不可混储混运。搬运时要轻装轻卸，防止包装及容器损坏。分装和搬运作业要注意个人防护。运输按规定路线行驶。</w:t>
            </w:r>
          </w:p>
        </w:tc>
      </w:tr>
      <w:tr w14:paraId="4C5783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28" w:type="dxa"/>
            <w:bottom w:w="0" w:type="dxa"/>
            <w:right w:w="28" w:type="dxa"/>
          </w:tblCellMar>
        </w:tblPrEx>
        <w:trPr>
          <w:cantSplit/>
          <w:trHeight w:val="326" w:hRule="atLeast"/>
          <w:jc w:val="center"/>
        </w:trPr>
        <w:tc>
          <w:tcPr>
            <w:tcW w:w="361" w:type="pct"/>
            <w:vMerge w:val="continue"/>
            <w:tcBorders>
              <w:top w:val="nil"/>
              <w:left w:val="single" w:color="auto" w:sz="4" w:space="0"/>
              <w:bottom w:val="single" w:color="auto" w:sz="4" w:space="0"/>
              <w:right w:val="single" w:color="auto" w:sz="4" w:space="0"/>
            </w:tcBorders>
            <w:shd w:val="clear" w:color="auto" w:fill="auto"/>
            <w:vAlign w:val="center"/>
          </w:tcPr>
          <w:p w14:paraId="11A16062">
            <w:pPr>
              <w:keepNext w:val="0"/>
              <w:keepLines w:val="0"/>
              <w:suppressLineNumbers w:val="0"/>
              <w:spacing w:before="0" w:beforeAutospacing="0" w:afterAutospacing="0"/>
              <w:ind w:left="0" w:right="0"/>
              <w:rPr>
                <w:rFonts w:hint="default" w:ascii="Times New Roman" w:hAnsi="Times New Roman" w:cs="Times New Roman"/>
                <w:sz w:val="20"/>
                <w:szCs w:val="20"/>
              </w:rPr>
            </w:pPr>
          </w:p>
        </w:tc>
        <w:tc>
          <w:tcPr>
            <w:tcW w:w="4639" w:type="pct"/>
            <w:gridSpan w:val="6"/>
            <w:vMerge w:val="continue"/>
            <w:tcBorders>
              <w:top w:val="nil"/>
              <w:left w:val="single" w:color="auto" w:sz="4" w:space="0"/>
              <w:bottom w:val="single" w:color="auto" w:sz="4" w:space="0"/>
              <w:right w:val="single" w:color="auto" w:sz="4" w:space="0"/>
            </w:tcBorders>
            <w:shd w:val="clear" w:color="auto" w:fill="auto"/>
            <w:vAlign w:val="center"/>
          </w:tcPr>
          <w:p w14:paraId="5FCACE52">
            <w:pPr>
              <w:keepNext w:val="0"/>
              <w:keepLines w:val="0"/>
              <w:suppressLineNumbers w:val="0"/>
              <w:spacing w:before="0" w:beforeAutospacing="0" w:afterAutospacing="0"/>
              <w:ind w:left="0" w:right="0"/>
              <w:rPr>
                <w:rFonts w:hint="default" w:ascii="Times New Roman" w:hAnsi="Times New Roman" w:cs="Times New Roman"/>
                <w:sz w:val="20"/>
                <w:szCs w:val="20"/>
              </w:rPr>
            </w:pPr>
          </w:p>
        </w:tc>
      </w:tr>
      <w:tr w14:paraId="5E88F7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26" w:hRule="atLeast"/>
          <w:jc w:val="center"/>
        </w:trPr>
        <w:tc>
          <w:tcPr>
            <w:tcW w:w="361" w:type="pct"/>
            <w:vMerge w:val="continue"/>
            <w:tcBorders>
              <w:top w:val="nil"/>
              <w:left w:val="single" w:color="auto" w:sz="4" w:space="0"/>
              <w:bottom w:val="single" w:color="auto" w:sz="4" w:space="0"/>
              <w:right w:val="single" w:color="auto" w:sz="4" w:space="0"/>
            </w:tcBorders>
            <w:shd w:val="clear" w:color="auto" w:fill="auto"/>
            <w:vAlign w:val="center"/>
          </w:tcPr>
          <w:p w14:paraId="54C41F39">
            <w:pPr>
              <w:keepNext w:val="0"/>
              <w:keepLines w:val="0"/>
              <w:suppressLineNumbers w:val="0"/>
              <w:spacing w:before="0" w:beforeAutospacing="0" w:afterAutospacing="0"/>
              <w:ind w:left="0" w:right="0"/>
              <w:rPr>
                <w:rFonts w:hint="default" w:ascii="Times New Roman" w:hAnsi="Times New Roman" w:cs="Times New Roman"/>
                <w:sz w:val="20"/>
                <w:szCs w:val="20"/>
              </w:rPr>
            </w:pPr>
          </w:p>
        </w:tc>
        <w:tc>
          <w:tcPr>
            <w:tcW w:w="4639" w:type="pct"/>
            <w:gridSpan w:val="6"/>
            <w:vMerge w:val="continue"/>
            <w:tcBorders>
              <w:top w:val="nil"/>
              <w:left w:val="single" w:color="auto" w:sz="4" w:space="0"/>
              <w:bottom w:val="single" w:color="auto" w:sz="4" w:space="0"/>
              <w:right w:val="single" w:color="auto" w:sz="4" w:space="0"/>
            </w:tcBorders>
            <w:shd w:val="clear" w:color="auto" w:fill="auto"/>
            <w:vAlign w:val="center"/>
          </w:tcPr>
          <w:p w14:paraId="4D4831E4">
            <w:pPr>
              <w:keepNext w:val="0"/>
              <w:keepLines w:val="0"/>
              <w:suppressLineNumbers w:val="0"/>
              <w:spacing w:before="0" w:beforeAutospacing="0" w:afterAutospacing="0"/>
              <w:ind w:left="0" w:right="0"/>
              <w:rPr>
                <w:rFonts w:hint="default" w:ascii="Times New Roman" w:hAnsi="Times New Roman" w:cs="Times New Roman"/>
                <w:sz w:val="20"/>
                <w:szCs w:val="20"/>
              </w:rPr>
            </w:pPr>
          </w:p>
        </w:tc>
      </w:tr>
    </w:tbl>
    <w:p w14:paraId="1D61A8C0">
      <w:pPr>
        <w:tabs>
          <w:tab w:val="left" w:pos="840"/>
          <w:tab w:val="left" w:pos="1260"/>
        </w:tabs>
        <w:adjustRightInd w:val="0"/>
        <w:snapToGrid w:val="0"/>
        <w:spacing w:before="156" w:beforeLines="50" w:after="156" w:afterLines="50" w:line="360" w:lineRule="auto"/>
        <w:ind w:firstLine="562" w:firstLineChars="200"/>
        <w:jc w:val="both"/>
        <w:outlineLvl w:val="2"/>
        <w:rPr>
          <w:rFonts w:hint="eastAsia" w:ascii="Times New Roman" w:hAnsi="Times New Roman" w:eastAsia="黑体" w:cs="Times New Roman"/>
          <w:b/>
          <w:sz w:val="28"/>
          <w:szCs w:val="32"/>
          <w:highlight w:val="none"/>
          <w:lang w:val="en-US" w:eastAsia="zh-CN"/>
          <w14:ligatures w14:val="none"/>
        </w:rPr>
      </w:pPr>
      <w:r>
        <w:rPr>
          <w:rFonts w:ascii="Times New Roman" w:hAnsi="Times New Roman" w:eastAsia="黑体" w:cs="Times New Roman"/>
          <w:b/>
          <w:sz w:val="28"/>
          <w:szCs w:val="32"/>
          <w:highlight w:val="none"/>
          <w14:ligatures w14:val="none"/>
        </w:rPr>
        <w:t>3.1.</w:t>
      </w:r>
      <w:r>
        <w:rPr>
          <w:rFonts w:hint="eastAsia" w:ascii="Times New Roman" w:hAnsi="Times New Roman" w:eastAsia="黑体" w:cs="Times New Roman"/>
          <w:b/>
          <w:sz w:val="28"/>
          <w:szCs w:val="32"/>
          <w:highlight w:val="none"/>
          <w:lang w:val="en-US" w:eastAsia="zh-CN"/>
          <w14:ligatures w14:val="none"/>
        </w:rPr>
        <w:t>2次氯酸钠</w:t>
      </w:r>
    </w:p>
    <w:p w14:paraId="7880383A">
      <w:pPr>
        <w:bidi w:val="0"/>
        <w:spacing w:line="240" w:lineRule="auto"/>
        <w:jc w:val="center"/>
        <w:rPr>
          <w:rFonts w:hint="eastAsia" w:ascii="Times New Roman" w:hAnsi="Times New Roman" w:eastAsia="黑体" w:cs="Times New Roman"/>
          <w:sz w:val="24"/>
          <w14:ligatures w14:val="none"/>
        </w:rPr>
      </w:pPr>
      <w:r>
        <w:rPr>
          <w:rFonts w:ascii="Times New Roman" w:hAnsi="Times New Roman" w:eastAsia="黑体" w:cs="Times New Roman"/>
          <w:sz w:val="24"/>
          <w14:ligatures w14:val="none"/>
        </w:rPr>
        <w:t>表</w:t>
      </w:r>
      <w:r>
        <w:rPr>
          <w:rFonts w:hint="eastAsia" w:ascii="Times New Roman" w:hAnsi="Times New Roman" w:eastAsia="黑体" w:cs="Times New Roman"/>
          <w:sz w:val="24"/>
          <w14:ligatures w14:val="none"/>
        </w:rPr>
        <w:t>3.1</w:t>
      </w:r>
      <w:r>
        <w:rPr>
          <w:rFonts w:ascii="Times New Roman" w:hAnsi="Times New Roman" w:eastAsia="黑体" w:cs="Times New Roman"/>
          <w:sz w:val="24"/>
          <w14:ligatures w14:val="none"/>
        </w:rPr>
        <w:t>-</w:t>
      </w:r>
      <w:r>
        <w:rPr>
          <w:rFonts w:hint="eastAsia" w:ascii="Times New Roman" w:hAnsi="Times New Roman" w:eastAsia="黑体" w:cs="Times New Roman"/>
          <w:sz w:val="24"/>
          <w:lang w:val="en-US" w:eastAsia="zh-CN"/>
          <w14:ligatures w14:val="none"/>
        </w:rPr>
        <w:t>3</w:t>
      </w:r>
      <w:r>
        <w:rPr>
          <w:rFonts w:hint="eastAsia" w:ascii="Times New Roman" w:hAnsi="Times New Roman" w:eastAsia="黑体" w:cs="Times New Roman"/>
          <w:sz w:val="24"/>
          <w14:ligatures w14:val="none"/>
        </w:rPr>
        <w:t xml:space="preserve">  </w:t>
      </w:r>
      <w:r>
        <w:rPr>
          <w:rFonts w:hint="eastAsia" w:ascii="Times New Roman" w:hAnsi="Times New Roman" w:eastAsia="黑体" w:cs="Times New Roman"/>
          <w:sz w:val="24"/>
          <w:lang w:val="en-US" w:eastAsia="zh-CN"/>
          <w14:ligatures w14:val="none"/>
        </w:rPr>
        <w:t>次氯酸钠</w:t>
      </w:r>
      <w:r>
        <w:rPr>
          <w:rFonts w:hint="eastAsia" w:ascii="Times New Roman" w:hAnsi="Times New Roman" w:eastAsia="黑体" w:cs="Times New Roman"/>
          <w:sz w:val="24"/>
          <w14:ligatures w14:val="none"/>
        </w:rPr>
        <w:t>理化特性表</w:t>
      </w:r>
    </w:p>
    <w:tbl>
      <w:tblPr>
        <w:tblStyle w:val="30"/>
        <w:tblW w:w="5014" w:type="pct"/>
        <w:tblInd w:w="0" w:type="dxa"/>
        <w:tblBorders>
          <w:top w:val="single" w:color="000000" w:sz="10" w:space="0"/>
          <w:left w:val="single" w:color="000000" w:sz="10" w:space="0"/>
          <w:bottom w:val="single" w:color="000000" w:sz="10" w:space="0"/>
          <w:right w:val="single" w:color="000000" w:sz="10" w:space="0"/>
          <w:insideH w:val="none" w:color="auto" w:sz="0" w:space="0"/>
          <w:insideV w:val="none" w:color="auto" w:sz="0" w:space="0"/>
        </w:tblBorders>
        <w:tblLayout w:type="fixed"/>
        <w:tblCellMar>
          <w:top w:w="0" w:type="dxa"/>
          <w:left w:w="0" w:type="dxa"/>
          <w:bottom w:w="0" w:type="dxa"/>
          <w:right w:w="0" w:type="dxa"/>
        </w:tblCellMar>
      </w:tblPr>
      <w:tblGrid>
        <w:gridCol w:w="9236"/>
      </w:tblGrid>
      <w:tr w14:paraId="4597F3A3">
        <w:tblPrEx>
          <w:tblBorders>
            <w:top w:val="single" w:color="000000" w:sz="10" w:space="0"/>
            <w:left w:val="single" w:color="000000" w:sz="10" w:space="0"/>
            <w:bottom w:val="single" w:color="000000" w:sz="10" w:space="0"/>
            <w:right w:val="single" w:color="000000" w:sz="10" w:space="0"/>
            <w:insideH w:val="none" w:color="auto" w:sz="0" w:space="0"/>
            <w:insideV w:val="none" w:color="auto" w:sz="0" w:space="0"/>
          </w:tblBorders>
          <w:tblCellMar>
            <w:top w:w="0" w:type="dxa"/>
            <w:left w:w="0" w:type="dxa"/>
            <w:bottom w:w="0" w:type="dxa"/>
            <w:right w:w="0" w:type="dxa"/>
          </w:tblCellMar>
        </w:tblPrEx>
        <w:trPr>
          <w:trHeight w:val="0" w:hRule="atLeast"/>
        </w:trPr>
        <w:tc>
          <w:tcPr>
            <w:tcW w:w="9210" w:type="dxa"/>
            <w:vAlign w:val="top"/>
          </w:tcPr>
          <w:p w14:paraId="13C1B985">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b/>
                <w:bCs/>
                <w:sz w:val="21"/>
                <w:szCs w:val="21"/>
              </w:rPr>
            </w:pPr>
            <w:r>
              <w:rPr>
                <w:b/>
                <w:bCs/>
                <w:spacing w:val="-3"/>
                <w:sz w:val="21"/>
                <w:szCs w:val="21"/>
              </w:rPr>
              <w:t>第一部分  化学品及企业标识</w:t>
            </w:r>
          </w:p>
          <w:p w14:paraId="17B4471A">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b w:val="0"/>
                <w:bCs w:val="0"/>
                <w:sz w:val="21"/>
                <w:szCs w:val="21"/>
              </w:rPr>
            </w:pPr>
            <w:r>
              <w:rPr>
                <w:b w:val="0"/>
                <w:bCs w:val="0"/>
                <w:spacing w:val="-1"/>
                <w:sz w:val="21"/>
                <w:szCs w:val="21"/>
              </w:rPr>
              <w:t>化学品中文名：次氯酸钠溶液</w:t>
            </w:r>
          </w:p>
          <w:p w14:paraId="7BADA884">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rFonts w:ascii="Times New Roman" w:hAnsi="Times New Roman" w:eastAsia="Times New Roman" w:cs="Times New Roman"/>
                <w:b w:val="0"/>
                <w:bCs w:val="0"/>
                <w:sz w:val="21"/>
                <w:szCs w:val="21"/>
              </w:rPr>
            </w:pPr>
            <w:r>
              <w:rPr>
                <w:b w:val="0"/>
                <w:bCs w:val="0"/>
                <w:sz w:val="21"/>
                <w:szCs w:val="21"/>
              </w:rPr>
              <w:t>化学品英文名：</w:t>
            </w:r>
            <w:r>
              <w:rPr>
                <w:rFonts w:ascii="Times New Roman" w:hAnsi="Times New Roman" w:eastAsia="Times New Roman" w:cs="Times New Roman"/>
                <w:b w:val="0"/>
                <w:bCs w:val="0"/>
                <w:sz w:val="21"/>
                <w:szCs w:val="21"/>
              </w:rPr>
              <w:t>sodium hypochlor</w:t>
            </w:r>
            <w:r>
              <w:rPr>
                <w:rFonts w:ascii="Times New Roman" w:hAnsi="Times New Roman" w:eastAsia="Times New Roman" w:cs="Times New Roman"/>
                <w:b w:val="0"/>
                <w:bCs w:val="0"/>
                <w:spacing w:val="-1"/>
                <w:sz w:val="21"/>
                <w:szCs w:val="21"/>
              </w:rPr>
              <w:t>ite solution</w:t>
            </w:r>
          </w:p>
          <w:p w14:paraId="0DA0AAF7">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rFonts w:ascii="Times New Roman" w:hAnsi="Times New Roman" w:eastAsia="Times New Roman" w:cs="Times New Roman"/>
                <w:b w:val="0"/>
                <w:bCs w:val="0"/>
                <w:sz w:val="21"/>
                <w:szCs w:val="21"/>
              </w:rPr>
            </w:pPr>
            <w:r>
              <w:rPr>
                <w:b w:val="0"/>
                <w:bCs w:val="0"/>
                <w:sz w:val="21"/>
                <w:szCs w:val="21"/>
              </w:rPr>
              <w:t>分子式：</w:t>
            </w:r>
            <w:r>
              <w:rPr>
                <w:rFonts w:ascii="Times New Roman" w:hAnsi="Times New Roman" w:eastAsia="Times New Roman" w:cs="Times New Roman"/>
                <w:b w:val="0"/>
                <w:bCs w:val="0"/>
                <w:sz w:val="21"/>
                <w:szCs w:val="21"/>
              </w:rPr>
              <w:t xml:space="preserve">NaClO                                            </w:t>
            </w:r>
            <w:r>
              <w:rPr>
                <w:rFonts w:ascii="Times New Roman" w:hAnsi="Times New Roman" w:eastAsia="Times New Roman" w:cs="Times New Roman"/>
                <w:b w:val="0"/>
                <w:bCs w:val="0"/>
                <w:spacing w:val="-1"/>
                <w:sz w:val="21"/>
                <w:szCs w:val="21"/>
              </w:rPr>
              <w:t xml:space="preserve">  </w:t>
            </w:r>
            <w:r>
              <w:rPr>
                <w:b w:val="0"/>
                <w:bCs w:val="0"/>
                <w:spacing w:val="-1"/>
                <w:sz w:val="21"/>
                <w:szCs w:val="21"/>
              </w:rPr>
              <w:t>相对分子质量：</w:t>
            </w:r>
            <w:r>
              <w:rPr>
                <w:rFonts w:ascii="Times New Roman" w:hAnsi="Times New Roman" w:eastAsia="Times New Roman" w:cs="Times New Roman"/>
                <w:b w:val="0"/>
                <w:bCs w:val="0"/>
                <w:spacing w:val="-1"/>
                <w:sz w:val="21"/>
                <w:szCs w:val="21"/>
              </w:rPr>
              <w:t>74.44</w:t>
            </w:r>
          </w:p>
          <w:p w14:paraId="12F25A83">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b/>
                <w:bCs/>
                <w:spacing w:val="-3"/>
                <w:sz w:val="21"/>
                <w:szCs w:val="21"/>
              </w:rPr>
            </w:pPr>
            <w:r>
              <w:rPr>
                <w:b/>
                <w:bCs/>
                <w:spacing w:val="-3"/>
                <w:sz w:val="21"/>
                <w:szCs w:val="21"/>
              </w:rPr>
              <w:t>第二部分  成分/组成信息</w:t>
            </w:r>
          </w:p>
          <w:p w14:paraId="741DF4BC">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rFonts w:ascii="Times New Roman" w:hAnsi="Times New Roman" w:eastAsia="Times New Roman" w:cs="Times New Roman"/>
                <w:b w:val="0"/>
                <w:bCs w:val="0"/>
                <w:sz w:val="21"/>
                <w:szCs w:val="21"/>
              </w:rPr>
            </w:pPr>
            <w:r>
              <w:rPr>
                <w:b w:val="0"/>
                <w:bCs w:val="0"/>
                <w:spacing w:val="-5"/>
                <w:sz w:val="21"/>
                <w:szCs w:val="21"/>
              </w:rPr>
              <w:t>纯品</w:t>
            </w:r>
            <w:r>
              <w:rPr>
                <w:b w:val="0"/>
                <w:bCs w:val="0"/>
                <w:sz w:val="21"/>
                <w:szCs w:val="21"/>
              </w:rPr>
              <w:t xml:space="preserve">                  </w:t>
            </w:r>
            <w:r>
              <w:rPr>
                <w:b w:val="0"/>
                <w:bCs w:val="0"/>
                <w:spacing w:val="-5"/>
                <w:sz w:val="21"/>
                <w:szCs w:val="21"/>
              </w:rPr>
              <w:t>混合物</w:t>
            </w:r>
            <w:r>
              <w:rPr>
                <w:rFonts w:ascii="Times New Roman" w:hAnsi="Times New Roman" w:eastAsia="Times New Roman" w:cs="Times New Roman"/>
                <w:b w:val="0"/>
                <w:bCs w:val="0"/>
                <w:spacing w:val="-5"/>
                <w:sz w:val="21"/>
                <w:szCs w:val="21"/>
              </w:rPr>
              <w:t>√</w:t>
            </w:r>
          </w:p>
          <w:p w14:paraId="3FA106D8">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rFonts w:ascii="Times New Roman" w:hAnsi="Times New Roman" w:eastAsia="Times New Roman" w:cs="Times New Roman"/>
                <w:b w:val="0"/>
                <w:bCs w:val="0"/>
                <w:sz w:val="21"/>
                <w:szCs w:val="21"/>
              </w:rPr>
            </w:pPr>
            <w:r>
              <w:rPr>
                <w:b w:val="0"/>
                <w:bCs w:val="0"/>
                <w:spacing w:val="-1"/>
                <w:sz w:val="21"/>
                <w:szCs w:val="21"/>
              </w:rPr>
              <w:t>有害物成分                浓度</w:t>
            </w:r>
            <w:r>
              <w:rPr>
                <w:b w:val="0"/>
                <w:bCs w:val="0"/>
                <w:spacing w:val="1"/>
                <w:sz w:val="21"/>
                <w:szCs w:val="21"/>
              </w:rPr>
              <w:t xml:space="preserve">                </w:t>
            </w:r>
            <w:r>
              <w:rPr>
                <w:rFonts w:ascii="Times New Roman" w:hAnsi="Times New Roman" w:eastAsia="Times New Roman" w:cs="Times New Roman"/>
                <w:b w:val="0"/>
                <w:bCs w:val="0"/>
                <w:spacing w:val="-1"/>
                <w:sz w:val="21"/>
                <w:szCs w:val="21"/>
              </w:rPr>
              <w:t>CAS No.</w:t>
            </w:r>
          </w:p>
          <w:p w14:paraId="17558CE9">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rFonts w:ascii="Times New Roman" w:hAnsi="Times New Roman" w:eastAsia="Times New Roman" w:cs="Times New Roman"/>
                <w:b w:val="0"/>
                <w:bCs w:val="0"/>
                <w:sz w:val="21"/>
                <w:szCs w:val="21"/>
              </w:rPr>
            </w:pPr>
            <w:r>
              <w:rPr>
                <w:b w:val="0"/>
                <w:bCs w:val="0"/>
                <w:sz w:val="21"/>
                <w:szCs w:val="21"/>
              </w:rPr>
              <w:t xml:space="preserve">次氯酸钠溶液                         </w:t>
            </w:r>
            <w:r>
              <w:rPr>
                <w:b w:val="0"/>
                <w:bCs w:val="0"/>
                <w:spacing w:val="-1"/>
                <w:sz w:val="21"/>
                <w:szCs w:val="21"/>
              </w:rPr>
              <w:t xml:space="preserve">         </w:t>
            </w:r>
            <w:r>
              <w:rPr>
                <w:rFonts w:ascii="Times New Roman" w:hAnsi="Times New Roman" w:eastAsia="Times New Roman" w:cs="Times New Roman"/>
                <w:b w:val="0"/>
                <w:bCs w:val="0"/>
                <w:spacing w:val="-1"/>
                <w:sz w:val="21"/>
                <w:szCs w:val="21"/>
              </w:rPr>
              <w:t>7681-52-9</w:t>
            </w:r>
          </w:p>
          <w:p w14:paraId="4C711BA5">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b/>
                <w:bCs/>
                <w:spacing w:val="-3"/>
                <w:sz w:val="21"/>
                <w:szCs w:val="21"/>
              </w:rPr>
            </w:pPr>
            <w:r>
              <w:rPr>
                <w:b/>
                <w:bCs/>
                <w:spacing w:val="-3"/>
                <w:sz w:val="21"/>
                <w:szCs w:val="21"/>
              </w:rPr>
              <w:t>第三部分  危险性概述</w:t>
            </w:r>
          </w:p>
          <w:p w14:paraId="06259A1F">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b w:val="0"/>
                <w:bCs w:val="0"/>
                <w:sz w:val="21"/>
                <w:szCs w:val="21"/>
              </w:rPr>
            </w:pPr>
            <w:r>
              <w:rPr>
                <w:b w:val="0"/>
                <w:bCs w:val="0"/>
                <w:spacing w:val="-2"/>
                <w:sz w:val="21"/>
                <w:szCs w:val="21"/>
              </w:rPr>
              <w:t>危险性类别：第</w:t>
            </w:r>
            <w:r>
              <w:rPr>
                <w:b w:val="0"/>
                <w:bCs w:val="0"/>
                <w:spacing w:val="-36"/>
                <w:sz w:val="21"/>
                <w:szCs w:val="21"/>
              </w:rPr>
              <w:t xml:space="preserve"> </w:t>
            </w:r>
            <w:r>
              <w:rPr>
                <w:rFonts w:ascii="Times New Roman" w:hAnsi="Times New Roman" w:eastAsia="Times New Roman" w:cs="Times New Roman"/>
                <w:b w:val="0"/>
                <w:bCs w:val="0"/>
                <w:spacing w:val="-2"/>
                <w:sz w:val="21"/>
                <w:szCs w:val="21"/>
              </w:rPr>
              <w:t xml:space="preserve">8.3 </w:t>
            </w:r>
            <w:r>
              <w:rPr>
                <w:b w:val="0"/>
                <w:bCs w:val="0"/>
                <w:spacing w:val="-2"/>
                <w:sz w:val="21"/>
                <w:szCs w:val="21"/>
              </w:rPr>
              <w:t>类  其它腐蚀品</w:t>
            </w:r>
          </w:p>
          <w:p w14:paraId="037C5391">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b w:val="0"/>
                <w:bCs w:val="0"/>
                <w:sz w:val="21"/>
                <w:szCs w:val="21"/>
              </w:rPr>
            </w:pPr>
            <w:r>
              <w:rPr>
                <w:b w:val="0"/>
                <w:bCs w:val="0"/>
                <w:spacing w:val="-2"/>
                <w:sz w:val="21"/>
                <w:szCs w:val="21"/>
              </w:rPr>
              <w:t>侵入途径：吸入、食入</w:t>
            </w:r>
          </w:p>
          <w:p w14:paraId="246351AD">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b w:val="0"/>
                <w:bCs w:val="0"/>
                <w:sz w:val="21"/>
                <w:szCs w:val="21"/>
              </w:rPr>
            </w:pPr>
            <w:r>
              <w:rPr>
                <w:b w:val="0"/>
                <w:bCs w:val="0"/>
                <w:spacing w:val="-2"/>
                <w:sz w:val="21"/>
                <w:szCs w:val="21"/>
              </w:rPr>
              <w:t>健康危害：对皮肤、粘膜有较强的刺激作用。吸入</w:t>
            </w:r>
            <w:r>
              <w:rPr>
                <w:b w:val="0"/>
                <w:bCs w:val="0"/>
                <w:spacing w:val="-3"/>
                <w:sz w:val="21"/>
                <w:szCs w:val="21"/>
              </w:rPr>
              <w:t>次氯酸气雾可引起呼吸道反应，</w:t>
            </w:r>
            <w:r>
              <w:rPr>
                <w:b w:val="0"/>
                <w:bCs w:val="0"/>
                <w:sz w:val="21"/>
                <w:szCs w:val="21"/>
              </w:rPr>
              <w:t xml:space="preserve"> </w:t>
            </w:r>
            <w:r>
              <w:rPr>
                <w:b w:val="0"/>
                <w:bCs w:val="0"/>
                <w:spacing w:val="-1"/>
                <w:sz w:val="21"/>
                <w:szCs w:val="21"/>
              </w:rPr>
              <w:t>甚至发生肺水肿。大量口服腐蚀消化道，可产生高铁血红蛋白症。</w:t>
            </w:r>
          </w:p>
          <w:p w14:paraId="67C1DBD4">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b w:val="0"/>
                <w:bCs w:val="0"/>
                <w:sz w:val="21"/>
                <w:szCs w:val="21"/>
              </w:rPr>
            </w:pPr>
            <w:r>
              <w:rPr>
                <w:b w:val="0"/>
                <w:bCs w:val="0"/>
                <w:spacing w:val="-1"/>
                <w:sz w:val="21"/>
                <w:szCs w:val="21"/>
              </w:rPr>
              <w:t>环境危害：对水生生物有极高毒性。</w:t>
            </w:r>
          </w:p>
          <w:p w14:paraId="21FF2FF0">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b w:val="0"/>
                <w:bCs w:val="0"/>
                <w:spacing w:val="-1"/>
                <w:sz w:val="21"/>
                <w:szCs w:val="21"/>
              </w:rPr>
            </w:pPr>
            <w:r>
              <w:rPr>
                <w:b w:val="0"/>
                <w:bCs w:val="0"/>
                <w:spacing w:val="-1"/>
                <w:sz w:val="21"/>
                <w:szCs w:val="21"/>
              </w:rPr>
              <w:t>燃爆危险：不燃，无特殊燃爆特性。</w:t>
            </w:r>
          </w:p>
          <w:p w14:paraId="776322F1">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b/>
                <w:bCs/>
                <w:spacing w:val="-3"/>
                <w:sz w:val="21"/>
                <w:szCs w:val="21"/>
              </w:rPr>
            </w:pPr>
            <w:r>
              <w:rPr>
                <w:b/>
                <w:bCs/>
                <w:spacing w:val="-3"/>
                <w:sz w:val="21"/>
                <w:szCs w:val="21"/>
              </w:rPr>
              <w:t>第四部分  急 救 措 施</w:t>
            </w:r>
          </w:p>
          <w:p w14:paraId="09A65789">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b w:val="0"/>
                <w:bCs w:val="0"/>
                <w:sz w:val="21"/>
                <w:szCs w:val="21"/>
              </w:rPr>
            </w:pPr>
            <w:r>
              <w:rPr>
                <w:b w:val="0"/>
                <w:bCs w:val="0"/>
                <w:spacing w:val="-1"/>
                <w:sz w:val="21"/>
                <w:szCs w:val="21"/>
              </w:rPr>
              <w:t>皮肤接触：立即脱去污染的衣着，用大量流动清水冲洗</w:t>
            </w:r>
            <w:r>
              <w:rPr>
                <w:rFonts w:ascii="Times New Roman" w:hAnsi="Times New Roman" w:eastAsia="Times New Roman" w:cs="Times New Roman"/>
                <w:b w:val="0"/>
                <w:bCs w:val="0"/>
                <w:spacing w:val="-1"/>
                <w:sz w:val="21"/>
                <w:szCs w:val="21"/>
              </w:rPr>
              <w:t>20</w:t>
            </w:r>
            <w:r>
              <w:rPr>
                <w:b w:val="0"/>
                <w:bCs w:val="0"/>
                <w:spacing w:val="-1"/>
                <w:sz w:val="21"/>
                <w:szCs w:val="21"/>
              </w:rPr>
              <w:t>～</w:t>
            </w:r>
            <w:r>
              <w:rPr>
                <w:rFonts w:ascii="Times New Roman" w:hAnsi="Times New Roman" w:eastAsia="Times New Roman" w:cs="Times New Roman"/>
                <w:b w:val="0"/>
                <w:bCs w:val="0"/>
                <w:spacing w:val="-1"/>
                <w:sz w:val="21"/>
                <w:szCs w:val="21"/>
              </w:rPr>
              <w:t>30min</w:t>
            </w:r>
            <w:r>
              <w:rPr>
                <w:rFonts w:ascii="Times New Roman" w:hAnsi="Times New Roman" w:eastAsia="Times New Roman" w:cs="Times New Roman"/>
                <w:b w:val="0"/>
                <w:bCs w:val="0"/>
                <w:spacing w:val="-30"/>
                <w:sz w:val="21"/>
                <w:szCs w:val="21"/>
              </w:rPr>
              <w:t xml:space="preserve"> </w:t>
            </w:r>
            <w:r>
              <w:rPr>
                <w:b w:val="0"/>
                <w:bCs w:val="0"/>
                <w:spacing w:val="-1"/>
                <w:sz w:val="21"/>
                <w:szCs w:val="21"/>
              </w:rPr>
              <w:t>。</w:t>
            </w:r>
            <w:r>
              <w:rPr>
                <w:b w:val="0"/>
                <w:bCs w:val="0"/>
                <w:spacing w:val="-2"/>
                <w:sz w:val="21"/>
                <w:szCs w:val="21"/>
              </w:rPr>
              <w:t>如有不适感，</w:t>
            </w:r>
            <w:r>
              <w:rPr>
                <w:b w:val="0"/>
                <w:bCs w:val="0"/>
                <w:sz w:val="21"/>
                <w:szCs w:val="21"/>
              </w:rPr>
              <w:t xml:space="preserve"> </w:t>
            </w:r>
            <w:r>
              <w:rPr>
                <w:b w:val="0"/>
                <w:bCs w:val="0"/>
                <w:spacing w:val="-4"/>
                <w:sz w:val="21"/>
                <w:szCs w:val="21"/>
              </w:rPr>
              <w:t>就医。</w:t>
            </w:r>
          </w:p>
          <w:p w14:paraId="3A6D66F0">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b w:val="0"/>
                <w:bCs w:val="0"/>
                <w:sz w:val="21"/>
                <w:szCs w:val="21"/>
              </w:rPr>
            </w:pPr>
            <w:r>
              <w:rPr>
                <w:b w:val="0"/>
                <w:bCs w:val="0"/>
                <w:spacing w:val="-1"/>
                <w:sz w:val="21"/>
                <w:szCs w:val="21"/>
              </w:rPr>
              <w:t>眼睛接触：提起眼睑，用流动清水或生理盐水冲洗。如有不适感，就医。</w:t>
            </w:r>
          </w:p>
          <w:p w14:paraId="59F48237">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b w:val="0"/>
                <w:bCs w:val="0"/>
                <w:sz w:val="21"/>
                <w:szCs w:val="21"/>
              </w:rPr>
            </w:pPr>
            <w:r>
              <w:rPr>
                <w:b w:val="0"/>
                <w:bCs w:val="0"/>
                <w:spacing w:val="2"/>
                <w:sz w:val="21"/>
                <w:szCs w:val="21"/>
              </w:rPr>
              <w:t>吸入：迅速脱离现场至空气新鲜处。保持呼吸道通畅。如呼吸困难，给输氧。呼</w:t>
            </w:r>
            <w:r>
              <w:rPr>
                <w:b w:val="0"/>
                <w:bCs w:val="0"/>
                <w:spacing w:val="13"/>
                <w:sz w:val="21"/>
                <w:szCs w:val="21"/>
              </w:rPr>
              <w:t xml:space="preserve"> </w:t>
            </w:r>
            <w:r>
              <w:rPr>
                <w:b w:val="0"/>
                <w:bCs w:val="0"/>
                <w:spacing w:val="-1"/>
                <w:sz w:val="21"/>
                <w:szCs w:val="21"/>
              </w:rPr>
              <w:t>吸、心跳停止，立即进行心肺复苏术。就医。</w:t>
            </w:r>
          </w:p>
          <w:p w14:paraId="2CC6A9BA">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b w:val="0"/>
                <w:bCs w:val="0"/>
                <w:sz w:val="21"/>
                <w:szCs w:val="21"/>
              </w:rPr>
            </w:pPr>
            <w:r>
              <w:rPr>
                <w:b w:val="0"/>
                <w:bCs w:val="0"/>
                <w:spacing w:val="-1"/>
                <w:sz w:val="21"/>
                <w:szCs w:val="21"/>
              </w:rPr>
              <w:t>食入：饮足量温水，禁止催吐。</w:t>
            </w:r>
          </w:p>
          <w:p w14:paraId="127E4E01">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b/>
                <w:bCs/>
                <w:spacing w:val="-3"/>
                <w:sz w:val="21"/>
                <w:szCs w:val="21"/>
              </w:rPr>
            </w:pPr>
            <w:r>
              <w:rPr>
                <w:b/>
                <w:bCs/>
                <w:spacing w:val="-3"/>
                <w:sz w:val="21"/>
                <w:szCs w:val="21"/>
              </w:rPr>
              <w:t>第五部分  消 防 措 施</w:t>
            </w:r>
          </w:p>
          <w:p w14:paraId="1843FFD6">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b w:val="0"/>
                <w:bCs w:val="0"/>
                <w:sz w:val="21"/>
                <w:szCs w:val="21"/>
              </w:rPr>
            </w:pPr>
            <w:r>
              <w:rPr>
                <w:b w:val="0"/>
                <w:bCs w:val="0"/>
                <w:spacing w:val="3"/>
                <w:sz w:val="21"/>
                <w:szCs w:val="21"/>
              </w:rPr>
              <w:t>危险特性：具有强氧化性。受高热分解产生</w:t>
            </w:r>
            <w:r>
              <w:rPr>
                <w:b w:val="0"/>
                <w:bCs w:val="0"/>
                <w:spacing w:val="2"/>
                <w:sz w:val="21"/>
                <w:szCs w:val="21"/>
              </w:rPr>
              <w:t>有毒的腐蚀性烟气。与可燃性、还原</w:t>
            </w:r>
            <w:r>
              <w:rPr>
                <w:b w:val="0"/>
                <w:bCs w:val="0"/>
                <w:sz w:val="21"/>
                <w:szCs w:val="21"/>
              </w:rPr>
              <w:t xml:space="preserve"> </w:t>
            </w:r>
            <w:r>
              <w:rPr>
                <w:b w:val="0"/>
                <w:bCs w:val="0"/>
                <w:spacing w:val="-1"/>
                <w:sz w:val="21"/>
                <w:szCs w:val="21"/>
              </w:rPr>
              <w:t>性物质反应很剧烈，与酸反应也会放出氯气。具有腐蚀性。</w:t>
            </w:r>
          </w:p>
          <w:p w14:paraId="2AA90E94">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b w:val="0"/>
                <w:bCs w:val="0"/>
                <w:sz w:val="21"/>
                <w:szCs w:val="21"/>
              </w:rPr>
            </w:pPr>
            <w:r>
              <w:rPr>
                <w:b w:val="0"/>
                <w:bCs w:val="0"/>
                <w:spacing w:val="-2"/>
                <w:sz w:val="21"/>
                <w:szCs w:val="21"/>
              </w:rPr>
              <w:t>有害燃烧产物：无意义</w:t>
            </w:r>
          </w:p>
          <w:p w14:paraId="44BF7D8F">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b w:val="0"/>
                <w:bCs w:val="0"/>
                <w:sz w:val="21"/>
                <w:szCs w:val="21"/>
              </w:rPr>
            </w:pPr>
            <w:r>
              <w:rPr>
                <w:b w:val="0"/>
                <w:bCs w:val="0"/>
                <w:spacing w:val="-1"/>
                <w:sz w:val="21"/>
                <w:szCs w:val="21"/>
              </w:rPr>
              <w:t>灭火方法：本品不燃。根据着火原因选择适当灭火剂灭火。</w:t>
            </w:r>
          </w:p>
          <w:p w14:paraId="5CD98CDE">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b w:val="0"/>
                <w:bCs w:val="0"/>
                <w:sz w:val="21"/>
                <w:szCs w:val="21"/>
              </w:rPr>
            </w:pPr>
            <w:r>
              <w:rPr>
                <w:b w:val="0"/>
                <w:bCs w:val="0"/>
                <w:spacing w:val="-2"/>
                <w:sz w:val="21"/>
                <w:szCs w:val="21"/>
              </w:rPr>
              <w:t>灭火注意事项及措施：消防人员必须穿全身耐酸碱消防服、佩戴空气呼吸器灭火。</w:t>
            </w:r>
            <w:r>
              <w:rPr>
                <w:b w:val="0"/>
                <w:bCs w:val="0"/>
                <w:spacing w:val="1"/>
                <w:sz w:val="21"/>
                <w:szCs w:val="21"/>
              </w:rPr>
              <w:t xml:space="preserve"> </w:t>
            </w:r>
            <w:r>
              <w:rPr>
                <w:b w:val="0"/>
                <w:bCs w:val="0"/>
                <w:spacing w:val="3"/>
                <w:sz w:val="21"/>
                <w:szCs w:val="21"/>
              </w:rPr>
              <w:t>用雾状水保持火场中容器冷却。必须在安全距离</w:t>
            </w:r>
            <w:r>
              <w:rPr>
                <w:b w:val="0"/>
                <w:bCs w:val="0"/>
                <w:spacing w:val="2"/>
                <w:sz w:val="21"/>
                <w:szCs w:val="21"/>
              </w:rPr>
              <w:t>以外施救。尽可能将容器从火场</w:t>
            </w:r>
            <w:r>
              <w:rPr>
                <w:b w:val="0"/>
                <w:bCs w:val="0"/>
                <w:sz w:val="21"/>
                <w:szCs w:val="21"/>
              </w:rPr>
              <w:t xml:space="preserve"> </w:t>
            </w:r>
            <w:r>
              <w:rPr>
                <w:b w:val="0"/>
                <w:bCs w:val="0"/>
                <w:spacing w:val="-2"/>
                <w:sz w:val="21"/>
                <w:szCs w:val="21"/>
              </w:rPr>
              <w:t>移至空旷处。</w:t>
            </w:r>
          </w:p>
          <w:p w14:paraId="5EE93205">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b/>
                <w:bCs/>
                <w:spacing w:val="-3"/>
                <w:sz w:val="21"/>
                <w:szCs w:val="21"/>
              </w:rPr>
            </w:pPr>
            <w:r>
              <w:rPr>
                <w:b/>
                <w:bCs/>
                <w:spacing w:val="-3"/>
                <w:sz w:val="21"/>
                <w:szCs w:val="21"/>
              </w:rPr>
              <w:t>第六部分  泄漏应急处理</w:t>
            </w:r>
          </w:p>
          <w:p w14:paraId="41B2D5F8">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b w:val="0"/>
                <w:bCs w:val="0"/>
                <w:sz w:val="21"/>
                <w:szCs w:val="21"/>
              </w:rPr>
            </w:pPr>
            <w:r>
              <w:rPr>
                <w:b w:val="0"/>
                <w:bCs w:val="0"/>
                <w:spacing w:val="3"/>
                <w:sz w:val="21"/>
                <w:szCs w:val="21"/>
              </w:rPr>
              <w:t>应急行动：根据液体流动和蒸气扩散的影响区域划</w:t>
            </w:r>
            <w:r>
              <w:rPr>
                <w:b w:val="0"/>
                <w:bCs w:val="0"/>
                <w:spacing w:val="2"/>
                <w:sz w:val="21"/>
                <w:szCs w:val="21"/>
              </w:rPr>
              <w:t>定警戒区，无关人员从侧风、</w:t>
            </w:r>
            <w:r>
              <w:rPr>
                <w:b w:val="0"/>
                <w:bCs w:val="0"/>
                <w:sz w:val="21"/>
                <w:szCs w:val="21"/>
              </w:rPr>
              <w:t xml:space="preserve"> </w:t>
            </w:r>
            <w:r>
              <w:rPr>
                <w:b w:val="0"/>
                <w:bCs w:val="0"/>
                <w:spacing w:val="3"/>
                <w:sz w:val="21"/>
                <w:szCs w:val="21"/>
              </w:rPr>
              <w:t>上风向撤离至安全区。建议应急处理人员戴正压自给</w:t>
            </w:r>
            <w:r>
              <w:rPr>
                <w:b w:val="0"/>
                <w:bCs w:val="0"/>
                <w:spacing w:val="2"/>
                <w:sz w:val="21"/>
                <w:szCs w:val="21"/>
              </w:rPr>
              <w:t>式呼吸器，穿防酸碱服，戴</w:t>
            </w:r>
            <w:r>
              <w:rPr>
                <w:b w:val="0"/>
                <w:bCs w:val="0"/>
                <w:sz w:val="21"/>
                <w:szCs w:val="21"/>
              </w:rPr>
              <w:t xml:space="preserve"> </w:t>
            </w:r>
            <w:r>
              <w:rPr>
                <w:b w:val="0"/>
                <w:bCs w:val="0"/>
                <w:spacing w:val="3"/>
                <w:sz w:val="21"/>
                <w:szCs w:val="21"/>
              </w:rPr>
              <w:t>橡胶手套。穿上适当的防护服前严禁接触破裂的容器</w:t>
            </w:r>
            <w:r>
              <w:rPr>
                <w:b w:val="0"/>
                <w:bCs w:val="0"/>
                <w:spacing w:val="2"/>
                <w:sz w:val="21"/>
                <w:szCs w:val="21"/>
              </w:rPr>
              <w:t>和泄漏物。尽可能切断泄漏</w:t>
            </w:r>
            <w:r>
              <w:rPr>
                <w:b w:val="0"/>
                <w:bCs w:val="0"/>
                <w:sz w:val="21"/>
                <w:szCs w:val="21"/>
              </w:rPr>
              <w:t xml:space="preserve"> </w:t>
            </w:r>
            <w:r>
              <w:rPr>
                <w:b w:val="0"/>
                <w:bCs w:val="0"/>
                <w:spacing w:val="3"/>
                <w:sz w:val="21"/>
                <w:szCs w:val="21"/>
              </w:rPr>
              <w:t>源。防止泄漏物进入水体、下水道、地下室或限制性</w:t>
            </w:r>
            <w:r>
              <w:rPr>
                <w:b w:val="0"/>
                <w:bCs w:val="0"/>
                <w:spacing w:val="2"/>
                <w:sz w:val="21"/>
                <w:szCs w:val="21"/>
              </w:rPr>
              <w:t>空间。小量泄漏：用干燥的</w:t>
            </w:r>
            <w:r>
              <w:rPr>
                <w:b w:val="0"/>
                <w:bCs w:val="0"/>
                <w:sz w:val="21"/>
                <w:szCs w:val="21"/>
              </w:rPr>
              <w:t xml:space="preserve"> </w:t>
            </w:r>
            <w:r>
              <w:rPr>
                <w:b w:val="0"/>
                <w:bCs w:val="0"/>
                <w:spacing w:val="3"/>
                <w:sz w:val="21"/>
                <w:szCs w:val="21"/>
              </w:rPr>
              <w:t>砂土或其他不燃材料吸收或覆盖，收集于容器中。大</w:t>
            </w:r>
            <w:r>
              <w:rPr>
                <w:b w:val="0"/>
                <w:bCs w:val="0"/>
                <w:spacing w:val="2"/>
                <w:sz w:val="21"/>
                <w:szCs w:val="21"/>
              </w:rPr>
              <w:t>量泄漏：构筑围堤或挖坑收</w:t>
            </w:r>
            <w:r>
              <w:rPr>
                <w:b w:val="0"/>
                <w:bCs w:val="0"/>
                <w:sz w:val="21"/>
                <w:szCs w:val="21"/>
              </w:rPr>
              <w:t xml:space="preserve"> </w:t>
            </w:r>
            <w:r>
              <w:rPr>
                <w:b w:val="0"/>
                <w:bCs w:val="0"/>
                <w:spacing w:val="-1"/>
                <w:sz w:val="21"/>
                <w:szCs w:val="21"/>
              </w:rPr>
              <w:t>容。用耐腐蚀泵转移至槽车或专用收集器内。</w:t>
            </w:r>
          </w:p>
          <w:p w14:paraId="5EE9F4B5">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b/>
                <w:bCs/>
                <w:spacing w:val="-3"/>
                <w:sz w:val="21"/>
                <w:szCs w:val="21"/>
              </w:rPr>
            </w:pPr>
            <w:r>
              <w:rPr>
                <w:b/>
                <w:bCs/>
                <w:spacing w:val="-3"/>
                <w:sz w:val="21"/>
                <w:szCs w:val="21"/>
              </w:rPr>
              <w:t>第七部分  操作处置与储存</w:t>
            </w:r>
          </w:p>
          <w:p w14:paraId="6680A4B5">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b w:val="0"/>
                <w:bCs w:val="0"/>
                <w:sz w:val="21"/>
                <w:szCs w:val="21"/>
              </w:rPr>
            </w:pPr>
            <w:r>
              <w:rPr>
                <w:b w:val="0"/>
                <w:bCs w:val="0"/>
                <w:spacing w:val="3"/>
                <w:sz w:val="21"/>
                <w:szCs w:val="21"/>
              </w:rPr>
              <w:t>操作注意事项：密闭操作，全面通风。操作人员</w:t>
            </w:r>
            <w:r>
              <w:rPr>
                <w:b w:val="0"/>
                <w:bCs w:val="0"/>
                <w:spacing w:val="2"/>
                <w:sz w:val="21"/>
                <w:szCs w:val="21"/>
              </w:rPr>
              <w:t>必须经过专门培训，严格遵守操</w:t>
            </w:r>
            <w:r>
              <w:rPr>
                <w:b w:val="0"/>
                <w:bCs w:val="0"/>
                <w:sz w:val="21"/>
                <w:szCs w:val="21"/>
              </w:rPr>
              <w:t xml:space="preserve"> </w:t>
            </w:r>
            <w:r>
              <w:rPr>
                <w:b w:val="0"/>
                <w:bCs w:val="0"/>
                <w:spacing w:val="2"/>
                <w:sz w:val="21"/>
                <w:szCs w:val="21"/>
              </w:rPr>
              <w:t>作规程。建议操作人员佩戴直接式防毒面具（半面罩</w:t>
            </w:r>
            <w:r>
              <w:rPr>
                <w:b w:val="0"/>
                <w:bCs w:val="0"/>
                <w:spacing w:val="13"/>
                <w:sz w:val="21"/>
                <w:szCs w:val="21"/>
              </w:rPr>
              <w:t>），</w:t>
            </w:r>
            <w:r>
              <w:rPr>
                <w:b w:val="0"/>
                <w:bCs w:val="0"/>
                <w:spacing w:val="2"/>
                <w:sz w:val="21"/>
                <w:szCs w:val="21"/>
              </w:rPr>
              <w:t>戴化学安全防护眼镜，</w:t>
            </w:r>
            <w:r>
              <w:rPr>
                <w:b w:val="0"/>
                <w:bCs w:val="0"/>
                <w:sz w:val="21"/>
                <w:szCs w:val="21"/>
              </w:rPr>
              <w:t xml:space="preserve"> </w:t>
            </w:r>
            <w:r>
              <w:rPr>
                <w:b w:val="0"/>
                <w:bCs w:val="0"/>
                <w:spacing w:val="3"/>
                <w:sz w:val="21"/>
                <w:szCs w:val="21"/>
              </w:rPr>
              <w:t>穿防腐蚀工作服，戴橡胶手套。防止蒸气泄漏到工</w:t>
            </w:r>
            <w:r>
              <w:rPr>
                <w:b w:val="0"/>
                <w:bCs w:val="0"/>
                <w:spacing w:val="2"/>
                <w:sz w:val="21"/>
                <w:szCs w:val="21"/>
              </w:rPr>
              <w:t>作场所空气中。避免与碱类接</w:t>
            </w:r>
            <w:r>
              <w:rPr>
                <w:b w:val="0"/>
                <w:bCs w:val="0"/>
                <w:sz w:val="21"/>
                <w:szCs w:val="21"/>
              </w:rPr>
              <w:t xml:space="preserve"> </w:t>
            </w:r>
            <w:r>
              <w:rPr>
                <w:b w:val="0"/>
                <w:bCs w:val="0"/>
                <w:spacing w:val="3"/>
                <w:sz w:val="21"/>
                <w:szCs w:val="21"/>
              </w:rPr>
              <w:t>触。搬运时要轻装轻卸，防止包装及容器损坏。配</w:t>
            </w:r>
            <w:r>
              <w:rPr>
                <w:b w:val="0"/>
                <w:bCs w:val="0"/>
                <w:spacing w:val="2"/>
                <w:sz w:val="21"/>
                <w:szCs w:val="21"/>
              </w:rPr>
              <w:t>备泄漏应急处理设备。倒空的</w:t>
            </w:r>
            <w:r>
              <w:rPr>
                <w:b w:val="0"/>
                <w:bCs w:val="0"/>
                <w:sz w:val="21"/>
                <w:szCs w:val="21"/>
              </w:rPr>
              <w:t xml:space="preserve"> </w:t>
            </w:r>
            <w:r>
              <w:rPr>
                <w:b w:val="0"/>
                <w:bCs w:val="0"/>
                <w:spacing w:val="-1"/>
                <w:sz w:val="21"/>
                <w:szCs w:val="21"/>
              </w:rPr>
              <w:t>容器可能残留有害物。</w:t>
            </w:r>
          </w:p>
          <w:p w14:paraId="15BEDD2F">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b w:val="0"/>
                <w:bCs w:val="0"/>
                <w:sz w:val="21"/>
                <w:szCs w:val="21"/>
              </w:rPr>
            </w:pPr>
            <w:r>
              <w:rPr>
                <w:b w:val="0"/>
                <w:bCs w:val="0"/>
                <w:spacing w:val="-4"/>
                <w:sz w:val="21"/>
                <w:szCs w:val="21"/>
              </w:rPr>
              <w:t>储存注意事项：储存于阴凉、通风的库房。远离火种、热源。库温不宜超过</w:t>
            </w:r>
            <w:r>
              <w:rPr>
                <w:b w:val="0"/>
                <w:bCs w:val="0"/>
                <w:spacing w:val="-44"/>
                <w:sz w:val="21"/>
                <w:szCs w:val="21"/>
              </w:rPr>
              <w:t xml:space="preserve"> </w:t>
            </w:r>
            <w:r>
              <w:rPr>
                <w:rFonts w:ascii="Times New Roman" w:hAnsi="Times New Roman" w:eastAsia="Times New Roman" w:cs="Times New Roman"/>
                <w:b w:val="0"/>
                <w:bCs w:val="0"/>
                <w:spacing w:val="-4"/>
                <w:sz w:val="21"/>
                <w:szCs w:val="21"/>
              </w:rPr>
              <w:t>30℃</w:t>
            </w:r>
            <w:r>
              <w:rPr>
                <w:b w:val="0"/>
                <w:bCs w:val="0"/>
                <w:spacing w:val="-4"/>
                <w:sz w:val="21"/>
                <w:szCs w:val="21"/>
              </w:rPr>
              <w:t>。</w:t>
            </w:r>
            <w:r>
              <w:rPr>
                <w:b w:val="0"/>
                <w:bCs w:val="0"/>
                <w:sz w:val="21"/>
                <w:szCs w:val="21"/>
              </w:rPr>
              <w:t xml:space="preserve"> </w:t>
            </w:r>
            <w:r>
              <w:rPr>
                <w:b w:val="0"/>
                <w:bCs w:val="0"/>
                <w:spacing w:val="-2"/>
                <w:sz w:val="21"/>
                <w:szCs w:val="21"/>
              </w:rPr>
              <w:t>应与碱类分开存放，切忌混储。储区应备有泄漏应急处理设备和合适的收容材料。</w:t>
            </w:r>
          </w:p>
          <w:p w14:paraId="6201A695">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b/>
                <w:bCs/>
                <w:spacing w:val="-3"/>
                <w:sz w:val="21"/>
                <w:szCs w:val="21"/>
              </w:rPr>
            </w:pPr>
            <w:r>
              <w:rPr>
                <w:b/>
                <w:bCs/>
                <w:spacing w:val="-3"/>
                <w:sz w:val="21"/>
                <w:szCs w:val="21"/>
              </w:rPr>
              <w:t>第八部分  接触控制/个体防护</w:t>
            </w:r>
          </w:p>
          <w:p w14:paraId="4720C7AA">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b w:val="0"/>
                <w:bCs w:val="0"/>
                <w:sz w:val="21"/>
                <w:szCs w:val="21"/>
              </w:rPr>
            </w:pPr>
            <w:r>
              <w:rPr>
                <w:b w:val="0"/>
                <w:bCs w:val="0"/>
                <w:spacing w:val="-2"/>
                <w:sz w:val="21"/>
                <w:szCs w:val="21"/>
              </w:rPr>
              <w:t>职业接触限值：</w:t>
            </w:r>
          </w:p>
          <w:p w14:paraId="211288C7">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b w:val="0"/>
                <w:bCs w:val="0"/>
                <w:sz w:val="21"/>
                <w:szCs w:val="21"/>
              </w:rPr>
            </w:pPr>
            <w:r>
              <w:rPr>
                <w:b w:val="0"/>
                <w:bCs w:val="0"/>
                <w:spacing w:val="-4"/>
                <w:sz w:val="21"/>
                <w:szCs w:val="21"/>
              </w:rPr>
              <w:t>中国：未制定标准</w:t>
            </w:r>
          </w:p>
          <w:p w14:paraId="1C1DBE09">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b w:val="0"/>
                <w:bCs w:val="0"/>
                <w:sz w:val="21"/>
                <w:szCs w:val="21"/>
              </w:rPr>
            </w:pPr>
            <w:r>
              <w:rPr>
                <w:b w:val="0"/>
                <w:bCs w:val="0"/>
                <w:spacing w:val="-3"/>
                <w:sz w:val="21"/>
                <w:szCs w:val="21"/>
              </w:rPr>
              <w:t>美国（</w:t>
            </w:r>
            <w:r>
              <w:rPr>
                <w:rFonts w:ascii="Times New Roman" w:hAnsi="Times New Roman" w:eastAsia="Times New Roman" w:cs="Times New Roman"/>
                <w:b w:val="0"/>
                <w:bCs w:val="0"/>
                <w:spacing w:val="-3"/>
                <w:sz w:val="21"/>
                <w:szCs w:val="21"/>
              </w:rPr>
              <w:t>ACGIH</w:t>
            </w:r>
            <w:r>
              <w:rPr>
                <w:b w:val="0"/>
                <w:bCs w:val="0"/>
                <w:spacing w:val="12"/>
                <w:sz w:val="21"/>
                <w:szCs w:val="21"/>
              </w:rPr>
              <w:t>）：</w:t>
            </w:r>
            <w:r>
              <w:rPr>
                <w:b w:val="0"/>
                <w:bCs w:val="0"/>
                <w:spacing w:val="-3"/>
                <w:sz w:val="21"/>
                <w:szCs w:val="21"/>
              </w:rPr>
              <w:t>未制定标准</w:t>
            </w:r>
            <w:r>
              <w:rPr>
                <w:b w:val="0"/>
                <w:bCs w:val="0"/>
                <w:sz w:val="21"/>
                <w:szCs w:val="21"/>
              </w:rPr>
              <w:t xml:space="preserve">  </w:t>
            </w:r>
            <w:r>
              <w:rPr>
                <w:b w:val="0"/>
                <w:bCs w:val="0"/>
                <w:spacing w:val="-1"/>
                <w:sz w:val="21"/>
                <w:szCs w:val="21"/>
              </w:rPr>
              <w:t>监测方法：火焰原子吸收光谱法</w:t>
            </w:r>
          </w:p>
          <w:p w14:paraId="4D3054A6">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b w:val="0"/>
                <w:bCs w:val="0"/>
                <w:sz w:val="21"/>
                <w:szCs w:val="21"/>
              </w:rPr>
            </w:pPr>
            <w:r>
              <w:rPr>
                <w:b w:val="0"/>
                <w:bCs w:val="0"/>
                <w:spacing w:val="-1"/>
                <w:sz w:val="21"/>
                <w:szCs w:val="21"/>
              </w:rPr>
              <w:t>工程控制：生产过程密闭，全面通风。提供安全淋浴和洗眼设备。</w:t>
            </w:r>
          </w:p>
          <w:p w14:paraId="625EC5C5">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b w:val="0"/>
                <w:bCs w:val="0"/>
                <w:sz w:val="21"/>
                <w:szCs w:val="21"/>
              </w:rPr>
            </w:pPr>
            <w:r>
              <w:rPr>
                <w:b w:val="0"/>
                <w:bCs w:val="0"/>
                <w:spacing w:val="-2"/>
                <w:sz w:val="21"/>
                <w:szCs w:val="21"/>
              </w:rPr>
              <w:t>呼吸系统防护：高浓度环境中，应该佩戴过滤式防毒面具（半面罩</w:t>
            </w:r>
            <w:r>
              <w:rPr>
                <w:b w:val="0"/>
                <w:bCs w:val="0"/>
                <w:spacing w:val="-3"/>
                <w:sz w:val="21"/>
                <w:szCs w:val="21"/>
              </w:rPr>
              <w:t>）。</w:t>
            </w:r>
            <w:r>
              <w:rPr>
                <w:b w:val="0"/>
                <w:bCs w:val="0"/>
                <w:sz w:val="21"/>
                <w:szCs w:val="21"/>
              </w:rPr>
              <w:t xml:space="preserve"> </w:t>
            </w:r>
            <w:r>
              <w:rPr>
                <w:b w:val="0"/>
                <w:bCs w:val="0"/>
                <w:spacing w:val="-2"/>
                <w:sz w:val="21"/>
                <w:szCs w:val="21"/>
              </w:rPr>
              <w:t>眼睛防护：戴化学安全防护眼镜。</w:t>
            </w:r>
          </w:p>
          <w:p w14:paraId="778CADF3">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b w:val="0"/>
                <w:bCs w:val="0"/>
                <w:sz w:val="21"/>
                <w:szCs w:val="21"/>
              </w:rPr>
            </w:pPr>
            <w:r>
              <w:rPr>
                <w:b w:val="0"/>
                <w:bCs w:val="0"/>
                <w:spacing w:val="-5"/>
                <w:sz w:val="21"/>
                <w:szCs w:val="21"/>
              </w:rPr>
              <w:t>身体防护：穿防腐蚀工作服。</w:t>
            </w:r>
            <w:r>
              <w:rPr>
                <w:b w:val="0"/>
                <w:bCs w:val="0"/>
                <w:spacing w:val="8"/>
                <w:sz w:val="21"/>
                <w:szCs w:val="21"/>
              </w:rPr>
              <w:t xml:space="preserve"> </w:t>
            </w:r>
            <w:r>
              <w:rPr>
                <w:b w:val="0"/>
                <w:bCs w:val="0"/>
                <w:spacing w:val="-1"/>
                <w:sz w:val="21"/>
                <w:szCs w:val="21"/>
              </w:rPr>
              <w:t>手防护：戴橡胶手套。</w:t>
            </w:r>
          </w:p>
          <w:p w14:paraId="0DC29213">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b w:val="0"/>
                <w:bCs w:val="0"/>
                <w:spacing w:val="-4"/>
                <w:sz w:val="21"/>
                <w:szCs w:val="21"/>
              </w:rPr>
            </w:pPr>
            <w:r>
              <w:rPr>
                <w:b w:val="0"/>
                <w:bCs w:val="0"/>
                <w:spacing w:val="3"/>
                <w:sz w:val="21"/>
                <w:szCs w:val="21"/>
              </w:rPr>
              <w:t>其它防护：工作现场禁止吸烟、进食和饮水。工</w:t>
            </w:r>
            <w:r>
              <w:rPr>
                <w:b w:val="0"/>
                <w:bCs w:val="0"/>
                <w:spacing w:val="2"/>
                <w:sz w:val="21"/>
                <w:szCs w:val="21"/>
              </w:rPr>
              <w:t>作完毕，淋浴更衣。注意个人清</w:t>
            </w:r>
            <w:r>
              <w:rPr>
                <w:b w:val="0"/>
                <w:bCs w:val="0"/>
                <w:sz w:val="21"/>
                <w:szCs w:val="21"/>
              </w:rPr>
              <w:t xml:space="preserve"> </w:t>
            </w:r>
            <w:r>
              <w:rPr>
                <w:b w:val="0"/>
                <w:bCs w:val="0"/>
                <w:spacing w:val="-4"/>
                <w:sz w:val="21"/>
                <w:szCs w:val="21"/>
              </w:rPr>
              <w:t>洁卫生。</w:t>
            </w:r>
          </w:p>
          <w:p w14:paraId="6542FE27">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b/>
                <w:bCs/>
                <w:spacing w:val="-3"/>
                <w:sz w:val="21"/>
                <w:szCs w:val="21"/>
              </w:rPr>
            </w:pPr>
            <w:r>
              <w:rPr>
                <w:b/>
                <w:bCs/>
                <w:spacing w:val="-3"/>
                <w:sz w:val="21"/>
                <w:szCs w:val="21"/>
              </w:rPr>
              <w:t>第九部分  理 化 特 性</w:t>
            </w:r>
          </w:p>
          <w:p w14:paraId="683982DE">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b w:val="0"/>
                <w:bCs w:val="0"/>
                <w:sz w:val="21"/>
                <w:szCs w:val="21"/>
              </w:rPr>
            </w:pPr>
            <w:r>
              <w:rPr>
                <w:b w:val="0"/>
                <w:bCs w:val="0"/>
                <w:spacing w:val="-1"/>
                <w:sz w:val="21"/>
                <w:szCs w:val="21"/>
              </w:rPr>
              <w:t>外观与性状：微黄色溶液，有似氯气的气味。</w:t>
            </w:r>
          </w:p>
          <w:p w14:paraId="05AF1E1E">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rFonts w:ascii="Times New Roman" w:hAnsi="Times New Roman" w:eastAsia="Times New Roman" w:cs="Times New Roman"/>
                <w:b w:val="0"/>
                <w:bCs w:val="0"/>
                <w:sz w:val="21"/>
                <w:szCs w:val="21"/>
              </w:rPr>
            </w:pPr>
            <w:r>
              <w:rPr>
                <w:rFonts w:ascii="Times New Roman" w:hAnsi="Times New Roman" w:eastAsia="Times New Roman" w:cs="Times New Roman"/>
                <w:b w:val="0"/>
                <w:bCs w:val="0"/>
                <w:spacing w:val="-1"/>
                <w:sz w:val="21"/>
                <w:szCs w:val="21"/>
              </w:rPr>
              <w:t xml:space="preserve">PH </w:t>
            </w:r>
            <w:r>
              <w:rPr>
                <w:b w:val="0"/>
                <w:bCs w:val="0"/>
                <w:spacing w:val="-1"/>
                <w:sz w:val="21"/>
                <w:szCs w:val="21"/>
              </w:rPr>
              <w:t>值：</w:t>
            </w:r>
            <w:r>
              <w:rPr>
                <w:rFonts w:ascii="Times New Roman" w:hAnsi="Times New Roman" w:eastAsia="Times New Roman" w:cs="Times New Roman"/>
                <w:b w:val="0"/>
                <w:bCs w:val="0"/>
                <w:spacing w:val="-1"/>
                <w:sz w:val="21"/>
                <w:szCs w:val="21"/>
              </w:rPr>
              <w:t>9</w:t>
            </w:r>
            <w:r>
              <w:rPr>
                <w:b w:val="0"/>
                <w:bCs w:val="0"/>
                <w:spacing w:val="-1"/>
                <w:sz w:val="21"/>
                <w:szCs w:val="21"/>
              </w:rPr>
              <w:t>～</w:t>
            </w:r>
            <w:r>
              <w:rPr>
                <w:rFonts w:ascii="Times New Roman" w:hAnsi="Times New Roman" w:eastAsia="Times New Roman" w:cs="Times New Roman"/>
                <w:b w:val="0"/>
                <w:bCs w:val="0"/>
                <w:spacing w:val="-1"/>
                <w:sz w:val="21"/>
                <w:szCs w:val="21"/>
              </w:rPr>
              <w:t>10</w:t>
            </w:r>
          </w:p>
          <w:p w14:paraId="2A70D84C">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b w:val="0"/>
                <w:bCs w:val="0"/>
                <w:sz w:val="21"/>
                <w:szCs w:val="21"/>
              </w:rPr>
            </w:pPr>
            <w:r>
              <w:rPr>
                <w:b w:val="0"/>
                <w:bCs w:val="0"/>
                <w:spacing w:val="-3"/>
                <w:sz w:val="21"/>
                <w:szCs w:val="21"/>
              </w:rPr>
              <w:t>熔点 (</w:t>
            </w:r>
            <w:r>
              <w:rPr>
                <w:rFonts w:ascii="Times New Roman" w:hAnsi="Times New Roman" w:eastAsia="Times New Roman" w:cs="Times New Roman"/>
                <w:b w:val="0"/>
                <w:bCs w:val="0"/>
                <w:spacing w:val="-3"/>
                <w:sz w:val="21"/>
                <w:szCs w:val="21"/>
              </w:rPr>
              <w:t>℃</w:t>
            </w:r>
            <w:r>
              <w:rPr>
                <w:b w:val="0"/>
                <w:bCs w:val="0"/>
                <w:spacing w:val="-3"/>
                <w:sz w:val="21"/>
                <w:szCs w:val="21"/>
              </w:rPr>
              <w:t>)</w:t>
            </w:r>
            <w:r>
              <w:rPr>
                <w:b w:val="0"/>
                <w:bCs w:val="0"/>
                <w:spacing w:val="46"/>
                <w:sz w:val="21"/>
                <w:szCs w:val="21"/>
              </w:rPr>
              <w:t xml:space="preserve"> </w:t>
            </w:r>
            <w:r>
              <w:rPr>
                <w:b w:val="0"/>
                <w:bCs w:val="0"/>
                <w:spacing w:val="-3"/>
                <w:sz w:val="21"/>
                <w:szCs w:val="21"/>
              </w:rPr>
              <w:t>：</w:t>
            </w:r>
            <w:r>
              <w:rPr>
                <w:rFonts w:ascii="Times New Roman" w:hAnsi="Times New Roman" w:eastAsia="Times New Roman" w:cs="Times New Roman"/>
                <w:b w:val="0"/>
                <w:bCs w:val="0"/>
                <w:spacing w:val="-3"/>
                <w:sz w:val="21"/>
                <w:szCs w:val="21"/>
              </w:rPr>
              <w:t xml:space="preserve">-6                                               </w:t>
            </w:r>
            <w:r>
              <w:rPr>
                <w:rFonts w:ascii="Times New Roman" w:hAnsi="Times New Roman" w:eastAsia="Times New Roman" w:cs="Times New Roman"/>
                <w:b w:val="0"/>
                <w:bCs w:val="0"/>
                <w:spacing w:val="-4"/>
                <w:sz w:val="21"/>
                <w:szCs w:val="21"/>
              </w:rPr>
              <w:t xml:space="preserve"> </w:t>
            </w:r>
            <w:r>
              <w:rPr>
                <w:b w:val="0"/>
                <w:bCs w:val="0"/>
                <w:spacing w:val="-4"/>
                <w:sz w:val="21"/>
                <w:szCs w:val="21"/>
              </w:rPr>
              <w:t>沸点 (</w:t>
            </w:r>
            <w:r>
              <w:rPr>
                <w:rFonts w:ascii="Times New Roman" w:hAnsi="Times New Roman" w:eastAsia="Times New Roman" w:cs="Times New Roman"/>
                <w:b w:val="0"/>
                <w:bCs w:val="0"/>
                <w:spacing w:val="-4"/>
                <w:sz w:val="21"/>
                <w:szCs w:val="21"/>
              </w:rPr>
              <w:t>℃</w:t>
            </w:r>
            <w:r>
              <w:rPr>
                <w:b w:val="0"/>
                <w:bCs w:val="0"/>
                <w:spacing w:val="-4"/>
                <w:sz w:val="21"/>
                <w:szCs w:val="21"/>
              </w:rPr>
              <w:t>)</w:t>
            </w:r>
            <w:r>
              <w:rPr>
                <w:b w:val="0"/>
                <w:bCs w:val="0"/>
                <w:spacing w:val="46"/>
                <w:sz w:val="21"/>
                <w:szCs w:val="21"/>
              </w:rPr>
              <w:t xml:space="preserve"> </w:t>
            </w:r>
            <w:r>
              <w:rPr>
                <w:b w:val="0"/>
                <w:bCs w:val="0"/>
                <w:spacing w:val="-4"/>
                <w:sz w:val="21"/>
                <w:szCs w:val="21"/>
              </w:rPr>
              <w:t>：</w:t>
            </w:r>
            <w:r>
              <w:rPr>
                <w:rFonts w:ascii="Times New Roman" w:hAnsi="Times New Roman" w:eastAsia="Times New Roman" w:cs="Times New Roman"/>
                <w:b w:val="0"/>
                <w:bCs w:val="0"/>
                <w:spacing w:val="-4"/>
                <w:sz w:val="21"/>
                <w:szCs w:val="21"/>
              </w:rPr>
              <w:t>40</w:t>
            </w:r>
            <w:r>
              <w:rPr>
                <w:b w:val="0"/>
                <w:bCs w:val="0"/>
                <w:spacing w:val="-4"/>
                <w:sz w:val="21"/>
                <w:szCs w:val="21"/>
              </w:rPr>
              <w:t>（分解）</w:t>
            </w:r>
          </w:p>
          <w:p w14:paraId="42C08F7D">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rFonts w:ascii="Times New Roman" w:hAnsi="Times New Roman" w:eastAsia="Times New Roman" w:cs="Times New Roman"/>
                <w:b w:val="0"/>
                <w:bCs w:val="0"/>
                <w:sz w:val="21"/>
                <w:szCs w:val="21"/>
              </w:rPr>
            </w:pPr>
            <w:r>
              <w:rPr>
                <w:b w:val="0"/>
                <w:bCs w:val="0"/>
                <w:spacing w:val="-1"/>
                <w:sz w:val="21"/>
                <w:szCs w:val="21"/>
              </w:rPr>
              <w:t>相对密度（水＝</w:t>
            </w:r>
            <w:r>
              <w:rPr>
                <w:rFonts w:ascii="Times New Roman" w:hAnsi="Times New Roman" w:eastAsia="Times New Roman" w:cs="Times New Roman"/>
                <w:b w:val="0"/>
                <w:bCs w:val="0"/>
                <w:spacing w:val="-1"/>
                <w:sz w:val="21"/>
                <w:szCs w:val="21"/>
              </w:rPr>
              <w:t>1</w:t>
            </w:r>
            <w:r>
              <w:rPr>
                <w:b w:val="0"/>
                <w:bCs w:val="0"/>
                <w:spacing w:val="10"/>
                <w:sz w:val="21"/>
                <w:szCs w:val="21"/>
              </w:rPr>
              <w:t>）：</w:t>
            </w:r>
            <w:r>
              <w:rPr>
                <w:rFonts w:ascii="Times New Roman" w:hAnsi="Times New Roman" w:eastAsia="Times New Roman" w:cs="Times New Roman"/>
                <w:b w:val="0"/>
                <w:bCs w:val="0"/>
                <w:spacing w:val="-1"/>
                <w:sz w:val="21"/>
                <w:szCs w:val="21"/>
              </w:rPr>
              <w:t xml:space="preserve">1.21                            </w:t>
            </w:r>
            <w:r>
              <w:rPr>
                <w:b w:val="0"/>
                <w:bCs w:val="0"/>
                <w:spacing w:val="-1"/>
                <w:sz w:val="21"/>
                <w:szCs w:val="21"/>
              </w:rPr>
              <w:t>相对蒸气密度（空气＝</w:t>
            </w:r>
            <w:r>
              <w:rPr>
                <w:rFonts w:ascii="Times New Roman" w:hAnsi="Times New Roman" w:eastAsia="Times New Roman" w:cs="Times New Roman"/>
                <w:b w:val="0"/>
                <w:bCs w:val="0"/>
                <w:spacing w:val="-1"/>
                <w:sz w:val="21"/>
                <w:szCs w:val="21"/>
              </w:rPr>
              <w:t>1</w:t>
            </w:r>
            <w:r>
              <w:rPr>
                <w:b w:val="0"/>
                <w:bCs w:val="0"/>
                <w:spacing w:val="10"/>
                <w:sz w:val="21"/>
                <w:szCs w:val="21"/>
              </w:rPr>
              <w:t>）：</w:t>
            </w:r>
            <w:r>
              <w:rPr>
                <w:b w:val="0"/>
                <w:bCs w:val="0"/>
                <w:spacing w:val="-1"/>
                <w:sz w:val="21"/>
                <w:szCs w:val="21"/>
              </w:rPr>
              <w:t>无资料</w:t>
            </w:r>
            <w:r>
              <w:rPr>
                <w:b w:val="0"/>
                <w:bCs w:val="0"/>
                <w:spacing w:val="3"/>
                <w:sz w:val="21"/>
                <w:szCs w:val="21"/>
              </w:rPr>
              <w:t xml:space="preserve"> </w:t>
            </w:r>
            <w:r>
              <w:rPr>
                <w:b w:val="0"/>
                <w:bCs w:val="0"/>
                <w:spacing w:val="-1"/>
                <w:sz w:val="21"/>
                <w:szCs w:val="21"/>
              </w:rPr>
              <w:t>临界压力（</w:t>
            </w:r>
            <w:r>
              <w:rPr>
                <w:rFonts w:ascii="Times New Roman" w:hAnsi="Times New Roman" w:eastAsia="Times New Roman" w:cs="Times New Roman"/>
                <w:b w:val="0"/>
                <w:bCs w:val="0"/>
                <w:spacing w:val="-1"/>
                <w:sz w:val="21"/>
                <w:szCs w:val="21"/>
              </w:rPr>
              <w:t>MPa</w:t>
            </w:r>
            <w:r>
              <w:rPr>
                <w:b w:val="0"/>
                <w:bCs w:val="0"/>
                <w:spacing w:val="6"/>
                <w:sz w:val="21"/>
                <w:szCs w:val="21"/>
              </w:rPr>
              <w:t>）：</w:t>
            </w:r>
            <w:r>
              <w:rPr>
                <w:b w:val="0"/>
                <w:bCs w:val="0"/>
                <w:spacing w:val="-1"/>
                <w:sz w:val="21"/>
                <w:szCs w:val="21"/>
              </w:rPr>
              <w:t>无资料              辛醇</w:t>
            </w:r>
            <w:r>
              <w:rPr>
                <w:rFonts w:ascii="Times New Roman" w:hAnsi="Times New Roman" w:eastAsia="Times New Roman" w:cs="Times New Roman"/>
                <w:b w:val="0"/>
                <w:bCs w:val="0"/>
                <w:spacing w:val="-1"/>
                <w:sz w:val="21"/>
                <w:szCs w:val="21"/>
              </w:rPr>
              <w:t>/</w:t>
            </w:r>
            <w:r>
              <w:rPr>
                <w:b w:val="0"/>
                <w:bCs w:val="0"/>
                <w:spacing w:val="-1"/>
                <w:sz w:val="21"/>
                <w:szCs w:val="21"/>
              </w:rPr>
              <w:t>水分配系数：</w:t>
            </w:r>
            <w:r>
              <w:rPr>
                <w:rFonts w:ascii="Times New Roman" w:hAnsi="Times New Roman" w:eastAsia="Times New Roman" w:cs="Times New Roman"/>
                <w:b w:val="0"/>
                <w:bCs w:val="0"/>
                <w:spacing w:val="-1"/>
                <w:sz w:val="21"/>
                <w:szCs w:val="21"/>
              </w:rPr>
              <w:t>-3.42</w:t>
            </w:r>
          </w:p>
          <w:p w14:paraId="57FBCA7C">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b w:val="0"/>
                <w:bCs w:val="0"/>
                <w:sz w:val="21"/>
                <w:szCs w:val="21"/>
              </w:rPr>
            </w:pPr>
            <w:r>
              <w:rPr>
                <w:b w:val="0"/>
                <w:bCs w:val="0"/>
                <w:spacing w:val="-6"/>
                <w:sz w:val="21"/>
                <w:szCs w:val="21"/>
              </w:rPr>
              <w:t>闪点 (</w:t>
            </w:r>
            <w:r>
              <w:rPr>
                <w:rFonts w:ascii="Times New Roman" w:hAnsi="Times New Roman" w:eastAsia="Times New Roman" w:cs="Times New Roman"/>
                <w:b w:val="0"/>
                <w:bCs w:val="0"/>
                <w:spacing w:val="-6"/>
                <w:sz w:val="21"/>
                <w:szCs w:val="21"/>
              </w:rPr>
              <w:t>℃</w:t>
            </w:r>
            <w:r>
              <w:rPr>
                <w:b w:val="0"/>
                <w:bCs w:val="0"/>
                <w:spacing w:val="-6"/>
                <w:sz w:val="21"/>
                <w:szCs w:val="21"/>
              </w:rPr>
              <w:t>)</w:t>
            </w:r>
            <w:r>
              <w:rPr>
                <w:b w:val="0"/>
                <w:bCs w:val="0"/>
                <w:spacing w:val="52"/>
                <w:sz w:val="21"/>
                <w:szCs w:val="21"/>
              </w:rPr>
              <w:t xml:space="preserve"> </w:t>
            </w:r>
            <w:r>
              <w:rPr>
                <w:b w:val="0"/>
                <w:bCs w:val="0"/>
                <w:spacing w:val="-6"/>
                <w:sz w:val="21"/>
                <w:szCs w:val="21"/>
              </w:rPr>
              <w:t>：无意义                    引燃温度 (</w:t>
            </w:r>
            <w:r>
              <w:rPr>
                <w:rFonts w:ascii="Times New Roman" w:hAnsi="Times New Roman" w:eastAsia="Times New Roman" w:cs="Times New Roman"/>
                <w:b w:val="0"/>
                <w:bCs w:val="0"/>
                <w:spacing w:val="-6"/>
                <w:sz w:val="21"/>
                <w:szCs w:val="21"/>
              </w:rPr>
              <w:t>℃</w:t>
            </w:r>
            <w:r>
              <w:rPr>
                <w:b w:val="0"/>
                <w:bCs w:val="0"/>
                <w:spacing w:val="-6"/>
                <w:sz w:val="21"/>
                <w:szCs w:val="21"/>
              </w:rPr>
              <w:t>)</w:t>
            </w:r>
            <w:r>
              <w:rPr>
                <w:b w:val="0"/>
                <w:bCs w:val="0"/>
                <w:spacing w:val="46"/>
                <w:sz w:val="21"/>
                <w:szCs w:val="21"/>
              </w:rPr>
              <w:t xml:space="preserve"> </w:t>
            </w:r>
            <w:r>
              <w:rPr>
                <w:b w:val="0"/>
                <w:bCs w:val="0"/>
                <w:spacing w:val="-6"/>
                <w:sz w:val="21"/>
                <w:szCs w:val="21"/>
              </w:rPr>
              <w:t>：无意义</w:t>
            </w:r>
          </w:p>
          <w:p w14:paraId="7AD270AA">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b w:val="0"/>
                <w:bCs w:val="0"/>
                <w:sz w:val="21"/>
                <w:szCs w:val="21"/>
              </w:rPr>
            </w:pPr>
            <w:r>
              <w:rPr>
                <w:b w:val="0"/>
                <w:bCs w:val="0"/>
                <w:sz w:val="21"/>
                <w:szCs w:val="21"/>
              </w:rPr>
              <w:t>爆炸下限</w:t>
            </w:r>
            <w:r>
              <w:rPr>
                <w:rFonts w:ascii="Times New Roman" w:hAnsi="Times New Roman" w:eastAsia="Times New Roman" w:cs="Times New Roman"/>
                <w:b w:val="0"/>
                <w:bCs w:val="0"/>
                <w:sz w:val="21"/>
                <w:szCs w:val="21"/>
              </w:rPr>
              <w:t>[</w:t>
            </w:r>
            <w:r>
              <w:rPr>
                <w:b w:val="0"/>
                <w:bCs w:val="0"/>
                <w:spacing w:val="-18"/>
                <w:sz w:val="21"/>
                <w:szCs w:val="21"/>
              </w:rPr>
              <w:t>％（</w:t>
            </w:r>
            <w:r>
              <w:rPr>
                <w:rFonts w:ascii="Times New Roman" w:hAnsi="Times New Roman" w:eastAsia="Times New Roman" w:cs="Times New Roman"/>
                <w:b w:val="0"/>
                <w:bCs w:val="0"/>
                <w:sz w:val="21"/>
                <w:szCs w:val="21"/>
              </w:rPr>
              <w:t>V/V</w:t>
            </w:r>
            <w:r>
              <w:rPr>
                <w:b w:val="0"/>
                <w:bCs w:val="0"/>
                <w:sz w:val="21"/>
                <w:szCs w:val="21"/>
              </w:rPr>
              <w:t>）</w:t>
            </w:r>
            <w:r>
              <w:rPr>
                <w:rFonts w:ascii="Times New Roman" w:hAnsi="Times New Roman" w:eastAsia="Times New Roman" w:cs="Times New Roman"/>
                <w:b w:val="0"/>
                <w:bCs w:val="0"/>
                <w:sz w:val="21"/>
                <w:szCs w:val="21"/>
              </w:rPr>
              <w:t>]</w:t>
            </w:r>
            <w:r>
              <w:rPr>
                <w:rFonts w:ascii="Times New Roman" w:hAnsi="Times New Roman" w:eastAsia="Times New Roman" w:cs="Times New Roman"/>
                <w:b w:val="0"/>
                <w:bCs w:val="0"/>
                <w:spacing w:val="-28"/>
                <w:sz w:val="21"/>
                <w:szCs w:val="21"/>
              </w:rPr>
              <w:t xml:space="preserve"> </w:t>
            </w:r>
            <w:r>
              <w:rPr>
                <w:b w:val="0"/>
                <w:bCs w:val="0"/>
                <w:sz w:val="21"/>
                <w:szCs w:val="21"/>
              </w:rPr>
              <w:t>：无意义         爆炸上限</w:t>
            </w:r>
            <w:r>
              <w:rPr>
                <w:rFonts w:ascii="Times New Roman" w:hAnsi="Times New Roman" w:eastAsia="Times New Roman" w:cs="Times New Roman"/>
                <w:b w:val="0"/>
                <w:bCs w:val="0"/>
                <w:sz w:val="21"/>
                <w:szCs w:val="21"/>
              </w:rPr>
              <w:t>[</w:t>
            </w:r>
            <w:r>
              <w:rPr>
                <w:b w:val="0"/>
                <w:bCs w:val="0"/>
                <w:spacing w:val="-18"/>
                <w:sz w:val="21"/>
                <w:szCs w:val="21"/>
              </w:rPr>
              <w:t>％（</w:t>
            </w:r>
            <w:r>
              <w:rPr>
                <w:rFonts w:ascii="Times New Roman" w:hAnsi="Times New Roman" w:eastAsia="Times New Roman" w:cs="Times New Roman"/>
                <w:b w:val="0"/>
                <w:bCs w:val="0"/>
                <w:sz w:val="21"/>
                <w:szCs w:val="21"/>
              </w:rPr>
              <w:t>V/V</w:t>
            </w:r>
            <w:r>
              <w:rPr>
                <w:b w:val="0"/>
                <w:bCs w:val="0"/>
                <w:sz w:val="21"/>
                <w:szCs w:val="21"/>
              </w:rPr>
              <w:t>）</w:t>
            </w:r>
            <w:r>
              <w:rPr>
                <w:rFonts w:ascii="Times New Roman" w:hAnsi="Times New Roman" w:eastAsia="Times New Roman" w:cs="Times New Roman"/>
                <w:b w:val="0"/>
                <w:bCs w:val="0"/>
                <w:sz w:val="21"/>
                <w:szCs w:val="21"/>
              </w:rPr>
              <w:t>]</w:t>
            </w:r>
            <w:r>
              <w:rPr>
                <w:rFonts w:ascii="Times New Roman" w:hAnsi="Times New Roman" w:eastAsia="Times New Roman" w:cs="Times New Roman"/>
                <w:b w:val="0"/>
                <w:bCs w:val="0"/>
                <w:spacing w:val="-30"/>
                <w:sz w:val="21"/>
                <w:szCs w:val="21"/>
              </w:rPr>
              <w:t xml:space="preserve"> </w:t>
            </w:r>
            <w:r>
              <w:rPr>
                <w:b w:val="0"/>
                <w:bCs w:val="0"/>
                <w:sz w:val="21"/>
                <w:szCs w:val="21"/>
              </w:rPr>
              <w:t>：无</w:t>
            </w:r>
            <w:r>
              <w:rPr>
                <w:b w:val="0"/>
                <w:bCs w:val="0"/>
                <w:spacing w:val="-1"/>
                <w:sz w:val="21"/>
                <w:szCs w:val="21"/>
              </w:rPr>
              <w:t>意义</w:t>
            </w:r>
          </w:p>
          <w:p w14:paraId="0CD2AF3D">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b w:val="0"/>
                <w:bCs w:val="0"/>
                <w:sz w:val="21"/>
                <w:szCs w:val="21"/>
              </w:rPr>
            </w:pPr>
            <w:r>
              <w:rPr>
                <w:b w:val="0"/>
                <w:bCs w:val="0"/>
                <w:spacing w:val="-2"/>
                <w:sz w:val="21"/>
                <w:szCs w:val="21"/>
              </w:rPr>
              <w:t>溶解性：溶于水。</w:t>
            </w:r>
          </w:p>
          <w:p w14:paraId="1390E46E">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right"/>
              <w:textAlignment w:val="auto"/>
              <w:rPr>
                <w:b w:val="0"/>
                <w:bCs w:val="0"/>
                <w:sz w:val="21"/>
                <w:szCs w:val="21"/>
              </w:rPr>
            </w:pPr>
            <w:r>
              <w:rPr>
                <w:b w:val="0"/>
                <w:bCs w:val="0"/>
                <w:spacing w:val="-2"/>
                <w:sz w:val="21"/>
                <w:szCs w:val="21"/>
              </w:rPr>
              <w:t>主要用途：用于水的净化，以及作消毒剂、纸浆漂白等，医药工业中用制氯胺等。</w:t>
            </w:r>
          </w:p>
          <w:p w14:paraId="3B6FA82B">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b/>
                <w:bCs/>
                <w:spacing w:val="-3"/>
                <w:sz w:val="21"/>
                <w:szCs w:val="21"/>
              </w:rPr>
            </w:pPr>
            <w:r>
              <w:rPr>
                <w:b/>
                <w:bCs/>
                <w:spacing w:val="-3"/>
                <w:sz w:val="21"/>
                <w:szCs w:val="21"/>
              </w:rPr>
              <w:t>第十部分  稳定性和反应活性</w:t>
            </w:r>
          </w:p>
          <w:p w14:paraId="0C8726F3">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b w:val="0"/>
                <w:bCs w:val="0"/>
                <w:sz w:val="21"/>
                <w:szCs w:val="21"/>
              </w:rPr>
            </w:pPr>
            <w:r>
              <w:rPr>
                <w:b w:val="0"/>
                <w:bCs w:val="0"/>
                <w:spacing w:val="-2"/>
                <w:sz w:val="21"/>
                <w:szCs w:val="21"/>
              </w:rPr>
              <w:t>稳定性：稳定</w:t>
            </w:r>
          </w:p>
          <w:p w14:paraId="7AB6C1A8">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b w:val="0"/>
                <w:bCs w:val="0"/>
                <w:sz w:val="21"/>
                <w:szCs w:val="21"/>
              </w:rPr>
            </w:pPr>
            <w:r>
              <w:rPr>
                <w:b w:val="0"/>
                <w:bCs w:val="0"/>
                <w:spacing w:val="-2"/>
                <w:sz w:val="21"/>
                <w:szCs w:val="21"/>
              </w:rPr>
              <w:t>禁配物：碱类</w:t>
            </w:r>
          </w:p>
          <w:p w14:paraId="2653D011">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b w:val="0"/>
                <w:bCs w:val="0"/>
                <w:sz w:val="21"/>
                <w:szCs w:val="21"/>
              </w:rPr>
            </w:pPr>
            <w:r>
              <w:rPr>
                <w:b w:val="0"/>
                <w:bCs w:val="0"/>
                <w:spacing w:val="-1"/>
                <w:sz w:val="21"/>
                <w:szCs w:val="21"/>
              </w:rPr>
              <w:t>避免接触的条件</w:t>
            </w:r>
            <w:r>
              <w:rPr>
                <w:rFonts w:ascii="Times New Roman" w:hAnsi="Times New Roman" w:eastAsia="Times New Roman" w:cs="Times New Roman"/>
                <w:b w:val="0"/>
                <w:bCs w:val="0"/>
                <w:spacing w:val="-1"/>
                <w:sz w:val="21"/>
                <w:szCs w:val="21"/>
              </w:rPr>
              <w:t xml:space="preserve">:  </w:t>
            </w:r>
            <w:r>
              <w:rPr>
                <w:b w:val="0"/>
                <w:bCs w:val="0"/>
                <w:spacing w:val="-1"/>
                <w:sz w:val="21"/>
                <w:szCs w:val="21"/>
              </w:rPr>
              <w:t>受热、光照</w:t>
            </w:r>
          </w:p>
          <w:p w14:paraId="2AD99238">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b w:val="0"/>
                <w:bCs w:val="0"/>
                <w:sz w:val="21"/>
                <w:szCs w:val="21"/>
              </w:rPr>
            </w:pPr>
            <w:r>
              <w:rPr>
                <w:b w:val="0"/>
                <w:bCs w:val="0"/>
                <w:spacing w:val="-3"/>
                <w:sz w:val="21"/>
                <w:szCs w:val="21"/>
              </w:rPr>
              <w:t>聚合危害：不聚合</w:t>
            </w:r>
          </w:p>
          <w:p w14:paraId="60B4B53F">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b w:val="0"/>
                <w:bCs w:val="0"/>
                <w:sz w:val="21"/>
                <w:szCs w:val="21"/>
              </w:rPr>
            </w:pPr>
            <w:r>
              <w:rPr>
                <w:b w:val="0"/>
                <w:bCs w:val="0"/>
                <w:spacing w:val="-2"/>
                <w:sz w:val="21"/>
                <w:szCs w:val="21"/>
              </w:rPr>
              <w:t>分解产物：氯化物</w:t>
            </w:r>
          </w:p>
          <w:p w14:paraId="1E60229E">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b/>
                <w:bCs/>
                <w:spacing w:val="-3"/>
                <w:sz w:val="21"/>
                <w:szCs w:val="21"/>
              </w:rPr>
            </w:pPr>
            <w:r>
              <w:rPr>
                <w:b/>
                <w:bCs/>
                <w:spacing w:val="-3"/>
                <w:sz w:val="21"/>
                <w:szCs w:val="21"/>
              </w:rPr>
              <w:t>第十一部分  毒理学资料</w:t>
            </w:r>
          </w:p>
          <w:p w14:paraId="0ABA2F5A">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rFonts w:ascii="Times New Roman" w:hAnsi="Times New Roman" w:eastAsia="Times New Roman" w:cs="Times New Roman"/>
                <w:b w:val="0"/>
                <w:bCs w:val="0"/>
                <w:sz w:val="21"/>
                <w:szCs w:val="21"/>
              </w:rPr>
            </w:pPr>
            <w:r>
              <w:rPr>
                <w:b w:val="0"/>
                <w:bCs w:val="0"/>
                <w:spacing w:val="-1"/>
                <w:sz w:val="21"/>
                <w:szCs w:val="21"/>
              </w:rPr>
              <w:t>急性毒性：</w:t>
            </w:r>
            <w:r>
              <w:rPr>
                <w:rFonts w:ascii="Times New Roman" w:hAnsi="Times New Roman" w:eastAsia="Times New Roman" w:cs="Times New Roman"/>
                <w:b w:val="0"/>
                <w:bCs w:val="0"/>
                <w:spacing w:val="-1"/>
                <w:sz w:val="21"/>
                <w:szCs w:val="21"/>
              </w:rPr>
              <w:t>LD</w:t>
            </w:r>
            <w:r>
              <w:rPr>
                <w:rFonts w:ascii="Times New Roman" w:hAnsi="Times New Roman" w:eastAsia="Times New Roman" w:cs="Times New Roman"/>
                <w:b w:val="0"/>
                <w:bCs w:val="0"/>
                <w:spacing w:val="-1"/>
                <w:position w:val="-1"/>
                <w:sz w:val="21"/>
                <w:szCs w:val="21"/>
              </w:rPr>
              <w:t>50</w:t>
            </w:r>
            <w:r>
              <w:rPr>
                <w:b w:val="0"/>
                <w:bCs w:val="0"/>
                <w:spacing w:val="-1"/>
                <w:sz w:val="21"/>
                <w:szCs w:val="21"/>
              </w:rPr>
              <w:t>：</w:t>
            </w:r>
            <w:r>
              <w:rPr>
                <w:rFonts w:ascii="Times New Roman" w:hAnsi="Times New Roman" w:eastAsia="Times New Roman" w:cs="Times New Roman"/>
                <w:b w:val="0"/>
                <w:bCs w:val="0"/>
                <w:spacing w:val="-1"/>
                <w:sz w:val="21"/>
                <w:szCs w:val="21"/>
              </w:rPr>
              <w:t>8500mg/kg(</w:t>
            </w:r>
            <w:r>
              <w:rPr>
                <w:b w:val="0"/>
                <w:bCs w:val="0"/>
                <w:spacing w:val="-1"/>
                <w:sz w:val="21"/>
                <w:szCs w:val="21"/>
              </w:rPr>
              <w:t>大鼠经口</w:t>
            </w:r>
            <w:r>
              <w:rPr>
                <w:rFonts w:ascii="Times New Roman" w:hAnsi="Times New Roman" w:eastAsia="Times New Roman" w:cs="Times New Roman"/>
                <w:b w:val="0"/>
                <w:bCs w:val="0"/>
                <w:spacing w:val="-1"/>
                <w:sz w:val="21"/>
                <w:szCs w:val="21"/>
              </w:rPr>
              <w:t>)</w:t>
            </w:r>
          </w:p>
          <w:p w14:paraId="5B09F330">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b w:val="0"/>
                <w:bCs w:val="0"/>
                <w:sz w:val="21"/>
                <w:szCs w:val="21"/>
              </w:rPr>
            </w:pPr>
            <w:r>
              <w:rPr>
                <w:b w:val="0"/>
                <w:bCs w:val="0"/>
                <w:spacing w:val="-3"/>
                <w:sz w:val="21"/>
                <w:szCs w:val="21"/>
              </w:rPr>
              <w:t>刺激性：家兔经眼：</w:t>
            </w:r>
            <w:r>
              <w:rPr>
                <w:rFonts w:ascii="Times New Roman" w:hAnsi="Times New Roman" w:eastAsia="Times New Roman" w:cs="Times New Roman"/>
                <w:b w:val="0"/>
                <w:bCs w:val="0"/>
                <w:spacing w:val="-3"/>
                <w:sz w:val="21"/>
                <w:szCs w:val="21"/>
              </w:rPr>
              <w:t>10mg</w:t>
            </w:r>
            <w:r>
              <w:rPr>
                <w:rFonts w:ascii="Times New Roman" w:hAnsi="Times New Roman" w:eastAsia="Times New Roman" w:cs="Times New Roman"/>
                <w:b w:val="0"/>
                <w:bCs w:val="0"/>
                <w:spacing w:val="-18"/>
                <w:sz w:val="21"/>
                <w:szCs w:val="21"/>
              </w:rPr>
              <w:t xml:space="preserve"> </w:t>
            </w:r>
            <w:r>
              <w:rPr>
                <w:b w:val="0"/>
                <w:bCs w:val="0"/>
                <w:spacing w:val="-3"/>
                <w:sz w:val="21"/>
                <w:szCs w:val="21"/>
              </w:rPr>
              <w:t>，中度刺激</w:t>
            </w:r>
          </w:p>
          <w:p w14:paraId="45339056">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right"/>
              <w:textAlignment w:val="auto"/>
              <w:rPr>
                <w:b w:val="0"/>
                <w:bCs w:val="0"/>
                <w:sz w:val="21"/>
                <w:szCs w:val="21"/>
              </w:rPr>
            </w:pPr>
            <w:r>
              <w:rPr>
                <w:b w:val="0"/>
                <w:bCs w:val="0"/>
                <w:spacing w:val="-10"/>
                <w:sz w:val="21"/>
                <w:szCs w:val="21"/>
              </w:rPr>
              <w:t>致突变性：微生物致突变：鼠伤寒沙门菌</w:t>
            </w:r>
            <w:r>
              <w:rPr>
                <w:b w:val="0"/>
                <w:bCs w:val="0"/>
                <w:spacing w:val="-32"/>
                <w:sz w:val="21"/>
                <w:szCs w:val="21"/>
              </w:rPr>
              <w:t xml:space="preserve"> </w:t>
            </w:r>
            <w:r>
              <w:rPr>
                <w:rFonts w:ascii="Times New Roman" w:hAnsi="Times New Roman" w:eastAsia="Times New Roman" w:cs="Times New Roman"/>
                <w:b w:val="0"/>
                <w:bCs w:val="0"/>
                <w:spacing w:val="-10"/>
                <w:sz w:val="21"/>
                <w:szCs w:val="21"/>
              </w:rPr>
              <w:t>1mg/</w:t>
            </w:r>
            <w:r>
              <w:rPr>
                <w:b w:val="0"/>
                <w:bCs w:val="0"/>
                <w:spacing w:val="-10"/>
                <w:sz w:val="21"/>
                <w:szCs w:val="21"/>
              </w:rPr>
              <w:t>皿。</w:t>
            </w:r>
            <w:r>
              <w:rPr>
                <w:rFonts w:ascii="Times New Roman" w:hAnsi="Times New Roman" w:eastAsia="Times New Roman" w:cs="Times New Roman"/>
                <w:b w:val="0"/>
                <w:bCs w:val="0"/>
                <w:spacing w:val="-10"/>
                <w:sz w:val="21"/>
                <w:szCs w:val="21"/>
              </w:rPr>
              <w:t>D</w:t>
            </w:r>
            <w:r>
              <w:rPr>
                <w:rFonts w:ascii="Times New Roman" w:hAnsi="Times New Roman" w:eastAsia="Times New Roman" w:cs="Times New Roman"/>
                <w:b w:val="0"/>
                <w:bCs w:val="0"/>
                <w:spacing w:val="-11"/>
                <w:sz w:val="21"/>
                <w:szCs w:val="21"/>
              </w:rPr>
              <w:t>NA</w:t>
            </w:r>
            <w:r>
              <w:rPr>
                <w:rFonts w:ascii="Times New Roman" w:hAnsi="Times New Roman" w:eastAsia="Times New Roman" w:cs="Times New Roman"/>
                <w:b w:val="0"/>
                <w:bCs w:val="0"/>
                <w:spacing w:val="11"/>
                <w:sz w:val="21"/>
                <w:szCs w:val="21"/>
              </w:rPr>
              <w:t xml:space="preserve"> </w:t>
            </w:r>
            <w:r>
              <w:rPr>
                <w:b w:val="0"/>
                <w:bCs w:val="0"/>
                <w:spacing w:val="-11"/>
                <w:sz w:val="21"/>
                <w:szCs w:val="21"/>
              </w:rPr>
              <w:t>损伤：大肠杆菌</w:t>
            </w:r>
            <w:r>
              <w:rPr>
                <w:b w:val="0"/>
                <w:bCs w:val="0"/>
                <w:spacing w:val="-56"/>
                <w:sz w:val="21"/>
                <w:szCs w:val="21"/>
              </w:rPr>
              <w:t xml:space="preserve"> </w:t>
            </w:r>
            <w:r>
              <w:rPr>
                <w:rFonts w:ascii="Times New Roman" w:hAnsi="Times New Roman" w:eastAsia="Times New Roman" w:cs="Times New Roman"/>
                <w:b w:val="0"/>
                <w:bCs w:val="0"/>
                <w:spacing w:val="-11"/>
                <w:sz w:val="21"/>
                <w:szCs w:val="21"/>
              </w:rPr>
              <w:t>420μmol/L</w:t>
            </w:r>
            <w:r>
              <w:rPr>
                <w:b w:val="0"/>
                <w:bCs w:val="0"/>
                <w:spacing w:val="-11"/>
                <w:sz w:val="21"/>
                <w:szCs w:val="21"/>
              </w:rPr>
              <w:t>。</w:t>
            </w:r>
          </w:p>
          <w:p w14:paraId="7E900C4A">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rFonts w:ascii="Times New Roman" w:hAnsi="Times New Roman" w:eastAsia="Times New Roman" w:cs="Times New Roman"/>
                <w:b w:val="0"/>
                <w:bCs w:val="0"/>
                <w:sz w:val="21"/>
                <w:szCs w:val="21"/>
              </w:rPr>
            </w:pPr>
            <w:r>
              <w:rPr>
                <w:b w:val="0"/>
                <w:bCs w:val="0"/>
                <w:spacing w:val="-15"/>
                <w:sz w:val="21"/>
                <w:szCs w:val="21"/>
              </w:rPr>
              <w:t>细胞遗传学分析：人淋巴细胞</w:t>
            </w:r>
            <w:r>
              <w:rPr>
                <w:b w:val="0"/>
                <w:bCs w:val="0"/>
                <w:spacing w:val="-28"/>
                <w:sz w:val="21"/>
                <w:szCs w:val="21"/>
              </w:rPr>
              <w:t xml:space="preserve"> </w:t>
            </w:r>
            <w:r>
              <w:rPr>
                <w:rFonts w:ascii="Times New Roman" w:hAnsi="Times New Roman" w:eastAsia="Times New Roman" w:cs="Times New Roman"/>
                <w:b w:val="0"/>
                <w:bCs w:val="0"/>
                <w:spacing w:val="-15"/>
                <w:sz w:val="21"/>
                <w:szCs w:val="21"/>
              </w:rPr>
              <w:t>100ppm</w:t>
            </w:r>
            <w:r>
              <w:rPr>
                <w:b w:val="0"/>
                <w:bCs w:val="0"/>
                <w:spacing w:val="-15"/>
                <w:sz w:val="21"/>
                <w:szCs w:val="21"/>
              </w:rPr>
              <w:t>（</w:t>
            </w:r>
            <w:r>
              <w:rPr>
                <w:rFonts w:ascii="Times New Roman" w:hAnsi="Times New Roman" w:eastAsia="Times New Roman" w:cs="Times New Roman"/>
                <w:b w:val="0"/>
                <w:bCs w:val="0"/>
                <w:spacing w:val="-15"/>
                <w:sz w:val="21"/>
                <w:szCs w:val="21"/>
              </w:rPr>
              <w:t>24h</w:t>
            </w:r>
            <w:r>
              <w:rPr>
                <w:b w:val="0"/>
                <w:bCs w:val="0"/>
                <w:spacing w:val="-15"/>
                <w:sz w:val="21"/>
                <w:szCs w:val="21"/>
              </w:rPr>
              <w:t>）。姐妹染色单体交换：人类胚胎</w:t>
            </w:r>
            <w:r>
              <w:rPr>
                <w:b w:val="0"/>
                <w:bCs w:val="0"/>
                <w:spacing w:val="-34"/>
                <w:sz w:val="21"/>
                <w:szCs w:val="21"/>
              </w:rPr>
              <w:t xml:space="preserve"> </w:t>
            </w:r>
            <w:r>
              <w:rPr>
                <w:rFonts w:ascii="Times New Roman" w:hAnsi="Times New Roman" w:eastAsia="Times New Roman" w:cs="Times New Roman"/>
                <w:b w:val="0"/>
                <w:bCs w:val="0"/>
                <w:spacing w:val="-15"/>
                <w:sz w:val="21"/>
                <w:szCs w:val="21"/>
              </w:rPr>
              <w:t>149mg/L</w:t>
            </w:r>
          </w:p>
          <w:p w14:paraId="63A43B5A">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b w:val="0"/>
                <w:bCs w:val="0"/>
                <w:sz w:val="21"/>
                <w:szCs w:val="21"/>
              </w:rPr>
            </w:pPr>
            <w:r>
              <w:rPr>
                <w:b w:val="0"/>
                <w:bCs w:val="0"/>
                <w:spacing w:val="-2"/>
                <w:sz w:val="21"/>
                <w:szCs w:val="21"/>
              </w:rPr>
              <w:t>致癌性：</w:t>
            </w:r>
            <w:r>
              <w:rPr>
                <w:rFonts w:ascii="Times New Roman" w:hAnsi="Times New Roman" w:eastAsia="Times New Roman" w:cs="Times New Roman"/>
                <w:b w:val="0"/>
                <w:bCs w:val="0"/>
                <w:spacing w:val="-2"/>
                <w:sz w:val="21"/>
                <w:szCs w:val="21"/>
              </w:rPr>
              <w:t xml:space="preserve">IARC </w:t>
            </w:r>
            <w:r>
              <w:rPr>
                <w:b w:val="0"/>
                <w:bCs w:val="0"/>
                <w:spacing w:val="-2"/>
                <w:sz w:val="21"/>
                <w:szCs w:val="21"/>
              </w:rPr>
              <w:t>致癌性评论：</w:t>
            </w:r>
            <w:r>
              <w:rPr>
                <w:rFonts w:ascii="Times New Roman" w:hAnsi="Times New Roman" w:eastAsia="Times New Roman" w:cs="Times New Roman"/>
                <w:b w:val="0"/>
                <w:bCs w:val="0"/>
                <w:spacing w:val="-2"/>
                <w:sz w:val="21"/>
                <w:szCs w:val="21"/>
              </w:rPr>
              <w:t>G3</w:t>
            </w:r>
            <w:r>
              <w:rPr>
                <w:rFonts w:ascii="Times New Roman" w:hAnsi="Times New Roman" w:eastAsia="Times New Roman" w:cs="Times New Roman"/>
                <w:b w:val="0"/>
                <w:bCs w:val="0"/>
                <w:spacing w:val="-11"/>
                <w:sz w:val="21"/>
                <w:szCs w:val="21"/>
              </w:rPr>
              <w:t xml:space="preserve"> </w:t>
            </w:r>
            <w:r>
              <w:rPr>
                <w:b w:val="0"/>
                <w:bCs w:val="0"/>
                <w:spacing w:val="-2"/>
                <w:sz w:val="21"/>
                <w:szCs w:val="21"/>
              </w:rPr>
              <w:t>，对人及动物致癌性证据不足</w:t>
            </w:r>
          </w:p>
          <w:p w14:paraId="5F1CE9E6">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b/>
                <w:bCs/>
                <w:spacing w:val="-3"/>
                <w:sz w:val="21"/>
                <w:szCs w:val="21"/>
              </w:rPr>
            </w:pPr>
            <w:r>
              <w:rPr>
                <w:b/>
                <w:bCs/>
                <w:spacing w:val="-3"/>
                <w:sz w:val="21"/>
                <w:szCs w:val="21"/>
              </w:rPr>
              <w:t>第十二部分  生态学资料</w:t>
            </w:r>
          </w:p>
          <w:p w14:paraId="41FB3D49">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b w:val="0"/>
                <w:bCs w:val="0"/>
                <w:sz w:val="21"/>
                <w:szCs w:val="21"/>
              </w:rPr>
            </w:pPr>
            <w:r>
              <w:rPr>
                <w:b w:val="0"/>
                <w:bCs w:val="0"/>
                <w:spacing w:val="-2"/>
                <w:sz w:val="21"/>
                <w:szCs w:val="21"/>
              </w:rPr>
              <w:t>生态毒性：无资料</w:t>
            </w:r>
          </w:p>
          <w:p w14:paraId="681B65F4">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b w:val="0"/>
                <w:bCs w:val="0"/>
                <w:sz w:val="21"/>
                <w:szCs w:val="21"/>
              </w:rPr>
            </w:pPr>
            <w:r>
              <w:rPr>
                <w:b w:val="0"/>
                <w:bCs w:val="0"/>
                <w:spacing w:val="-2"/>
                <w:sz w:val="21"/>
                <w:szCs w:val="21"/>
              </w:rPr>
              <w:t>生物降解性：无资料</w:t>
            </w:r>
          </w:p>
          <w:p w14:paraId="399BC20E">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b w:val="0"/>
                <w:bCs w:val="0"/>
                <w:sz w:val="21"/>
                <w:szCs w:val="21"/>
              </w:rPr>
            </w:pPr>
            <w:r>
              <w:rPr>
                <w:b w:val="0"/>
                <w:bCs w:val="0"/>
                <w:spacing w:val="-2"/>
                <w:sz w:val="21"/>
                <w:szCs w:val="21"/>
              </w:rPr>
              <w:t>非生物降解性：无资料</w:t>
            </w:r>
          </w:p>
          <w:p w14:paraId="6C027369">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b w:val="0"/>
                <w:bCs w:val="0"/>
                <w:sz w:val="21"/>
                <w:szCs w:val="21"/>
              </w:rPr>
            </w:pPr>
            <w:r>
              <w:rPr>
                <w:b w:val="0"/>
                <w:bCs w:val="0"/>
                <w:spacing w:val="-1"/>
                <w:sz w:val="21"/>
                <w:szCs w:val="21"/>
              </w:rPr>
              <w:t>其它有害作用：该物质对环境有危害，应特别注意对水体的污染。</w:t>
            </w:r>
          </w:p>
          <w:p w14:paraId="7FD011C2">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b/>
                <w:bCs/>
                <w:spacing w:val="-3"/>
                <w:sz w:val="21"/>
                <w:szCs w:val="21"/>
              </w:rPr>
            </w:pPr>
            <w:r>
              <w:rPr>
                <w:b/>
                <w:bCs/>
                <w:spacing w:val="-3"/>
                <w:sz w:val="21"/>
                <w:szCs w:val="21"/>
              </w:rPr>
              <w:t>第十三部分  废 弃 处 置</w:t>
            </w:r>
          </w:p>
          <w:p w14:paraId="2D9034D3">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b w:val="0"/>
                <w:bCs w:val="0"/>
                <w:sz w:val="21"/>
                <w:szCs w:val="21"/>
              </w:rPr>
            </w:pPr>
            <w:r>
              <w:rPr>
                <w:b w:val="0"/>
                <w:bCs w:val="0"/>
                <w:spacing w:val="-1"/>
                <w:sz w:val="21"/>
                <w:szCs w:val="21"/>
              </w:rPr>
              <w:t>废弃物性质：危险废物</w:t>
            </w:r>
          </w:p>
          <w:p w14:paraId="7F8FA3BD">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b w:val="0"/>
                <w:bCs w:val="0"/>
                <w:sz w:val="21"/>
                <w:szCs w:val="21"/>
              </w:rPr>
            </w:pPr>
            <w:r>
              <w:rPr>
                <w:b w:val="0"/>
                <w:bCs w:val="0"/>
                <w:spacing w:val="3"/>
                <w:sz w:val="21"/>
                <w:szCs w:val="21"/>
              </w:rPr>
              <w:t>废弃处置方法：若可能，回收使用。在规定的处</w:t>
            </w:r>
            <w:r>
              <w:rPr>
                <w:b w:val="0"/>
                <w:bCs w:val="0"/>
                <w:spacing w:val="2"/>
                <w:sz w:val="21"/>
                <w:szCs w:val="21"/>
              </w:rPr>
              <w:t>理厂处理和中和。滤出固体，当</w:t>
            </w:r>
            <w:r>
              <w:rPr>
                <w:b w:val="0"/>
                <w:bCs w:val="0"/>
                <w:sz w:val="21"/>
                <w:szCs w:val="21"/>
              </w:rPr>
              <w:t xml:space="preserve"> </w:t>
            </w:r>
            <w:r>
              <w:rPr>
                <w:b w:val="0"/>
                <w:bCs w:val="0"/>
                <w:spacing w:val="-1"/>
                <w:sz w:val="21"/>
                <w:szCs w:val="21"/>
              </w:rPr>
              <w:t>作有害废物在规定场所掩埋。</w:t>
            </w:r>
          </w:p>
          <w:p w14:paraId="0F6A0248">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b w:val="0"/>
                <w:bCs w:val="0"/>
                <w:sz w:val="21"/>
                <w:szCs w:val="21"/>
              </w:rPr>
            </w:pPr>
            <w:r>
              <w:rPr>
                <w:b w:val="0"/>
                <w:bCs w:val="0"/>
                <w:spacing w:val="3"/>
                <w:sz w:val="21"/>
                <w:szCs w:val="21"/>
              </w:rPr>
              <w:t>废弃注意事项：处置前应参阅国家和地方有关法</w:t>
            </w:r>
            <w:r>
              <w:rPr>
                <w:b w:val="0"/>
                <w:bCs w:val="0"/>
                <w:spacing w:val="2"/>
                <w:sz w:val="21"/>
                <w:szCs w:val="21"/>
              </w:rPr>
              <w:t>规。破损容器禁止重新使用，要</w:t>
            </w:r>
            <w:r>
              <w:rPr>
                <w:b w:val="0"/>
                <w:bCs w:val="0"/>
                <w:sz w:val="21"/>
                <w:szCs w:val="21"/>
              </w:rPr>
              <w:t xml:space="preserve"> </w:t>
            </w:r>
            <w:r>
              <w:rPr>
                <w:b w:val="0"/>
                <w:bCs w:val="0"/>
                <w:spacing w:val="-2"/>
                <w:sz w:val="21"/>
                <w:szCs w:val="21"/>
              </w:rPr>
              <w:t>在规定场所掩埋。</w:t>
            </w:r>
          </w:p>
          <w:p w14:paraId="24BF530E">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b/>
                <w:bCs/>
                <w:spacing w:val="-3"/>
                <w:sz w:val="21"/>
                <w:szCs w:val="21"/>
              </w:rPr>
            </w:pPr>
            <w:r>
              <w:rPr>
                <w:b/>
                <w:bCs/>
                <w:spacing w:val="-3"/>
                <w:sz w:val="21"/>
                <w:szCs w:val="21"/>
              </w:rPr>
              <w:t>第十四部分  运 输 信 息</w:t>
            </w:r>
          </w:p>
          <w:p w14:paraId="59AA9FC1">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rFonts w:ascii="Times New Roman" w:hAnsi="Times New Roman" w:eastAsia="Times New Roman" w:cs="Times New Roman"/>
                <w:b w:val="0"/>
                <w:bCs w:val="0"/>
                <w:sz w:val="21"/>
                <w:szCs w:val="21"/>
              </w:rPr>
            </w:pPr>
            <w:r>
              <w:rPr>
                <w:b w:val="0"/>
                <w:bCs w:val="0"/>
                <w:spacing w:val="-1"/>
                <w:sz w:val="21"/>
                <w:szCs w:val="21"/>
              </w:rPr>
              <w:t>铁危编号：</w:t>
            </w:r>
            <w:r>
              <w:rPr>
                <w:rFonts w:ascii="Times New Roman" w:hAnsi="Times New Roman" w:eastAsia="Times New Roman" w:cs="Times New Roman"/>
                <w:b w:val="0"/>
                <w:bCs w:val="0"/>
                <w:spacing w:val="-1"/>
                <w:sz w:val="21"/>
                <w:szCs w:val="21"/>
              </w:rPr>
              <w:t>83501</w:t>
            </w:r>
          </w:p>
          <w:p w14:paraId="53BE3206">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rFonts w:ascii="Times New Roman" w:hAnsi="Times New Roman" w:eastAsia="Times New Roman" w:cs="Times New Roman"/>
                <w:b w:val="0"/>
                <w:bCs w:val="0"/>
                <w:sz w:val="21"/>
                <w:szCs w:val="21"/>
              </w:rPr>
            </w:pPr>
            <w:r>
              <w:rPr>
                <w:rFonts w:ascii="Times New Roman" w:hAnsi="Times New Roman" w:eastAsia="Times New Roman" w:cs="Times New Roman"/>
                <w:b w:val="0"/>
                <w:bCs w:val="0"/>
                <w:spacing w:val="-1"/>
                <w:sz w:val="21"/>
                <w:szCs w:val="21"/>
              </w:rPr>
              <w:t xml:space="preserve">UN </w:t>
            </w:r>
            <w:r>
              <w:rPr>
                <w:b w:val="0"/>
                <w:bCs w:val="0"/>
                <w:spacing w:val="-1"/>
                <w:sz w:val="21"/>
                <w:szCs w:val="21"/>
              </w:rPr>
              <w:t>编号：</w:t>
            </w:r>
            <w:r>
              <w:rPr>
                <w:rFonts w:ascii="Times New Roman" w:hAnsi="Times New Roman" w:eastAsia="Times New Roman" w:cs="Times New Roman"/>
                <w:b w:val="0"/>
                <w:bCs w:val="0"/>
                <w:spacing w:val="-1"/>
                <w:sz w:val="21"/>
                <w:szCs w:val="21"/>
              </w:rPr>
              <w:t>1791</w:t>
            </w:r>
          </w:p>
          <w:p w14:paraId="392CF9BD">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b w:val="0"/>
                <w:bCs w:val="0"/>
                <w:sz w:val="21"/>
                <w:szCs w:val="21"/>
              </w:rPr>
            </w:pPr>
            <w:r>
              <w:rPr>
                <w:b w:val="0"/>
                <w:bCs w:val="0"/>
                <w:sz w:val="21"/>
                <w:szCs w:val="21"/>
              </w:rPr>
              <w:t>包装类别：</w:t>
            </w:r>
            <w:r>
              <w:rPr>
                <w:rFonts w:ascii="Times New Roman" w:hAnsi="Times New Roman" w:eastAsia="Times New Roman" w:cs="Times New Roman"/>
                <w:b w:val="0"/>
                <w:bCs w:val="0"/>
                <w:sz w:val="21"/>
                <w:szCs w:val="21"/>
              </w:rPr>
              <w:t xml:space="preserve">Ⅲ                                     </w:t>
            </w:r>
            <w:r>
              <w:rPr>
                <w:rFonts w:ascii="Times New Roman" w:hAnsi="Times New Roman" w:eastAsia="Times New Roman" w:cs="Times New Roman"/>
                <w:b w:val="0"/>
                <w:bCs w:val="0"/>
                <w:spacing w:val="-1"/>
                <w:sz w:val="21"/>
                <w:szCs w:val="21"/>
              </w:rPr>
              <w:t xml:space="preserve">   </w:t>
            </w:r>
            <w:r>
              <w:rPr>
                <w:b w:val="0"/>
                <w:bCs w:val="0"/>
                <w:spacing w:val="-1"/>
                <w:sz w:val="21"/>
                <w:szCs w:val="21"/>
              </w:rPr>
              <w:t>包装标志：腐蚀品</w:t>
            </w:r>
          </w:p>
          <w:p w14:paraId="7FB11DE2">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b w:val="0"/>
                <w:bCs w:val="0"/>
                <w:sz w:val="21"/>
                <w:szCs w:val="21"/>
              </w:rPr>
            </w:pPr>
            <w:r>
              <w:rPr>
                <w:b w:val="0"/>
                <w:bCs w:val="0"/>
                <w:spacing w:val="3"/>
                <w:sz w:val="21"/>
                <w:szCs w:val="21"/>
              </w:rPr>
              <w:t>包装方法：耐酸坛或陶瓷瓶外普通木箱或半花格木</w:t>
            </w:r>
            <w:r>
              <w:rPr>
                <w:b w:val="0"/>
                <w:bCs w:val="0"/>
                <w:spacing w:val="2"/>
                <w:sz w:val="21"/>
                <w:szCs w:val="21"/>
              </w:rPr>
              <w:t>箱；玻璃瓶或塑料桶（罐）外</w:t>
            </w:r>
            <w:r>
              <w:rPr>
                <w:b w:val="0"/>
                <w:bCs w:val="0"/>
                <w:sz w:val="21"/>
                <w:szCs w:val="21"/>
              </w:rPr>
              <w:t xml:space="preserve"> </w:t>
            </w:r>
            <w:r>
              <w:rPr>
                <w:b w:val="0"/>
                <w:bCs w:val="0"/>
                <w:spacing w:val="3"/>
                <w:sz w:val="21"/>
                <w:szCs w:val="21"/>
              </w:rPr>
              <w:t>普通木箱或半花格木箱；磨砂口玻璃瓶或螺纹口玻璃</w:t>
            </w:r>
            <w:r>
              <w:rPr>
                <w:b w:val="0"/>
                <w:bCs w:val="0"/>
                <w:spacing w:val="2"/>
                <w:sz w:val="21"/>
                <w:szCs w:val="21"/>
              </w:rPr>
              <w:t>瓶外普通木箱；螺纹口玻璃</w:t>
            </w:r>
            <w:r>
              <w:rPr>
                <w:b w:val="0"/>
                <w:bCs w:val="0"/>
                <w:sz w:val="21"/>
                <w:szCs w:val="21"/>
              </w:rPr>
              <w:t xml:space="preserve"> </w:t>
            </w:r>
            <w:r>
              <w:rPr>
                <w:b w:val="0"/>
                <w:bCs w:val="0"/>
                <w:spacing w:val="3"/>
                <w:sz w:val="21"/>
                <w:szCs w:val="21"/>
              </w:rPr>
              <w:t>瓶、铁盖压口玻璃瓶、塑料瓶或金属桶（罐）外普通</w:t>
            </w:r>
            <w:r>
              <w:rPr>
                <w:b w:val="0"/>
                <w:bCs w:val="0"/>
                <w:spacing w:val="2"/>
                <w:sz w:val="21"/>
                <w:szCs w:val="21"/>
              </w:rPr>
              <w:t>木箱；螺纹口玻璃瓶、塑料</w:t>
            </w:r>
            <w:r>
              <w:rPr>
                <w:b w:val="0"/>
                <w:bCs w:val="0"/>
                <w:sz w:val="21"/>
                <w:szCs w:val="21"/>
              </w:rPr>
              <w:t xml:space="preserve"> 瓶或镀锡薄钢板桶（罐）外满底板花格箱、</w:t>
            </w:r>
            <w:r>
              <w:rPr>
                <w:b w:val="0"/>
                <w:bCs w:val="0"/>
                <w:spacing w:val="-1"/>
                <w:sz w:val="21"/>
                <w:szCs w:val="21"/>
              </w:rPr>
              <w:t>纤维板箱或胶合板箱。</w:t>
            </w:r>
          </w:p>
          <w:p w14:paraId="7CF9ECCB">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b w:val="0"/>
                <w:bCs w:val="0"/>
                <w:spacing w:val="-2"/>
                <w:sz w:val="21"/>
                <w:szCs w:val="21"/>
              </w:rPr>
            </w:pPr>
            <w:r>
              <w:rPr>
                <w:b w:val="0"/>
                <w:bCs w:val="0"/>
                <w:spacing w:val="-2"/>
                <w:sz w:val="21"/>
                <w:szCs w:val="21"/>
              </w:rPr>
              <w:t>运输注意事项：起运时包装要完整，装载应稳妥。运输过程中要确保容器不泄漏</w:t>
            </w:r>
          </w:p>
          <w:p w14:paraId="1A494A5F">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b w:val="0"/>
                <w:bCs w:val="0"/>
                <w:sz w:val="21"/>
                <w:szCs w:val="21"/>
              </w:rPr>
            </w:pPr>
            <w:r>
              <w:rPr>
                <w:b w:val="0"/>
                <w:bCs w:val="0"/>
                <w:spacing w:val="2"/>
                <w:sz w:val="21"/>
                <w:szCs w:val="21"/>
              </w:rPr>
              <w:t>不倒塌、不坠落、不损坏。严禁与碱类、食用化学品等混装混运。运输时运输车</w:t>
            </w:r>
            <w:r>
              <w:rPr>
                <w:b w:val="0"/>
                <w:bCs w:val="0"/>
                <w:spacing w:val="18"/>
                <w:sz w:val="21"/>
                <w:szCs w:val="21"/>
              </w:rPr>
              <w:t xml:space="preserve"> </w:t>
            </w:r>
            <w:r>
              <w:rPr>
                <w:b w:val="0"/>
                <w:bCs w:val="0"/>
                <w:spacing w:val="3"/>
                <w:sz w:val="21"/>
                <w:szCs w:val="21"/>
              </w:rPr>
              <w:t>辆应配备泄漏应急处理设备。运输途中应防曝晒、雨</w:t>
            </w:r>
            <w:r>
              <w:rPr>
                <w:b w:val="0"/>
                <w:bCs w:val="0"/>
                <w:spacing w:val="2"/>
                <w:sz w:val="21"/>
                <w:szCs w:val="21"/>
              </w:rPr>
              <w:t>淋，防高温。公路运输时要</w:t>
            </w:r>
            <w:r>
              <w:rPr>
                <w:b w:val="0"/>
                <w:bCs w:val="0"/>
                <w:sz w:val="21"/>
                <w:szCs w:val="21"/>
              </w:rPr>
              <w:t xml:space="preserve"> </w:t>
            </w:r>
            <w:r>
              <w:rPr>
                <w:b w:val="0"/>
                <w:bCs w:val="0"/>
                <w:spacing w:val="-1"/>
                <w:sz w:val="21"/>
                <w:szCs w:val="21"/>
              </w:rPr>
              <w:t>按规定路线行驶，勿在居民区和人口稠密区停留。</w:t>
            </w:r>
          </w:p>
          <w:p w14:paraId="4477B325">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b w:val="0"/>
                <w:bCs w:val="0"/>
                <w:spacing w:val="-8"/>
                <w:sz w:val="21"/>
                <w:szCs w:val="21"/>
              </w:rPr>
            </w:pPr>
            <w:r>
              <w:rPr>
                <w:b w:val="0"/>
                <w:bCs w:val="0"/>
                <w:spacing w:val="-8"/>
                <w:sz w:val="21"/>
                <w:szCs w:val="21"/>
              </w:rPr>
              <w:t>第十五部分  法 规 信 息</w:t>
            </w:r>
          </w:p>
          <w:p w14:paraId="09278B02">
            <w:pPr>
              <w:pStyle w:val="31"/>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textAlignment w:val="auto"/>
              <w:rPr>
                <w:b w:val="0"/>
                <w:bCs w:val="0"/>
                <w:spacing w:val="-1"/>
                <w:sz w:val="21"/>
                <w:szCs w:val="21"/>
              </w:rPr>
            </w:pPr>
            <w:r>
              <w:rPr>
                <w:b w:val="0"/>
                <w:bCs w:val="0"/>
                <w:sz w:val="21"/>
                <w:szCs w:val="21"/>
              </w:rPr>
              <w:t>《中华人民共和国安全生产法》；《中华人民共和国职业病防治法》</w:t>
            </w:r>
            <w:r>
              <w:rPr>
                <w:rFonts w:ascii="Times New Roman" w:hAnsi="Times New Roman" w:eastAsia="Times New Roman" w:cs="Times New Roman"/>
                <w:b w:val="0"/>
                <w:bCs w:val="0"/>
                <w:sz w:val="21"/>
                <w:szCs w:val="21"/>
              </w:rPr>
              <w:t>(</w:t>
            </w:r>
            <w:r>
              <w:rPr>
                <w:b w:val="0"/>
                <w:bCs w:val="0"/>
                <w:sz w:val="21"/>
                <w:szCs w:val="21"/>
              </w:rPr>
              <w:t>国家主席令</w:t>
            </w:r>
            <w:r>
              <w:rPr>
                <w:b w:val="0"/>
                <w:bCs w:val="0"/>
                <w:spacing w:val="6"/>
                <w:sz w:val="21"/>
                <w:szCs w:val="21"/>
              </w:rPr>
              <w:t xml:space="preserve"> </w:t>
            </w:r>
            <w:r>
              <w:rPr>
                <w:rFonts w:ascii="Times New Roman" w:hAnsi="Times New Roman" w:eastAsia="Times New Roman" w:cs="Times New Roman"/>
                <w:b w:val="0"/>
                <w:bCs w:val="0"/>
                <w:spacing w:val="-3"/>
                <w:sz w:val="21"/>
                <w:szCs w:val="21"/>
              </w:rPr>
              <w:t>[2011]</w:t>
            </w:r>
            <w:r>
              <w:rPr>
                <w:b w:val="0"/>
                <w:bCs w:val="0"/>
                <w:spacing w:val="-3"/>
                <w:sz w:val="21"/>
                <w:szCs w:val="21"/>
              </w:rPr>
              <w:t>第</w:t>
            </w:r>
            <w:r>
              <w:rPr>
                <w:b w:val="0"/>
                <w:bCs w:val="0"/>
                <w:spacing w:val="-49"/>
                <w:sz w:val="21"/>
                <w:szCs w:val="21"/>
              </w:rPr>
              <w:t xml:space="preserve"> </w:t>
            </w:r>
            <w:r>
              <w:rPr>
                <w:rFonts w:ascii="Times New Roman" w:hAnsi="Times New Roman" w:eastAsia="Times New Roman" w:cs="Times New Roman"/>
                <w:b w:val="0"/>
                <w:bCs w:val="0"/>
                <w:spacing w:val="-3"/>
                <w:sz w:val="21"/>
                <w:szCs w:val="21"/>
              </w:rPr>
              <w:t>52</w:t>
            </w:r>
            <w:r>
              <w:rPr>
                <w:rFonts w:ascii="Times New Roman" w:hAnsi="Times New Roman" w:eastAsia="Times New Roman" w:cs="Times New Roman"/>
                <w:b w:val="0"/>
                <w:bCs w:val="0"/>
                <w:spacing w:val="15"/>
                <w:w w:val="101"/>
                <w:sz w:val="21"/>
                <w:szCs w:val="21"/>
              </w:rPr>
              <w:t xml:space="preserve"> </w:t>
            </w:r>
            <w:r>
              <w:rPr>
                <w:b w:val="0"/>
                <w:bCs w:val="0"/>
                <w:spacing w:val="-3"/>
                <w:sz w:val="21"/>
                <w:szCs w:val="21"/>
              </w:rPr>
              <w:t>号</w:t>
            </w:r>
            <w:r>
              <w:rPr>
                <w:rFonts w:ascii="Times New Roman" w:hAnsi="Times New Roman" w:eastAsia="Times New Roman" w:cs="Times New Roman"/>
                <w:b w:val="0"/>
                <w:bCs w:val="0"/>
                <w:spacing w:val="-3"/>
                <w:sz w:val="21"/>
                <w:szCs w:val="21"/>
              </w:rPr>
              <w:t>)</w:t>
            </w:r>
            <w:r>
              <w:rPr>
                <w:b w:val="0"/>
                <w:bCs w:val="0"/>
                <w:spacing w:val="-3"/>
                <w:sz w:val="21"/>
                <w:szCs w:val="21"/>
              </w:rPr>
              <w:t>；《中华人民共和国环</w:t>
            </w:r>
            <w:r>
              <w:rPr>
                <w:b w:val="0"/>
                <w:bCs w:val="0"/>
                <w:spacing w:val="-4"/>
                <w:sz w:val="21"/>
                <w:szCs w:val="21"/>
              </w:rPr>
              <w:t>境保护法》</w:t>
            </w:r>
            <w:r>
              <w:rPr>
                <w:rFonts w:ascii="Times New Roman" w:hAnsi="Times New Roman" w:eastAsia="Times New Roman" w:cs="Times New Roman"/>
                <w:b w:val="0"/>
                <w:bCs w:val="0"/>
                <w:spacing w:val="-4"/>
                <w:sz w:val="21"/>
                <w:szCs w:val="21"/>
              </w:rPr>
              <w:t>(</w:t>
            </w:r>
            <w:r>
              <w:rPr>
                <w:b w:val="0"/>
                <w:bCs w:val="0"/>
                <w:spacing w:val="-4"/>
                <w:sz w:val="21"/>
                <w:szCs w:val="21"/>
              </w:rPr>
              <w:t>国家主席令</w:t>
            </w:r>
            <w:r>
              <w:rPr>
                <w:rFonts w:ascii="Times New Roman" w:hAnsi="Times New Roman" w:eastAsia="Times New Roman" w:cs="Times New Roman"/>
                <w:b w:val="0"/>
                <w:bCs w:val="0"/>
                <w:spacing w:val="-4"/>
                <w:sz w:val="21"/>
                <w:szCs w:val="21"/>
              </w:rPr>
              <w:t>[2014]</w:t>
            </w:r>
            <w:r>
              <w:rPr>
                <w:b w:val="0"/>
                <w:bCs w:val="0"/>
                <w:spacing w:val="-4"/>
                <w:sz w:val="21"/>
                <w:szCs w:val="21"/>
              </w:rPr>
              <w:t>第</w:t>
            </w:r>
            <w:r>
              <w:rPr>
                <w:b w:val="0"/>
                <w:bCs w:val="0"/>
                <w:spacing w:val="-51"/>
                <w:sz w:val="21"/>
                <w:szCs w:val="21"/>
              </w:rPr>
              <w:t xml:space="preserve"> </w:t>
            </w:r>
            <w:r>
              <w:rPr>
                <w:rFonts w:ascii="Times New Roman" w:hAnsi="Times New Roman" w:eastAsia="Times New Roman" w:cs="Times New Roman"/>
                <w:b w:val="0"/>
                <w:bCs w:val="0"/>
                <w:spacing w:val="-4"/>
                <w:sz w:val="21"/>
                <w:szCs w:val="21"/>
              </w:rPr>
              <w:t>9</w:t>
            </w:r>
            <w:r>
              <w:rPr>
                <w:rFonts w:ascii="Times New Roman" w:hAnsi="Times New Roman" w:eastAsia="Times New Roman" w:cs="Times New Roman"/>
                <w:b w:val="0"/>
                <w:bCs w:val="0"/>
                <w:spacing w:val="15"/>
                <w:w w:val="101"/>
                <w:sz w:val="21"/>
                <w:szCs w:val="21"/>
              </w:rPr>
              <w:t xml:space="preserve"> </w:t>
            </w:r>
            <w:r>
              <w:rPr>
                <w:b w:val="0"/>
                <w:bCs w:val="0"/>
                <w:spacing w:val="-4"/>
                <w:sz w:val="21"/>
                <w:szCs w:val="21"/>
              </w:rPr>
              <w:t>号</w:t>
            </w:r>
            <w:r>
              <w:rPr>
                <w:rFonts w:ascii="Times New Roman" w:hAnsi="Times New Roman" w:eastAsia="Times New Roman" w:cs="Times New Roman"/>
                <w:b w:val="0"/>
                <w:bCs w:val="0"/>
                <w:spacing w:val="-4"/>
                <w:sz w:val="21"/>
                <w:szCs w:val="21"/>
              </w:rPr>
              <w:t>)</w:t>
            </w:r>
            <w:r>
              <w:rPr>
                <w:b w:val="0"/>
                <w:bCs w:val="0"/>
                <w:spacing w:val="-4"/>
                <w:sz w:val="21"/>
                <w:szCs w:val="21"/>
              </w:rPr>
              <w:t>；《危</w:t>
            </w:r>
            <w:r>
              <w:rPr>
                <w:b w:val="0"/>
                <w:bCs w:val="0"/>
                <w:sz w:val="21"/>
                <w:szCs w:val="21"/>
              </w:rPr>
              <w:t xml:space="preserve"> 险化学品安全管理条例》</w:t>
            </w:r>
            <w:r>
              <w:rPr>
                <w:rFonts w:ascii="Times New Roman" w:hAnsi="Times New Roman" w:eastAsia="Times New Roman" w:cs="Times New Roman"/>
                <w:b w:val="0"/>
                <w:bCs w:val="0"/>
                <w:sz w:val="21"/>
                <w:szCs w:val="21"/>
              </w:rPr>
              <w:t>(</w:t>
            </w:r>
            <w:r>
              <w:rPr>
                <w:b w:val="0"/>
                <w:bCs w:val="0"/>
                <w:sz w:val="21"/>
                <w:szCs w:val="21"/>
              </w:rPr>
              <w:t>国务院令</w:t>
            </w:r>
            <w:r>
              <w:rPr>
                <w:rFonts w:ascii="Times New Roman" w:hAnsi="Times New Roman" w:eastAsia="Times New Roman" w:cs="Times New Roman"/>
                <w:b w:val="0"/>
                <w:bCs w:val="0"/>
                <w:sz w:val="21"/>
                <w:szCs w:val="21"/>
              </w:rPr>
              <w:t>[2011]</w:t>
            </w:r>
            <w:r>
              <w:rPr>
                <w:b w:val="0"/>
                <w:bCs w:val="0"/>
                <w:sz w:val="21"/>
                <w:szCs w:val="21"/>
              </w:rPr>
              <w:t>第</w:t>
            </w:r>
            <w:r>
              <w:rPr>
                <w:b w:val="0"/>
                <w:bCs w:val="0"/>
                <w:spacing w:val="-48"/>
                <w:sz w:val="21"/>
                <w:szCs w:val="21"/>
              </w:rPr>
              <w:t xml:space="preserve"> </w:t>
            </w:r>
            <w:r>
              <w:rPr>
                <w:rFonts w:ascii="Times New Roman" w:hAnsi="Times New Roman" w:eastAsia="Times New Roman" w:cs="Times New Roman"/>
                <w:b w:val="0"/>
                <w:bCs w:val="0"/>
                <w:sz w:val="21"/>
                <w:szCs w:val="21"/>
              </w:rPr>
              <w:t>591</w:t>
            </w:r>
            <w:r>
              <w:rPr>
                <w:rFonts w:ascii="Times New Roman" w:hAnsi="Times New Roman" w:eastAsia="Times New Roman" w:cs="Times New Roman"/>
                <w:b w:val="0"/>
                <w:bCs w:val="0"/>
                <w:spacing w:val="15"/>
                <w:sz w:val="21"/>
                <w:szCs w:val="21"/>
              </w:rPr>
              <w:t xml:space="preserve"> </w:t>
            </w:r>
            <w:r>
              <w:rPr>
                <w:b w:val="0"/>
                <w:bCs w:val="0"/>
                <w:spacing w:val="-1"/>
                <w:sz w:val="21"/>
                <w:szCs w:val="21"/>
              </w:rPr>
              <w:t>号</w:t>
            </w:r>
            <w:r>
              <w:rPr>
                <w:rFonts w:ascii="Times New Roman" w:hAnsi="Times New Roman" w:eastAsia="Times New Roman" w:cs="Times New Roman"/>
                <w:b w:val="0"/>
                <w:bCs w:val="0"/>
                <w:spacing w:val="-1"/>
                <w:sz w:val="21"/>
                <w:szCs w:val="21"/>
              </w:rPr>
              <w:t>)</w:t>
            </w:r>
            <w:r>
              <w:rPr>
                <w:b w:val="0"/>
                <w:bCs w:val="0"/>
                <w:spacing w:val="-1"/>
                <w:sz w:val="21"/>
                <w:szCs w:val="21"/>
              </w:rPr>
              <w:t>；《危险化学品生产企业安全</w:t>
            </w:r>
            <w:r>
              <w:rPr>
                <w:b w:val="0"/>
                <w:bCs w:val="0"/>
                <w:sz w:val="21"/>
                <w:szCs w:val="21"/>
              </w:rPr>
              <w:t xml:space="preserve"> </w:t>
            </w:r>
            <w:r>
              <w:rPr>
                <w:b w:val="0"/>
                <w:bCs w:val="0"/>
                <w:spacing w:val="-1"/>
                <w:sz w:val="21"/>
                <w:szCs w:val="21"/>
              </w:rPr>
              <w:t>生产许可证实施办法》（国家安全生产监督管理总局</w:t>
            </w:r>
            <w:r>
              <w:rPr>
                <w:b w:val="0"/>
                <w:bCs w:val="0"/>
                <w:spacing w:val="-2"/>
                <w:sz w:val="21"/>
                <w:szCs w:val="21"/>
              </w:rPr>
              <w:t>令第</w:t>
            </w:r>
            <w:r>
              <w:rPr>
                <w:b w:val="0"/>
                <w:bCs w:val="0"/>
                <w:spacing w:val="-55"/>
                <w:sz w:val="21"/>
                <w:szCs w:val="21"/>
              </w:rPr>
              <w:t xml:space="preserve"> </w:t>
            </w:r>
            <w:r>
              <w:rPr>
                <w:rFonts w:ascii="Times New Roman" w:hAnsi="Times New Roman" w:eastAsia="Times New Roman" w:cs="Times New Roman"/>
                <w:b w:val="0"/>
                <w:bCs w:val="0"/>
                <w:spacing w:val="-2"/>
                <w:sz w:val="21"/>
                <w:szCs w:val="21"/>
              </w:rPr>
              <w:t>41</w:t>
            </w:r>
            <w:r>
              <w:rPr>
                <w:rFonts w:ascii="Times New Roman" w:hAnsi="Times New Roman" w:eastAsia="Times New Roman" w:cs="Times New Roman"/>
                <w:b w:val="0"/>
                <w:bCs w:val="0"/>
                <w:spacing w:val="15"/>
                <w:w w:val="101"/>
                <w:sz w:val="21"/>
                <w:szCs w:val="21"/>
              </w:rPr>
              <w:t xml:space="preserve"> </w:t>
            </w:r>
            <w:r>
              <w:rPr>
                <w:b w:val="0"/>
                <w:bCs w:val="0"/>
                <w:spacing w:val="-2"/>
                <w:sz w:val="21"/>
                <w:szCs w:val="21"/>
              </w:rPr>
              <w:t>号）；《化学品分类</w:t>
            </w:r>
            <w:r>
              <w:rPr>
                <w:b w:val="0"/>
                <w:bCs w:val="0"/>
                <w:sz w:val="21"/>
                <w:szCs w:val="21"/>
              </w:rPr>
              <w:t xml:space="preserve"> </w:t>
            </w:r>
            <w:r>
              <w:rPr>
                <w:b w:val="0"/>
                <w:bCs w:val="0"/>
                <w:spacing w:val="11"/>
                <w:sz w:val="21"/>
                <w:szCs w:val="21"/>
              </w:rPr>
              <w:t>和危</w:t>
            </w:r>
            <w:r>
              <w:rPr>
                <w:b w:val="0"/>
                <w:bCs w:val="0"/>
                <w:spacing w:val="-65"/>
                <w:sz w:val="21"/>
                <w:szCs w:val="21"/>
              </w:rPr>
              <w:t xml:space="preserve"> </w:t>
            </w:r>
            <w:r>
              <w:rPr>
                <w:b w:val="0"/>
                <w:bCs w:val="0"/>
                <w:spacing w:val="11"/>
                <w:sz w:val="21"/>
                <w:szCs w:val="21"/>
              </w:rPr>
              <w:t>险性公示通则</w:t>
            </w:r>
            <w:r>
              <w:rPr>
                <w:b w:val="0"/>
                <w:bCs w:val="0"/>
                <w:spacing w:val="-67"/>
                <w:sz w:val="21"/>
                <w:szCs w:val="21"/>
              </w:rPr>
              <w:t xml:space="preserve"> </w:t>
            </w:r>
            <w:r>
              <w:rPr>
                <w:b w:val="0"/>
                <w:bCs w:val="0"/>
                <w:spacing w:val="11"/>
                <w:sz w:val="21"/>
                <w:szCs w:val="21"/>
              </w:rPr>
              <w:t>》</w:t>
            </w:r>
            <w:r>
              <w:rPr>
                <w:b w:val="0"/>
                <w:bCs w:val="0"/>
                <w:spacing w:val="-91"/>
                <w:sz w:val="21"/>
                <w:szCs w:val="21"/>
              </w:rPr>
              <w:t xml:space="preserve"> </w:t>
            </w:r>
            <w:r>
              <w:rPr>
                <w:b w:val="0"/>
                <w:bCs w:val="0"/>
                <w:spacing w:val="11"/>
                <w:sz w:val="21"/>
                <w:szCs w:val="21"/>
              </w:rPr>
              <w:t>（</w:t>
            </w:r>
            <w:r>
              <w:rPr>
                <w:b w:val="0"/>
                <w:bCs w:val="0"/>
                <w:spacing w:val="-48"/>
                <w:sz w:val="21"/>
                <w:szCs w:val="21"/>
              </w:rPr>
              <w:t xml:space="preserve"> </w:t>
            </w:r>
            <w:r>
              <w:rPr>
                <w:rFonts w:ascii="Times New Roman" w:hAnsi="Times New Roman" w:eastAsia="Times New Roman" w:cs="Times New Roman"/>
                <w:b w:val="0"/>
                <w:bCs w:val="0"/>
                <w:sz w:val="21"/>
                <w:szCs w:val="21"/>
              </w:rPr>
              <w:t>GB</w:t>
            </w:r>
            <w:r>
              <w:rPr>
                <w:rFonts w:ascii="Times New Roman" w:hAnsi="Times New Roman" w:eastAsia="Times New Roman" w:cs="Times New Roman"/>
                <w:b w:val="0"/>
                <w:bCs w:val="0"/>
                <w:spacing w:val="11"/>
                <w:sz w:val="21"/>
                <w:szCs w:val="21"/>
              </w:rPr>
              <w:t xml:space="preserve">13690-2009 </w:t>
            </w:r>
            <w:r>
              <w:rPr>
                <w:b w:val="0"/>
                <w:bCs w:val="0"/>
                <w:spacing w:val="-7"/>
                <w:sz w:val="21"/>
                <w:szCs w:val="21"/>
              </w:rPr>
              <w:t>）</w:t>
            </w:r>
            <w:r>
              <w:rPr>
                <w:b w:val="0"/>
                <w:bCs w:val="0"/>
                <w:spacing w:val="-61"/>
                <w:sz w:val="21"/>
                <w:szCs w:val="21"/>
              </w:rPr>
              <w:t xml:space="preserve"> </w:t>
            </w:r>
            <w:r>
              <w:rPr>
                <w:b w:val="0"/>
                <w:bCs w:val="0"/>
                <w:spacing w:val="-7"/>
                <w:sz w:val="21"/>
                <w:szCs w:val="21"/>
              </w:rPr>
              <w:t>；</w:t>
            </w:r>
            <w:r>
              <w:rPr>
                <w:b w:val="0"/>
                <w:bCs w:val="0"/>
                <w:spacing w:val="11"/>
                <w:sz w:val="21"/>
                <w:szCs w:val="21"/>
              </w:rPr>
              <w:t>工作场所有害</w:t>
            </w:r>
            <w:r>
              <w:rPr>
                <w:b w:val="0"/>
                <w:bCs w:val="0"/>
                <w:spacing w:val="-61"/>
                <w:sz w:val="21"/>
                <w:szCs w:val="21"/>
              </w:rPr>
              <w:t xml:space="preserve"> </w:t>
            </w:r>
            <w:r>
              <w:rPr>
                <w:b w:val="0"/>
                <w:bCs w:val="0"/>
                <w:spacing w:val="11"/>
                <w:sz w:val="21"/>
                <w:szCs w:val="21"/>
              </w:rPr>
              <w:t>因素职业接触限值</w:t>
            </w:r>
            <w:r>
              <w:rPr>
                <w:b w:val="0"/>
                <w:bCs w:val="0"/>
                <w:sz w:val="21"/>
                <w:szCs w:val="21"/>
              </w:rPr>
              <w:t xml:space="preserve"> </w:t>
            </w:r>
            <w:r>
              <w:rPr>
                <w:b w:val="0"/>
                <w:bCs w:val="0"/>
                <w:spacing w:val="-3"/>
                <w:sz w:val="21"/>
                <w:szCs w:val="21"/>
              </w:rPr>
              <w:t>（</w:t>
            </w:r>
            <w:r>
              <w:rPr>
                <w:rFonts w:ascii="Times New Roman" w:hAnsi="Times New Roman" w:eastAsia="Times New Roman" w:cs="Times New Roman"/>
                <w:b w:val="0"/>
                <w:bCs w:val="0"/>
                <w:spacing w:val="-3"/>
                <w:sz w:val="21"/>
                <w:szCs w:val="21"/>
              </w:rPr>
              <w:t>GBZ2.</w:t>
            </w:r>
            <w:r>
              <w:rPr>
                <w:rFonts w:ascii="Times New Roman" w:hAnsi="Times New Roman" w:eastAsia="Times New Roman" w:cs="Times New Roman"/>
                <w:b w:val="0"/>
                <w:bCs w:val="0"/>
                <w:spacing w:val="-32"/>
                <w:sz w:val="21"/>
                <w:szCs w:val="21"/>
              </w:rPr>
              <w:t xml:space="preserve"> </w:t>
            </w:r>
            <w:r>
              <w:rPr>
                <w:rFonts w:ascii="Times New Roman" w:hAnsi="Times New Roman" w:eastAsia="Times New Roman" w:cs="Times New Roman"/>
                <w:b w:val="0"/>
                <w:bCs w:val="0"/>
                <w:spacing w:val="-3"/>
                <w:sz w:val="21"/>
                <w:szCs w:val="21"/>
              </w:rPr>
              <w:t>1-2019</w:t>
            </w:r>
            <w:r>
              <w:rPr>
                <w:b w:val="0"/>
                <w:bCs w:val="0"/>
                <w:spacing w:val="8"/>
                <w:sz w:val="21"/>
                <w:szCs w:val="21"/>
              </w:rPr>
              <w:t>）；</w:t>
            </w:r>
            <w:r>
              <w:rPr>
                <w:b w:val="0"/>
                <w:bCs w:val="0"/>
                <w:spacing w:val="-3"/>
                <w:sz w:val="21"/>
                <w:szCs w:val="21"/>
              </w:rPr>
              <w:t>危险化学品名录</w:t>
            </w:r>
          </w:p>
        </w:tc>
      </w:tr>
    </w:tbl>
    <w:p w14:paraId="5DA7376E">
      <w:pPr>
        <w:tabs>
          <w:tab w:val="left" w:pos="840"/>
          <w:tab w:val="left" w:pos="1260"/>
        </w:tabs>
        <w:adjustRightInd w:val="0"/>
        <w:snapToGrid w:val="0"/>
        <w:spacing w:before="156" w:beforeLines="50" w:after="156" w:afterLines="50" w:line="360" w:lineRule="auto"/>
        <w:ind w:firstLine="562" w:firstLineChars="200"/>
        <w:jc w:val="both"/>
        <w:outlineLvl w:val="2"/>
        <w:rPr>
          <w:rFonts w:hint="eastAsia" w:ascii="Times New Roman" w:hAnsi="Times New Roman" w:eastAsia="黑体" w:cs="Times New Roman"/>
          <w:b/>
          <w:sz w:val="28"/>
          <w:szCs w:val="32"/>
          <w:lang w:val="en-US" w:eastAsia="zh-CN"/>
          <w14:ligatures w14:val="none"/>
        </w:rPr>
      </w:pPr>
      <w:r>
        <w:rPr>
          <w:rFonts w:ascii="Times New Roman" w:hAnsi="Times New Roman" w:eastAsia="黑体" w:cs="Times New Roman"/>
          <w:b/>
          <w:sz w:val="28"/>
          <w:szCs w:val="32"/>
          <w14:ligatures w14:val="none"/>
        </w:rPr>
        <w:t>3.1.</w:t>
      </w:r>
      <w:r>
        <w:rPr>
          <w:rFonts w:hint="eastAsia" w:ascii="Times New Roman" w:hAnsi="Times New Roman" w:eastAsia="黑体" w:cs="Times New Roman"/>
          <w:b/>
          <w:sz w:val="28"/>
          <w:szCs w:val="32"/>
          <w:lang w:val="en-US" w:eastAsia="zh-CN"/>
          <w14:ligatures w14:val="none"/>
        </w:rPr>
        <w:t>3四氯化钛</w:t>
      </w:r>
    </w:p>
    <w:p w14:paraId="246581E8">
      <w:pPr>
        <w:keepNext/>
        <w:adjustRightInd w:val="0"/>
        <w:snapToGrid w:val="0"/>
        <w:spacing w:before="156" w:beforeLines="50" w:after="156" w:afterLines="50" w:line="240" w:lineRule="auto"/>
        <w:jc w:val="center"/>
        <w:rPr>
          <w:rFonts w:ascii="Times New Roman" w:hAnsi="Times New Roman" w:eastAsia="黑体" w:cs="Times New Roman"/>
          <w:sz w:val="24"/>
          <w14:ligatures w14:val="none"/>
        </w:rPr>
      </w:pPr>
      <w:r>
        <w:rPr>
          <w:rFonts w:ascii="Times New Roman" w:hAnsi="Times New Roman" w:eastAsia="黑体" w:cs="Times New Roman"/>
          <w:sz w:val="24"/>
          <w14:ligatures w14:val="none"/>
        </w:rPr>
        <w:t>表</w:t>
      </w:r>
      <w:r>
        <w:rPr>
          <w:rFonts w:hint="eastAsia" w:ascii="Times New Roman" w:hAnsi="Times New Roman" w:eastAsia="黑体" w:cs="Times New Roman"/>
          <w:sz w:val="24"/>
          <w14:ligatures w14:val="none"/>
        </w:rPr>
        <w:t>3.1</w:t>
      </w:r>
      <w:r>
        <w:rPr>
          <w:rFonts w:ascii="Times New Roman" w:hAnsi="Times New Roman" w:eastAsia="黑体" w:cs="Times New Roman"/>
          <w:sz w:val="24"/>
          <w14:ligatures w14:val="none"/>
        </w:rPr>
        <w:t>-</w:t>
      </w:r>
      <w:r>
        <w:rPr>
          <w:rFonts w:hint="eastAsia" w:ascii="Times New Roman" w:hAnsi="Times New Roman" w:eastAsia="黑体" w:cs="Times New Roman"/>
          <w:sz w:val="24"/>
          <w:lang w:val="en-US" w:eastAsia="zh-CN"/>
          <w14:ligatures w14:val="none"/>
        </w:rPr>
        <w:t>4</w:t>
      </w:r>
      <w:r>
        <w:rPr>
          <w:rFonts w:hint="eastAsia" w:ascii="Times New Roman" w:hAnsi="Times New Roman" w:eastAsia="黑体" w:cs="Times New Roman"/>
          <w:sz w:val="24"/>
          <w14:ligatures w14:val="none"/>
        </w:rPr>
        <w:t xml:space="preserve">  </w:t>
      </w:r>
      <w:r>
        <w:rPr>
          <w:rFonts w:hint="eastAsia" w:ascii="Times New Roman" w:hAnsi="Times New Roman" w:eastAsia="黑体" w:cs="Times New Roman"/>
          <w:sz w:val="24"/>
          <w:lang w:val="en-US" w:eastAsia="zh-CN"/>
          <w14:ligatures w14:val="none"/>
        </w:rPr>
        <w:t>四氯化钛</w:t>
      </w:r>
      <w:r>
        <w:rPr>
          <w:rFonts w:hint="eastAsia" w:ascii="Times New Roman" w:hAnsi="Times New Roman" w:eastAsia="黑体" w:cs="Times New Roman"/>
          <w:sz w:val="24"/>
          <w14:ligatures w14:val="none"/>
        </w:rPr>
        <w:t>理化特性表</w:t>
      </w:r>
    </w:p>
    <w:tbl>
      <w:tblPr>
        <w:tblStyle w:val="1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92"/>
        <w:gridCol w:w="8608"/>
      </w:tblGrid>
      <w:tr w14:paraId="5A2720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8" w:hRule="atLeast"/>
        </w:trPr>
        <w:tc>
          <w:tcPr>
            <w:tcW w:w="817" w:type="dxa"/>
            <w:noWrap w:val="0"/>
            <w:vAlign w:val="center"/>
          </w:tcPr>
          <w:p w14:paraId="12D32DC9">
            <w:pPr>
              <w:pStyle w:val="26"/>
              <w:keepNext w:val="0"/>
              <w:keepLines w:val="0"/>
              <w:widowControl w:val="0"/>
              <w:suppressLineNumbers w:val="0"/>
              <w:spacing w:before="0" w:beforeAutospacing="0" w:after="0" w:afterAutospacing="0" w:line="360" w:lineRule="exact"/>
              <w:ind w:left="0" w:right="0"/>
              <w:jc w:val="center"/>
              <w:rPr>
                <w:rStyle w:val="27"/>
                <w:rFonts w:hint="default" w:ascii="Times New Roman" w:hAnsi="Times New Roman" w:eastAsia="宋体" w:cs="Times New Roman"/>
                <w:b w:val="0"/>
                <w:bCs/>
                <w:kern w:val="0"/>
                <w:sz w:val="21"/>
                <w:szCs w:val="21"/>
                <w:highlight w:val="none"/>
                <w:lang w:val="en-US" w:eastAsia="zh-CN" w:bidi="ar-SA"/>
                <w14:ligatures w14:val="standardContextual"/>
              </w:rPr>
            </w:pPr>
            <w:r>
              <w:rPr>
                <w:rStyle w:val="27"/>
                <w:rFonts w:hint="default" w:ascii="Times New Roman" w:hAnsi="Times New Roman" w:eastAsia="宋体" w:cs="Times New Roman"/>
                <w:b w:val="0"/>
                <w:bCs/>
                <w:kern w:val="0"/>
                <w:sz w:val="21"/>
                <w:szCs w:val="21"/>
                <w:highlight w:val="none"/>
                <w:lang w:val="en-US" w:eastAsia="zh-CN" w:bidi="ar-SA"/>
                <w14:ligatures w14:val="standardContextual"/>
              </w:rPr>
              <w:t>特别警示</w:t>
            </w:r>
          </w:p>
        </w:tc>
        <w:tc>
          <w:tcPr>
            <w:tcW w:w="9072" w:type="dxa"/>
            <w:noWrap w:val="0"/>
            <w:vAlign w:val="center"/>
          </w:tcPr>
          <w:p w14:paraId="22D6E0C2">
            <w:pPr>
              <w:pStyle w:val="11"/>
              <w:keepNext w:val="0"/>
              <w:keepLines w:val="0"/>
              <w:suppressLineNumbers w:val="0"/>
              <w:spacing w:before="0" w:beforeAutospacing="0" w:after="0" w:afterAutospacing="0" w:line="360" w:lineRule="exact"/>
              <w:ind w:left="0" w:right="0"/>
              <w:jc w:val="both"/>
              <w:rPr>
                <w:rStyle w:val="27"/>
                <w:rFonts w:hint="default" w:ascii="Times New Roman" w:hAnsi="Times New Roman" w:eastAsia="宋体" w:cs="Times New Roman"/>
                <w:b w:val="0"/>
                <w:bCs/>
                <w:kern w:val="0"/>
                <w:sz w:val="21"/>
                <w:szCs w:val="21"/>
                <w:highlight w:val="none"/>
                <w:lang w:val="en-US" w:eastAsia="zh-CN" w:bidi="ar-SA"/>
                <w14:ligatures w14:val="standardContextual"/>
              </w:rPr>
            </w:pPr>
            <w:r>
              <w:rPr>
                <w:rStyle w:val="27"/>
                <w:rFonts w:hint="eastAsia" w:ascii="Times New Roman" w:hAnsi="Times New Roman" w:eastAsia="宋体" w:cs="Times New Roman"/>
                <w:b w:val="0"/>
                <w:bCs/>
                <w:kern w:val="0"/>
                <w:sz w:val="21"/>
                <w:szCs w:val="21"/>
                <w:highlight w:val="none"/>
                <w:lang w:val="en-US" w:eastAsia="zh-CN" w:bidi="ar-SA"/>
                <w14:ligatures w14:val="standardContextual"/>
              </w:rPr>
              <w:t>易与水反应，放出有毒的腐蚀性烟气。</w:t>
            </w:r>
          </w:p>
        </w:tc>
      </w:tr>
      <w:tr w14:paraId="504465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center"/>
          </w:tcPr>
          <w:p w14:paraId="6FF0E999">
            <w:pPr>
              <w:pStyle w:val="26"/>
              <w:keepNext w:val="0"/>
              <w:keepLines w:val="0"/>
              <w:widowControl w:val="0"/>
              <w:suppressLineNumbers w:val="0"/>
              <w:spacing w:before="0" w:beforeAutospacing="0" w:after="0" w:afterAutospacing="0" w:line="360" w:lineRule="exact"/>
              <w:ind w:left="0" w:right="0"/>
              <w:jc w:val="center"/>
              <w:rPr>
                <w:rFonts w:hint="default" w:ascii="Times New Roman" w:hAnsi="Times New Roman" w:cs="Times New Roman"/>
                <w:b w:val="0"/>
                <w:bCs/>
                <w:sz w:val="21"/>
                <w:szCs w:val="21"/>
                <w:highlight w:val="none"/>
              </w:rPr>
            </w:pPr>
            <w:r>
              <w:rPr>
                <w:rFonts w:hint="default" w:ascii="Times New Roman" w:hAnsi="Times New Roman" w:cs="Times New Roman"/>
                <w:b w:val="0"/>
                <w:bCs/>
                <w:sz w:val="21"/>
                <w:szCs w:val="21"/>
                <w:highlight w:val="none"/>
              </w:rPr>
              <w:t>理</w:t>
            </w:r>
          </w:p>
          <w:p w14:paraId="2F76CAD0">
            <w:pPr>
              <w:pStyle w:val="26"/>
              <w:keepNext w:val="0"/>
              <w:keepLines w:val="0"/>
              <w:widowControl w:val="0"/>
              <w:suppressLineNumbers w:val="0"/>
              <w:spacing w:before="0" w:beforeAutospacing="0" w:after="0" w:afterAutospacing="0" w:line="360" w:lineRule="exact"/>
              <w:ind w:left="0" w:right="0"/>
              <w:jc w:val="center"/>
              <w:rPr>
                <w:rFonts w:hint="default" w:ascii="Times New Roman" w:hAnsi="Times New Roman" w:cs="Times New Roman"/>
                <w:b w:val="0"/>
                <w:bCs/>
                <w:sz w:val="21"/>
                <w:szCs w:val="21"/>
                <w:highlight w:val="none"/>
              </w:rPr>
            </w:pPr>
            <w:r>
              <w:rPr>
                <w:rFonts w:hint="default" w:ascii="Times New Roman" w:hAnsi="Times New Roman" w:cs="Times New Roman"/>
                <w:b w:val="0"/>
                <w:bCs/>
                <w:sz w:val="21"/>
                <w:szCs w:val="21"/>
                <w:highlight w:val="none"/>
              </w:rPr>
              <w:t>化</w:t>
            </w:r>
          </w:p>
          <w:p w14:paraId="1CE810D8">
            <w:pPr>
              <w:pStyle w:val="26"/>
              <w:keepNext w:val="0"/>
              <w:keepLines w:val="0"/>
              <w:widowControl w:val="0"/>
              <w:suppressLineNumbers w:val="0"/>
              <w:spacing w:before="0" w:beforeAutospacing="0" w:after="0" w:afterAutospacing="0" w:line="360" w:lineRule="exact"/>
              <w:ind w:left="0" w:right="0"/>
              <w:jc w:val="center"/>
              <w:rPr>
                <w:rFonts w:hint="default" w:ascii="Times New Roman" w:hAnsi="Times New Roman" w:cs="Times New Roman"/>
                <w:b w:val="0"/>
                <w:bCs/>
                <w:sz w:val="21"/>
                <w:szCs w:val="21"/>
                <w:highlight w:val="none"/>
              </w:rPr>
            </w:pPr>
            <w:r>
              <w:rPr>
                <w:rFonts w:hint="default" w:ascii="Times New Roman" w:hAnsi="Times New Roman" w:cs="Times New Roman"/>
                <w:b w:val="0"/>
                <w:bCs/>
                <w:sz w:val="21"/>
                <w:szCs w:val="21"/>
                <w:highlight w:val="none"/>
              </w:rPr>
              <w:t>特</w:t>
            </w:r>
          </w:p>
          <w:p w14:paraId="0DFD1F38">
            <w:pPr>
              <w:pStyle w:val="26"/>
              <w:keepNext w:val="0"/>
              <w:keepLines w:val="0"/>
              <w:widowControl w:val="0"/>
              <w:suppressLineNumbers w:val="0"/>
              <w:spacing w:before="0" w:beforeAutospacing="0" w:after="0" w:afterAutospacing="0" w:line="360" w:lineRule="exact"/>
              <w:ind w:left="0" w:right="0"/>
              <w:jc w:val="center"/>
              <w:rPr>
                <w:rFonts w:hint="default" w:ascii="Times New Roman" w:hAnsi="Times New Roman" w:cs="Times New Roman"/>
                <w:b w:val="0"/>
                <w:bCs/>
                <w:sz w:val="21"/>
                <w:szCs w:val="21"/>
                <w:highlight w:val="none"/>
              </w:rPr>
            </w:pPr>
            <w:r>
              <w:rPr>
                <w:rFonts w:hint="default" w:ascii="Times New Roman" w:hAnsi="Times New Roman" w:cs="Times New Roman"/>
                <w:b w:val="0"/>
                <w:bCs/>
                <w:sz w:val="21"/>
                <w:szCs w:val="21"/>
                <w:highlight w:val="none"/>
              </w:rPr>
              <w:t>性</w:t>
            </w:r>
          </w:p>
        </w:tc>
        <w:tc>
          <w:tcPr>
            <w:tcW w:w="9072" w:type="dxa"/>
            <w:noWrap w:val="0"/>
            <w:vAlign w:val="top"/>
          </w:tcPr>
          <w:p w14:paraId="7C01C664">
            <w:pPr>
              <w:pStyle w:val="11"/>
              <w:keepNext w:val="0"/>
              <w:keepLines w:val="0"/>
              <w:suppressLineNumbers w:val="0"/>
              <w:spacing w:before="0" w:beforeAutospacing="0" w:after="0" w:afterAutospacing="0" w:line="360" w:lineRule="exact"/>
              <w:ind w:left="0" w:right="0"/>
              <w:rPr>
                <w:rStyle w:val="27"/>
                <w:rFonts w:hint="default" w:ascii="Times New Roman" w:hAnsi="Times New Roman" w:cs="Times New Roman"/>
                <w:b w:val="0"/>
                <w:bCs/>
                <w:sz w:val="21"/>
                <w:szCs w:val="21"/>
                <w:highlight w:val="none"/>
              </w:rPr>
            </w:pPr>
            <w:r>
              <w:rPr>
                <w:rStyle w:val="27"/>
                <w:rFonts w:hint="default" w:ascii="Times New Roman" w:hAnsi="Times New Roman" w:cs="Times New Roman"/>
                <w:b w:val="0"/>
                <w:bCs/>
                <w:sz w:val="21"/>
                <w:szCs w:val="21"/>
                <w:highlight w:val="none"/>
              </w:rPr>
              <w:t>无色或微黄色液体，有刺激性酸味。具极强的吸湿性，在空气中发烟（生 成二氧化钛和氯化氢）。溶于水、盐酸、氢氟酸、乙醇等。分子量 189.71， 熔点-25℃ , 沸点 136.4℃ , 相对密度(水=1)1.73 ，临界温度 358℃ , 饱和蒸 气压 1.33kPa(21.3℃)。</w:t>
            </w:r>
          </w:p>
          <w:p w14:paraId="1902E7B6">
            <w:pPr>
              <w:pStyle w:val="11"/>
              <w:keepNext w:val="0"/>
              <w:keepLines w:val="0"/>
              <w:suppressLineNumbers w:val="0"/>
              <w:spacing w:before="0" w:beforeAutospacing="0" w:after="0" w:afterAutospacing="0" w:line="360" w:lineRule="exact"/>
              <w:ind w:left="0" w:right="0"/>
              <w:rPr>
                <w:rStyle w:val="27"/>
                <w:rFonts w:hint="default" w:ascii="Times New Roman" w:hAnsi="Times New Roman" w:cs="Times New Roman"/>
                <w:b w:val="0"/>
                <w:bCs/>
                <w:sz w:val="21"/>
                <w:szCs w:val="21"/>
                <w:highlight w:val="none"/>
              </w:rPr>
            </w:pPr>
            <w:r>
              <w:rPr>
                <w:rStyle w:val="27"/>
                <w:rFonts w:hint="default" w:ascii="Times New Roman" w:hAnsi="Times New Roman" w:cs="Times New Roman"/>
                <w:b w:val="0"/>
                <w:bCs/>
                <w:sz w:val="21"/>
                <w:szCs w:val="21"/>
                <w:highlight w:val="none"/>
              </w:rPr>
              <w:t>主要用途：主要用于制造钛盐、虹彩剂、人造珍珠、烟幕、颜料、织物媒 染剂等。</w:t>
            </w:r>
          </w:p>
        </w:tc>
      </w:tr>
      <w:tr w14:paraId="2B3A7E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center"/>
          </w:tcPr>
          <w:p w14:paraId="7684C66D">
            <w:pPr>
              <w:pStyle w:val="26"/>
              <w:keepNext w:val="0"/>
              <w:keepLines w:val="0"/>
              <w:widowControl w:val="0"/>
              <w:suppressLineNumbers w:val="0"/>
              <w:spacing w:before="0" w:beforeAutospacing="0" w:after="0" w:afterAutospacing="0" w:line="360" w:lineRule="exact"/>
              <w:ind w:left="0" w:right="0"/>
              <w:jc w:val="center"/>
              <w:rPr>
                <w:rFonts w:hint="default" w:ascii="Times New Roman" w:hAnsi="Times New Roman" w:cs="Times New Roman"/>
                <w:b w:val="0"/>
                <w:bCs/>
                <w:sz w:val="21"/>
                <w:szCs w:val="21"/>
                <w:highlight w:val="none"/>
              </w:rPr>
            </w:pPr>
            <w:r>
              <w:rPr>
                <w:rFonts w:hint="default" w:ascii="Times New Roman" w:hAnsi="Times New Roman" w:cs="Times New Roman"/>
                <w:b w:val="0"/>
                <w:bCs/>
                <w:sz w:val="21"/>
                <w:szCs w:val="21"/>
                <w:highlight w:val="none"/>
              </w:rPr>
              <w:t>危</w:t>
            </w:r>
          </w:p>
          <w:p w14:paraId="1A7F15C4">
            <w:pPr>
              <w:pStyle w:val="26"/>
              <w:keepNext w:val="0"/>
              <w:keepLines w:val="0"/>
              <w:widowControl w:val="0"/>
              <w:suppressLineNumbers w:val="0"/>
              <w:spacing w:before="0" w:beforeAutospacing="0" w:after="0" w:afterAutospacing="0" w:line="360" w:lineRule="exact"/>
              <w:ind w:left="0" w:right="0"/>
              <w:jc w:val="center"/>
              <w:rPr>
                <w:rFonts w:hint="default" w:ascii="Times New Roman" w:hAnsi="Times New Roman" w:cs="Times New Roman"/>
                <w:b w:val="0"/>
                <w:bCs/>
                <w:sz w:val="21"/>
                <w:szCs w:val="21"/>
                <w:highlight w:val="none"/>
              </w:rPr>
            </w:pPr>
            <w:r>
              <w:rPr>
                <w:rFonts w:hint="default" w:ascii="Times New Roman" w:hAnsi="Times New Roman" w:cs="Times New Roman"/>
                <w:b w:val="0"/>
                <w:bCs/>
                <w:sz w:val="21"/>
                <w:szCs w:val="21"/>
                <w:highlight w:val="none"/>
              </w:rPr>
              <w:t>害</w:t>
            </w:r>
          </w:p>
          <w:p w14:paraId="6AA60AAC">
            <w:pPr>
              <w:pStyle w:val="26"/>
              <w:keepNext w:val="0"/>
              <w:keepLines w:val="0"/>
              <w:widowControl w:val="0"/>
              <w:suppressLineNumbers w:val="0"/>
              <w:spacing w:before="0" w:beforeAutospacing="0" w:after="0" w:afterAutospacing="0" w:line="360" w:lineRule="exact"/>
              <w:ind w:left="0" w:right="0"/>
              <w:jc w:val="center"/>
              <w:rPr>
                <w:rFonts w:hint="default" w:ascii="Times New Roman" w:hAnsi="Times New Roman" w:cs="Times New Roman"/>
                <w:b w:val="0"/>
                <w:bCs/>
                <w:sz w:val="21"/>
                <w:szCs w:val="21"/>
                <w:highlight w:val="none"/>
              </w:rPr>
            </w:pPr>
            <w:r>
              <w:rPr>
                <w:rFonts w:hint="default" w:ascii="Times New Roman" w:hAnsi="Times New Roman" w:cs="Times New Roman"/>
                <w:b w:val="0"/>
                <w:bCs/>
                <w:sz w:val="21"/>
                <w:szCs w:val="21"/>
                <w:highlight w:val="none"/>
              </w:rPr>
              <w:t>信</w:t>
            </w:r>
          </w:p>
          <w:p w14:paraId="32A06EAD">
            <w:pPr>
              <w:pStyle w:val="26"/>
              <w:keepNext w:val="0"/>
              <w:keepLines w:val="0"/>
              <w:widowControl w:val="0"/>
              <w:suppressLineNumbers w:val="0"/>
              <w:spacing w:before="0" w:beforeAutospacing="0" w:after="0" w:afterAutospacing="0" w:line="360" w:lineRule="exact"/>
              <w:ind w:left="0" w:right="0"/>
              <w:jc w:val="center"/>
              <w:rPr>
                <w:rFonts w:hint="default" w:ascii="Times New Roman" w:hAnsi="Times New Roman" w:cs="Times New Roman"/>
                <w:b w:val="0"/>
                <w:bCs/>
                <w:sz w:val="21"/>
                <w:szCs w:val="21"/>
                <w:highlight w:val="none"/>
              </w:rPr>
            </w:pPr>
            <w:r>
              <w:rPr>
                <w:rFonts w:hint="default" w:ascii="Times New Roman" w:hAnsi="Times New Roman" w:cs="Times New Roman"/>
                <w:b w:val="0"/>
                <w:bCs/>
                <w:sz w:val="21"/>
                <w:szCs w:val="21"/>
                <w:highlight w:val="none"/>
              </w:rPr>
              <w:t>息</w:t>
            </w:r>
          </w:p>
        </w:tc>
        <w:tc>
          <w:tcPr>
            <w:tcW w:w="9072" w:type="dxa"/>
            <w:noWrap w:val="0"/>
            <w:vAlign w:val="top"/>
          </w:tcPr>
          <w:p w14:paraId="2CB5E07D">
            <w:pPr>
              <w:pStyle w:val="11"/>
              <w:keepNext w:val="0"/>
              <w:keepLines w:val="0"/>
              <w:suppressLineNumbers w:val="0"/>
              <w:spacing w:before="0" w:beforeAutospacing="0" w:after="0" w:afterAutospacing="0" w:line="360" w:lineRule="exact"/>
              <w:ind w:left="0" w:right="0"/>
              <w:rPr>
                <w:rStyle w:val="27"/>
                <w:rFonts w:hint="default" w:ascii="Times New Roman" w:hAnsi="Times New Roman" w:eastAsia="宋体" w:cs="Times New Roman"/>
                <w:b w:val="0"/>
                <w:bCs/>
                <w:sz w:val="21"/>
                <w:szCs w:val="21"/>
                <w:highlight w:val="none"/>
              </w:rPr>
            </w:pPr>
            <w:r>
              <w:rPr>
                <w:rStyle w:val="27"/>
                <w:rFonts w:hint="default" w:ascii="Times New Roman" w:hAnsi="Times New Roman" w:cs="Times New Roman"/>
                <w:b w:val="0"/>
                <w:bCs/>
                <w:sz w:val="21"/>
                <w:szCs w:val="21"/>
                <w:highlight w:val="none"/>
              </w:rPr>
              <w:t>【</w:t>
            </w:r>
            <w:r>
              <w:rPr>
                <w:rStyle w:val="27"/>
                <w:rFonts w:hint="default" w:ascii="Times New Roman" w:hAnsi="Times New Roman" w:eastAsia="宋体" w:cs="Times New Roman"/>
                <w:b w:val="0"/>
                <w:bCs/>
                <w:sz w:val="21"/>
                <w:szCs w:val="21"/>
                <w:highlight w:val="none"/>
              </w:rPr>
              <w:t>燃烧和爆炸危险性】</w:t>
            </w:r>
          </w:p>
          <w:p w14:paraId="59097170">
            <w:pPr>
              <w:pStyle w:val="11"/>
              <w:keepNext w:val="0"/>
              <w:keepLines w:val="0"/>
              <w:suppressLineNumbers w:val="0"/>
              <w:spacing w:before="0" w:beforeAutospacing="0" w:after="0" w:afterAutospacing="0" w:line="360" w:lineRule="exact"/>
              <w:ind w:left="0" w:right="0"/>
              <w:rPr>
                <w:rStyle w:val="27"/>
                <w:rFonts w:hint="default" w:ascii="Times New Roman" w:hAnsi="Times New Roman" w:eastAsia="宋体" w:cs="Times New Roman"/>
                <w:b w:val="0"/>
                <w:bCs/>
                <w:sz w:val="21"/>
                <w:szCs w:val="21"/>
                <w:highlight w:val="none"/>
              </w:rPr>
            </w:pPr>
            <w:r>
              <w:rPr>
                <w:rStyle w:val="27"/>
                <w:rFonts w:hint="default" w:ascii="Times New Roman" w:hAnsi="Times New Roman" w:eastAsia="宋体" w:cs="Times New Roman"/>
                <w:b w:val="0"/>
                <w:bCs/>
                <w:sz w:val="21"/>
                <w:szCs w:val="21"/>
                <w:highlight w:val="none"/>
              </w:rPr>
              <w:t>本品不燃,</w:t>
            </w:r>
          </w:p>
          <w:p w14:paraId="036967ED">
            <w:pPr>
              <w:pStyle w:val="11"/>
              <w:keepNext w:val="0"/>
              <w:keepLines w:val="0"/>
              <w:suppressLineNumbers w:val="0"/>
              <w:spacing w:before="0" w:beforeAutospacing="0" w:after="0" w:afterAutospacing="0" w:line="360" w:lineRule="exact"/>
              <w:ind w:left="0" w:right="0"/>
              <w:rPr>
                <w:rStyle w:val="27"/>
                <w:rFonts w:hint="default" w:ascii="Times New Roman" w:hAnsi="Times New Roman" w:eastAsia="宋体" w:cs="Times New Roman"/>
                <w:b w:val="0"/>
                <w:bCs/>
                <w:sz w:val="21"/>
                <w:szCs w:val="21"/>
                <w:highlight w:val="none"/>
              </w:rPr>
            </w:pPr>
            <w:r>
              <w:rPr>
                <w:rStyle w:val="27"/>
                <w:rFonts w:hint="default" w:ascii="Times New Roman" w:hAnsi="Times New Roman" w:eastAsia="宋体" w:cs="Times New Roman"/>
                <w:b w:val="0"/>
                <w:bCs/>
                <w:sz w:val="21"/>
                <w:szCs w:val="21"/>
                <w:highlight w:val="none"/>
              </w:rPr>
              <w:t>【活性反应】</w:t>
            </w:r>
          </w:p>
          <w:p w14:paraId="21035EFA">
            <w:pPr>
              <w:pStyle w:val="11"/>
              <w:keepNext w:val="0"/>
              <w:keepLines w:val="0"/>
              <w:suppressLineNumbers w:val="0"/>
              <w:spacing w:before="0" w:beforeAutospacing="0" w:after="0" w:afterAutospacing="0" w:line="360" w:lineRule="exact"/>
              <w:ind w:left="0" w:right="0"/>
              <w:rPr>
                <w:rStyle w:val="27"/>
                <w:rFonts w:hint="default" w:ascii="Times New Roman" w:hAnsi="Times New Roman" w:eastAsia="宋体" w:cs="Times New Roman"/>
                <w:b w:val="0"/>
                <w:bCs/>
                <w:sz w:val="21"/>
                <w:szCs w:val="21"/>
                <w:highlight w:val="none"/>
              </w:rPr>
            </w:pPr>
            <w:r>
              <w:rPr>
                <w:rStyle w:val="27"/>
                <w:rFonts w:hint="default" w:ascii="Times New Roman" w:hAnsi="Times New Roman" w:eastAsia="宋体" w:cs="Times New Roman"/>
                <w:b w:val="0"/>
                <w:bCs/>
                <w:sz w:val="21"/>
                <w:szCs w:val="21"/>
                <w:highlight w:val="none"/>
              </w:rPr>
              <w:t xml:space="preserve">受热或遇水分解放热，放出有毒的腐蚀性烟气，具有较强的腐蚀性。 </w:t>
            </w:r>
          </w:p>
          <w:p w14:paraId="228BF0DB">
            <w:pPr>
              <w:pStyle w:val="11"/>
              <w:keepNext w:val="0"/>
              <w:keepLines w:val="0"/>
              <w:suppressLineNumbers w:val="0"/>
              <w:spacing w:before="0" w:beforeAutospacing="0" w:after="0" w:afterAutospacing="0" w:line="360" w:lineRule="exact"/>
              <w:ind w:left="0" w:right="0"/>
              <w:rPr>
                <w:rStyle w:val="27"/>
                <w:rFonts w:hint="default" w:ascii="Times New Roman" w:hAnsi="Times New Roman" w:eastAsia="宋体" w:cs="Times New Roman"/>
                <w:b w:val="0"/>
                <w:bCs/>
                <w:sz w:val="21"/>
                <w:szCs w:val="21"/>
                <w:highlight w:val="none"/>
              </w:rPr>
            </w:pPr>
            <w:r>
              <w:rPr>
                <w:rStyle w:val="27"/>
                <w:rFonts w:hint="default" w:ascii="Times New Roman" w:hAnsi="Times New Roman" w:eastAsia="宋体" w:cs="Times New Roman"/>
                <w:b w:val="0"/>
                <w:bCs/>
                <w:sz w:val="21"/>
                <w:szCs w:val="21"/>
                <w:highlight w:val="none"/>
              </w:rPr>
              <w:t>【健康危害】</w:t>
            </w:r>
          </w:p>
          <w:p w14:paraId="66DF513A">
            <w:pPr>
              <w:pStyle w:val="11"/>
              <w:keepNext w:val="0"/>
              <w:keepLines w:val="0"/>
              <w:suppressLineNumbers w:val="0"/>
              <w:spacing w:before="0" w:beforeAutospacing="0" w:after="0" w:afterAutospacing="0" w:line="360" w:lineRule="exact"/>
              <w:ind w:left="0" w:right="0" w:firstLine="420" w:firstLineChars="200"/>
              <w:rPr>
                <w:rFonts w:hint="default" w:ascii="Times New Roman" w:hAnsi="Times New Roman" w:cs="Times New Roman"/>
                <w:b w:val="0"/>
                <w:bCs/>
                <w:sz w:val="21"/>
                <w:szCs w:val="21"/>
                <w:highlight w:val="none"/>
              </w:rPr>
            </w:pPr>
            <w:r>
              <w:rPr>
                <w:rStyle w:val="27"/>
                <w:rFonts w:hint="default" w:ascii="Times New Roman" w:hAnsi="Times New Roman" w:cs="Times New Roman"/>
                <w:b w:val="0"/>
                <w:bCs/>
                <w:sz w:val="21"/>
                <w:szCs w:val="21"/>
                <w:highlight w:val="none"/>
              </w:rPr>
              <w:t>急性中毒引起喘息性支气管炎、化学性肺炎，可发展成肺水肿。皮肤直接 接触其液体，可引起严重灼伤，治愈后可见有黄色色素沉着。</w:t>
            </w:r>
          </w:p>
        </w:tc>
      </w:tr>
      <w:tr w14:paraId="58F2D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center"/>
          </w:tcPr>
          <w:p w14:paraId="48103D6D">
            <w:pPr>
              <w:pStyle w:val="26"/>
              <w:keepNext w:val="0"/>
              <w:keepLines w:val="0"/>
              <w:widowControl w:val="0"/>
              <w:suppressLineNumbers w:val="0"/>
              <w:spacing w:before="0" w:beforeAutospacing="0" w:after="0" w:afterAutospacing="0" w:line="360" w:lineRule="exact"/>
              <w:ind w:left="0" w:right="0"/>
              <w:jc w:val="center"/>
              <w:rPr>
                <w:rFonts w:hint="default" w:ascii="Times New Roman" w:hAnsi="Times New Roman" w:cs="Times New Roman"/>
                <w:b w:val="0"/>
                <w:bCs/>
                <w:sz w:val="21"/>
                <w:szCs w:val="21"/>
                <w:highlight w:val="none"/>
              </w:rPr>
            </w:pPr>
            <w:r>
              <w:rPr>
                <w:rFonts w:hint="default" w:ascii="Times New Roman" w:hAnsi="Times New Roman" w:cs="Times New Roman"/>
                <w:b w:val="0"/>
                <w:bCs/>
                <w:sz w:val="21"/>
                <w:szCs w:val="21"/>
                <w:highlight w:val="none"/>
              </w:rPr>
              <w:t>安</w:t>
            </w:r>
          </w:p>
          <w:p w14:paraId="1E2F5CD3">
            <w:pPr>
              <w:pStyle w:val="26"/>
              <w:keepNext w:val="0"/>
              <w:keepLines w:val="0"/>
              <w:widowControl w:val="0"/>
              <w:suppressLineNumbers w:val="0"/>
              <w:spacing w:before="0" w:beforeAutospacing="0" w:after="0" w:afterAutospacing="0" w:line="360" w:lineRule="exact"/>
              <w:ind w:left="0" w:right="0"/>
              <w:jc w:val="center"/>
              <w:rPr>
                <w:rFonts w:hint="default" w:ascii="Times New Roman" w:hAnsi="Times New Roman" w:cs="Times New Roman"/>
                <w:b w:val="0"/>
                <w:bCs/>
                <w:sz w:val="21"/>
                <w:szCs w:val="21"/>
                <w:highlight w:val="none"/>
              </w:rPr>
            </w:pPr>
            <w:r>
              <w:rPr>
                <w:rFonts w:hint="default" w:ascii="Times New Roman" w:hAnsi="Times New Roman" w:cs="Times New Roman"/>
                <w:b w:val="0"/>
                <w:bCs/>
                <w:sz w:val="21"/>
                <w:szCs w:val="21"/>
                <w:highlight w:val="none"/>
              </w:rPr>
              <w:t>全</w:t>
            </w:r>
          </w:p>
          <w:p w14:paraId="7C5B1FAE">
            <w:pPr>
              <w:pStyle w:val="26"/>
              <w:keepNext w:val="0"/>
              <w:keepLines w:val="0"/>
              <w:widowControl w:val="0"/>
              <w:suppressLineNumbers w:val="0"/>
              <w:spacing w:before="0" w:beforeAutospacing="0" w:after="0" w:afterAutospacing="0" w:line="360" w:lineRule="exact"/>
              <w:ind w:left="0" w:right="0"/>
              <w:jc w:val="center"/>
              <w:rPr>
                <w:rFonts w:hint="default" w:ascii="Times New Roman" w:hAnsi="Times New Roman" w:cs="Times New Roman"/>
                <w:b w:val="0"/>
                <w:bCs/>
                <w:sz w:val="21"/>
                <w:szCs w:val="21"/>
                <w:highlight w:val="none"/>
              </w:rPr>
            </w:pPr>
            <w:r>
              <w:rPr>
                <w:rFonts w:hint="default" w:ascii="Times New Roman" w:hAnsi="Times New Roman" w:cs="Times New Roman"/>
                <w:b w:val="0"/>
                <w:bCs/>
                <w:sz w:val="21"/>
                <w:szCs w:val="21"/>
                <w:highlight w:val="none"/>
              </w:rPr>
              <w:t>措</w:t>
            </w:r>
          </w:p>
          <w:p w14:paraId="3721FAC1">
            <w:pPr>
              <w:pStyle w:val="26"/>
              <w:keepNext w:val="0"/>
              <w:keepLines w:val="0"/>
              <w:widowControl w:val="0"/>
              <w:suppressLineNumbers w:val="0"/>
              <w:spacing w:before="0" w:beforeAutospacing="0" w:after="0" w:afterAutospacing="0" w:line="360" w:lineRule="exact"/>
              <w:ind w:left="0" w:right="0"/>
              <w:jc w:val="center"/>
              <w:rPr>
                <w:rFonts w:hint="default" w:ascii="Times New Roman" w:hAnsi="Times New Roman" w:cs="Times New Roman"/>
                <w:b w:val="0"/>
                <w:bCs/>
                <w:sz w:val="21"/>
                <w:szCs w:val="21"/>
                <w:highlight w:val="none"/>
              </w:rPr>
            </w:pPr>
            <w:r>
              <w:rPr>
                <w:rFonts w:hint="default" w:ascii="Times New Roman" w:hAnsi="Times New Roman" w:cs="Times New Roman"/>
                <w:b w:val="0"/>
                <w:bCs/>
                <w:sz w:val="21"/>
                <w:szCs w:val="21"/>
                <w:highlight w:val="none"/>
              </w:rPr>
              <w:t>施</w:t>
            </w:r>
          </w:p>
        </w:tc>
        <w:tc>
          <w:tcPr>
            <w:tcW w:w="9072" w:type="dxa"/>
            <w:noWrap w:val="0"/>
            <w:vAlign w:val="top"/>
          </w:tcPr>
          <w:p w14:paraId="0C6DD353">
            <w:pPr>
              <w:pStyle w:val="11"/>
              <w:keepNext w:val="0"/>
              <w:keepLines w:val="0"/>
              <w:suppressLineNumbers w:val="0"/>
              <w:spacing w:before="0" w:beforeAutospacing="0" w:after="0" w:afterAutospacing="0" w:line="360" w:lineRule="exact"/>
              <w:ind w:left="0" w:right="0"/>
              <w:rPr>
                <w:rStyle w:val="27"/>
                <w:rFonts w:hint="default" w:ascii="Times New Roman" w:hAnsi="Times New Roman" w:cs="Times New Roman"/>
                <w:b w:val="0"/>
                <w:bCs/>
                <w:sz w:val="21"/>
                <w:szCs w:val="21"/>
                <w:highlight w:val="none"/>
              </w:rPr>
            </w:pPr>
            <w:r>
              <w:rPr>
                <w:rStyle w:val="27"/>
                <w:rFonts w:hint="default" w:ascii="Times New Roman" w:hAnsi="Times New Roman" w:cs="Times New Roman"/>
                <w:b w:val="0"/>
                <w:bCs/>
                <w:sz w:val="21"/>
                <w:szCs w:val="21"/>
                <w:highlight w:val="none"/>
              </w:rPr>
              <w:t>【一般要求】</w:t>
            </w:r>
          </w:p>
          <w:p w14:paraId="127D3DEC">
            <w:pPr>
              <w:pStyle w:val="11"/>
              <w:keepNext w:val="0"/>
              <w:keepLines w:val="0"/>
              <w:suppressLineNumbers w:val="0"/>
              <w:spacing w:before="0" w:beforeAutospacing="0" w:after="0" w:afterAutospacing="0" w:line="360" w:lineRule="exact"/>
              <w:ind w:left="0" w:right="0"/>
              <w:rPr>
                <w:rStyle w:val="27"/>
                <w:rFonts w:hint="default" w:ascii="Times New Roman" w:hAnsi="Times New Roman" w:cs="Times New Roman"/>
                <w:b w:val="0"/>
                <w:bCs/>
                <w:sz w:val="21"/>
                <w:szCs w:val="21"/>
                <w:highlight w:val="none"/>
              </w:rPr>
            </w:pPr>
            <w:r>
              <w:rPr>
                <w:rStyle w:val="27"/>
                <w:rFonts w:hint="default" w:ascii="Times New Roman" w:hAnsi="Times New Roman" w:cs="Times New Roman"/>
                <w:b w:val="0"/>
                <w:bCs/>
                <w:sz w:val="21"/>
                <w:szCs w:val="21"/>
                <w:highlight w:val="none"/>
              </w:rPr>
              <w:t>操作人员必须经过专门培训，严格遵守操作规程，熟练掌握操作技能，具 备应急处置知识。</w:t>
            </w:r>
          </w:p>
          <w:p w14:paraId="0F37FB58">
            <w:pPr>
              <w:pStyle w:val="11"/>
              <w:keepNext w:val="0"/>
              <w:keepLines w:val="0"/>
              <w:suppressLineNumbers w:val="0"/>
              <w:spacing w:before="0" w:beforeAutospacing="0" w:after="0" w:afterAutospacing="0" w:line="360" w:lineRule="exact"/>
              <w:ind w:left="0" w:right="0"/>
              <w:rPr>
                <w:rStyle w:val="27"/>
                <w:rFonts w:hint="default" w:ascii="Times New Roman" w:hAnsi="Times New Roman" w:cs="Times New Roman"/>
                <w:b w:val="0"/>
                <w:bCs/>
                <w:sz w:val="21"/>
                <w:szCs w:val="21"/>
                <w:highlight w:val="none"/>
              </w:rPr>
            </w:pPr>
            <w:r>
              <w:rPr>
                <w:rStyle w:val="27"/>
                <w:rFonts w:hint="default" w:ascii="Times New Roman" w:hAnsi="Times New Roman" w:cs="Times New Roman"/>
                <w:b w:val="0"/>
                <w:bCs/>
                <w:sz w:val="21"/>
                <w:szCs w:val="21"/>
                <w:highlight w:val="none"/>
              </w:rPr>
              <w:t>密闭操作，工作场所局部排风。避免产生烟雾。防止烟雾和蒸气释放到工 作场所空气中。配备两套以上重型防护服。操作人员应该佩戴自吸过滤式 防毒面具，穿橡胶耐酸碱服，戴橡胶耐酸碱手套。避免与易（可）燃物、还原剂、碱类、活性金属、水及含水物质接触。尤其要注意避免与含水物质接触。 生产、储存区域应设置安全警示标志。搬运时要轻装轻卸，防止包装及容器损坏。 配备泄漏应急处理设备。</w:t>
            </w:r>
          </w:p>
          <w:p w14:paraId="76DE07FF">
            <w:pPr>
              <w:pStyle w:val="11"/>
              <w:keepNext w:val="0"/>
              <w:keepLines w:val="0"/>
              <w:suppressLineNumbers w:val="0"/>
              <w:spacing w:before="0" w:beforeAutospacing="0" w:after="0" w:afterAutospacing="0" w:line="360" w:lineRule="exact"/>
              <w:ind w:left="0" w:right="0"/>
              <w:rPr>
                <w:rStyle w:val="27"/>
                <w:rFonts w:hint="default" w:ascii="Times New Roman" w:hAnsi="Times New Roman" w:cs="Times New Roman"/>
                <w:b w:val="0"/>
                <w:bCs/>
                <w:sz w:val="21"/>
                <w:szCs w:val="21"/>
                <w:highlight w:val="none"/>
              </w:rPr>
            </w:pPr>
            <w:r>
              <w:rPr>
                <w:rStyle w:val="27"/>
                <w:rFonts w:hint="default" w:ascii="Times New Roman" w:hAnsi="Times New Roman" w:cs="Times New Roman"/>
                <w:b w:val="0"/>
                <w:bCs/>
                <w:sz w:val="21"/>
                <w:szCs w:val="21"/>
                <w:highlight w:val="none"/>
              </w:rPr>
              <w:t>【特殊要求】</w:t>
            </w:r>
          </w:p>
          <w:p w14:paraId="567C7132">
            <w:pPr>
              <w:pStyle w:val="11"/>
              <w:keepNext w:val="0"/>
              <w:keepLines w:val="0"/>
              <w:suppressLineNumbers w:val="0"/>
              <w:spacing w:before="0" w:beforeAutospacing="0" w:after="0" w:afterAutospacing="0" w:line="360" w:lineRule="exact"/>
              <w:ind w:left="0" w:right="0"/>
              <w:rPr>
                <w:rStyle w:val="27"/>
                <w:rFonts w:hint="default" w:ascii="Times New Roman" w:hAnsi="Times New Roman" w:cs="Times New Roman"/>
                <w:b w:val="0"/>
                <w:bCs/>
                <w:sz w:val="21"/>
                <w:szCs w:val="21"/>
                <w:highlight w:val="none"/>
              </w:rPr>
            </w:pPr>
            <w:r>
              <w:rPr>
                <w:rStyle w:val="27"/>
                <w:rFonts w:hint="default" w:ascii="Times New Roman" w:hAnsi="Times New Roman" w:cs="Times New Roman"/>
                <w:b w:val="0"/>
                <w:bCs/>
                <w:sz w:val="21"/>
                <w:szCs w:val="21"/>
                <w:highlight w:val="none"/>
              </w:rPr>
              <w:t>【操作安全】</w:t>
            </w:r>
          </w:p>
          <w:p w14:paraId="0F2DB56A">
            <w:pPr>
              <w:pStyle w:val="11"/>
              <w:keepNext w:val="0"/>
              <w:keepLines w:val="0"/>
              <w:suppressLineNumbers w:val="0"/>
              <w:spacing w:before="0" w:beforeAutospacing="0" w:after="0" w:afterAutospacing="0" w:line="360" w:lineRule="exact"/>
              <w:ind w:left="0" w:right="0"/>
              <w:rPr>
                <w:rStyle w:val="27"/>
                <w:rFonts w:hint="default" w:ascii="Times New Roman" w:hAnsi="Times New Roman" w:cs="Times New Roman"/>
                <w:b w:val="0"/>
                <w:bCs/>
                <w:sz w:val="21"/>
                <w:szCs w:val="21"/>
                <w:highlight w:val="none"/>
              </w:rPr>
            </w:pPr>
            <w:r>
              <w:rPr>
                <w:rStyle w:val="27"/>
                <w:rFonts w:hint="default" w:ascii="Times New Roman" w:hAnsi="Times New Roman" w:cs="Times New Roman"/>
                <w:b w:val="0"/>
                <w:bCs/>
                <w:sz w:val="21"/>
                <w:szCs w:val="21"/>
                <w:highlight w:val="none"/>
              </w:rPr>
              <w:t>（1）开四氯化钛容器时，确定工作区通风良好；避免让释出的蒸气进入工 作区的空气中。</w:t>
            </w:r>
          </w:p>
          <w:p w14:paraId="460FBC01">
            <w:pPr>
              <w:pStyle w:val="11"/>
              <w:keepNext w:val="0"/>
              <w:keepLines w:val="0"/>
              <w:suppressLineNumbers w:val="0"/>
              <w:spacing w:before="0" w:beforeAutospacing="0" w:after="0" w:afterAutospacing="0" w:line="360" w:lineRule="exact"/>
              <w:ind w:left="0" w:right="0"/>
              <w:rPr>
                <w:rStyle w:val="27"/>
                <w:rFonts w:hint="default" w:ascii="Times New Roman" w:hAnsi="Times New Roman" w:cs="Times New Roman"/>
                <w:b w:val="0"/>
                <w:bCs/>
                <w:sz w:val="21"/>
                <w:szCs w:val="21"/>
                <w:highlight w:val="none"/>
              </w:rPr>
            </w:pPr>
            <w:r>
              <w:rPr>
                <w:rStyle w:val="27"/>
                <w:rFonts w:hint="default" w:ascii="Times New Roman" w:hAnsi="Times New Roman" w:cs="Times New Roman"/>
                <w:b w:val="0"/>
                <w:bCs/>
                <w:sz w:val="21"/>
                <w:szCs w:val="21"/>
                <w:highlight w:val="none"/>
              </w:rPr>
              <w:t>（2）四氯化钛生产和使用过程中注意以下事项： 必须穿戴好劳动保护用品；系统漏气时要站在上风口，同时佩戴好防毒面具进行作业。</w:t>
            </w:r>
          </w:p>
          <w:p w14:paraId="24CDFE98">
            <w:pPr>
              <w:pStyle w:val="11"/>
              <w:keepNext w:val="0"/>
              <w:keepLines w:val="0"/>
              <w:suppressLineNumbers w:val="0"/>
              <w:spacing w:before="0" w:beforeAutospacing="0" w:after="0" w:afterAutospacing="0" w:line="360" w:lineRule="exact"/>
              <w:ind w:left="0" w:right="0"/>
              <w:rPr>
                <w:rStyle w:val="27"/>
                <w:rFonts w:hint="default" w:ascii="Times New Roman" w:hAnsi="Times New Roman" w:cs="Times New Roman"/>
                <w:b w:val="0"/>
                <w:bCs/>
                <w:sz w:val="21"/>
                <w:szCs w:val="21"/>
                <w:highlight w:val="none"/>
              </w:rPr>
            </w:pPr>
            <w:r>
              <w:rPr>
                <w:rStyle w:val="27"/>
                <w:rFonts w:hint="default" w:ascii="Times New Roman" w:hAnsi="Times New Roman" w:cs="Times New Roman"/>
                <w:b w:val="0"/>
                <w:bCs/>
                <w:sz w:val="21"/>
                <w:szCs w:val="21"/>
                <w:highlight w:val="none"/>
              </w:rPr>
              <w:t>（3）生产设备的清洗污水及生产车间内部地坪的冲洗水须收入应急池，经 处理合格后才可排放。</w:t>
            </w:r>
          </w:p>
          <w:p w14:paraId="0C38A5AF">
            <w:pPr>
              <w:pStyle w:val="11"/>
              <w:keepNext w:val="0"/>
              <w:keepLines w:val="0"/>
              <w:suppressLineNumbers w:val="0"/>
              <w:spacing w:before="0" w:beforeAutospacing="0" w:after="0" w:afterAutospacing="0" w:line="360" w:lineRule="exact"/>
              <w:ind w:left="0" w:right="0"/>
              <w:rPr>
                <w:rStyle w:val="27"/>
                <w:rFonts w:hint="default" w:ascii="Times New Roman" w:hAnsi="Times New Roman" w:cs="Times New Roman"/>
                <w:b w:val="0"/>
                <w:bCs/>
                <w:sz w:val="21"/>
                <w:szCs w:val="21"/>
                <w:highlight w:val="none"/>
              </w:rPr>
            </w:pPr>
            <w:r>
              <w:rPr>
                <w:rStyle w:val="27"/>
                <w:rFonts w:hint="default" w:ascii="Times New Roman" w:hAnsi="Times New Roman" w:cs="Times New Roman"/>
                <w:b w:val="0"/>
                <w:bCs/>
                <w:sz w:val="21"/>
                <w:szCs w:val="21"/>
                <w:highlight w:val="none"/>
              </w:rPr>
              <w:t>【储</w:t>
            </w:r>
            <w:r>
              <w:rPr>
                <w:rStyle w:val="27"/>
                <w:rFonts w:hint="eastAsia" w:ascii="Times New Roman" w:hAnsi="Times New Roman" w:eastAsia="宋体" w:cs="Times New Roman"/>
                <w:b w:val="0"/>
                <w:bCs/>
                <w:sz w:val="21"/>
                <w:szCs w:val="21"/>
                <w:highlight w:val="none"/>
                <w:lang w:val="en-US" w:eastAsia="zh-CN"/>
              </w:rPr>
              <w:t>运</w:t>
            </w:r>
            <w:r>
              <w:rPr>
                <w:rStyle w:val="27"/>
                <w:rFonts w:hint="default" w:ascii="Times New Roman" w:hAnsi="Times New Roman" w:cs="Times New Roman"/>
                <w:b w:val="0"/>
                <w:bCs/>
                <w:sz w:val="21"/>
                <w:szCs w:val="21"/>
                <w:highlight w:val="none"/>
              </w:rPr>
              <w:t>安全】</w:t>
            </w:r>
          </w:p>
          <w:p w14:paraId="02B1CD17">
            <w:pPr>
              <w:pStyle w:val="11"/>
              <w:keepNext w:val="0"/>
              <w:keepLines w:val="0"/>
              <w:suppressLineNumbers w:val="0"/>
              <w:spacing w:before="0" w:beforeAutospacing="0" w:after="0" w:afterAutospacing="0" w:line="360" w:lineRule="exact"/>
              <w:ind w:left="0" w:right="0"/>
              <w:rPr>
                <w:rStyle w:val="27"/>
                <w:rFonts w:hint="default" w:ascii="Times New Roman" w:hAnsi="Times New Roman" w:cs="Times New Roman"/>
                <w:b w:val="0"/>
                <w:bCs/>
                <w:sz w:val="21"/>
                <w:szCs w:val="21"/>
                <w:highlight w:val="none"/>
              </w:rPr>
            </w:pPr>
            <w:r>
              <w:rPr>
                <w:rStyle w:val="27"/>
                <w:rFonts w:hint="default" w:ascii="Times New Roman" w:hAnsi="Times New Roman" w:cs="Times New Roman"/>
                <w:b w:val="0"/>
                <w:bCs/>
                <w:sz w:val="21"/>
                <w:szCs w:val="21"/>
                <w:highlight w:val="none"/>
              </w:rPr>
              <w:t>（1）四氯化钛储存地点要设置明显的安全标志，储罐要密封加盖，应设有 计量装置，储存时保留一定空间。</w:t>
            </w:r>
          </w:p>
          <w:p w14:paraId="77502F39">
            <w:pPr>
              <w:pStyle w:val="11"/>
              <w:keepNext w:val="0"/>
              <w:keepLines w:val="0"/>
              <w:suppressLineNumbers w:val="0"/>
              <w:spacing w:before="0" w:beforeAutospacing="0" w:after="0" w:afterAutospacing="0" w:line="360" w:lineRule="exact"/>
              <w:ind w:left="0" w:right="0"/>
              <w:rPr>
                <w:rStyle w:val="27"/>
                <w:rFonts w:hint="default" w:ascii="Times New Roman" w:hAnsi="Times New Roman" w:cs="Times New Roman"/>
                <w:b w:val="0"/>
                <w:bCs/>
                <w:sz w:val="21"/>
                <w:szCs w:val="21"/>
                <w:highlight w:val="none"/>
              </w:rPr>
            </w:pPr>
            <w:r>
              <w:rPr>
                <w:rStyle w:val="27"/>
                <w:rFonts w:hint="default" w:ascii="Times New Roman" w:hAnsi="Times New Roman" w:cs="Times New Roman"/>
                <w:b w:val="0"/>
                <w:bCs/>
                <w:sz w:val="21"/>
                <w:szCs w:val="21"/>
                <w:highlight w:val="none"/>
              </w:rPr>
              <w:t>（2）四氯化钛宜储存在干燥通风的库房内，防止受潮，库内相对湿度不超 过 75% ，如发现库内有烟雾应先行通风后再检查包装容器有无渗漏破损或 封口不严现象。</w:t>
            </w:r>
          </w:p>
          <w:p w14:paraId="56C31B13">
            <w:pPr>
              <w:pStyle w:val="11"/>
              <w:keepNext w:val="0"/>
              <w:keepLines w:val="0"/>
              <w:suppressLineNumbers w:val="0"/>
              <w:spacing w:before="0" w:beforeAutospacing="0" w:after="0" w:afterAutospacing="0" w:line="360" w:lineRule="exact"/>
              <w:ind w:left="0" w:right="0"/>
              <w:rPr>
                <w:rStyle w:val="27"/>
                <w:rFonts w:hint="default" w:ascii="Times New Roman" w:hAnsi="Times New Roman" w:cs="Times New Roman"/>
                <w:b w:val="0"/>
                <w:bCs/>
                <w:sz w:val="21"/>
                <w:szCs w:val="21"/>
                <w:highlight w:val="none"/>
              </w:rPr>
            </w:pPr>
            <w:r>
              <w:rPr>
                <w:rStyle w:val="27"/>
                <w:rFonts w:hint="default" w:ascii="Times New Roman" w:hAnsi="Times New Roman" w:cs="Times New Roman"/>
                <w:b w:val="0"/>
                <w:bCs/>
                <w:sz w:val="21"/>
                <w:szCs w:val="21"/>
                <w:highlight w:val="none"/>
              </w:rPr>
              <w:t>（3）应与易（可）燃物、还原剂、碱类、活性金属、水及含水物质、食用 化学品等分开存放，切忌混储。储存区内备有泄漏应急处理设备和合适的 收容材料。在四氯化钛储罐四周设置围堰，围堰的容积等于储罐的容积， 围堰与地面作防腐处理。</w:t>
            </w:r>
          </w:p>
          <w:p w14:paraId="53D2BA19">
            <w:pPr>
              <w:pStyle w:val="11"/>
              <w:keepNext w:val="0"/>
              <w:keepLines w:val="0"/>
              <w:suppressLineNumbers w:val="0"/>
              <w:spacing w:before="0" w:beforeAutospacing="0" w:after="0" w:afterAutospacing="0" w:line="360" w:lineRule="exact"/>
              <w:ind w:left="0" w:right="0"/>
              <w:rPr>
                <w:rStyle w:val="27"/>
                <w:rFonts w:hint="default" w:ascii="Times New Roman" w:hAnsi="Times New Roman" w:cs="Times New Roman"/>
                <w:b w:val="0"/>
                <w:bCs/>
                <w:sz w:val="21"/>
                <w:szCs w:val="21"/>
                <w:highlight w:val="none"/>
              </w:rPr>
            </w:pPr>
            <w:r>
              <w:rPr>
                <w:rStyle w:val="27"/>
                <w:rFonts w:hint="default" w:ascii="Times New Roman" w:hAnsi="Times New Roman" w:cs="Times New Roman"/>
                <w:b w:val="0"/>
                <w:bCs/>
                <w:sz w:val="21"/>
                <w:szCs w:val="21"/>
                <w:highlight w:val="none"/>
              </w:rPr>
              <w:t>（4）每天不少于两次对各储罐进行巡检,并做好记录,发现跑、冒、滴、漏 等隐患要及时联系处理，重大隐患要及时上报。</w:t>
            </w:r>
          </w:p>
          <w:p w14:paraId="3A933A2C">
            <w:pPr>
              <w:pStyle w:val="11"/>
              <w:keepNext w:val="0"/>
              <w:keepLines w:val="0"/>
              <w:suppressLineNumbers w:val="0"/>
              <w:spacing w:before="0" w:beforeAutospacing="0" w:after="0" w:afterAutospacing="0" w:line="360" w:lineRule="exact"/>
              <w:ind w:left="0" w:right="0"/>
              <w:rPr>
                <w:rStyle w:val="27"/>
                <w:rFonts w:hint="default" w:ascii="Times New Roman" w:hAnsi="Times New Roman" w:cs="Times New Roman"/>
                <w:b w:val="0"/>
                <w:bCs/>
                <w:sz w:val="21"/>
                <w:szCs w:val="21"/>
                <w:highlight w:val="none"/>
              </w:rPr>
            </w:pPr>
            <w:r>
              <w:rPr>
                <w:rStyle w:val="27"/>
                <w:rFonts w:hint="default" w:ascii="Times New Roman" w:hAnsi="Times New Roman" w:cs="Times New Roman"/>
                <w:b w:val="0"/>
                <w:bCs/>
                <w:sz w:val="21"/>
                <w:szCs w:val="21"/>
                <w:highlight w:val="none"/>
              </w:rPr>
              <w:t>【运输安全】</w:t>
            </w:r>
          </w:p>
          <w:p w14:paraId="4E26EB5F">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textAlignment w:val="auto"/>
              <w:rPr>
                <w:rStyle w:val="27"/>
                <w:rFonts w:hint="default" w:ascii="Times New Roman" w:hAnsi="Times New Roman" w:cs="Times New Roman"/>
                <w:b w:val="0"/>
                <w:bCs/>
                <w:kern w:val="0"/>
                <w:sz w:val="21"/>
                <w:szCs w:val="21"/>
                <w:highlight w:val="none"/>
              </w:rPr>
            </w:pPr>
            <w:r>
              <w:rPr>
                <w:rStyle w:val="27"/>
                <w:rFonts w:hint="default" w:ascii="Times New Roman" w:hAnsi="Times New Roman" w:cs="Times New Roman"/>
                <w:b w:val="0"/>
                <w:bCs/>
                <w:kern w:val="0"/>
                <w:sz w:val="21"/>
                <w:szCs w:val="21"/>
                <w:highlight w:val="none"/>
              </w:rPr>
              <w:t>（1）运输车辆应有危险货物运输标志、安装具有行驶记录功能的卫星定位 装置。未经公安机关批准，运输车辆不得进入危险化学品运输车辆限制通 行的区域。</w:t>
            </w:r>
          </w:p>
          <w:p w14:paraId="4DD7E743">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textAlignment w:val="auto"/>
              <w:rPr>
                <w:rStyle w:val="27"/>
                <w:rFonts w:hint="default" w:ascii="Times New Roman" w:hAnsi="Times New Roman" w:cs="Times New Roman"/>
                <w:b w:val="0"/>
                <w:bCs/>
                <w:kern w:val="0"/>
                <w:sz w:val="21"/>
                <w:szCs w:val="21"/>
                <w:highlight w:val="none"/>
              </w:rPr>
            </w:pPr>
            <w:r>
              <w:rPr>
                <w:rStyle w:val="27"/>
                <w:rFonts w:hint="default" w:ascii="Times New Roman" w:hAnsi="Times New Roman" w:cs="Times New Roman"/>
                <w:b w:val="0"/>
                <w:bCs/>
                <w:kern w:val="0"/>
                <w:sz w:val="21"/>
                <w:szCs w:val="21"/>
                <w:highlight w:val="none"/>
              </w:rPr>
              <w:t>（2）四氯化钛装于专用的槽车内运输，槽车应定期清理；灌装和卸货后， 应将进料口盖严盖紧，防止行驶中车辆的晃动导致四氯化钛溅出；卸料时， 应保证导管与阀门的连接牢固后，逐渐缓慢开启阀门。用其他包装容器运 输时，容器须用耐腐蚀材料的盖密封。四氯化钛装卸人员应站在上风处， 搬运人员必须注意防护，按规定穿戴必要的防护用品；搬运时，管理人员 必须到现场监卸监装；夜晚或光线不足时、雨天不宜搬运。</w:t>
            </w:r>
          </w:p>
          <w:p w14:paraId="2A6E2CB4">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textAlignment w:val="auto"/>
              <w:rPr>
                <w:rFonts w:hint="default" w:ascii="Times New Roman" w:hAnsi="Times New Roman" w:cs="Times New Roman"/>
                <w:b w:val="0"/>
                <w:bCs/>
                <w:sz w:val="21"/>
                <w:szCs w:val="21"/>
                <w:highlight w:val="none"/>
              </w:rPr>
            </w:pPr>
            <w:r>
              <w:rPr>
                <w:rStyle w:val="27"/>
                <w:rFonts w:hint="default" w:ascii="Times New Roman" w:hAnsi="Times New Roman" w:cs="Times New Roman"/>
                <w:b w:val="0"/>
                <w:bCs/>
                <w:kern w:val="0"/>
                <w:sz w:val="21"/>
                <w:szCs w:val="21"/>
                <w:highlight w:val="none"/>
              </w:rPr>
              <w:t>（3）严禁与易（可）燃物、还原剂、碱类、活性金属、水及含水物质、食 用化学品等混装混运。运输时运输车辆应配备泄漏应急处理设备。运输途 中应防曝晒、防雨淋、防高温。</w:t>
            </w:r>
          </w:p>
        </w:tc>
      </w:tr>
      <w:tr w14:paraId="630487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center"/>
          </w:tcPr>
          <w:p w14:paraId="2271E9A5">
            <w:pPr>
              <w:pStyle w:val="26"/>
              <w:keepNext w:val="0"/>
              <w:keepLines w:val="0"/>
              <w:widowControl w:val="0"/>
              <w:suppressLineNumbers w:val="0"/>
              <w:spacing w:before="0" w:beforeAutospacing="0" w:after="0" w:afterAutospacing="0" w:line="360" w:lineRule="exact"/>
              <w:ind w:left="0" w:right="0"/>
              <w:jc w:val="center"/>
              <w:rPr>
                <w:rFonts w:hint="default" w:ascii="Times New Roman" w:hAnsi="Times New Roman" w:cs="Times New Roman"/>
                <w:b w:val="0"/>
                <w:bCs/>
                <w:sz w:val="21"/>
                <w:szCs w:val="21"/>
                <w:highlight w:val="none"/>
              </w:rPr>
            </w:pPr>
          </w:p>
          <w:p w14:paraId="315BD23E">
            <w:pPr>
              <w:pStyle w:val="26"/>
              <w:keepNext w:val="0"/>
              <w:keepLines w:val="0"/>
              <w:widowControl w:val="0"/>
              <w:suppressLineNumbers w:val="0"/>
              <w:spacing w:before="0" w:beforeAutospacing="0" w:after="0" w:afterAutospacing="0" w:line="360" w:lineRule="exact"/>
              <w:ind w:left="0" w:right="0"/>
              <w:jc w:val="center"/>
              <w:rPr>
                <w:rFonts w:hint="default" w:ascii="Times New Roman" w:hAnsi="Times New Roman" w:cs="Times New Roman"/>
                <w:b w:val="0"/>
                <w:bCs/>
                <w:sz w:val="21"/>
                <w:szCs w:val="21"/>
                <w:highlight w:val="none"/>
              </w:rPr>
            </w:pPr>
            <w:r>
              <w:rPr>
                <w:rFonts w:hint="default" w:ascii="Times New Roman" w:hAnsi="Times New Roman" w:cs="Times New Roman"/>
                <w:b w:val="0"/>
                <w:bCs/>
                <w:sz w:val="21"/>
                <w:szCs w:val="21"/>
                <w:highlight w:val="none"/>
              </w:rPr>
              <w:t>应</w:t>
            </w:r>
          </w:p>
          <w:p w14:paraId="271770E5">
            <w:pPr>
              <w:pStyle w:val="26"/>
              <w:keepNext w:val="0"/>
              <w:keepLines w:val="0"/>
              <w:widowControl w:val="0"/>
              <w:suppressLineNumbers w:val="0"/>
              <w:spacing w:before="0" w:beforeAutospacing="0" w:after="0" w:afterAutospacing="0" w:line="360" w:lineRule="exact"/>
              <w:ind w:left="0" w:right="0"/>
              <w:jc w:val="center"/>
              <w:rPr>
                <w:rFonts w:hint="default" w:ascii="Times New Roman" w:hAnsi="Times New Roman" w:cs="Times New Roman"/>
                <w:b w:val="0"/>
                <w:bCs/>
                <w:sz w:val="21"/>
                <w:szCs w:val="21"/>
                <w:highlight w:val="none"/>
              </w:rPr>
            </w:pPr>
            <w:r>
              <w:rPr>
                <w:rFonts w:hint="default" w:ascii="Times New Roman" w:hAnsi="Times New Roman" w:cs="Times New Roman"/>
                <w:b w:val="0"/>
                <w:bCs/>
                <w:sz w:val="21"/>
                <w:szCs w:val="21"/>
                <w:highlight w:val="none"/>
              </w:rPr>
              <w:t>急</w:t>
            </w:r>
          </w:p>
          <w:p w14:paraId="6C1EE209">
            <w:pPr>
              <w:pStyle w:val="26"/>
              <w:keepNext w:val="0"/>
              <w:keepLines w:val="0"/>
              <w:widowControl w:val="0"/>
              <w:suppressLineNumbers w:val="0"/>
              <w:spacing w:before="0" w:beforeAutospacing="0" w:after="0" w:afterAutospacing="0" w:line="360" w:lineRule="exact"/>
              <w:ind w:left="0" w:right="0"/>
              <w:jc w:val="center"/>
              <w:rPr>
                <w:rFonts w:hint="default" w:ascii="Times New Roman" w:hAnsi="Times New Roman" w:cs="Times New Roman"/>
                <w:b w:val="0"/>
                <w:bCs/>
                <w:sz w:val="21"/>
                <w:szCs w:val="21"/>
                <w:highlight w:val="none"/>
              </w:rPr>
            </w:pPr>
            <w:r>
              <w:rPr>
                <w:rFonts w:hint="default" w:ascii="Times New Roman" w:hAnsi="Times New Roman" w:cs="Times New Roman"/>
                <w:b w:val="0"/>
                <w:bCs/>
                <w:sz w:val="21"/>
                <w:szCs w:val="21"/>
                <w:highlight w:val="none"/>
              </w:rPr>
              <w:t>处</w:t>
            </w:r>
          </w:p>
          <w:p w14:paraId="75BB8A11">
            <w:pPr>
              <w:pStyle w:val="26"/>
              <w:keepNext w:val="0"/>
              <w:keepLines w:val="0"/>
              <w:widowControl w:val="0"/>
              <w:suppressLineNumbers w:val="0"/>
              <w:spacing w:before="0" w:beforeAutospacing="0" w:after="0" w:afterAutospacing="0" w:line="360" w:lineRule="exact"/>
              <w:ind w:left="0" w:right="0"/>
              <w:jc w:val="center"/>
              <w:rPr>
                <w:rFonts w:hint="default" w:ascii="Times New Roman" w:hAnsi="Times New Roman" w:cs="Times New Roman"/>
                <w:b w:val="0"/>
                <w:bCs/>
                <w:sz w:val="21"/>
                <w:szCs w:val="21"/>
                <w:highlight w:val="none"/>
              </w:rPr>
            </w:pPr>
            <w:r>
              <w:rPr>
                <w:rFonts w:hint="default" w:ascii="Times New Roman" w:hAnsi="Times New Roman" w:cs="Times New Roman"/>
                <w:b w:val="0"/>
                <w:bCs/>
                <w:sz w:val="21"/>
                <w:szCs w:val="21"/>
                <w:highlight w:val="none"/>
              </w:rPr>
              <w:t>置</w:t>
            </w:r>
          </w:p>
          <w:p w14:paraId="638532B4">
            <w:pPr>
              <w:pStyle w:val="26"/>
              <w:keepNext w:val="0"/>
              <w:keepLines w:val="0"/>
              <w:widowControl w:val="0"/>
              <w:suppressLineNumbers w:val="0"/>
              <w:spacing w:before="0" w:beforeAutospacing="0" w:after="0" w:afterAutospacing="0" w:line="360" w:lineRule="exact"/>
              <w:ind w:left="0" w:right="0"/>
              <w:jc w:val="center"/>
              <w:rPr>
                <w:rFonts w:hint="default" w:ascii="Times New Roman" w:hAnsi="Times New Roman" w:cs="Times New Roman"/>
                <w:b w:val="0"/>
                <w:bCs/>
                <w:sz w:val="21"/>
                <w:szCs w:val="21"/>
                <w:highlight w:val="none"/>
              </w:rPr>
            </w:pPr>
            <w:r>
              <w:rPr>
                <w:rFonts w:hint="default" w:ascii="Times New Roman" w:hAnsi="Times New Roman" w:cs="Times New Roman"/>
                <w:b w:val="0"/>
                <w:bCs/>
                <w:sz w:val="21"/>
                <w:szCs w:val="21"/>
                <w:highlight w:val="none"/>
              </w:rPr>
              <w:t>原</w:t>
            </w:r>
          </w:p>
          <w:p w14:paraId="2FB2B206">
            <w:pPr>
              <w:pStyle w:val="26"/>
              <w:keepNext w:val="0"/>
              <w:keepLines w:val="0"/>
              <w:widowControl w:val="0"/>
              <w:suppressLineNumbers w:val="0"/>
              <w:spacing w:before="0" w:beforeAutospacing="0" w:after="0" w:afterAutospacing="0" w:line="360" w:lineRule="exact"/>
              <w:ind w:left="0" w:right="0"/>
              <w:jc w:val="center"/>
              <w:rPr>
                <w:rFonts w:hint="default" w:ascii="Times New Roman" w:hAnsi="Times New Roman" w:cs="Times New Roman"/>
                <w:b w:val="0"/>
                <w:bCs/>
                <w:sz w:val="21"/>
                <w:szCs w:val="21"/>
                <w:highlight w:val="none"/>
              </w:rPr>
            </w:pPr>
            <w:r>
              <w:rPr>
                <w:rFonts w:hint="default" w:ascii="Times New Roman" w:hAnsi="Times New Roman" w:cs="Times New Roman"/>
                <w:b w:val="0"/>
                <w:bCs/>
                <w:sz w:val="21"/>
                <w:szCs w:val="21"/>
                <w:highlight w:val="none"/>
              </w:rPr>
              <w:t>则</w:t>
            </w:r>
          </w:p>
        </w:tc>
        <w:tc>
          <w:tcPr>
            <w:tcW w:w="9072" w:type="dxa"/>
            <w:noWrap w:val="0"/>
            <w:vAlign w:val="top"/>
          </w:tcPr>
          <w:p w14:paraId="48E14EF3">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textAlignment w:val="auto"/>
              <w:rPr>
                <w:rStyle w:val="27"/>
                <w:rFonts w:hint="default" w:ascii="Times New Roman" w:hAnsi="Times New Roman" w:eastAsia="宋体" w:cs="Times New Roman"/>
                <w:b w:val="0"/>
                <w:bCs/>
                <w:kern w:val="0"/>
                <w:sz w:val="21"/>
                <w:szCs w:val="21"/>
                <w:highlight w:val="none"/>
              </w:rPr>
            </w:pPr>
            <w:r>
              <w:rPr>
                <w:rStyle w:val="27"/>
                <w:rFonts w:hint="default" w:ascii="Times New Roman" w:hAnsi="Times New Roman" w:eastAsia="宋体" w:cs="Times New Roman"/>
                <w:b w:val="0"/>
                <w:bCs/>
                <w:kern w:val="0"/>
                <w:sz w:val="21"/>
                <w:szCs w:val="21"/>
                <w:highlight w:val="none"/>
              </w:rPr>
              <w:t>【急救措施】</w:t>
            </w:r>
          </w:p>
          <w:p w14:paraId="73C4AF53">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textAlignment w:val="auto"/>
              <w:rPr>
                <w:rStyle w:val="27"/>
                <w:rFonts w:hint="default" w:ascii="Times New Roman" w:hAnsi="Times New Roman" w:eastAsia="宋体" w:cs="Times New Roman"/>
                <w:b w:val="0"/>
                <w:bCs/>
                <w:kern w:val="0"/>
                <w:sz w:val="21"/>
                <w:szCs w:val="21"/>
                <w:highlight w:val="none"/>
              </w:rPr>
            </w:pPr>
            <w:r>
              <w:rPr>
                <w:rStyle w:val="27"/>
                <w:rFonts w:hint="default" w:ascii="Times New Roman" w:hAnsi="Times New Roman" w:eastAsia="宋体" w:cs="Times New Roman"/>
                <w:b w:val="0"/>
                <w:bCs/>
                <w:kern w:val="0"/>
                <w:sz w:val="21"/>
                <w:szCs w:val="21"/>
                <w:highlight w:val="none"/>
              </w:rPr>
              <w:t>吸入：迅速脱离现场至空气新鲜处。保持呼吸道通畅。如呼吸困难，给氧。 如呼吸停止，立即进行人工呼吸。就医。</w:t>
            </w:r>
          </w:p>
          <w:p w14:paraId="4132D623">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textAlignment w:val="auto"/>
              <w:rPr>
                <w:rStyle w:val="27"/>
                <w:rFonts w:hint="default" w:ascii="Times New Roman" w:hAnsi="Times New Roman" w:eastAsia="宋体" w:cs="Times New Roman"/>
                <w:b w:val="0"/>
                <w:bCs/>
                <w:kern w:val="0"/>
                <w:sz w:val="21"/>
                <w:szCs w:val="21"/>
                <w:highlight w:val="none"/>
              </w:rPr>
            </w:pPr>
            <w:r>
              <w:rPr>
                <w:rStyle w:val="27"/>
                <w:rFonts w:hint="default" w:ascii="Times New Roman" w:hAnsi="Times New Roman" w:eastAsia="宋体" w:cs="Times New Roman"/>
                <w:b w:val="0"/>
                <w:bCs/>
                <w:kern w:val="0"/>
                <w:sz w:val="21"/>
                <w:szCs w:val="21"/>
                <w:highlight w:val="none"/>
              </w:rPr>
              <w:t>食入：用水漱口，给饮牛奶或蛋清。就医。</w:t>
            </w:r>
          </w:p>
          <w:p w14:paraId="38249736">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textAlignment w:val="auto"/>
              <w:rPr>
                <w:rStyle w:val="27"/>
                <w:rFonts w:hint="default" w:ascii="Times New Roman" w:hAnsi="Times New Roman" w:eastAsia="宋体" w:cs="Times New Roman"/>
                <w:b w:val="0"/>
                <w:bCs/>
                <w:kern w:val="0"/>
                <w:sz w:val="21"/>
                <w:szCs w:val="21"/>
                <w:highlight w:val="none"/>
              </w:rPr>
            </w:pPr>
            <w:r>
              <w:rPr>
                <w:rStyle w:val="27"/>
                <w:rFonts w:hint="default" w:ascii="Times New Roman" w:hAnsi="Times New Roman" w:eastAsia="宋体" w:cs="Times New Roman"/>
                <w:b w:val="0"/>
                <w:bCs/>
                <w:kern w:val="0"/>
                <w:sz w:val="21"/>
                <w:szCs w:val="21"/>
                <w:highlight w:val="none"/>
              </w:rPr>
              <w:t>皮肤接触：立即脱去污染的衣着，立即用清洁棉花或布等吸去液体。用大 量流动清水冲洗。就医。</w:t>
            </w:r>
          </w:p>
          <w:p w14:paraId="110B1CCE">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textAlignment w:val="auto"/>
              <w:rPr>
                <w:rStyle w:val="27"/>
                <w:rFonts w:hint="default" w:ascii="Times New Roman" w:hAnsi="Times New Roman" w:eastAsia="宋体" w:cs="Times New Roman"/>
                <w:b w:val="0"/>
                <w:bCs/>
                <w:kern w:val="0"/>
                <w:sz w:val="21"/>
                <w:szCs w:val="21"/>
                <w:highlight w:val="none"/>
              </w:rPr>
            </w:pPr>
            <w:r>
              <w:rPr>
                <w:rStyle w:val="27"/>
                <w:rFonts w:hint="default" w:ascii="Times New Roman" w:hAnsi="Times New Roman" w:eastAsia="宋体" w:cs="Times New Roman"/>
                <w:b w:val="0"/>
                <w:bCs/>
                <w:kern w:val="0"/>
                <w:sz w:val="21"/>
                <w:szCs w:val="21"/>
                <w:highlight w:val="none"/>
              </w:rPr>
              <w:t>眼睛接触：立即提起眼睑，用大量流动清水或生理盐水彻底冲洗至少 15 分钟。就医。</w:t>
            </w:r>
          </w:p>
          <w:p w14:paraId="18AE6362">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textAlignment w:val="auto"/>
              <w:rPr>
                <w:rStyle w:val="27"/>
                <w:rFonts w:hint="default" w:ascii="Times New Roman" w:hAnsi="Times New Roman" w:eastAsia="宋体" w:cs="Times New Roman"/>
                <w:b w:val="0"/>
                <w:bCs/>
                <w:kern w:val="0"/>
                <w:sz w:val="21"/>
                <w:szCs w:val="21"/>
                <w:highlight w:val="none"/>
              </w:rPr>
            </w:pPr>
            <w:r>
              <w:rPr>
                <w:rStyle w:val="27"/>
                <w:rFonts w:hint="default" w:ascii="Times New Roman" w:hAnsi="Times New Roman" w:eastAsia="宋体" w:cs="Times New Roman"/>
                <w:b w:val="0"/>
                <w:bCs/>
                <w:kern w:val="0"/>
                <w:sz w:val="21"/>
                <w:szCs w:val="21"/>
                <w:highlight w:val="none"/>
              </w:rPr>
              <w:t>【灭火方法】</w:t>
            </w:r>
          </w:p>
          <w:p w14:paraId="5E22FAA3">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textAlignment w:val="auto"/>
              <w:rPr>
                <w:rStyle w:val="27"/>
                <w:rFonts w:hint="default" w:ascii="Times New Roman" w:hAnsi="Times New Roman" w:eastAsia="宋体" w:cs="Times New Roman"/>
                <w:b w:val="0"/>
                <w:bCs/>
                <w:kern w:val="0"/>
                <w:sz w:val="21"/>
                <w:szCs w:val="21"/>
                <w:highlight w:val="none"/>
              </w:rPr>
            </w:pPr>
            <w:r>
              <w:rPr>
                <w:rStyle w:val="27"/>
                <w:rFonts w:hint="default" w:ascii="Times New Roman" w:hAnsi="Times New Roman" w:eastAsia="宋体" w:cs="Times New Roman"/>
                <w:b w:val="0"/>
                <w:bCs/>
                <w:kern w:val="0"/>
                <w:sz w:val="21"/>
                <w:szCs w:val="21"/>
                <w:highlight w:val="none"/>
              </w:rPr>
              <w:t>消防人员必须穿全身耐酸碱消防服。</w:t>
            </w:r>
          </w:p>
          <w:p w14:paraId="09EABF42">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textAlignment w:val="auto"/>
              <w:rPr>
                <w:rStyle w:val="27"/>
                <w:rFonts w:hint="default" w:ascii="Times New Roman" w:hAnsi="Times New Roman" w:eastAsia="宋体" w:cs="Times New Roman"/>
                <w:b w:val="0"/>
                <w:bCs/>
                <w:kern w:val="0"/>
                <w:sz w:val="21"/>
                <w:szCs w:val="21"/>
                <w:highlight w:val="none"/>
              </w:rPr>
            </w:pPr>
            <w:r>
              <w:rPr>
                <w:rStyle w:val="27"/>
                <w:rFonts w:hint="default" w:ascii="Times New Roman" w:hAnsi="Times New Roman" w:eastAsia="宋体" w:cs="Times New Roman"/>
                <w:b w:val="0"/>
                <w:bCs/>
                <w:kern w:val="0"/>
                <w:sz w:val="21"/>
                <w:szCs w:val="21"/>
                <w:highlight w:val="none"/>
              </w:rPr>
              <w:t>灭火剂：干燥砂土。禁止用水、泡沫、酸碱灭火剂灭火。</w:t>
            </w:r>
          </w:p>
          <w:p w14:paraId="6DB9D1D0">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textAlignment w:val="auto"/>
              <w:rPr>
                <w:rStyle w:val="27"/>
                <w:rFonts w:hint="default" w:ascii="Times New Roman" w:hAnsi="Times New Roman" w:eastAsia="宋体" w:cs="Times New Roman"/>
                <w:b w:val="0"/>
                <w:bCs/>
                <w:kern w:val="0"/>
                <w:sz w:val="21"/>
                <w:szCs w:val="21"/>
                <w:highlight w:val="none"/>
              </w:rPr>
            </w:pPr>
            <w:r>
              <w:rPr>
                <w:rStyle w:val="27"/>
                <w:rFonts w:hint="default" w:ascii="Times New Roman" w:hAnsi="Times New Roman" w:eastAsia="宋体" w:cs="Times New Roman"/>
                <w:b w:val="0"/>
                <w:bCs/>
                <w:kern w:val="0"/>
                <w:sz w:val="21"/>
                <w:szCs w:val="21"/>
                <w:highlight w:val="none"/>
              </w:rPr>
              <w:t>【泄漏应急处置】</w:t>
            </w:r>
          </w:p>
          <w:p w14:paraId="6284AEEE">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textAlignment w:val="auto"/>
              <w:rPr>
                <w:rStyle w:val="27"/>
                <w:rFonts w:hint="default" w:ascii="Times New Roman" w:hAnsi="Times New Roman" w:eastAsia="宋体" w:cs="Times New Roman"/>
                <w:b w:val="0"/>
                <w:bCs/>
                <w:kern w:val="0"/>
                <w:sz w:val="21"/>
                <w:szCs w:val="21"/>
                <w:highlight w:val="none"/>
              </w:rPr>
            </w:pPr>
            <w:r>
              <w:rPr>
                <w:rStyle w:val="27"/>
                <w:rFonts w:hint="default" w:ascii="Times New Roman" w:hAnsi="Times New Roman" w:eastAsia="宋体" w:cs="Times New Roman"/>
                <w:b w:val="0"/>
                <w:bCs/>
                <w:kern w:val="0"/>
                <w:sz w:val="21"/>
                <w:szCs w:val="21"/>
                <w:highlight w:val="none"/>
              </w:rPr>
              <w:t>根据液体流动和蒸气扩散的影响区域划定警戒区，无关人员从侧风、上风 向撤离至安全区。建议应急处理人员戴正压自给式空气呼吸器，穿防酸碱 服。穿上适当的防护服前严禁接触破裂的容器和泄漏物。尽可能切断泄漏 源。勿使泄漏物与可燃物质（如木材、纸、油等）接触。防止泄漏物进入 水体、下水道、地下室或密闭性空间。小量泄漏：用干燥的砂土或其它不 燃材料覆盖泄漏物，用洁净的无火花工具收集泄漏物，置于一盖子较松的 塑料容器中，待处置。大量泄漏：构筑围堤或挖坑收容。用石灰粉吸收大 量液体。用耐腐蚀泵转移至槽车或专用收集器内。</w:t>
            </w:r>
          </w:p>
          <w:p w14:paraId="724A189B">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textAlignment w:val="auto"/>
              <w:rPr>
                <w:rFonts w:hint="default" w:ascii="Times New Roman" w:hAnsi="Times New Roman" w:cs="Times New Roman"/>
                <w:b w:val="0"/>
                <w:bCs/>
                <w:sz w:val="21"/>
                <w:szCs w:val="21"/>
                <w:highlight w:val="none"/>
              </w:rPr>
            </w:pPr>
            <w:r>
              <w:rPr>
                <w:rStyle w:val="27"/>
                <w:rFonts w:hint="default" w:ascii="Times New Roman" w:hAnsi="Times New Roman" w:eastAsia="宋体" w:cs="Times New Roman"/>
                <w:b w:val="0"/>
                <w:bCs/>
                <w:kern w:val="0"/>
                <w:sz w:val="21"/>
                <w:szCs w:val="21"/>
                <w:highlight w:val="none"/>
              </w:rPr>
              <w:t>在陆地上泄漏时：小量泄漏，初始隔离 30m ，下风向疏散白天 100m 、夜晚 200m；大量泄漏，初始隔离 60m ，下风向疏散白天 500m 、夜晚 800m。 在水体中泄漏时：小量泄漏，初始隔离 30m ，下风向疏散白天 100m 、夜晚 200m；大量泄漏，初始隔离 60m，下风向疏散白天 600m、夜晚 1900m。</w:t>
            </w:r>
          </w:p>
        </w:tc>
      </w:tr>
    </w:tbl>
    <w:p w14:paraId="0C44A27A">
      <w:pPr>
        <w:tabs>
          <w:tab w:val="left" w:pos="840"/>
          <w:tab w:val="left" w:pos="1260"/>
        </w:tabs>
        <w:adjustRightInd w:val="0"/>
        <w:snapToGrid w:val="0"/>
        <w:spacing w:before="156" w:beforeLines="50" w:after="156" w:afterLines="50" w:line="360" w:lineRule="auto"/>
        <w:ind w:firstLine="562" w:firstLineChars="200"/>
        <w:jc w:val="both"/>
        <w:outlineLvl w:val="2"/>
        <w:rPr>
          <w:rFonts w:hint="eastAsia" w:ascii="Times New Roman" w:hAnsi="Times New Roman" w:eastAsia="黑体" w:cs="Times New Roman"/>
          <w:b/>
          <w:sz w:val="28"/>
          <w:szCs w:val="32"/>
          <w:lang w:val="en-US" w:eastAsia="zh-CN"/>
          <w14:ligatures w14:val="none"/>
        </w:rPr>
      </w:pPr>
      <w:r>
        <w:rPr>
          <w:rFonts w:ascii="Times New Roman" w:hAnsi="Times New Roman" w:eastAsia="黑体" w:cs="Times New Roman"/>
          <w:b/>
          <w:sz w:val="28"/>
          <w:szCs w:val="32"/>
          <w14:ligatures w14:val="none"/>
        </w:rPr>
        <w:t>3.1.</w:t>
      </w:r>
      <w:r>
        <w:rPr>
          <w:rFonts w:hint="eastAsia" w:ascii="Times New Roman" w:hAnsi="Times New Roman" w:eastAsia="黑体" w:cs="Times New Roman"/>
          <w:b/>
          <w:sz w:val="28"/>
          <w:szCs w:val="32"/>
          <w14:ligatures w14:val="none"/>
        </w:rPr>
        <w:t>4</w:t>
      </w:r>
      <w:r>
        <w:rPr>
          <w:rFonts w:hint="eastAsia" w:ascii="Times New Roman" w:hAnsi="Times New Roman" w:eastAsia="黑体" w:cs="Times New Roman"/>
          <w:b/>
          <w:sz w:val="28"/>
          <w:szCs w:val="32"/>
          <w:lang w:val="en-US" w:eastAsia="zh-CN"/>
          <w14:ligatures w14:val="none"/>
        </w:rPr>
        <w:t>硫酸</w:t>
      </w:r>
    </w:p>
    <w:p w14:paraId="4019CCA8">
      <w:pPr>
        <w:keepNext/>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r>
        <w:rPr>
          <w:rFonts w:ascii="Times New Roman" w:hAnsi="Times New Roman" w:eastAsia="黑体" w:cs="Times New Roman"/>
          <w:sz w:val="24"/>
          <w14:ligatures w14:val="none"/>
        </w:rPr>
        <w:t>表</w:t>
      </w:r>
      <w:r>
        <w:rPr>
          <w:rFonts w:hint="eastAsia" w:ascii="Times New Roman" w:hAnsi="Times New Roman" w:eastAsia="黑体" w:cs="Times New Roman"/>
          <w:sz w:val="24"/>
          <w14:ligatures w14:val="none"/>
        </w:rPr>
        <w:t>3.1</w:t>
      </w:r>
      <w:r>
        <w:rPr>
          <w:rFonts w:ascii="Times New Roman" w:hAnsi="Times New Roman" w:eastAsia="黑体" w:cs="Times New Roman"/>
          <w:sz w:val="24"/>
          <w14:ligatures w14:val="none"/>
        </w:rPr>
        <w:t>-</w:t>
      </w:r>
      <w:r>
        <w:rPr>
          <w:rFonts w:hint="eastAsia" w:ascii="Times New Roman" w:hAnsi="Times New Roman" w:eastAsia="黑体" w:cs="Times New Roman"/>
          <w:sz w:val="24"/>
          <w:lang w:val="en-US" w:eastAsia="zh-CN"/>
          <w14:ligatures w14:val="none"/>
        </w:rPr>
        <w:t>5</w:t>
      </w:r>
      <w:r>
        <w:rPr>
          <w:rFonts w:hint="eastAsia" w:ascii="Times New Roman" w:hAnsi="Times New Roman" w:eastAsia="黑体" w:cs="Times New Roman"/>
          <w:sz w:val="24"/>
          <w14:ligatures w14:val="none"/>
        </w:rPr>
        <w:t xml:space="preserve">  </w:t>
      </w:r>
      <w:r>
        <w:rPr>
          <w:rFonts w:hint="eastAsia" w:ascii="Times New Roman" w:hAnsi="Times New Roman" w:eastAsia="黑体" w:cs="Times New Roman"/>
          <w:sz w:val="24"/>
          <w:lang w:val="en-US" w:eastAsia="zh-CN"/>
          <w14:ligatures w14:val="none"/>
        </w:rPr>
        <w:t>硫酸</w:t>
      </w:r>
      <w:r>
        <w:rPr>
          <w:rFonts w:hint="eastAsia" w:ascii="Times New Roman" w:hAnsi="Times New Roman" w:eastAsia="黑体" w:cs="Times New Roman"/>
          <w:sz w:val="24"/>
          <w14:ligatures w14:val="none"/>
        </w:rPr>
        <w:t>理化特性表</w:t>
      </w:r>
    </w:p>
    <w:tbl>
      <w:tblPr>
        <w:tblStyle w:val="13"/>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47"/>
        <w:gridCol w:w="2519"/>
        <w:gridCol w:w="305"/>
        <w:gridCol w:w="434"/>
        <w:gridCol w:w="551"/>
        <w:gridCol w:w="1474"/>
        <w:gridCol w:w="901"/>
        <w:gridCol w:w="2767"/>
      </w:tblGrid>
      <w:tr w14:paraId="17A115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1" w:hRule="atLeast"/>
        </w:trPr>
        <w:tc>
          <w:tcPr>
            <w:tcW w:w="238" w:type="pct"/>
            <w:vMerge w:val="restart"/>
            <w:tcBorders>
              <w:top w:val="single" w:color="auto" w:sz="4" w:space="0"/>
              <w:left w:val="single" w:color="auto" w:sz="4" w:space="0"/>
              <w:bottom w:val="single" w:color="auto" w:sz="4" w:space="0"/>
              <w:right w:val="single" w:color="auto" w:sz="4" w:space="0"/>
            </w:tcBorders>
            <w:noWrap w:val="0"/>
            <w:vAlign w:val="center"/>
          </w:tcPr>
          <w:p w14:paraId="0A61733D">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标识</w:t>
            </w:r>
          </w:p>
        </w:tc>
        <w:tc>
          <w:tcPr>
            <w:tcW w:w="2026" w:type="pct"/>
            <w:gridSpan w:val="4"/>
            <w:tcBorders>
              <w:top w:val="single" w:color="auto" w:sz="4" w:space="0"/>
              <w:left w:val="single" w:color="auto" w:sz="4" w:space="0"/>
              <w:bottom w:val="single" w:color="auto" w:sz="4" w:space="0"/>
              <w:right w:val="single" w:color="auto" w:sz="4" w:space="0"/>
            </w:tcBorders>
            <w:noWrap w:val="0"/>
            <w:vAlign w:val="center"/>
          </w:tcPr>
          <w:p w14:paraId="6CBF93C4">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中文名：硫酸</w:t>
            </w:r>
          </w:p>
        </w:tc>
        <w:tc>
          <w:tcPr>
            <w:tcW w:w="2734" w:type="pct"/>
            <w:gridSpan w:val="3"/>
            <w:tcBorders>
              <w:top w:val="single" w:color="auto" w:sz="4" w:space="0"/>
              <w:left w:val="single" w:color="auto" w:sz="4" w:space="0"/>
              <w:bottom w:val="single" w:color="auto" w:sz="4" w:space="0"/>
              <w:right w:val="single" w:color="auto" w:sz="4" w:space="0"/>
            </w:tcBorders>
            <w:noWrap w:val="0"/>
            <w:vAlign w:val="center"/>
          </w:tcPr>
          <w:p w14:paraId="4442C719">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英文名：sulfuric acid</w:t>
            </w:r>
          </w:p>
        </w:tc>
      </w:tr>
      <w:tr w14:paraId="402844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 w:hRule="atLeast"/>
        </w:trPr>
        <w:tc>
          <w:tcPr>
            <w:tcW w:w="238" w:type="pct"/>
            <w:vMerge w:val="continue"/>
            <w:tcBorders>
              <w:top w:val="single" w:color="auto" w:sz="4" w:space="0"/>
              <w:left w:val="single" w:color="auto" w:sz="4" w:space="0"/>
              <w:bottom w:val="single" w:color="auto" w:sz="4" w:space="0"/>
              <w:right w:val="single" w:color="auto" w:sz="4" w:space="0"/>
            </w:tcBorders>
            <w:noWrap w:val="0"/>
            <w:vAlign w:val="center"/>
          </w:tcPr>
          <w:p w14:paraId="740CEA2E">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p>
        </w:tc>
        <w:tc>
          <w:tcPr>
            <w:tcW w:w="1733" w:type="pct"/>
            <w:gridSpan w:val="3"/>
            <w:tcBorders>
              <w:top w:val="single" w:color="auto" w:sz="4" w:space="0"/>
              <w:left w:val="single" w:color="auto" w:sz="4" w:space="0"/>
              <w:bottom w:val="single" w:color="auto" w:sz="4" w:space="0"/>
              <w:right w:val="single" w:color="auto" w:sz="4" w:space="0"/>
            </w:tcBorders>
            <w:noWrap w:val="0"/>
            <w:vAlign w:val="center"/>
          </w:tcPr>
          <w:p w14:paraId="3A0DF785">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分子式：H</w:t>
            </w:r>
            <w:r>
              <w:rPr>
                <w:rFonts w:hint="eastAsia" w:ascii="Times New Roman" w:hAnsi="Times New Roman" w:eastAsia="宋体" w:cs="宋体"/>
                <w:bCs/>
                <w:kern w:val="0"/>
                <w:sz w:val="21"/>
                <w:szCs w:val="21"/>
                <w:vertAlign w:val="subscript"/>
                <w14:ligatures w14:val="none"/>
              </w:rPr>
              <w:t>2</w:t>
            </w:r>
            <w:r>
              <w:rPr>
                <w:rFonts w:hint="eastAsia" w:ascii="Times New Roman" w:hAnsi="Times New Roman" w:eastAsia="宋体" w:cs="宋体"/>
                <w:bCs/>
                <w:kern w:val="0"/>
                <w:sz w:val="21"/>
                <w:szCs w:val="21"/>
                <w14:ligatures w14:val="none"/>
              </w:rPr>
              <w:t>SO</w:t>
            </w:r>
            <w:r>
              <w:rPr>
                <w:rFonts w:hint="eastAsia" w:ascii="Times New Roman" w:hAnsi="Times New Roman" w:eastAsia="宋体" w:cs="宋体"/>
                <w:bCs/>
                <w:kern w:val="0"/>
                <w:sz w:val="21"/>
                <w:szCs w:val="21"/>
                <w:vertAlign w:val="subscript"/>
                <w14:ligatures w14:val="none"/>
              </w:rPr>
              <w:t>4</w:t>
            </w:r>
          </w:p>
        </w:tc>
        <w:tc>
          <w:tcPr>
            <w:tcW w:w="1556" w:type="pct"/>
            <w:gridSpan w:val="3"/>
            <w:tcBorders>
              <w:top w:val="single" w:color="auto" w:sz="4" w:space="0"/>
              <w:left w:val="single" w:color="auto" w:sz="4" w:space="0"/>
              <w:bottom w:val="single" w:color="auto" w:sz="4" w:space="0"/>
              <w:right w:val="single" w:color="auto" w:sz="4" w:space="0"/>
            </w:tcBorders>
            <w:noWrap w:val="0"/>
            <w:vAlign w:val="center"/>
          </w:tcPr>
          <w:p w14:paraId="381995F5">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分子量：98.08</w:t>
            </w:r>
          </w:p>
        </w:tc>
        <w:tc>
          <w:tcPr>
            <w:tcW w:w="1471" w:type="pct"/>
            <w:tcBorders>
              <w:top w:val="single" w:color="auto" w:sz="4" w:space="0"/>
              <w:left w:val="single" w:color="auto" w:sz="4" w:space="0"/>
              <w:bottom w:val="single" w:color="auto" w:sz="4" w:space="0"/>
              <w:right w:val="single" w:color="auto" w:sz="4" w:space="0"/>
            </w:tcBorders>
            <w:noWrap w:val="0"/>
            <w:vAlign w:val="center"/>
          </w:tcPr>
          <w:p w14:paraId="6EEBEBAE">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CAS号：7664－93－9</w:t>
            </w:r>
          </w:p>
        </w:tc>
      </w:tr>
      <w:tr w14:paraId="327DF3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 w:hRule="atLeast"/>
        </w:trPr>
        <w:tc>
          <w:tcPr>
            <w:tcW w:w="238" w:type="pct"/>
            <w:vMerge w:val="continue"/>
            <w:tcBorders>
              <w:top w:val="single" w:color="auto" w:sz="4" w:space="0"/>
              <w:left w:val="single" w:color="auto" w:sz="4" w:space="0"/>
              <w:bottom w:val="single" w:color="auto" w:sz="4" w:space="0"/>
              <w:right w:val="single" w:color="auto" w:sz="4" w:space="0"/>
            </w:tcBorders>
            <w:noWrap w:val="0"/>
            <w:vAlign w:val="center"/>
          </w:tcPr>
          <w:p w14:paraId="1A352797">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p>
        </w:tc>
        <w:tc>
          <w:tcPr>
            <w:tcW w:w="4761" w:type="pct"/>
            <w:gridSpan w:val="7"/>
            <w:tcBorders>
              <w:top w:val="single" w:color="auto" w:sz="4" w:space="0"/>
              <w:left w:val="single" w:color="auto" w:sz="4" w:space="0"/>
              <w:bottom w:val="single" w:color="auto" w:sz="4" w:space="0"/>
              <w:right w:val="single" w:color="auto" w:sz="4" w:space="0"/>
            </w:tcBorders>
            <w:noWrap w:val="0"/>
            <w:vAlign w:val="center"/>
          </w:tcPr>
          <w:p w14:paraId="3F2DA041">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危规号：81007</w:t>
            </w:r>
          </w:p>
        </w:tc>
      </w:tr>
      <w:tr w14:paraId="2EE051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6" w:hRule="atLeast"/>
        </w:trPr>
        <w:tc>
          <w:tcPr>
            <w:tcW w:w="238" w:type="pct"/>
            <w:vMerge w:val="restart"/>
            <w:tcBorders>
              <w:top w:val="single" w:color="auto" w:sz="4" w:space="0"/>
              <w:left w:val="single" w:color="auto" w:sz="4" w:space="0"/>
              <w:bottom w:val="single" w:color="auto" w:sz="4" w:space="0"/>
              <w:right w:val="single" w:color="auto" w:sz="4" w:space="0"/>
            </w:tcBorders>
            <w:noWrap w:val="0"/>
            <w:vAlign w:val="center"/>
          </w:tcPr>
          <w:p w14:paraId="09E2CEAC">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理化性质</w:t>
            </w:r>
          </w:p>
        </w:tc>
        <w:tc>
          <w:tcPr>
            <w:tcW w:w="4761" w:type="pct"/>
            <w:gridSpan w:val="7"/>
            <w:tcBorders>
              <w:top w:val="single" w:color="auto" w:sz="4" w:space="0"/>
              <w:left w:val="single" w:color="auto" w:sz="4" w:space="0"/>
              <w:bottom w:val="single" w:color="auto" w:sz="4" w:space="0"/>
              <w:right w:val="single" w:color="auto" w:sz="4" w:space="0"/>
            </w:tcBorders>
            <w:noWrap w:val="0"/>
            <w:vAlign w:val="top"/>
          </w:tcPr>
          <w:p w14:paraId="331E3DDB">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性状： 纯品为无色透明油状液体，无臭。</w:t>
            </w:r>
          </w:p>
        </w:tc>
      </w:tr>
      <w:tr w14:paraId="7F2E6E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 w:hRule="atLeast"/>
        </w:trPr>
        <w:tc>
          <w:tcPr>
            <w:tcW w:w="238" w:type="pct"/>
            <w:vMerge w:val="continue"/>
            <w:tcBorders>
              <w:top w:val="single" w:color="auto" w:sz="4" w:space="0"/>
              <w:left w:val="single" w:color="auto" w:sz="4" w:space="0"/>
              <w:bottom w:val="single" w:color="auto" w:sz="4" w:space="0"/>
              <w:right w:val="single" w:color="auto" w:sz="4" w:space="0"/>
            </w:tcBorders>
            <w:noWrap w:val="0"/>
            <w:vAlign w:val="center"/>
          </w:tcPr>
          <w:p w14:paraId="0C0FB569">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p>
        </w:tc>
        <w:tc>
          <w:tcPr>
            <w:tcW w:w="4761" w:type="pct"/>
            <w:gridSpan w:val="7"/>
            <w:tcBorders>
              <w:top w:val="single" w:color="auto" w:sz="4" w:space="0"/>
              <w:left w:val="single" w:color="auto" w:sz="4" w:space="0"/>
              <w:bottom w:val="single" w:color="auto" w:sz="4" w:space="0"/>
              <w:right w:val="single" w:color="auto" w:sz="4" w:space="0"/>
            </w:tcBorders>
            <w:noWrap w:val="0"/>
            <w:vAlign w:val="top"/>
          </w:tcPr>
          <w:p w14:paraId="7A2E7097">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溶解性：与水混溶。</w:t>
            </w:r>
          </w:p>
        </w:tc>
      </w:tr>
      <w:tr w14:paraId="44B899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 w:hRule="atLeast"/>
        </w:trPr>
        <w:tc>
          <w:tcPr>
            <w:tcW w:w="238" w:type="pct"/>
            <w:vMerge w:val="continue"/>
            <w:tcBorders>
              <w:top w:val="single" w:color="auto" w:sz="4" w:space="0"/>
              <w:left w:val="single" w:color="auto" w:sz="4" w:space="0"/>
              <w:bottom w:val="single" w:color="auto" w:sz="4" w:space="0"/>
              <w:right w:val="single" w:color="auto" w:sz="4" w:space="0"/>
            </w:tcBorders>
            <w:noWrap w:val="0"/>
            <w:vAlign w:val="center"/>
          </w:tcPr>
          <w:p w14:paraId="1ED37228">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p>
        </w:tc>
        <w:tc>
          <w:tcPr>
            <w:tcW w:w="1502" w:type="pct"/>
            <w:gridSpan w:val="2"/>
            <w:tcBorders>
              <w:top w:val="single" w:color="auto" w:sz="4" w:space="0"/>
              <w:left w:val="single" w:color="auto" w:sz="4" w:space="0"/>
              <w:bottom w:val="single" w:color="auto" w:sz="4" w:space="0"/>
              <w:right w:val="single" w:color="auto" w:sz="4" w:space="0"/>
            </w:tcBorders>
            <w:noWrap w:val="0"/>
            <w:vAlign w:val="top"/>
          </w:tcPr>
          <w:p w14:paraId="69714CC9">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熔点（℃）：10.5</w:t>
            </w:r>
          </w:p>
        </w:tc>
        <w:tc>
          <w:tcPr>
            <w:tcW w:w="1308" w:type="pct"/>
            <w:gridSpan w:val="3"/>
            <w:tcBorders>
              <w:top w:val="single" w:color="auto" w:sz="4" w:space="0"/>
              <w:left w:val="single" w:color="auto" w:sz="4" w:space="0"/>
              <w:bottom w:val="single" w:color="auto" w:sz="4" w:space="0"/>
              <w:right w:val="single" w:color="auto" w:sz="4" w:space="0"/>
            </w:tcBorders>
            <w:noWrap w:val="0"/>
            <w:vAlign w:val="top"/>
          </w:tcPr>
          <w:p w14:paraId="28B4C11E">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沸点（℃）：330.0</w:t>
            </w:r>
          </w:p>
        </w:tc>
        <w:tc>
          <w:tcPr>
            <w:tcW w:w="1950" w:type="pct"/>
            <w:gridSpan w:val="2"/>
            <w:tcBorders>
              <w:top w:val="single" w:color="auto" w:sz="4" w:space="0"/>
              <w:left w:val="single" w:color="auto" w:sz="4" w:space="0"/>
              <w:bottom w:val="single" w:color="auto" w:sz="4" w:space="0"/>
              <w:right w:val="single" w:color="auto" w:sz="4" w:space="0"/>
            </w:tcBorders>
            <w:noWrap w:val="0"/>
            <w:vAlign w:val="top"/>
          </w:tcPr>
          <w:p w14:paraId="3D58BAFE">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相对密度（水＝1）：1.83</w:t>
            </w:r>
          </w:p>
        </w:tc>
      </w:tr>
      <w:tr w14:paraId="3E735C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 w:hRule="atLeast"/>
        </w:trPr>
        <w:tc>
          <w:tcPr>
            <w:tcW w:w="238" w:type="pct"/>
            <w:vMerge w:val="continue"/>
            <w:tcBorders>
              <w:top w:val="single" w:color="auto" w:sz="4" w:space="0"/>
              <w:left w:val="single" w:color="auto" w:sz="4" w:space="0"/>
              <w:bottom w:val="single" w:color="auto" w:sz="4" w:space="0"/>
              <w:right w:val="single" w:color="auto" w:sz="4" w:space="0"/>
            </w:tcBorders>
            <w:noWrap w:val="0"/>
            <w:vAlign w:val="center"/>
          </w:tcPr>
          <w:p w14:paraId="296F6785">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p>
        </w:tc>
        <w:tc>
          <w:tcPr>
            <w:tcW w:w="1502" w:type="pct"/>
            <w:gridSpan w:val="2"/>
            <w:tcBorders>
              <w:top w:val="single" w:color="auto" w:sz="4" w:space="0"/>
              <w:left w:val="single" w:color="auto" w:sz="4" w:space="0"/>
              <w:bottom w:val="single" w:color="auto" w:sz="4" w:space="0"/>
              <w:right w:val="single" w:color="auto" w:sz="4" w:space="0"/>
            </w:tcBorders>
            <w:noWrap w:val="0"/>
            <w:vAlign w:val="top"/>
          </w:tcPr>
          <w:p w14:paraId="475EF1A1">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临界温度（℃）：</w:t>
            </w:r>
          </w:p>
        </w:tc>
        <w:tc>
          <w:tcPr>
            <w:tcW w:w="1308" w:type="pct"/>
            <w:gridSpan w:val="3"/>
            <w:tcBorders>
              <w:top w:val="single" w:color="auto" w:sz="4" w:space="0"/>
              <w:left w:val="single" w:color="auto" w:sz="4" w:space="0"/>
              <w:bottom w:val="single" w:color="auto" w:sz="4" w:space="0"/>
              <w:right w:val="single" w:color="auto" w:sz="4" w:space="0"/>
            </w:tcBorders>
            <w:noWrap w:val="0"/>
            <w:vAlign w:val="top"/>
          </w:tcPr>
          <w:p w14:paraId="2346085F">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临界压力（MPa）：</w:t>
            </w:r>
          </w:p>
        </w:tc>
        <w:tc>
          <w:tcPr>
            <w:tcW w:w="1950" w:type="pct"/>
            <w:gridSpan w:val="2"/>
            <w:tcBorders>
              <w:top w:val="single" w:color="auto" w:sz="4" w:space="0"/>
              <w:left w:val="single" w:color="auto" w:sz="4" w:space="0"/>
              <w:bottom w:val="single" w:color="auto" w:sz="4" w:space="0"/>
              <w:right w:val="single" w:color="auto" w:sz="4" w:space="0"/>
            </w:tcBorders>
            <w:noWrap w:val="0"/>
            <w:vAlign w:val="top"/>
          </w:tcPr>
          <w:p w14:paraId="35B9100A">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相对密度（空气＝1）：3.4</w:t>
            </w:r>
          </w:p>
        </w:tc>
      </w:tr>
      <w:tr w14:paraId="3A7EBE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 w:hRule="atLeast"/>
        </w:trPr>
        <w:tc>
          <w:tcPr>
            <w:tcW w:w="238" w:type="pct"/>
            <w:vMerge w:val="continue"/>
            <w:tcBorders>
              <w:top w:val="single" w:color="auto" w:sz="4" w:space="0"/>
              <w:left w:val="single" w:color="auto" w:sz="4" w:space="0"/>
              <w:bottom w:val="single" w:color="auto" w:sz="4" w:space="0"/>
              <w:right w:val="single" w:color="auto" w:sz="4" w:space="0"/>
            </w:tcBorders>
            <w:noWrap w:val="0"/>
            <w:vAlign w:val="center"/>
          </w:tcPr>
          <w:p w14:paraId="63EA8044">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p>
        </w:tc>
        <w:tc>
          <w:tcPr>
            <w:tcW w:w="1502" w:type="pct"/>
            <w:gridSpan w:val="2"/>
            <w:tcBorders>
              <w:top w:val="single" w:color="auto" w:sz="4" w:space="0"/>
              <w:left w:val="single" w:color="auto" w:sz="4" w:space="0"/>
              <w:bottom w:val="single" w:color="auto" w:sz="4" w:space="0"/>
              <w:right w:val="single" w:color="auto" w:sz="4" w:space="0"/>
            </w:tcBorders>
            <w:noWrap w:val="0"/>
            <w:vAlign w:val="top"/>
          </w:tcPr>
          <w:p w14:paraId="2D6EE79D">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燃烧热（KJ/mol）：无意义</w:t>
            </w:r>
          </w:p>
        </w:tc>
        <w:tc>
          <w:tcPr>
            <w:tcW w:w="1308" w:type="pct"/>
            <w:gridSpan w:val="3"/>
            <w:tcBorders>
              <w:top w:val="single" w:color="auto" w:sz="4" w:space="0"/>
              <w:left w:val="single" w:color="auto" w:sz="4" w:space="0"/>
              <w:bottom w:val="single" w:color="auto" w:sz="4" w:space="0"/>
              <w:right w:val="single" w:color="auto" w:sz="4" w:space="0"/>
            </w:tcBorders>
            <w:noWrap w:val="0"/>
            <w:vAlign w:val="top"/>
          </w:tcPr>
          <w:p w14:paraId="56208AC0">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最小点火能（mJ）：</w:t>
            </w:r>
          </w:p>
        </w:tc>
        <w:tc>
          <w:tcPr>
            <w:tcW w:w="1950" w:type="pct"/>
            <w:gridSpan w:val="2"/>
            <w:tcBorders>
              <w:top w:val="single" w:color="auto" w:sz="4" w:space="0"/>
              <w:left w:val="single" w:color="auto" w:sz="4" w:space="0"/>
              <w:bottom w:val="single" w:color="auto" w:sz="4" w:space="0"/>
              <w:right w:val="single" w:color="auto" w:sz="4" w:space="0"/>
            </w:tcBorders>
            <w:noWrap w:val="0"/>
            <w:vAlign w:val="top"/>
          </w:tcPr>
          <w:p w14:paraId="56D8EE77">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饱和蒸汽压（KPa）：0.13（145.8℃）</w:t>
            </w:r>
          </w:p>
        </w:tc>
      </w:tr>
      <w:tr w14:paraId="141D17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5" w:hRule="atLeast"/>
        </w:trPr>
        <w:tc>
          <w:tcPr>
            <w:tcW w:w="238" w:type="pct"/>
            <w:vMerge w:val="restart"/>
            <w:tcBorders>
              <w:top w:val="single" w:color="auto" w:sz="4" w:space="0"/>
              <w:left w:val="single" w:color="auto" w:sz="4" w:space="0"/>
              <w:bottom w:val="single" w:color="auto" w:sz="4" w:space="0"/>
              <w:right w:val="single" w:color="auto" w:sz="4" w:space="0"/>
            </w:tcBorders>
            <w:noWrap w:val="0"/>
            <w:vAlign w:val="center"/>
          </w:tcPr>
          <w:p w14:paraId="309E8911">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燃烧爆炸危险性</w:t>
            </w:r>
          </w:p>
        </w:tc>
        <w:tc>
          <w:tcPr>
            <w:tcW w:w="1340" w:type="pct"/>
            <w:tcBorders>
              <w:top w:val="single" w:color="auto" w:sz="4" w:space="0"/>
              <w:left w:val="single" w:color="auto" w:sz="4" w:space="0"/>
              <w:bottom w:val="single" w:color="auto" w:sz="4" w:space="0"/>
              <w:right w:val="single" w:color="auto" w:sz="4" w:space="0"/>
            </w:tcBorders>
            <w:noWrap w:val="0"/>
            <w:vAlign w:val="top"/>
          </w:tcPr>
          <w:p w14:paraId="0368A843">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燃烧性：不燃</w:t>
            </w:r>
          </w:p>
        </w:tc>
        <w:tc>
          <w:tcPr>
            <w:tcW w:w="3420" w:type="pct"/>
            <w:gridSpan w:val="6"/>
            <w:tcBorders>
              <w:top w:val="single" w:color="auto" w:sz="4" w:space="0"/>
              <w:left w:val="single" w:color="auto" w:sz="4" w:space="0"/>
              <w:bottom w:val="single" w:color="auto" w:sz="4" w:space="0"/>
              <w:right w:val="single" w:color="auto" w:sz="4" w:space="0"/>
            </w:tcBorders>
            <w:noWrap w:val="0"/>
            <w:vAlign w:val="top"/>
          </w:tcPr>
          <w:p w14:paraId="6E72969E">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燃烧分解产物：氧化硫。</w:t>
            </w:r>
          </w:p>
        </w:tc>
      </w:tr>
      <w:tr w14:paraId="06FD03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 w:hRule="atLeast"/>
        </w:trPr>
        <w:tc>
          <w:tcPr>
            <w:tcW w:w="238" w:type="pct"/>
            <w:vMerge w:val="continue"/>
            <w:tcBorders>
              <w:top w:val="single" w:color="auto" w:sz="4" w:space="0"/>
              <w:left w:val="single" w:color="auto" w:sz="4" w:space="0"/>
              <w:bottom w:val="single" w:color="auto" w:sz="4" w:space="0"/>
              <w:right w:val="single" w:color="auto" w:sz="4" w:space="0"/>
            </w:tcBorders>
            <w:noWrap w:val="0"/>
            <w:vAlign w:val="center"/>
          </w:tcPr>
          <w:p w14:paraId="007E970A">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p>
        </w:tc>
        <w:tc>
          <w:tcPr>
            <w:tcW w:w="1340" w:type="pct"/>
            <w:tcBorders>
              <w:top w:val="single" w:color="auto" w:sz="4" w:space="0"/>
              <w:left w:val="single" w:color="auto" w:sz="4" w:space="0"/>
              <w:bottom w:val="single" w:color="auto" w:sz="4" w:space="0"/>
              <w:right w:val="single" w:color="auto" w:sz="4" w:space="0"/>
            </w:tcBorders>
            <w:noWrap w:val="0"/>
            <w:vAlign w:val="top"/>
          </w:tcPr>
          <w:p w14:paraId="6F2A76E0">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闪点（℃）：无意义</w:t>
            </w:r>
          </w:p>
        </w:tc>
        <w:tc>
          <w:tcPr>
            <w:tcW w:w="3420" w:type="pct"/>
            <w:gridSpan w:val="6"/>
            <w:tcBorders>
              <w:top w:val="single" w:color="auto" w:sz="4" w:space="0"/>
              <w:left w:val="single" w:color="auto" w:sz="4" w:space="0"/>
              <w:bottom w:val="single" w:color="auto" w:sz="4" w:space="0"/>
              <w:right w:val="single" w:color="auto" w:sz="4" w:space="0"/>
            </w:tcBorders>
            <w:noWrap w:val="0"/>
            <w:vAlign w:val="top"/>
          </w:tcPr>
          <w:p w14:paraId="25EDB135">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聚合危害：不聚合</w:t>
            </w:r>
          </w:p>
        </w:tc>
      </w:tr>
      <w:tr w14:paraId="77CF7C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55" w:hRule="atLeast"/>
        </w:trPr>
        <w:tc>
          <w:tcPr>
            <w:tcW w:w="238" w:type="pct"/>
            <w:vMerge w:val="continue"/>
            <w:tcBorders>
              <w:top w:val="single" w:color="auto" w:sz="4" w:space="0"/>
              <w:left w:val="single" w:color="auto" w:sz="4" w:space="0"/>
              <w:bottom w:val="single" w:color="auto" w:sz="4" w:space="0"/>
              <w:right w:val="single" w:color="auto" w:sz="4" w:space="0"/>
            </w:tcBorders>
            <w:noWrap w:val="0"/>
            <w:vAlign w:val="center"/>
          </w:tcPr>
          <w:p w14:paraId="75D0CBE8">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p>
        </w:tc>
        <w:tc>
          <w:tcPr>
            <w:tcW w:w="1340" w:type="pct"/>
            <w:tcBorders>
              <w:top w:val="single" w:color="auto" w:sz="4" w:space="0"/>
              <w:left w:val="single" w:color="auto" w:sz="4" w:space="0"/>
              <w:bottom w:val="single" w:color="auto" w:sz="4" w:space="0"/>
              <w:right w:val="single" w:color="auto" w:sz="4" w:space="0"/>
            </w:tcBorders>
            <w:noWrap w:val="0"/>
            <w:vAlign w:val="top"/>
          </w:tcPr>
          <w:p w14:paraId="448B58D5">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爆炸下限（％）：无意义</w:t>
            </w:r>
          </w:p>
        </w:tc>
        <w:tc>
          <w:tcPr>
            <w:tcW w:w="3420" w:type="pct"/>
            <w:gridSpan w:val="6"/>
            <w:tcBorders>
              <w:top w:val="single" w:color="auto" w:sz="4" w:space="0"/>
              <w:left w:val="single" w:color="auto" w:sz="4" w:space="0"/>
              <w:bottom w:val="single" w:color="auto" w:sz="4" w:space="0"/>
              <w:right w:val="single" w:color="auto" w:sz="4" w:space="0"/>
            </w:tcBorders>
            <w:noWrap w:val="0"/>
            <w:vAlign w:val="top"/>
          </w:tcPr>
          <w:p w14:paraId="79F5BBA5">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稳定性：稳定</w:t>
            </w:r>
          </w:p>
        </w:tc>
      </w:tr>
      <w:tr w14:paraId="3853E9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55" w:hRule="atLeast"/>
        </w:trPr>
        <w:tc>
          <w:tcPr>
            <w:tcW w:w="238" w:type="pct"/>
            <w:vMerge w:val="continue"/>
            <w:tcBorders>
              <w:top w:val="single" w:color="auto" w:sz="4" w:space="0"/>
              <w:left w:val="single" w:color="auto" w:sz="4" w:space="0"/>
              <w:bottom w:val="single" w:color="auto" w:sz="4" w:space="0"/>
              <w:right w:val="single" w:color="auto" w:sz="4" w:space="0"/>
            </w:tcBorders>
            <w:noWrap w:val="0"/>
            <w:vAlign w:val="center"/>
          </w:tcPr>
          <w:p w14:paraId="4B44B7C3">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p>
        </w:tc>
        <w:tc>
          <w:tcPr>
            <w:tcW w:w="1340" w:type="pct"/>
            <w:tcBorders>
              <w:top w:val="single" w:color="auto" w:sz="4" w:space="0"/>
              <w:left w:val="single" w:color="auto" w:sz="4" w:space="0"/>
              <w:bottom w:val="single" w:color="auto" w:sz="4" w:space="0"/>
              <w:right w:val="single" w:color="auto" w:sz="4" w:space="0"/>
            </w:tcBorders>
            <w:noWrap w:val="0"/>
            <w:vAlign w:val="top"/>
          </w:tcPr>
          <w:p w14:paraId="1A27563D">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爆炸上限（％）：无意义</w:t>
            </w:r>
          </w:p>
        </w:tc>
        <w:tc>
          <w:tcPr>
            <w:tcW w:w="3420" w:type="pct"/>
            <w:gridSpan w:val="6"/>
            <w:tcBorders>
              <w:top w:val="single" w:color="auto" w:sz="4" w:space="0"/>
              <w:left w:val="single" w:color="auto" w:sz="4" w:space="0"/>
              <w:bottom w:val="single" w:color="auto" w:sz="4" w:space="0"/>
              <w:right w:val="single" w:color="auto" w:sz="4" w:space="0"/>
            </w:tcBorders>
            <w:noWrap w:val="0"/>
            <w:vAlign w:val="top"/>
          </w:tcPr>
          <w:p w14:paraId="7E5063A3">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最大爆炸压力（MPa）：无意义</w:t>
            </w:r>
          </w:p>
        </w:tc>
      </w:tr>
      <w:tr w14:paraId="3BE012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 w:hRule="atLeast"/>
        </w:trPr>
        <w:tc>
          <w:tcPr>
            <w:tcW w:w="238" w:type="pct"/>
            <w:vMerge w:val="continue"/>
            <w:tcBorders>
              <w:top w:val="single" w:color="auto" w:sz="4" w:space="0"/>
              <w:left w:val="single" w:color="auto" w:sz="4" w:space="0"/>
              <w:bottom w:val="single" w:color="auto" w:sz="4" w:space="0"/>
              <w:right w:val="single" w:color="auto" w:sz="4" w:space="0"/>
            </w:tcBorders>
            <w:noWrap w:val="0"/>
            <w:vAlign w:val="center"/>
          </w:tcPr>
          <w:p w14:paraId="1AD8B8AB">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p>
        </w:tc>
        <w:tc>
          <w:tcPr>
            <w:tcW w:w="1340" w:type="pct"/>
            <w:tcBorders>
              <w:top w:val="single" w:color="auto" w:sz="4" w:space="0"/>
              <w:left w:val="single" w:color="auto" w:sz="4" w:space="0"/>
              <w:bottom w:val="single" w:color="auto" w:sz="4" w:space="0"/>
              <w:right w:val="single" w:color="auto" w:sz="4" w:space="0"/>
            </w:tcBorders>
            <w:noWrap w:val="0"/>
            <w:vAlign w:val="top"/>
          </w:tcPr>
          <w:p w14:paraId="0F6FC0C0">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引燃温度（℃）：无意义</w:t>
            </w:r>
          </w:p>
        </w:tc>
        <w:tc>
          <w:tcPr>
            <w:tcW w:w="3420" w:type="pct"/>
            <w:gridSpan w:val="6"/>
            <w:tcBorders>
              <w:top w:val="single" w:color="auto" w:sz="4" w:space="0"/>
              <w:left w:val="single" w:color="auto" w:sz="4" w:space="0"/>
              <w:bottom w:val="single" w:color="auto" w:sz="4" w:space="0"/>
              <w:right w:val="single" w:color="auto" w:sz="4" w:space="0"/>
            </w:tcBorders>
            <w:noWrap w:val="0"/>
            <w:vAlign w:val="top"/>
          </w:tcPr>
          <w:p w14:paraId="09B99AFB">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禁忌物：碱类、碱金属、水、强还原剂、易燃或可燃物。</w:t>
            </w:r>
          </w:p>
        </w:tc>
      </w:tr>
      <w:tr w14:paraId="506741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9" w:hRule="atLeast"/>
        </w:trPr>
        <w:tc>
          <w:tcPr>
            <w:tcW w:w="238" w:type="pct"/>
            <w:vMerge w:val="continue"/>
            <w:tcBorders>
              <w:top w:val="single" w:color="auto" w:sz="4" w:space="0"/>
              <w:left w:val="single" w:color="auto" w:sz="4" w:space="0"/>
              <w:bottom w:val="single" w:color="auto" w:sz="4" w:space="0"/>
              <w:right w:val="single" w:color="auto" w:sz="4" w:space="0"/>
            </w:tcBorders>
            <w:noWrap w:val="0"/>
            <w:vAlign w:val="center"/>
          </w:tcPr>
          <w:p w14:paraId="702D1955">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p>
        </w:tc>
        <w:tc>
          <w:tcPr>
            <w:tcW w:w="4761" w:type="pct"/>
            <w:gridSpan w:val="7"/>
            <w:tcBorders>
              <w:top w:val="single" w:color="auto" w:sz="4" w:space="0"/>
              <w:left w:val="single" w:color="auto" w:sz="4" w:space="0"/>
              <w:bottom w:val="single" w:color="auto" w:sz="4" w:space="0"/>
              <w:right w:val="single" w:color="auto" w:sz="4" w:space="0"/>
            </w:tcBorders>
            <w:noWrap w:val="0"/>
            <w:vAlign w:val="top"/>
          </w:tcPr>
          <w:p w14:paraId="3DC41CCC">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危险特性：遇水大量放热，可发生沸溅。与易燃物（如苯）和可燃物（如糖、纤维素等）接触会发生剧烈反应，甚至引起燃烧。遇电石、高氯酸盐、雷酸盐、硝酸盐、苦味酸盐、金属粉末等猛烈反应，发生爆炸或燃烧。有强烈的腐蚀性和吸水性。</w:t>
            </w:r>
          </w:p>
        </w:tc>
      </w:tr>
      <w:tr w14:paraId="327967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3" w:hRule="atLeast"/>
        </w:trPr>
        <w:tc>
          <w:tcPr>
            <w:tcW w:w="238" w:type="pct"/>
            <w:vMerge w:val="continue"/>
            <w:tcBorders>
              <w:top w:val="single" w:color="auto" w:sz="4" w:space="0"/>
              <w:left w:val="single" w:color="auto" w:sz="4" w:space="0"/>
              <w:bottom w:val="single" w:color="auto" w:sz="4" w:space="0"/>
              <w:right w:val="single" w:color="auto" w:sz="4" w:space="0"/>
            </w:tcBorders>
            <w:noWrap w:val="0"/>
            <w:vAlign w:val="center"/>
          </w:tcPr>
          <w:p w14:paraId="750E280A">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p>
        </w:tc>
        <w:tc>
          <w:tcPr>
            <w:tcW w:w="4761" w:type="pct"/>
            <w:gridSpan w:val="7"/>
            <w:tcBorders>
              <w:top w:val="single" w:color="auto" w:sz="4" w:space="0"/>
              <w:left w:val="single" w:color="auto" w:sz="4" w:space="0"/>
              <w:bottom w:val="single" w:color="auto" w:sz="4" w:space="0"/>
              <w:right w:val="single" w:color="auto" w:sz="4" w:space="0"/>
            </w:tcBorders>
            <w:noWrap w:val="0"/>
            <w:vAlign w:val="top"/>
          </w:tcPr>
          <w:p w14:paraId="4C8064C8">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灭火方法：消防人员必须穿全身耐酸碱消防服。灭火剂：干粉、二氧化碳、砂土。避免水流冲击物品，以免遇水会放出大量热量发生喷溅而灼伤皮肤。</w:t>
            </w:r>
          </w:p>
        </w:tc>
      </w:tr>
      <w:tr w14:paraId="5F0FF8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2" w:hRule="atLeast"/>
        </w:trPr>
        <w:tc>
          <w:tcPr>
            <w:tcW w:w="238" w:type="pct"/>
            <w:tcBorders>
              <w:top w:val="single" w:color="auto" w:sz="4" w:space="0"/>
              <w:left w:val="single" w:color="auto" w:sz="4" w:space="0"/>
              <w:bottom w:val="single" w:color="auto" w:sz="4" w:space="0"/>
              <w:right w:val="single" w:color="auto" w:sz="4" w:space="0"/>
            </w:tcBorders>
            <w:noWrap w:val="0"/>
            <w:vAlign w:val="center"/>
          </w:tcPr>
          <w:p w14:paraId="15475A69">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毒性</w:t>
            </w:r>
          </w:p>
        </w:tc>
        <w:tc>
          <w:tcPr>
            <w:tcW w:w="4761" w:type="pct"/>
            <w:gridSpan w:val="7"/>
            <w:tcBorders>
              <w:top w:val="single" w:color="auto" w:sz="4" w:space="0"/>
              <w:left w:val="single" w:color="auto" w:sz="4" w:space="0"/>
              <w:bottom w:val="single" w:color="auto" w:sz="4" w:space="0"/>
              <w:right w:val="single" w:color="auto" w:sz="4" w:space="0"/>
            </w:tcBorders>
            <w:noWrap w:val="0"/>
            <w:vAlign w:val="top"/>
          </w:tcPr>
          <w:p w14:paraId="6312D3FF">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 xml:space="preserve">接触限值： 中国MAC（mg/m3） 2 </w:t>
            </w:r>
          </w:p>
          <w:p w14:paraId="1D37807F">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美国TVL－TWA  ACGIH  1mg/m3 美国TLV－STEL  ACGIH  3mg/m3</w:t>
            </w:r>
          </w:p>
          <w:p w14:paraId="598E6A70">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急性毒性：LD50   2140mg/kg（大鼠经口）</w:t>
            </w:r>
          </w:p>
          <w:p w14:paraId="03489DEC">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 xml:space="preserve">  LC50     510mg/m3，2小时（大鼠吸入）；   320mg/m3，2小时（小鼠吸入）</w:t>
            </w:r>
          </w:p>
        </w:tc>
      </w:tr>
      <w:tr w14:paraId="78A01F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0" w:hRule="atLeast"/>
        </w:trPr>
        <w:tc>
          <w:tcPr>
            <w:tcW w:w="238" w:type="pct"/>
            <w:tcBorders>
              <w:top w:val="single" w:color="auto" w:sz="4" w:space="0"/>
              <w:left w:val="single" w:color="auto" w:sz="4" w:space="0"/>
              <w:bottom w:val="single" w:color="auto" w:sz="4" w:space="0"/>
              <w:right w:val="single" w:color="auto" w:sz="4" w:space="0"/>
            </w:tcBorders>
            <w:noWrap w:val="0"/>
            <w:vAlign w:val="center"/>
          </w:tcPr>
          <w:p w14:paraId="7EE47013">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对人体危害</w:t>
            </w:r>
          </w:p>
        </w:tc>
        <w:tc>
          <w:tcPr>
            <w:tcW w:w="4761" w:type="pct"/>
            <w:gridSpan w:val="7"/>
            <w:tcBorders>
              <w:top w:val="single" w:color="auto" w:sz="4" w:space="0"/>
              <w:left w:val="single" w:color="auto" w:sz="4" w:space="0"/>
              <w:bottom w:val="single" w:color="auto" w:sz="4" w:space="0"/>
              <w:right w:val="single" w:color="auto" w:sz="4" w:space="0"/>
            </w:tcBorders>
            <w:noWrap w:val="0"/>
            <w:vAlign w:val="top"/>
          </w:tcPr>
          <w:p w14:paraId="3AECBC39">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侵入途径： 吸入、食入。</w:t>
            </w:r>
          </w:p>
          <w:p w14:paraId="64EDC95D">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健康危害：对皮肤、粘膜等组织有强烈的刺激和腐蚀作用。蒸气或雾可引起结膜炎、结膜水肿、角膜混浊，以致失明；引起呼吸道刺激，重者发生呼吸困难和肺水肿；高浓度引起喉痉挛或声门水肿而窒息死亡。口服后引起消化道灼伤以致溃疡形成；严重者可能有胃穿孔、腹膜炎、肾损害、休克等。皮肤灼伤轻者出现红斑，重者形成溃疡，愈合癍痕收缩影响功能。溅入眼内可造成灼伤，甚至角膜穿孔、全眼炎以至失明。慢性影响：牙齿酸蚀症、慢性支气管炎、肺气肿和肺硬化。</w:t>
            </w:r>
          </w:p>
        </w:tc>
      </w:tr>
      <w:tr w14:paraId="7C4D23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8" w:type="pct"/>
            <w:tcBorders>
              <w:top w:val="single" w:color="auto" w:sz="4" w:space="0"/>
              <w:left w:val="single" w:color="auto" w:sz="4" w:space="0"/>
              <w:bottom w:val="single" w:color="auto" w:sz="4" w:space="0"/>
              <w:right w:val="single" w:color="auto" w:sz="4" w:space="0"/>
            </w:tcBorders>
            <w:noWrap w:val="0"/>
            <w:vAlign w:val="center"/>
          </w:tcPr>
          <w:p w14:paraId="4577141B">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急救</w:t>
            </w:r>
          </w:p>
        </w:tc>
        <w:tc>
          <w:tcPr>
            <w:tcW w:w="4761" w:type="pct"/>
            <w:gridSpan w:val="7"/>
            <w:tcBorders>
              <w:top w:val="single" w:color="auto" w:sz="4" w:space="0"/>
              <w:left w:val="single" w:color="auto" w:sz="4" w:space="0"/>
              <w:bottom w:val="single" w:color="auto" w:sz="4" w:space="0"/>
              <w:right w:val="single" w:color="auto" w:sz="4" w:space="0"/>
            </w:tcBorders>
            <w:noWrap w:val="0"/>
            <w:vAlign w:val="top"/>
          </w:tcPr>
          <w:p w14:paraId="7ED725B4">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皮肤接触：立即脱出被污染的衣着。用大量流动清水冲洗，至少15分钟。就医。</w:t>
            </w:r>
          </w:p>
          <w:p w14:paraId="4F4A411F">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眼睛接触：立即提起眼睑，用大量流动清水或生理盐水彻底冲洗至少15分钟。就医。</w:t>
            </w:r>
          </w:p>
          <w:p w14:paraId="3704DFE1">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吸入：迅速脱离现场至空气新鲜处，保持呼吸道通畅。如呼吸困难，给输氧。如呼吸停止，立即进行人工呼吸。就医。</w:t>
            </w:r>
          </w:p>
          <w:p w14:paraId="52D18232">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食入：误服者用水漱口，给饮牛奶或蛋清。就医。</w:t>
            </w:r>
          </w:p>
        </w:tc>
      </w:tr>
      <w:tr w14:paraId="79A6C3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1" w:hRule="atLeast"/>
        </w:trPr>
        <w:tc>
          <w:tcPr>
            <w:tcW w:w="238" w:type="pct"/>
            <w:tcBorders>
              <w:top w:val="single" w:color="auto" w:sz="4" w:space="0"/>
              <w:left w:val="single" w:color="auto" w:sz="4" w:space="0"/>
              <w:bottom w:val="single" w:color="auto" w:sz="4" w:space="0"/>
              <w:right w:val="single" w:color="auto" w:sz="4" w:space="0"/>
            </w:tcBorders>
            <w:noWrap w:val="0"/>
            <w:vAlign w:val="center"/>
          </w:tcPr>
          <w:p w14:paraId="630BBDD3">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防护</w:t>
            </w:r>
          </w:p>
        </w:tc>
        <w:tc>
          <w:tcPr>
            <w:tcW w:w="4761" w:type="pct"/>
            <w:gridSpan w:val="7"/>
            <w:tcBorders>
              <w:top w:val="single" w:color="auto" w:sz="4" w:space="0"/>
              <w:left w:val="single" w:color="auto" w:sz="4" w:space="0"/>
              <w:bottom w:val="single" w:color="auto" w:sz="4" w:space="0"/>
              <w:right w:val="single" w:color="auto" w:sz="4" w:space="0"/>
            </w:tcBorders>
            <w:noWrap w:val="0"/>
            <w:vAlign w:val="top"/>
          </w:tcPr>
          <w:p w14:paraId="714A6FD9">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工程防护：密闭操作，注意通风。尽可能机械化、自动化。提供安全淋浴和洗眼设备。</w:t>
            </w:r>
          </w:p>
          <w:p w14:paraId="075AA0DB">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个人防护：可能接触其烟雾时，佩戴自吸过滤式防毒面具（全面罩）或空气呼吸器。紧急事态抢救或撤离时，建议佩戴氧气呼吸器；穿橡胶耐酸碱服；戴橡胶耐酸碱手套。工作现场严禁吸烟、进食和饮水。工作毕，淋浴更衣。单独存放被毒物污染的衣服，洗后备用。保持良好的卫生习惯。</w:t>
            </w:r>
          </w:p>
        </w:tc>
      </w:tr>
      <w:tr w14:paraId="475CD4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8" w:hRule="atLeast"/>
        </w:trPr>
        <w:tc>
          <w:tcPr>
            <w:tcW w:w="238" w:type="pct"/>
            <w:tcBorders>
              <w:top w:val="single" w:color="auto" w:sz="4" w:space="0"/>
              <w:left w:val="single" w:color="auto" w:sz="4" w:space="0"/>
              <w:bottom w:val="single" w:color="auto" w:sz="4" w:space="0"/>
              <w:right w:val="single" w:color="auto" w:sz="4" w:space="0"/>
            </w:tcBorders>
            <w:noWrap w:val="0"/>
            <w:vAlign w:val="center"/>
          </w:tcPr>
          <w:p w14:paraId="26F9F97C">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泄漏处理</w:t>
            </w:r>
          </w:p>
        </w:tc>
        <w:tc>
          <w:tcPr>
            <w:tcW w:w="4761" w:type="pct"/>
            <w:gridSpan w:val="7"/>
            <w:tcBorders>
              <w:top w:val="single" w:color="auto" w:sz="4" w:space="0"/>
              <w:left w:val="single" w:color="auto" w:sz="4" w:space="0"/>
              <w:bottom w:val="single" w:color="auto" w:sz="4" w:space="0"/>
              <w:right w:val="single" w:color="auto" w:sz="4" w:space="0"/>
            </w:tcBorders>
            <w:noWrap w:val="0"/>
            <w:vAlign w:val="top"/>
          </w:tcPr>
          <w:p w14:paraId="0C0B4D68">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迅速撤离泄漏污染区人员至安全区，并进行隔离，严格限制出入。建议应急处理人员戴自给正压式呼吸器，穿防酸碱工作服。不要直接接触泄漏物。尽可能切断泄漏源。防止进入下水道、排洪沟等限制性空间。小量泄漏：用砂土、干燥石灰或苏打灰混合。也可以用大量水冲洗，洗水稀释后放入废水系统。大量泄漏：构筑围堤或挖坑收容；用泵转移至槽车或专用收集器内。回收或运至废物处理场所处置。</w:t>
            </w:r>
          </w:p>
        </w:tc>
      </w:tr>
      <w:tr w14:paraId="1083E3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2" w:hRule="atLeast"/>
        </w:trPr>
        <w:tc>
          <w:tcPr>
            <w:tcW w:w="238" w:type="pct"/>
            <w:tcBorders>
              <w:top w:val="single" w:color="auto" w:sz="4" w:space="0"/>
              <w:left w:val="single" w:color="auto" w:sz="4" w:space="0"/>
              <w:bottom w:val="single" w:color="auto" w:sz="4" w:space="0"/>
              <w:right w:val="single" w:color="auto" w:sz="4" w:space="0"/>
            </w:tcBorders>
            <w:noWrap w:val="0"/>
            <w:vAlign w:val="center"/>
          </w:tcPr>
          <w:p w14:paraId="1F9C5A32">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贮运</w:t>
            </w:r>
          </w:p>
        </w:tc>
        <w:tc>
          <w:tcPr>
            <w:tcW w:w="4761" w:type="pct"/>
            <w:gridSpan w:val="7"/>
            <w:tcBorders>
              <w:top w:val="single" w:color="auto" w:sz="4" w:space="0"/>
              <w:left w:val="single" w:color="auto" w:sz="4" w:space="0"/>
              <w:bottom w:val="single" w:color="auto" w:sz="4" w:space="0"/>
              <w:right w:val="single" w:color="auto" w:sz="4" w:space="0"/>
            </w:tcBorders>
            <w:noWrap w:val="0"/>
            <w:vAlign w:val="top"/>
          </w:tcPr>
          <w:p w14:paraId="4C118127">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包装标志：20     UN编号：1830   包装分类：Ⅰ     包装方法：螺纹口或磨砂口玻璃瓶外木板箱；耐酸坛、陶瓷罐外木板箱或半花格箱。</w:t>
            </w:r>
          </w:p>
          <w:p w14:paraId="2643E5AB">
            <w:pPr>
              <w:keepNext w:val="0"/>
              <w:keepLines w:val="0"/>
              <w:suppressLineNumbers w:val="0"/>
              <w:spacing w:before="0" w:beforeAutospacing="0" w:after="0" w:afterAutospacing="0" w:line="240" w:lineRule="auto"/>
              <w:ind w:left="0" w:right="0"/>
              <w:jc w:val="both"/>
              <w:rPr>
                <w:rFonts w:hint="eastAsia"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储运条件：储存于阴凉、干燥，通风良好的仓间。应与易燃或可燃物、碱类、金属粉末等分开存放。不可混储混运。搬运要轻装轻卸，防止包装及容器损坏。分装和搬运作业要注意个人防护。</w:t>
            </w:r>
          </w:p>
        </w:tc>
      </w:tr>
    </w:tbl>
    <w:p w14:paraId="20314EC0">
      <w:pPr>
        <w:adjustRightInd w:val="0"/>
        <w:snapToGrid w:val="0"/>
        <w:spacing w:before="312" w:beforeLines="100" w:after="312" w:afterLines="100" w:line="360" w:lineRule="auto"/>
        <w:jc w:val="center"/>
        <w:outlineLvl w:val="1"/>
        <w:rPr>
          <w:rFonts w:ascii="Times New Roman" w:hAnsi="Times New Roman" w:eastAsia="楷体" w:cs="黑体"/>
          <w:b/>
          <w:sz w:val="32"/>
          <w:szCs w:val="32"/>
          <w14:ligatures w14:val="none"/>
        </w:rPr>
      </w:pPr>
      <w:bookmarkStart w:id="136" w:name="_Toc28846"/>
      <w:r>
        <w:rPr>
          <w:rFonts w:hint="eastAsia" w:ascii="Times New Roman" w:hAnsi="Times New Roman" w:eastAsia="楷体" w:cs="黑体"/>
          <w:b/>
          <w:sz w:val="32"/>
          <w:szCs w:val="32"/>
          <w14:ligatures w14:val="none"/>
        </w:rPr>
        <w:t>3.2储存经营过程中的危险、有害因素分析</w:t>
      </w:r>
      <w:bookmarkEnd w:id="136"/>
    </w:p>
    <w:p w14:paraId="1EA6DB11">
      <w:pPr>
        <w:adjustRightInd w:val="0"/>
        <w:snapToGrid w:val="0"/>
        <w:spacing w:after="0" w:line="360" w:lineRule="auto"/>
        <w:ind w:firstLine="560" w:firstLineChars="20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依据《企业职工伤亡事故分类》、《生产过程危险和有害因素分类与代码》和《职业病危害因素分类目录》可知，</w:t>
      </w:r>
      <w:r>
        <w:rPr>
          <w:rFonts w:hint="eastAsia" w:ascii="Times New Roman" w:hAnsi="Times New Roman" w:eastAsia="宋体" w:cs="Times New Roman"/>
          <w:sz w:val="28"/>
          <w:szCs w:val="28"/>
          <w:lang w:eastAsia="zh-CN"/>
          <w14:ligatures w14:val="none"/>
        </w:rPr>
        <w:t>朝阳金达钛业股份有限公司</w:t>
      </w:r>
      <w:r>
        <w:rPr>
          <w:rFonts w:hint="eastAsia" w:ascii="Times New Roman" w:hAnsi="Times New Roman" w:eastAsia="宋体" w:cs="Times New Roman"/>
          <w:sz w:val="28"/>
          <w:szCs w:val="28"/>
          <w:lang w:val="en-US" w:eastAsia="zh-CN"/>
          <w14:ligatures w14:val="none"/>
        </w:rPr>
        <w:t>储存、</w:t>
      </w:r>
      <w:r>
        <w:rPr>
          <w:rFonts w:hint="eastAsia" w:ascii="Times New Roman" w:hAnsi="Times New Roman" w:eastAsia="宋体" w:cs="Times New Roman"/>
          <w:sz w:val="28"/>
          <w:szCs w:val="28"/>
          <w14:ligatures w14:val="none"/>
        </w:rPr>
        <w:t>经营过程中的危险、有害因素分为：</w:t>
      </w:r>
      <w:r>
        <w:rPr>
          <w:rFonts w:hint="eastAsia" w:ascii="Times New Roman" w:hAnsi="Times New Roman" w:eastAsia="宋体" w:cs="Times New Roman"/>
          <w:sz w:val="28"/>
          <w:szCs w:val="28"/>
          <w:lang w:val="en-US" w:eastAsia="zh-CN"/>
          <w14:ligatures w14:val="none"/>
        </w:rPr>
        <w:t>灼烫、</w:t>
      </w:r>
      <w:r>
        <w:rPr>
          <w:rFonts w:hint="eastAsia" w:ascii="Times New Roman" w:hAnsi="Times New Roman" w:eastAsia="宋体" w:cs="Times New Roman"/>
          <w:sz w:val="28"/>
          <w:szCs w:val="28"/>
          <w14:ligatures w14:val="none"/>
        </w:rPr>
        <w:t>中毒和窒息、触电、机械伤害、高处坠落、物体打击、噪声</w:t>
      </w:r>
      <w:r>
        <w:rPr>
          <w:rFonts w:hint="eastAsia" w:ascii="Times New Roman" w:hAnsi="Times New Roman" w:eastAsia="宋体" w:cs="Times New Roman"/>
          <w:sz w:val="28"/>
          <w:szCs w:val="28"/>
          <w:lang w:val="en-US" w:eastAsia="zh-CN"/>
          <w14:ligatures w14:val="none"/>
        </w:rPr>
        <w:t>及</w:t>
      </w:r>
      <w:r>
        <w:rPr>
          <w:rFonts w:hint="eastAsia" w:ascii="Times New Roman" w:hAnsi="Times New Roman" w:eastAsia="宋体" w:cs="Times New Roman"/>
          <w:sz w:val="28"/>
          <w:szCs w:val="28"/>
          <w14:ligatures w14:val="none"/>
        </w:rPr>
        <w:t>振动等。</w:t>
      </w:r>
    </w:p>
    <w:p w14:paraId="4BD5277E">
      <w:pPr>
        <w:pStyle w:val="3"/>
        <w:keepNext w:val="0"/>
        <w:keepLines w:val="0"/>
        <w:pageBreakBefore w:val="0"/>
        <w:widowControl w:val="0"/>
        <w:kinsoku/>
        <w:wordWrap/>
        <w:overflowPunct/>
        <w:topLinePunct w:val="0"/>
        <w:autoSpaceDE/>
        <w:autoSpaceDN/>
        <w:bidi w:val="0"/>
        <w:adjustRightInd w:val="0"/>
        <w:snapToGrid w:val="0"/>
        <w:spacing w:before="120" w:beforeLines="50" w:after="120" w:afterLines="50" w:line="360" w:lineRule="auto"/>
        <w:ind w:firstLine="562" w:firstLineChars="200"/>
        <w:jc w:val="both"/>
        <w:textAlignment w:val="auto"/>
        <w:rPr>
          <w:rFonts w:hint="default" w:ascii="Times New Roman" w:hAnsi="Times New Roman" w:eastAsia="黑体" w:cs="Times New Roman"/>
          <w:b/>
          <w:bCs w:val="0"/>
          <w:kern w:val="0"/>
          <w:sz w:val="28"/>
          <w:lang w:val="en-US" w:eastAsia="zh-CN"/>
          <w14:ligatures w14:val="none"/>
        </w:rPr>
      </w:pPr>
      <w:r>
        <w:rPr>
          <w:rFonts w:hint="default" w:ascii="Times New Roman" w:hAnsi="Times New Roman" w:eastAsia="黑体" w:cs="Times New Roman"/>
          <w:b/>
          <w:bCs w:val="0"/>
          <w:kern w:val="0"/>
          <w:sz w:val="28"/>
          <w:lang w:val="en-US" w:eastAsia="zh-CN"/>
          <w14:ligatures w14:val="none"/>
        </w:rPr>
        <w:t>3.2.</w:t>
      </w:r>
      <w:r>
        <w:rPr>
          <w:rFonts w:hint="eastAsia" w:ascii="Times New Roman" w:hAnsi="Times New Roman" w:eastAsia="黑体" w:cs="Times New Roman"/>
          <w:b/>
          <w:bCs w:val="0"/>
          <w:kern w:val="0"/>
          <w:sz w:val="28"/>
          <w:lang w:val="en-US" w:eastAsia="zh-CN"/>
          <w14:ligatures w14:val="none"/>
        </w:rPr>
        <w:t>1灼烫</w:t>
      </w:r>
    </w:p>
    <w:p w14:paraId="21F3EAE9">
      <w:pPr>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firstLine="560" w:firstLineChars="200"/>
        <w:textAlignment w:val="auto"/>
        <w:rPr>
          <w:rFonts w:hint="default" w:ascii="Times New Roman" w:hAnsi="Times New Roman" w:eastAsia="宋体" w:cs="Times New Roman"/>
          <w:b w:val="0"/>
          <w:bCs w:val="0"/>
          <w:kern w:val="2"/>
          <w:sz w:val="28"/>
          <w:szCs w:val="28"/>
          <w:lang w:val="en-US" w:eastAsia="zh-CN" w:bidi="ar-SA"/>
          <w14:ligatures w14:val="none"/>
        </w:rPr>
      </w:pPr>
      <w:r>
        <w:rPr>
          <w:rFonts w:hint="eastAsia" w:ascii="Times New Roman" w:hAnsi="Times New Roman" w:eastAsia="宋体" w:cs="Times New Roman"/>
          <w:b w:val="0"/>
          <w:bCs w:val="0"/>
          <w:kern w:val="2"/>
          <w:sz w:val="28"/>
          <w:szCs w:val="28"/>
          <w:lang w:val="en-US" w:eastAsia="zh-CN" w:bidi="ar-SA"/>
          <w14:ligatures w14:val="none"/>
        </w:rPr>
        <w:t>灼烫是指火焰烧伤、高温物体烫伤、化学灼伤（酸、碱、盐、有机物引起的体内外的灼伤）、物理灼伤（光、放射性物外的灼伤）。不包括电灼伤和火灾引起的烧伤。其中化学灼伤是由于化学物质直接接触皮肤所造成的损伤称为化学灼伤。化学灼伤程度与化学物质的性质、接触时间、接触部位等有关。</w:t>
      </w:r>
    </w:p>
    <w:p w14:paraId="0F305AFC">
      <w:pPr>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firstLine="560" w:firstLineChars="200"/>
        <w:textAlignment w:val="auto"/>
        <w:rPr>
          <w:rFonts w:hint="default" w:ascii="Times New Roman" w:hAnsi="Times New Roman" w:eastAsia="宋体" w:cs="Times New Roman"/>
          <w:b w:val="0"/>
          <w:bCs w:val="0"/>
          <w:kern w:val="2"/>
          <w:sz w:val="28"/>
          <w:szCs w:val="28"/>
          <w:lang w:val="en-US" w:eastAsia="zh-CN" w:bidi="ar-SA"/>
          <w14:ligatures w14:val="none"/>
        </w:rPr>
      </w:pPr>
      <w:r>
        <w:rPr>
          <w:rFonts w:hint="eastAsia" w:ascii="Times New Roman" w:hAnsi="Times New Roman" w:eastAsia="宋体" w:cs="Times New Roman"/>
          <w:b w:val="0"/>
          <w:bCs w:val="0"/>
          <w:kern w:val="2"/>
          <w:sz w:val="28"/>
          <w:szCs w:val="28"/>
          <w:lang w:val="en-US" w:eastAsia="zh-CN" w:bidi="ar-SA"/>
          <w14:ligatures w14:val="none"/>
        </w:rPr>
        <w:t>本项目储存过程中涉及盐酸，对皮肤、粘膜有较强的刺激性，对中枢神经系统具有麻醉作用。如果误服了盐酸，口腔、咽部和胸骨后以及腹部都会发生剧烈的灼热性的疼痛，嘴唇、口腔和咽部都可以看见烧灼伤，甚至容易形成溃疡，呕吐物中会有大量的褐色，以及食道和胃黏膜的碎片。严重的可发生胃穿孔、腹膜炎、声音嘶哑、呼吸困难，甚至出现便秘、腹泻等症状。</w:t>
      </w:r>
    </w:p>
    <w:p w14:paraId="1AF5DBF2">
      <w:pPr>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firstLine="560" w:firstLineChars="200"/>
        <w:textAlignment w:val="auto"/>
        <w:rPr>
          <w:rFonts w:hint="eastAsia" w:ascii="Times New Roman" w:hAnsi="Times New Roman" w:eastAsia="宋体" w:cs="Times New Roman"/>
          <w:b w:val="0"/>
          <w:bCs w:val="0"/>
          <w:kern w:val="2"/>
          <w:sz w:val="28"/>
          <w:szCs w:val="28"/>
          <w:lang w:val="en-US" w:eastAsia="zh-CN" w:bidi="ar-SA"/>
          <w14:ligatures w14:val="none"/>
        </w:rPr>
      </w:pPr>
      <w:r>
        <w:rPr>
          <w:rFonts w:hint="eastAsia" w:ascii="Times New Roman" w:hAnsi="Times New Roman" w:eastAsia="宋体" w:cs="Times New Roman"/>
          <w:b w:val="0"/>
          <w:bCs w:val="0"/>
          <w:kern w:val="2"/>
          <w:sz w:val="28"/>
          <w:szCs w:val="28"/>
          <w:lang w:val="en-US" w:eastAsia="zh-CN" w:bidi="ar-SA"/>
          <w14:ligatures w14:val="none"/>
        </w:rPr>
        <w:t>皮肤如果受到盐酸酸雾的刺激会产生皮炎，局部潮红、痒感，或者出现红色的小丘疹以及水泡，如果皮肤接触的是盐酸液体，可能造成化学性的烧灼伤。</w:t>
      </w:r>
    </w:p>
    <w:p w14:paraId="6EE38FC5">
      <w:pPr>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firstLine="560" w:firstLineChars="200"/>
        <w:textAlignment w:val="auto"/>
        <w:rPr>
          <w:rFonts w:hint="default" w:ascii="Times New Roman" w:hAnsi="Times New Roman" w:eastAsia="宋体" w:cs="Times New Roman"/>
          <w:b w:val="0"/>
          <w:bCs w:val="0"/>
          <w:kern w:val="2"/>
          <w:sz w:val="28"/>
          <w:szCs w:val="28"/>
          <w:lang w:val="en-US" w:eastAsia="zh-CN" w:bidi="ar-SA"/>
          <w14:ligatures w14:val="none"/>
        </w:rPr>
      </w:pPr>
      <w:r>
        <w:rPr>
          <w:rFonts w:hint="eastAsia" w:ascii="Times New Roman" w:hAnsi="Times New Roman" w:eastAsia="宋体" w:cs="Times New Roman"/>
          <w:b w:val="0"/>
          <w:bCs w:val="0"/>
          <w:kern w:val="2"/>
          <w:sz w:val="28"/>
          <w:szCs w:val="28"/>
          <w:lang w:val="en-US" w:eastAsia="zh-CN" w:bidi="ar-SA"/>
          <w14:ligatures w14:val="none"/>
        </w:rPr>
        <w:t>本项目储存过程中涉及四氯化钛，皮肤直接接触液态四氯化钛可引起不同程度的灼伤。</w:t>
      </w:r>
    </w:p>
    <w:p w14:paraId="33AD2A9A">
      <w:pPr>
        <w:pStyle w:val="3"/>
        <w:keepNext w:val="0"/>
        <w:keepLines w:val="0"/>
        <w:pageBreakBefore w:val="0"/>
        <w:widowControl w:val="0"/>
        <w:kinsoku/>
        <w:wordWrap/>
        <w:overflowPunct/>
        <w:topLinePunct w:val="0"/>
        <w:autoSpaceDE/>
        <w:autoSpaceDN/>
        <w:bidi w:val="0"/>
        <w:adjustRightInd w:val="0"/>
        <w:snapToGrid w:val="0"/>
        <w:spacing w:before="120" w:beforeLines="50" w:after="120" w:afterLines="50" w:line="360" w:lineRule="auto"/>
        <w:ind w:firstLine="562" w:firstLineChars="200"/>
        <w:jc w:val="both"/>
        <w:textAlignment w:val="auto"/>
        <w:rPr>
          <w:rFonts w:hint="default" w:ascii="Times New Roman" w:hAnsi="Times New Roman" w:eastAsia="黑体" w:cs="Times New Roman"/>
          <w:b/>
          <w:bCs w:val="0"/>
          <w:kern w:val="0"/>
          <w:sz w:val="28"/>
          <w:lang w:val="en-US" w:eastAsia="zh-CN"/>
          <w14:ligatures w14:val="none"/>
        </w:rPr>
      </w:pPr>
      <w:bookmarkStart w:id="137" w:name="_Toc12286"/>
      <w:bookmarkStart w:id="138" w:name="_Toc29787"/>
      <w:r>
        <w:rPr>
          <w:rFonts w:hint="default" w:ascii="Times New Roman" w:hAnsi="Times New Roman" w:eastAsia="黑体" w:cs="Times New Roman"/>
          <w:b/>
          <w:bCs w:val="0"/>
          <w:kern w:val="0"/>
          <w:sz w:val="28"/>
          <w:lang w:val="en-US" w:eastAsia="zh-CN"/>
          <w14:ligatures w14:val="none"/>
        </w:rPr>
        <w:t>3.2.2</w:t>
      </w:r>
      <w:bookmarkEnd w:id="137"/>
      <w:r>
        <w:rPr>
          <w:rFonts w:hint="eastAsia" w:ascii="Times New Roman" w:hAnsi="Times New Roman" w:eastAsia="黑体" w:cs="Times New Roman"/>
          <w:b/>
          <w:bCs w:val="0"/>
          <w:kern w:val="0"/>
          <w:sz w:val="28"/>
          <w:lang w:val="en-US" w:eastAsia="zh-CN"/>
          <w14:ligatures w14:val="none"/>
        </w:rPr>
        <w:t>中毒和窒息</w:t>
      </w:r>
      <w:bookmarkEnd w:id="138"/>
    </w:p>
    <w:p w14:paraId="5CB2DA82">
      <w:pPr>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firstLine="560" w:firstLineChars="200"/>
        <w:textAlignment w:val="auto"/>
        <w:rPr>
          <w:rFonts w:hint="default" w:ascii="Times New Roman" w:hAnsi="Times New Roman" w:eastAsia="宋体" w:cs="Times New Roman"/>
          <w:b w:val="0"/>
          <w:bCs w:val="0"/>
          <w:kern w:val="2"/>
          <w:sz w:val="28"/>
          <w:szCs w:val="28"/>
          <w:lang w:val="en-US" w:eastAsia="zh-CN" w:bidi="ar-SA"/>
          <w14:ligatures w14:val="none"/>
        </w:rPr>
      </w:pPr>
      <w:r>
        <w:rPr>
          <w:rFonts w:hint="eastAsia" w:ascii="Times New Roman" w:hAnsi="Times New Roman" w:eastAsia="宋体" w:cs="Times New Roman"/>
          <w:b w:val="0"/>
          <w:bCs w:val="0"/>
          <w:kern w:val="2"/>
          <w:sz w:val="28"/>
          <w:szCs w:val="28"/>
          <w:lang w:val="en-US" w:eastAsia="zh-CN" w:bidi="ar-SA"/>
          <w14:ligatures w14:val="none"/>
        </w:rPr>
        <w:t>本项目涉及的盐酸是强酸类化学物质，如果不慎吸入盐酸烟雾，会引起上呼吸道黏膜的刺激症状，出现呛咳、流泪、咳嗽、胸闷、呼吸加快。如果吸入的是高浓度的烟雾，可引起急性的肺水肿，会出现紫绀，呼吸和脉搏的加快，咳嗽，再加重会咳血性泡沫痰。涉及到的高硅四氯化钛其烟尘对呼吸道粘膜有强烈刺激作用。轻度中毒有喘息性支气管炎，严重者出现呼吸困难、呼吸脉搏加快、体温升高、咳嗽等，可发展成肺水肿。</w:t>
      </w:r>
    </w:p>
    <w:p w14:paraId="73118A3A">
      <w:pPr>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firstLine="560" w:firstLineChars="200"/>
        <w:textAlignment w:val="auto"/>
        <w:rPr>
          <w:rFonts w:hint="default" w:ascii="Times New Roman" w:hAnsi="Times New Roman" w:eastAsia="宋体" w:cs="Times New Roman"/>
          <w:b w:val="0"/>
          <w:bCs w:val="0"/>
          <w:kern w:val="2"/>
          <w:sz w:val="28"/>
          <w:szCs w:val="28"/>
          <w:lang w:val="en-US" w:eastAsia="zh-CN" w:bidi="ar-SA"/>
          <w14:ligatures w14:val="none"/>
        </w:rPr>
      </w:pPr>
      <w:r>
        <w:rPr>
          <w:rFonts w:hint="eastAsia" w:ascii="Times New Roman" w:hAnsi="Times New Roman" w:eastAsia="宋体" w:cs="Times New Roman"/>
          <w:b w:val="0"/>
          <w:bCs w:val="0"/>
          <w:kern w:val="2"/>
          <w:sz w:val="28"/>
          <w:szCs w:val="28"/>
          <w:lang w:val="en-US" w:eastAsia="zh-CN" w:bidi="ar-SA"/>
          <w14:ligatures w14:val="none"/>
        </w:rPr>
        <w:t>此外，检维修作业可能涉及清罐作业，操作人员进入受限空间作业，可能也会由于吸入有害蒸汽、氧含量不足等因素发生中毒和窒息事故。</w:t>
      </w:r>
    </w:p>
    <w:p w14:paraId="08AADEBA">
      <w:pPr>
        <w:pStyle w:val="3"/>
        <w:keepNext w:val="0"/>
        <w:keepLines w:val="0"/>
        <w:pageBreakBefore w:val="0"/>
        <w:widowControl w:val="0"/>
        <w:kinsoku/>
        <w:wordWrap/>
        <w:overflowPunct/>
        <w:topLinePunct w:val="0"/>
        <w:autoSpaceDE/>
        <w:autoSpaceDN/>
        <w:bidi w:val="0"/>
        <w:adjustRightInd w:val="0"/>
        <w:snapToGrid w:val="0"/>
        <w:spacing w:before="120" w:beforeLines="50" w:after="120" w:afterLines="50" w:line="360" w:lineRule="auto"/>
        <w:ind w:firstLine="562" w:firstLineChars="200"/>
        <w:jc w:val="both"/>
        <w:textAlignment w:val="auto"/>
        <w:rPr>
          <w:rFonts w:hint="default" w:ascii="Times New Roman" w:hAnsi="Times New Roman" w:eastAsia="黑体" w:cs="Times New Roman"/>
          <w:b/>
          <w:bCs w:val="0"/>
          <w:kern w:val="0"/>
          <w:sz w:val="28"/>
          <w:lang w:val="en-US" w:eastAsia="zh-CN"/>
          <w14:ligatures w14:val="none"/>
        </w:rPr>
      </w:pPr>
      <w:bookmarkStart w:id="139" w:name="_Toc23697"/>
      <w:bookmarkStart w:id="140" w:name="_Toc31829"/>
      <w:r>
        <w:rPr>
          <w:rFonts w:hint="default" w:ascii="Times New Roman" w:hAnsi="Times New Roman" w:eastAsia="黑体" w:cs="Times New Roman"/>
          <w:b/>
          <w:bCs w:val="0"/>
          <w:kern w:val="0"/>
          <w:sz w:val="28"/>
          <w:lang w:val="en-US" w:eastAsia="zh-CN"/>
          <w14:ligatures w14:val="none"/>
        </w:rPr>
        <w:t>3.2.</w:t>
      </w:r>
      <w:bookmarkEnd w:id="139"/>
      <w:r>
        <w:rPr>
          <w:rFonts w:hint="eastAsia" w:ascii="Times New Roman" w:hAnsi="Times New Roman" w:eastAsia="黑体" w:cs="Times New Roman"/>
          <w:b/>
          <w:bCs w:val="0"/>
          <w:kern w:val="0"/>
          <w:sz w:val="28"/>
          <w:lang w:val="en-US" w:eastAsia="zh-CN"/>
          <w14:ligatures w14:val="none"/>
        </w:rPr>
        <w:t>3触电</w:t>
      </w:r>
      <w:bookmarkEnd w:id="140"/>
    </w:p>
    <w:p w14:paraId="3881930D">
      <w:pPr>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firstLine="560" w:firstLineChars="200"/>
        <w:textAlignment w:val="auto"/>
        <w:rPr>
          <w:rFonts w:hint="default" w:ascii="Times New Roman" w:hAnsi="Times New Roman" w:eastAsia="宋体" w:cs="Times New Roman"/>
          <w:b w:val="0"/>
          <w:bCs w:val="0"/>
          <w:kern w:val="2"/>
          <w:sz w:val="28"/>
          <w:szCs w:val="28"/>
          <w:lang w:val="en-US" w:eastAsia="zh-CN" w:bidi="ar-SA"/>
          <w14:ligatures w14:val="none"/>
        </w:rPr>
      </w:pPr>
      <w:bookmarkStart w:id="141" w:name="_Toc325"/>
      <w:r>
        <w:rPr>
          <w:rFonts w:hint="eastAsia" w:ascii="Times New Roman" w:hAnsi="Times New Roman" w:eastAsia="宋体" w:cs="Times New Roman"/>
          <w:b w:val="0"/>
          <w:bCs w:val="0"/>
          <w:kern w:val="2"/>
          <w:sz w:val="28"/>
          <w:szCs w:val="28"/>
          <w:lang w:val="en-US" w:eastAsia="zh-CN" w:bidi="ar-SA"/>
          <w14:ligatures w14:val="none"/>
        </w:rPr>
        <w:t>（1）触电伤害</w:t>
      </w:r>
    </w:p>
    <w:p w14:paraId="38C2EFA8">
      <w:pPr>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firstLine="560" w:firstLineChars="200"/>
        <w:textAlignment w:val="auto"/>
        <w:rPr>
          <w:rFonts w:hint="default" w:ascii="Times New Roman" w:hAnsi="Times New Roman" w:eastAsia="宋体" w:cs="Times New Roman"/>
          <w:b w:val="0"/>
          <w:bCs w:val="0"/>
          <w:kern w:val="2"/>
          <w:sz w:val="28"/>
          <w:szCs w:val="28"/>
          <w:lang w:val="en-US" w:eastAsia="zh-CN" w:bidi="ar-SA"/>
          <w14:ligatures w14:val="none"/>
        </w:rPr>
      </w:pPr>
      <w:r>
        <w:rPr>
          <w:rFonts w:hint="eastAsia" w:ascii="Times New Roman" w:hAnsi="Times New Roman" w:eastAsia="宋体" w:cs="Times New Roman"/>
          <w:b w:val="0"/>
          <w:bCs w:val="0"/>
          <w:kern w:val="2"/>
          <w:sz w:val="28"/>
          <w:szCs w:val="28"/>
          <w:lang w:val="en-US" w:eastAsia="zh-CN" w:bidi="ar-SA"/>
          <w14:ligatures w14:val="none"/>
        </w:rPr>
        <w:t>触电是电能作用于人体造成的伤害，电气伤害事故以触电伤害最为常见。触电事故的伤害是由电流的能量造成。触电可分为电击和电伤两种情况。</w:t>
      </w:r>
    </w:p>
    <w:p w14:paraId="3CDD1750">
      <w:pPr>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firstLine="560" w:firstLineChars="200"/>
        <w:textAlignment w:val="auto"/>
        <w:rPr>
          <w:rFonts w:hint="default" w:ascii="Times New Roman" w:hAnsi="Times New Roman" w:eastAsia="宋体" w:cs="Times New Roman"/>
          <w:b w:val="0"/>
          <w:bCs w:val="0"/>
          <w:kern w:val="2"/>
          <w:sz w:val="28"/>
          <w:szCs w:val="28"/>
          <w:lang w:val="en-US" w:eastAsia="zh-CN" w:bidi="ar-SA"/>
          <w14:ligatures w14:val="none"/>
        </w:rPr>
      </w:pPr>
      <w:r>
        <w:rPr>
          <w:rFonts w:hint="eastAsia" w:ascii="Times New Roman" w:hAnsi="Times New Roman" w:eastAsia="宋体" w:cs="Times New Roman"/>
          <w:b w:val="0"/>
          <w:bCs w:val="0"/>
          <w:kern w:val="2"/>
          <w:sz w:val="28"/>
          <w:szCs w:val="28"/>
          <w:lang w:val="en-US" w:eastAsia="zh-CN" w:bidi="ar-SA"/>
          <w14:ligatures w14:val="none"/>
        </w:rPr>
        <w:t>电击：分布在配电线路以及在生产过程中使用的各种电气拖动设备、移动电气设备、照明线路及照明等，上述环节均存在直接接触电击及间接接触电击的可能。电击危险因素的产生原因：</w:t>
      </w:r>
    </w:p>
    <w:p w14:paraId="003240A2">
      <w:pPr>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firstLine="560" w:firstLineChars="200"/>
        <w:textAlignment w:val="auto"/>
        <w:rPr>
          <w:rFonts w:hint="eastAsia" w:ascii="Times New Roman" w:hAnsi="Times New Roman" w:eastAsia="宋体" w:cs="Times New Roman"/>
          <w:b w:val="0"/>
          <w:bCs w:val="0"/>
          <w:kern w:val="2"/>
          <w:sz w:val="28"/>
          <w:szCs w:val="28"/>
          <w:lang w:val="en-US" w:eastAsia="zh-CN" w:bidi="ar-SA"/>
          <w14:ligatures w14:val="none"/>
        </w:rPr>
      </w:pPr>
      <w:r>
        <w:rPr>
          <w:rFonts w:hint="eastAsia" w:ascii="Times New Roman" w:hAnsi="Times New Roman" w:eastAsia="宋体" w:cs="Times New Roman"/>
          <w:b w:val="0"/>
          <w:bCs w:val="0"/>
          <w:kern w:val="2"/>
          <w:sz w:val="28"/>
          <w:szCs w:val="28"/>
          <w:lang w:val="en-US" w:eastAsia="zh-CN" w:bidi="ar-SA"/>
          <w14:ligatures w14:val="none"/>
        </w:rPr>
        <w:t>①</w:t>
      </w:r>
      <w:bookmarkStart w:id="142" w:name="_Hlk187420912"/>
      <w:r>
        <w:rPr>
          <w:rFonts w:hint="eastAsia" w:ascii="Times New Roman" w:hAnsi="Times New Roman" w:eastAsia="宋体" w:cs="Times New Roman"/>
          <w:b w:val="0"/>
          <w:bCs w:val="0"/>
          <w:kern w:val="2"/>
          <w:sz w:val="28"/>
          <w:szCs w:val="28"/>
          <w:lang w:val="en-US" w:eastAsia="zh-CN" w:bidi="ar-SA"/>
          <w14:ligatures w14:val="none"/>
        </w:rPr>
        <w:t>输送泵、</w:t>
      </w:r>
      <w:bookmarkEnd w:id="142"/>
      <w:r>
        <w:rPr>
          <w:rFonts w:hint="eastAsia" w:ascii="Times New Roman" w:hAnsi="Times New Roman" w:eastAsia="宋体" w:cs="Times New Roman"/>
          <w:b w:val="0"/>
          <w:bCs w:val="0"/>
          <w:kern w:val="2"/>
          <w:sz w:val="28"/>
          <w:szCs w:val="28"/>
          <w:lang w:val="en-US" w:eastAsia="zh-CN" w:bidi="ar-SA"/>
          <w14:ligatures w14:val="none"/>
        </w:rPr>
        <w:t>电气线路或电气设备在设计、安装上存在缺陷，或在运行中，缺乏必要的检修维护，使设备或线路存在漏电、过热、短路、接头松脱、断线碰壳、绝缘老化、绝缘击穿、绝缘损害等隐患；</w:t>
      </w:r>
    </w:p>
    <w:p w14:paraId="635C62EE">
      <w:pPr>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firstLine="560" w:firstLineChars="200"/>
        <w:textAlignment w:val="auto"/>
        <w:rPr>
          <w:rFonts w:hint="default" w:ascii="Times New Roman" w:hAnsi="Times New Roman" w:eastAsia="宋体" w:cs="Times New Roman"/>
          <w:b w:val="0"/>
          <w:bCs w:val="0"/>
          <w:kern w:val="2"/>
          <w:sz w:val="28"/>
          <w:szCs w:val="28"/>
          <w:lang w:val="en-US" w:eastAsia="zh-CN" w:bidi="ar-SA"/>
          <w14:ligatures w14:val="none"/>
        </w:rPr>
      </w:pPr>
      <w:r>
        <w:rPr>
          <w:rFonts w:hint="eastAsia" w:ascii="Times New Roman" w:hAnsi="Times New Roman" w:eastAsia="宋体" w:cs="Times New Roman"/>
          <w:b w:val="0"/>
          <w:bCs w:val="0"/>
          <w:kern w:val="2"/>
          <w:sz w:val="28"/>
          <w:szCs w:val="28"/>
          <w:lang w:val="en-US" w:eastAsia="zh-CN" w:bidi="ar-SA"/>
          <w14:ligatures w14:val="none"/>
        </w:rPr>
        <w:t>②没有设置必要的安全技术措施（如保护接零、漏电保护、安全电压、等电位联结等），使安全措施失效；</w:t>
      </w:r>
    </w:p>
    <w:p w14:paraId="77699F5A">
      <w:pPr>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firstLine="560" w:firstLineChars="200"/>
        <w:textAlignment w:val="auto"/>
        <w:rPr>
          <w:rFonts w:hint="default" w:ascii="Times New Roman" w:hAnsi="Times New Roman" w:eastAsia="宋体" w:cs="Times New Roman"/>
          <w:b w:val="0"/>
          <w:bCs w:val="0"/>
          <w:kern w:val="2"/>
          <w:sz w:val="28"/>
          <w:szCs w:val="28"/>
          <w:lang w:val="en-US" w:eastAsia="zh-CN" w:bidi="ar-SA"/>
          <w14:ligatures w14:val="none"/>
        </w:rPr>
      </w:pPr>
      <w:r>
        <w:rPr>
          <w:rFonts w:hint="eastAsia" w:ascii="Times New Roman" w:hAnsi="Times New Roman" w:eastAsia="宋体" w:cs="Times New Roman"/>
          <w:b w:val="0"/>
          <w:bCs w:val="0"/>
          <w:kern w:val="2"/>
          <w:sz w:val="28"/>
          <w:szCs w:val="28"/>
          <w:lang w:val="en-US" w:eastAsia="zh-CN" w:bidi="ar-SA"/>
          <w14:ligatures w14:val="none"/>
        </w:rPr>
        <w:t>③电气设备运行管理不当，安全管理制度不完善；没有必要的安全组织措施；</w:t>
      </w:r>
    </w:p>
    <w:p w14:paraId="06908071">
      <w:pPr>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firstLine="560" w:firstLineChars="200"/>
        <w:textAlignment w:val="auto"/>
        <w:rPr>
          <w:rFonts w:hint="default" w:ascii="Times New Roman" w:hAnsi="Times New Roman" w:eastAsia="宋体" w:cs="Times New Roman"/>
          <w:b w:val="0"/>
          <w:bCs w:val="0"/>
          <w:kern w:val="2"/>
          <w:sz w:val="28"/>
          <w:szCs w:val="28"/>
          <w:lang w:val="en-US" w:eastAsia="zh-CN" w:bidi="ar-SA"/>
          <w14:ligatures w14:val="none"/>
        </w:rPr>
      </w:pPr>
      <w:r>
        <w:rPr>
          <w:rFonts w:hint="eastAsia" w:ascii="Times New Roman" w:hAnsi="Times New Roman" w:eastAsia="宋体" w:cs="Times New Roman"/>
          <w:b w:val="0"/>
          <w:bCs w:val="0"/>
          <w:kern w:val="2"/>
          <w:sz w:val="28"/>
          <w:szCs w:val="28"/>
          <w:lang w:val="en-US" w:eastAsia="zh-CN" w:bidi="ar-SA"/>
          <w14:ligatures w14:val="none"/>
        </w:rPr>
        <w:t>④专业电工或机电设备操作人员的操作失误，或违章作业等。</w:t>
      </w:r>
    </w:p>
    <w:p w14:paraId="0CB28181">
      <w:pPr>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firstLine="560" w:firstLineChars="200"/>
        <w:textAlignment w:val="auto"/>
        <w:rPr>
          <w:rFonts w:hint="default" w:ascii="Times New Roman" w:hAnsi="Times New Roman" w:eastAsia="宋体" w:cs="Times New Roman"/>
          <w:b w:val="0"/>
          <w:bCs w:val="0"/>
          <w:kern w:val="2"/>
          <w:sz w:val="28"/>
          <w:szCs w:val="28"/>
          <w:lang w:val="en-US" w:eastAsia="zh-CN" w:bidi="ar-SA"/>
          <w14:ligatures w14:val="none"/>
        </w:rPr>
      </w:pPr>
      <w:r>
        <w:rPr>
          <w:rFonts w:hint="eastAsia" w:ascii="Times New Roman" w:hAnsi="Times New Roman" w:eastAsia="宋体" w:cs="Times New Roman"/>
          <w:b w:val="0"/>
          <w:bCs w:val="0"/>
          <w:kern w:val="2"/>
          <w:sz w:val="28"/>
          <w:szCs w:val="28"/>
          <w:lang w:val="en-US" w:eastAsia="zh-CN" w:bidi="ar-SA"/>
          <w14:ligatures w14:val="none"/>
        </w:rPr>
        <w:t>电伤：分布在变配电所、配电线路、开关等。电伤危险因素的产生原因：</w:t>
      </w:r>
    </w:p>
    <w:p w14:paraId="3E8F90E5">
      <w:pPr>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firstLine="560" w:firstLineChars="200"/>
        <w:textAlignment w:val="auto"/>
        <w:rPr>
          <w:rFonts w:hint="default" w:ascii="Times New Roman" w:hAnsi="Times New Roman" w:eastAsia="宋体" w:cs="Times New Roman"/>
          <w:b w:val="0"/>
          <w:bCs w:val="0"/>
          <w:kern w:val="2"/>
          <w:sz w:val="28"/>
          <w:szCs w:val="28"/>
          <w:lang w:val="en-US" w:eastAsia="zh-CN" w:bidi="ar-SA"/>
          <w14:ligatures w14:val="none"/>
        </w:rPr>
      </w:pPr>
      <w:r>
        <w:rPr>
          <w:rFonts w:hint="eastAsia" w:ascii="Times New Roman" w:hAnsi="Times New Roman" w:eastAsia="宋体" w:cs="Times New Roman"/>
          <w:b w:val="0"/>
          <w:bCs w:val="0"/>
          <w:kern w:val="2"/>
          <w:sz w:val="28"/>
          <w:szCs w:val="28"/>
          <w:lang w:val="en-US" w:eastAsia="zh-CN" w:bidi="ar-SA"/>
          <w14:ligatures w14:val="none"/>
        </w:rPr>
        <w:t>①带负荷（特别是感性负荷）拉开裸露的开关；</w:t>
      </w:r>
    </w:p>
    <w:p w14:paraId="2AF494FA">
      <w:pPr>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firstLine="560" w:firstLineChars="200"/>
        <w:textAlignment w:val="auto"/>
        <w:rPr>
          <w:rFonts w:hint="default" w:ascii="Times New Roman" w:hAnsi="Times New Roman" w:eastAsia="宋体" w:cs="Times New Roman"/>
          <w:b w:val="0"/>
          <w:bCs w:val="0"/>
          <w:kern w:val="2"/>
          <w:sz w:val="28"/>
          <w:szCs w:val="28"/>
          <w:lang w:val="en-US" w:eastAsia="zh-CN" w:bidi="ar-SA"/>
          <w14:ligatures w14:val="none"/>
        </w:rPr>
      </w:pPr>
      <w:r>
        <w:rPr>
          <w:rFonts w:hint="eastAsia" w:ascii="Times New Roman" w:hAnsi="Times New Roman" w:eastAsia="宋体" w:cs="Times New Roman"/>
          <w:b w:val="0"/>
          <w:bCs w:val="0"/>
          <w:kern w:val="2"/>
          <w:sz w:val="28"/>
          <w:szCs w:val="28"/>
          <w:lang w:val="en-US" w:eastAsia="zh-CN" w:bidi="ar-SA"/>
          <w14:ligatures w14:val="none"/>
        </w:rPr>
        <w:t>②误操作引起短路；</w:t>
      </w:r>
    </w:p>
    <w:p w14:paraId="15E9D519">
      <w:pPr>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firstLine="560" w:firstLineChars="200"/>
        <w:textAlignment w:val="auto"/>
        <w:rPr>
          <w:rFonts w:hint="default" w:ascii="Times New Roman" w:hAnsi="Times New Roman" w:eastAsia="宋体" w:cs="Times New Roman"/>
          <w:b w:val="0"/>
          <w:bCs w:val="0"/>
          <w:kern w:val="2"/>
          <w:sz w:val="28"/>
          <w:szCs w:val="28"/>
          <w:lang w:val="en-US" w:eastAsia="zh-CN" w:bidi="ar-SA"/>
          <w14:ligatures w14:val="none"/>
        </w:rPr>
      </w:pPr>
      <w:r>
        <w:rPr>
          <w:rFonts w:hint="eastAsia" w:ascii="Times New Roman" w:hAnsi="Times New Roman" w:eastAsia="宋体" w:cs="Times New Roman"/>
          <w:b w:val="0"/>
          <w:bCs w:val="0"/>
          <w:kern w:val="2"/>
          <w:sz w:val="28"/>
          <w:szCs w:val="28"/>
          <w:lang w:val="en-US" w:eastAsia="zh-CN" w:bidi="ar-SA"/>
          <w14:ligatures w14:val="none"/>
        </w:rPr>
        <w:t>③线路短路、开启式熔断器熔断时，炽热的金属微粒飞溅；</w:t>
      </w:r>
    </w:p>
    <w:p w14:paraId="4843C069">
      <w:pPr>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firstLine="560" w:firstLineChars="200"/>
        <w:textAlignment w:val="auto"/>
        <w:rPr>
          <w:rFonts w:hint="default" w:ascii="Times New Roman" w:hAnsi="Times New Roman" w:eastAsia="宋体" w:cs="Times New Roman"/>
          <w:b w:val="0"/>
          <w:bCs w:val="0"/>
          <w:kern w:val="2"/>
          <w:sz w:val="28"/>
          <w:szCs w:val="28"/>
          <w:lang w:val="en-US" w:eastAsia="zh-CN" w:bidi="ar-SA"/>
          <w14:ligatures w14:val="none"/>
        </w:rPr>
      </w:pPr>
      <w:r>
        <w:rPr>
          <w:rFonts w:hint="eastAsia" w:ascii="Times New Roman" w:hAnsi="Times New Roman" w:eastAsia="宋体" w:cs="Times New Roman"/>
          <w:b w:val="0"/>
          <w:bCs w:val="0"/>
          <w:kern w:val="2"/>
          <w:sz w:val="28"/>
          <w:szCs w:val="28"/>
          <w:lang w:val="en-US" w:eastAsia="zh-CN" w:bidi="ar-SA"/>
          <w14:ligatures w14:val="none"/>
        </w:rPr>
        <w:t>④人体过于接近带电体等。</w:t>
      </w:r>
    </w:p>
    <w:p w14:paraId="40F38480">
      <w:pPr>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firstLine="560" w:firstLineChars="200"/>
        <w:textAlignment w:val="auto"/>
        <w:rPr>
          <w:rFonts w:hint="default" w:ascii="Times New Roman" w:hAnsi="Times New Roman" w:eastAsia="宋体" w:cs="Times New Roman"/>
          <w:b w:val="0"/>
          <w:bCs w:val="0"/>
          <w:kern w:val="2"/>
          <w:sz w:val="28"/>
          <w:szCs w:val="28"/>
          <w:lang w:val="en-US" w:eastAsia="zh-CN" w:bidi="ar-SA"/>
          <w14:ligatures w14:val="none"/>
        </w:rPr>
      </w:pPr>
      <w:r>
        <w:rPr>
          <w:rFonts w:hint="eastAsia" w:ascii="Times New Roman" w:hAnsi="Times New Roman" w:eastAsia="宋体" w:cs="Times New Roman"/>
          <w:b w:val="0"/>
          <w:bCs w:val="0"/>
          <w:kern w:val="2"/>
          <w:sz w:val="28"/>
          <w:szCs w:val="28"/>
          <w:lang w:val="en-US" w:eastAsia="zh-CN" w:bidi="ar-SA"/>
          <w14:ligatures w14:val="none"/>
        </w:rPr>
        <w:t>（2）雷电伤害</w:t>
      </w:r>
    </w:p>
    <w:p w14:paraId="228D0080">
      <w:pPr>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firstLine="560" w:firstLineChars="200"/>
        <w:textAlignment w:val="auto"/>
        <w:rPr>
          <w:rFonts w:hint="default" w:ascii="Times New Roman" w:hAnsi="Times New Roman" w:eastAsia="宋体" w:cs="Times New Roman"/>
          <w:b w:val="0"/>
          <w:bCs w:val="0"/>
          <w:kern w:val="2"/>
          <w:sz w:val="28"/>
          <w:szCs w:val="28"/>
          <w:lang w:val="en-US" w:eastAsia="zh-CN" w:bidi="ar-SA"/>
          <w14:ligatures w14:val="none"/>
        </w:rPr>
      </w:pPr>
      <w:r>
        <w:rPr>
          <w:rFonts w:hint="eastAsia" w:ascii="Times New Roman" w:hAnsi="Times New Roman" w:eastAsia="宋体" w:cs="Times New Roman"/>
          <w:b w:val="0"/>
          <w:bCs w:val="0"/>
          <w:kern w:val="2"/>
          <w:sz w:val="28"/>
          <w:szCs w:val="28"/>
          <w:lang w:val="en-US" w:eastAsia="zh-CN" w:bidi="ar-SA"/>
          <w14:ligatures w14:val="none"/>
        </w:rPr>
        <w:t>防雷建筑物在雷雨天存在着被雷击的危险，由于雷电具有电流很大、电压很高、冲击性很强的特点，一旦被雷电击中，不但可能损坏生产设备和设施，造成大规模停电，而且还会导致火灾和爆炸，造成人员伤亡事故。</w:t>
      </w:r>
    </w:p>
    <w:p w14:paraId="6AD00C32">
      <w:pPr>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firstLine="560" w:firstLineChars="200"/>
        <w:textAlignment w:val="auto"/>
        <w:rPr>
          <w:rFonts w:hint="default" w:ascii="Times New Roman" w:hAnsi="Times New Roman" w:eastAsia="宋体" w:cs="Times New Roman"/>
          <w:b w:val="0"/>
          <w:bCs w:val="0"/>
          <w:kern w:val="2"/>
          <w:sz w:val="28"/>
          <w:szCs w:val="28"/>
          <w:lang w:val="en-US" w:eastAsia="zh-CN" w:bidi="ar-SA"/>
          <w14:ligatures w14:val="none"/>
        </w:rPr>
      </w:pPr>
      <w:r>
        <w:rPr>
          <w:rFonts w:hint="eastAsia" w:ascii="Times New Roman" w:hAnsi="Times New Roman" w:eastAsia="宋体" w:cs="Times New Roman"/>
          <w:b w:val="0"/>
          <w:bCs w:val="0"/>
          <w:kern w:val="2"/>
          <w:sz w:val="28"/>
          <w:szCs w:val="28"/>
          <w:lang w:val="en-US" w:eastAsia="zh-CN" w:bidi="ar-SA"/>
          <w14:ligatures w14:val="none"/>
        </w:rPr>
        <w:t>伤害的方式：直接雷击放电、二次放电、雷电流的热量可能引起爆炸和火灾；雷电的直接击中、跨步电压的作用及火灾爆炸的间接作用会造成人员伤亡；雷击可直接毁坏建构筑物，导致电气设备击穿或烧毁：变压器、电力线路等遭受雷击，可导致大规模停电事故。</w:t>
      </w:r>
    </w:p>
    <w:p w14:paraId="70B55FF1">
      <w:pPr>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firstLine="560" w:firstLineChars="200"/>
        <w:textAlignment w:val="auto"/>
        <w:rPr>
          <w:rFonts w:hint="default" w:ascii="Times New Roman" w:hAnsi="Times New Roman" w:eastAsia="宋体" w:cs="Times New Roman"/>
          <w:b w:val="0"/>
          <w:bCs w:val="0"/>
          <w:kern w:val="2"/>
          <w:sz w:val="28"/>
          <w:szCs w:val="28"/>
          <w:lang w:val="en-US" w:eastAsia="zh-CN" w:bidi="ar-SA"/>
          <w14:ligatures w14:val="none"/>
        </w:rPr>
      </w:pPr>
      <w:r>
        <w:rPr>
          <w:rFonts w:hint="eastAsia" w:ascii="Times New Roman" w:hAnsi="Times New Roman" w:eastAsia="宋体" w:cs="Times New Roman"/>
          <w:b w:val="0"/>
          <w:bCs w:val="0"/>
          <w:kern w:val="2"/>
          <w:sz w:val="28"/>
          <w:szCs w:val="28"/>
          <w:lang w:val="en-US" w:eastAsia="zh-CN" w:bidi="ar-SA"/>
          <w14:ligatures w14:val="none"/>
        </w:rPr>
        <w:t>伤害的途径：由直击雷、雷电感应、雷电波的电性质、热性质、机械性质的破坏作用引起。</w:t>
      </w:r>
    </w:p>
    <w:p w14:paraId="35589DFC">
      <w:pPr>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firstLine="560" w:firstLineChars="200"/>
        <w:textAlignment w:val="auto"/>
        <w:rPr>
          <w:rFonts w:hint="default" w:ascii="Times New Roman" w:hAnsi="Times New Roman" w:eastAsia="宋体" w:cs="Times New Roman"/>
          <w:b w:val="0"/>
          <w:bCs w:val="0"/>
          <w:kern w:val="2"/>
          <w:sz w:val="28"/>
          <w:szCs w:val="28"/>
          <w:lang w:val="en-US" w:eastAsia="zh-CN" w:bidi="ar-SA"/>
          <w14:ligatures w14:val="none"/>
        </w:rPr>
      </w:pPr>
      <w:r>
        <w:rPr>
          <w:rFonts w:hint="eastAsia" w:ascii="Times New Roman" w:hAnsi="Times New Roman" w:eastAsia="宋体" w:cs="Times New Roman"/>
          <w:b w:val="0"/>
          <w:bCs w:val="0"/>
          <w:kern w:val="2"/>
          <w:sz w:val="28"/>
          <w:szCs w:val="28"/>
          <w:lang w:val="en-US" w:eastAsia="zh-CN" w:bidi="ar-SA"/>
          <w14:ligatures w14:val="none"/>
        </w:rPr>
        <w:t>从雷电防护的角度分析，雷电危险因素的产生原因主要有：防雷装置设计不合理；防雷装置安装存在缺陷；防雷装置失效，防雷接地体接地电阻不符合要求；缺乏必要的人身防雷安全知识等。</w:t>
      </w:r>
    </w:p>
    <w:bookmarkEnd w:id="141"/>
    <w:p w14:paraId="3D5244DF">
      <w:pPr>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firstLine="560" w:firstLineChars="200"/>
        <w:textAlignment w:val="auto"/>
        <w:rPr>
          <w:rFonts w:hint="default" w:ascii="Times New Roman" w:hAnsi="Times New Roman" w:eastAsia="宋体" w:cs="Times New Roman"/>
          <w:b w:val="0"/>
          <w:bCs w:val="0"/>
          <w:kern w:val="2"/>
          <w:sz w:val="28"/>
          <w:szCs w:val="28"/>
          <w:lang w:val="en-US" w:eastAsia="zh-CN" w:bidi="ar-SA"/>
          <w14:ligatures w14:val="none"/>
        </w:rPr>
      </w:pPr>
      <w:bookmarkStart w:id="143" w:name="_Toc14416"/>
      <w:r>
        <w:rPr>
          <w:rFonts w:hint="eastAsia" w:ascii="Times New Roman" w:hAnsi="Times New Roman" w:eastAsia="宋体" w:cs="Times New Roman"/>
          <w:b w:val="0"/>
          <w:bCs w:val="0"/>
          <w:kern w:val="2"/>
          <w:sz w:val="28"/>
          <w:szCs w:val="28"/>
          <w:lang w:val="en-US" w:eastAsia="zh-CN" w:bidi="ar-SA"/>
          <w14:ligatures w14:val="none"/>
        </w:rPr>
        <w:t>（3）静电伤害</w:t>
      </w:r>
      <w:bookmarkEnd w:id="143"/>
    </w:p>
    <w:p w14:paraId="153B1ABA">
      <w:pPr>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firstLine="560" w:firstLineChars="200"/>
        <w:textAlignment w:val="auto"/>
        <w:rPr>
          <w:rFonts w:hint="default" w:ascii="Times New Roman" w:hAnsi="Times New Roman" w:eastAsia="宋体" w:cs="Times New Roman"/>
          <w:b w:val="0"/>
          <w:bCs w:val="0"/>
          <w:kern w:val="2"/>
          <w:sz w:val="28"/>
          <w:szCs w:val="28"/>
          <w:lang w:val="en-US" w:eastAsia="zh-CN" w:bidi="ar-SA"/>
          <w14:ligatures w14:val="none"/>
        </w:rPr>
      </w:pPr>
      <w:r>
        <w:rPr>
          <w:rFonts w:hint="eastAsia" w:ascii="Times New Roman" w:hAnsi="Times New Roman" w:eastAsia="宋体" w:cs="Times New Roman"/>
          <w:b w:val="0"/>
          <w:bCs w:val="0"/>
          <w:kern w:val="2"/>
          <w:sz w:val="28"/>
          <w:szCs w:val="28"/>
          <w:lang w:val="en-US" w:eastAsia="zh-CN" w:bidi="ar-SA"/>
          <w14:ligatures w14:val="none"/>
        </w:rPr>
        <w:t>伤害的途径：由于来自静电火花、静电力以及静电场场强的作用引起。</w:t>
      </w:r>
    </w:p>
    <w:p w14:paraId="1D9150E0">
      <w:pPr>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firstLine="560" w:firstLineChars="200"/>
        <w:textAlignment w:val="auto"/>
        <w:rPr>
          <w:rFonts w:hint="default" w:ascii="Times New Roman" w:hAnsi="Times New Roman" w:eastAsia="宋体" w:cs="Times New Roman"/>
          <w:b w:val="0"/>
          <w:bCs w:val="0"/>
          <w:kern w:val="2"/>
          <w:sz w:val="28"/>
          <w:szCs w:val="28"/>
          <w:lang w:val="en-US" w:eastAsia="zh-CN" w:bidi="ar-SA"/>
          <w14:ligatures w14:val="none"/>
        </w:rPr>
      </w:pPr>
      <w:r>
        <w:rPr>
          <w:rFonts w:hint="eastAsia" w:ascii="Times New Roman" w:hAnsi="Times New Roman" w:eastAsia="宋体" w:cs="Times New Roman"/>
          <w:b w:val="0"/>
          <w:bCs w:val="0"/>
          <w:kern w:val="2"/>
          <w:sz w:val="28"/>
          <w:szCs w:val="28"/>
          <w:lang w:val="en-US" w:eastAsia="zh-CN" w:bidi="ar-SA"/>
          <w14:ligatures w14:val="none"/>
        </w:rPr>
        <w:t>静电危险因素的产生原因主要有：</w:t>
      </w:r>
    </w:p>
    <w:p w14:paraId="1A26D110">
      <w:pPr>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firstLine="560" w:firstLineChars="200"/>
        <w:textAlignment w:val="auto"/>
        <w:rPr>
          <w:rFonts w:hint="default" w:ascii="Times New Roman" w:hAnsi="Times New Roman" w:eastAsia="宋体" w:cs="Times New Roman"/>
          <w:b w:val="0"/>
          <w:bCs w:val="0"/>
          <w:kern w:val="2"/>
          <w:sz w:val="28"/>
          <w:szCs w:val="28"/>
          <w:lang w:val="en-US" w:eastAsia="zh-CN" w:bidi="ar-SA"/>
          <w14:ligatures w14:val="none"/>
        </w:rPr>
      </w:pPr>
      <w:r>
        <w:rPr>
          <w:rFonts w:hint="eastAsia" w:ascii="Times New Roman" w:hAnsi="Times New Roman" w:eastAsia="宋体" w:cs="Times New Roman"/>
          <w:b w:val="0"/>
          <w:bCs w:val="0"/>
          <w:kern w:val="2"/>
          <w:sz w:val="28"/>
          <w:szCs w:val="28"/>
          <w:lang w:val="en-US" w:eastAsia="zh-CN" w:bidi="ar-SA"/>
          <w14:ligatures w14:val="none"/>
        </w:rPr>
        <w:t>①静电接地、跨接装置不完善；</w:t>
      </w:r>
    </w:p>
    <w:p w14:paraId="353EED22">
      <w:pPr>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firstLine="560" w:firstLineChars="200"/>
        <w:textAlignment w:val="auto"/>
        <w:rPr>
          <w:rFonts w:hint="default" w:ascii="Times New Roman" w:hAnsi="Times New Roman" w:eastAsia="宋体" w:cs="Times New Roman"/>
          <w:b w:val="0"/>
          <w:bCs w:val="0"/>
          <w:kern w:val="2"/>
          <w:sz w:val="28"/>
          <w:szCs w:val="28"/>
          <w:lang w:val="en-US" w:eastAsia="zh-CN" w:bidi="ar-SA"/>
          <w14:ligatures w14:val="none"/>
        </w:rPr>
      </w:pPr>
      <w:r>
        <w:rPr>
          <w:rFonts w:hint="eastAsia" w:ascii="Times New Roman" w:hAnsi="Times New Roman" w:eastAsia="宋体" w:cs="Times New Roman"/>
          <w:b w:val="0"/>
          <w:bCs w:val="0"/>
          <w:kern w:val="2"/>
          <w:sz w:val="28"/>
          <w:szCs w:val="28"/>
          <w:lang w:val="en-US" w:eastAsia="zh-CN" w:bidi="ar-SA"/>
          <w14:ligatures w14:val="none"/>
        </w:rPr>
        <w:t>②测量操作不规范；</w:t>
      </w:r>
    </w:p>
    <w:p w14:paraId="7F09D43D">
      <w:pPr>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firstLine="560" w:firstLineChars="200"/>
        <w:textAlignment w:val="auto"/>
        <w:rPr>
          <w:rFonts w:hint="default" w:ascii="Times New Roman" w:hAnsi="Times New Roman" w:eastAsia="宋体" w:cs="Times New Roman"/>
          <w:b w:val="0"/>
          <w:bCs w:val="0"/>
          <w:kern w:val="2"/>
          <w:sz w:val="28"/>
          <w:szCs w:val="28"/>
          <w:lang w:val="en-US" w:eastAsia="zh-CN" w:bidi="ar-SA"/>
          <w14:ligatures w14:val="none"/>
        </w:rPr>
      </w:pPr>
      <w:r>
        <w:rPr>
          <w:rFonts w:hint="eastAsia" w:ascii="Times New Roman" w:hAnsi="Times New Roman" w:eastAsia="宋体" w:cs="Times New Roman"/>
          <w:b w:val="0"/>
          <w:bCs w:val="0"/>
          <w:kern w:val="2"/>
          <w:sz w:val="28"/>
          <w:szCs w:val="28"/>
          <w:lang w:val="en-US" w:eastAsia="zh-CN" w:bidi="ar-SA"/>
          <w14:ligatures w14:val="none"/>
        </w:rPr>
        <w:t>③设备缺乏检修和维护；</w:t>
      </w:r>
    </w:p>
    <w:p w14:paraId="683A2FB5">
      <w:pPr>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firstLine="560" w:firstLineChars="200"/>
        <w:textAlignment w:val="auto"/>
        <w:rPr>
          <w:rFonts w:hint="default" w:ascii="Times New Roman" w:hAnsi="Times New Roman" w:eastAsia="宋体" w:cs="Times New Roman"/>
          <w:b w:val="0"/>
          <w:bCs w:val="0"/>
          <w:kern w:val="2"/>
          <w:sz w:val="28"/>
          <w:szCs w:val="28"/>
          <w:lang w:val="en-US" w:eastAsia="zh-CN" w:bidi="ar-SA"/>
          <w14:ligatures w14:val="none"/>
        </w:rPr>
      </w:pPr>
      <w:r>
        <w:rPr>
          <w:rFonts w:hint="eastAsia" w:ascii="Times New Roman" w:hAnsi="Times New Roman" w:eastAsia="宋体" w:cs="Times New Roman"/>
          <w:b w:val="0"/>
          <w:bCs w:val="0"/>
          <w:kern w:val="2"/>
          <w:sz w:val="28"/>
          <w:szCs w:val="28"/>
          <w:lang w:val="en-US" w:eastAsia="zh-CN" w:bidi="ar-SA"/>
          <w14:ligatures w14:val="none"/>
        </w:rPr>
        <w:t>④人体静电防护不符合要求等产生静电火花。</w:t>
      </w:r>
    </w:p>
    <w:p w14:paraId="4BF178A1">
      <w:pPr>
        <w:pStyle w:val="3"/>
        <w:keepNext w:val="0"/>
        <w:keepLines w:val="0"/>
        <w:pageBreakBefore w:val="0"/>
        <w:widowControl w:val="0"/>
        <w:kinsoku/>
        <w:wordWrap/>
        <w:overflowPunct/>
        <w:topLinePunct w:val="0"/>
        <w:autoSpaceDE/>
        <w:autoSpaceDN/>
        <w:bidi w:val="0"/>
        <w:adjustRightInd w:val="0"/>
        <w:snapToGrid w:val="0"/>
        <w:spacing w:before="120" w:beforeLines="50" w:after="120" w:afterLines="50" w:line="360" w:lineRule="auto"/>
        <w:ind w:firstLine="562" w:firstLineChars="200"/>
        <w:jc w:val="both"/>
        <w:textAlignment w:val="auto"/>
        <w:rPr>
          <w:rFonts w:hint="default" w:ascii="Times New Roman" w:hAnsi="Times New Roman" w:eastAsia="黑体" w:cs="Times New Roman"/>
          <w:b/>
          <w:bCs w:val="0"/>
          <w:kern w:val="0"/>
          <w:sz w:val="28"/>
          <w:lang w:val="en-US" w:eastAsia="zh-CN"/>
          <w14:ligatures w14:val="none"/>
        </w:rPr>
      </w:pPr>
      <w:bookmarkStart w:id="144" w:name="_Toc7443913"/>
      <w:bookmarkStart w:id="145" w:name="_Toc4795"/>
      <w:bookmarkStart w:id="146" w:name="_Toc1023"/>
      <w:bookmarkStart w:id="147" w:name="_Toc418558741"/>
      <w:bookmarkStart w:id="148" w:name="_Toc14115"/>
      <w:bookmarkStart w:id="149" w:name="_Toc11750"/>
      <w:bookmarkStart w:id="150" w:name="_Toc2677"/>
      <w:bookmarkStart w:id="151" w:name="_Toc529533086"/>
      <w:bookmarkStart w:id="152" w:name="_Toc5520"/>
      <w:bookmarkStart w:id="153" w:name="_Toc1253"/>
      <w:r>
        <w:rPr>
          <w:rFonts w:hint="default" w:ascii="Times New Roman" w:hAnsi="Times New Roman" w:eastAsia="黑体" w:cs="Times New Roman"/>
          <w:b/>
          <w:bCs w:val="0"/>
          <w:kern w:val="0"/>
          <w:sz w:val="28"/>
          <w:lang w:val="en-US" w:eastAsia="zh-CN"/>
          <w14:ligatures w14:val="none"/>
        </w:rPr>
        <w:t>3.2.</w:t>
      </w:r>
      <w:bookmarkEnd w:id="144"/>
      <w:bookmarkEnd w:id="145"/>
      <w:bookmarkEnd w:id="146"/>
      <w:bookmarkEnd w:id="147"/>
      <w:bookmarkEnd w:id="148"/>
      <w:bookmarkEnd w:id="149"/>
      <w:bookmarkEnd w:id="150"/>
      <w:bookmarkEnd w:id="151"/>
      <w:bookmarkEnd w:id="152"/>
      <w:r>
        <w:rPr>
          <w:rFonts w:hint="eastAsia" w:ascii="Times New Roman" w:hAnsi="Times New Roman" w:eastAsia="黑体" w:cs="Times New Roman"/>
          <w:b/>
          <w:bCs w:val="0"/>
          <w:kern w:val="0"/>
          <w:sz w:val="28"/>
          <w:lang w:val="en-US" w:eastAsia="zh-CN"/>
          <w14:ligatures w14:val="none"/>
        </w:rPr>
        <w:t>4机械伤害</w:t>
      </w:r>
      <w:bookmarkEnd w:id="153"/>
    </w:p>
    <w:p w14:paraId="296A194E">
      <w:pPr>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firstLine="560" w:firstLineChars="200"/>
        <w:textAlignment w:val="auto"/>
        <w:rPr>
          <w:rFonts w:hint="default" w:ascii="Times New Roman" w:hAnsi="Times New Roman" w:eastAsia="宋体" w:cs="Times New Roman"/>
          <w:b w:val="0"/>
          <w:bCs w:val="0"/>
          <w:kern w:val="2"/>
          <w:sz w:val="28"/>
          <w:szCs w:val="28"/>
          <w:lang w:val="en-US" w:eastAsia="zh-CN" w:bidi="ar-SA"/>
          <w14:ligatures w14:val="none"/>
        </w:rPr>
      </w:pPr>
      <w:r>
        <w:rPr>
          <w:rFonts w:hint="eastAsia" w:ascii="Times New Roman" w:hAnsi="Times New Roman" w:eastAsia="宋体" w:cs="Times New Roman"/>
          <w:b w:val="0"/>
          <w:bCs w:val="0"/>
          <w:kern w:val="2"/>
          <w:sz w:val="28"/>
          <w:szCs w:val="28"/>
          <w:lang w:val="en-US" w:eastAsia="zh-CN" w:bidi="ar-SA"/>
          <w14:ligatures w14:val="none"/>
        </w:rPr>
        <w:t>本项目涉及到泵，如防护措施不到位，或防护存在着一定的缺陷，或在事故及检修等状况下都存在机械伤害的可能。</w:t>
      </w:r>
    </w:p>
    <w:p w14:paraId="3CDFD797">
      <w:pPr>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firstLine="560" w:firstLineChars="200"/>
        <w:textAlignment w:val="auto"/>
        <w:rPr>
          <w:rFonts w:hint="default" w:ascii="Times New Roman" w:hAnsi="Times New Roman" w:eastAsia="宋体" w:cs="Times New Roman"/>
          <w:b w:val="0"/>
          <w:bCs w:val="0"/>
          <w:kern w:val="2"/>
          <w:sz w:val="28"/>
          <w:szCs w:val="28"/>
          <w:lang w:val="en-US" w:eastAsia="zh-CN" w:bidi="ar-SA"/>
          <w14:ligatures w14:val="none"/>
        </w:rPr>
      </w:pPr>
      <w:r>
        <w:rPr>
          <w:rFonts w:hint="eastAsia" w:ascii="Times New Roman" w:hAnsi="Times New Roman" w:eastAsia="宋体" w:cs="Times New Roman"/>
          <w:b w:val="0"/>
          <w:bCs w:val="0"/>
          <w:kern w:val="2"/>
          <w:sz w:val="28"/>
          <w:szCs w:val="28"/>
          <w:lang w:val="en-US" w:eastAsia="zh-CN" w:bidi="ar-SA"/>
          <w14:ligatures w14:val="none"/>
        </w:rPr>
        <w:t>常见机械伤害有：与运动零部件接触伤害如绞缠、卷咬、冲压，飞出物的打击伤害、刮碰、撞击伤害、坠落、磕绊与跌伤。</w:t>
      </w:r>
    </w:p>
    <w:p w14:paraId="52906915">
      <w:pPr>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firstLine="560" w:firstLineChars="200"/>
        <w:textAlignment w:val="auto"/>
        <w:rPr>
          <w:rFonts w:hint="default" w:ascii="Times New Roman" w:hAnsi="Times New Roman" w:eastAsia="宋体" w:cs="Times New Roman"/>
          <w:b w:val="0"/>
          <w:bCs w:val="0"/>
          <w:kern w:val="2"/>
          <w:sz w:val="28"/>
          <w:szCs w:val="28"/>
          <w:lang w:val="en-US" w:eastAsia="zh-CN" w:bidi="ar-SA"/>
          <w14:ligatures w14:val="none"/>
        </w:rPr>
      </w:pPr>
      <w:r>
        <w:rPr>
          <w:rFonts w:hint="eastAsia" w:ascii="Times New Roman" w:hAnsi="Times New Roman" w:eastAsia="宋体" w:cs="Times New Roman"/>
          <w:b w:val="0"/>
          <w:bCs w:val="0"/>
          <w:kern w:val="2"/>
          <w:sz w:val="28"/>
          <w:szCs w:val="28"/>
          <w:lang w:val="en-US" w:eastAsia="zh-CN" w:bidi="ar-SA"/>
          <w14:ligatures w14:val="none"/>
        </w:rPr>
        <w:t>造成机械伤害事故的主要原因有：</w:t>
      </w:r>
    </w:p>
    <w:p w14:paraId="4CCD2699">
      <w:pPr>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firstLine="560" w:firstLineChars="200"/>
        <w:textAlignment w:val="auto"/>
        <w:rPr>
          <w:rFonts w:hint="default" w:ascii="Times New Roman" w:hAnsi="Times New Roman" w:eastAsia="宋体" w:cs="Times New Roman"/>
          <w:b w:val="0"/>
          <w:bCs w:val="0"/>
          <w:kern w:val="2"/>
          <w:sz w:val="28"/>
          <w:szCs w:val="28"/>
          <w:lang w:val="en-US" w:eastAsia="zh-CN" w:bidi="ar-SA"/>
          <w14:ligatures w14:val="none"/>
        </w:rPr>
      </w:pPr>
      <w:bookmarkStart w:id="154" w:name="_Toc7578"/>
      <w:r>
        <w:rPr>
          <w:rFonts w:hint="eastAsia" w:ascii="Times New Roman" w:hAnsi="Times New Roman" w:eastAsia="宋体" w:cs="Times New Roman"/>
          <w:b w:val="0"/>
          <w:bCs w:val="0"/>
          <w:kern w:val="2"/>
          <w:sz w:val="28"/>
          <w:szCs w:val="28"/>
          <w:lang w:val="en-US" w:eastAsia="zh-CN" w:bidi="ar-SA"/>
          <w14:ligatures w14:val="none"/>
        </w:rPr>
        <w:t>（1）缺乏安全装置。</w:t>
      </w:r>
      <w:bookmarkEnd w:id="154"/>
    </w:p>
    <w:p w14:paraId="494FAEB0">
      <w:pPr>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firstLine="560" w:firstLineChars="200"/>
        <w:textAlignment w:val="auto"/>
        <w:rPr>
          <w:rFonts w:hint="default" w:ascii="Times New Roman" w:hAnsi="Times New Roman" w:eastAsia="宋体" w:cs="Times New Roman"/>
          <w:b w:val="0"/>
          <w:bCs w:val="0"/>
          <w:kern w:val="2"/>
          <w:sz w:val="28"/>
          <w:szCs w:val="28"/>
          <w:lang w:val="en-US" w:eastAsia="zh-CN" w:bidi="ar-SA"/>
          <w14:ligatures w14:val="none"/>
        </w:rPr>
      </w:pPr>
      <w:r>
        <w:rPr>
          <w:rFonts w:hint="eastAsia" w:ascii="Times New Roman" w:hAnsi="Times New Roman" w:eastAsia="宋体" w:cs="Times New Roman"/>
          <w:b w:val="0"/>
          <w:bCs w:val="0"/>
          <w:kern w:val="2"/>
          <w:sz w:val="28"/>
          <w:szCs w:val="28"/>
          <w:lang w:val="en-US" w:eastAsia="zh-CN" w:bidi="ar-SA"/>
          <w14:ligatures w14:val="none"/>
        </w:rPr>
        <w:t>人手直接频繁接触的机械，没有完好的防护装置或者无警示牌，人一旦疏忽误接触这些部位，就会造成事故。</w:t>
      </w:r>
    </w:p>
    <w:p w14:paraId="007B4D5F">
      <w:pPr>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firstLine="560" w:firstLineChars="200"/>
        <w:textAlignment w:val="auto"/>
        <w:rPr>
          <w:rFonts w:hint="default" w:ascii="Times New Roman" w:hAnsi="Times New Roman" w:eastAsia="宋体" w:cs="Times New Roman"/>
          <w:b w:val="0"/>
          <w:bCs w:val="0"/>
          <w:kern w:val="2"/>
          <w:sz w:val="28"/>
          <w:szCs w:val="28"/>
          <w:lang w:val="en-US" w:eastAsia="zh-CN" w:bidi="ar-SA"/>
          <w14:ligatures w14:val="none"/>
        </w:rPr>
      </w:pPr>
      <w:bookmarkStart w:id="155" w:name="_Toc27520"/>
      <w:r>
        <w:rPr>
          <w:rFonts w:hint="eastAsia" w:ascii="Times New Roman" w:hAnsi="Times New Roman" w:eastAsia="宋体" w:cs="Times New Roman"/>
          <w:b w:val="0"/>
          <w:bCs w:val="0"/>
          <w:kern w:val="2"/>
          <w:sz w:val="28"/>
          <w:szCs w:val="28"/>
          <w:lang w:val="en-US" w:eastAsia="zh-CN" w:bidi="ar-SA"/>
          <w14:ligatures w14:val="none"/>
        </w:rPr>
        <w:t>（2）检修、检查机械时忽视安全措施。</w:t>
      </w:r>
      <w:bookmarkEnd w:id="155"/>
    </w:p>
    <w:p w14:paraId="6C59FAE0">
      <w:pPr>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firstLine="560" w:firstLineChars="200"/>
        <w:textAlignment w:val="auto"/>
        <w:rPr>
          <w:rFonts w:hint="default" w:ascii="Times New Roman" w:hAnsi="Times New Roman" w:eastAsia="宋体" w:cs="Times New Roman"/>
          <w:b w:val="0"/>
          <w:bCs w:val="0"/>
          <w:kern w:val="2"/>
          <w:sz w:val="28"/>
          <w:szCs w:val="28"/>
          <w:lang w:val="en-US" w:eastAsia="zh-CN" w:bidi="ar-SA"/>
          <w14:ligatures w14:val="none"/>
        </w:rPr>
      </w:pPr>
      <w:r>
        <w:rPr>
          <w:rFonts w:hint="eastAsia" w:ascii="Times New Roman" w:hAnsi="Times New Roman" w:eastAsia="宋体" w:cs="Times New Roman"/>
          <w:b w:val="0"/>
          <w:bCs w:val="0"/>
          <w:kern w:val="2"/>
          <w:sz w:val="28"/>
          <w:szCs w:val="28"/>
          <w:lang w:val="en-US" w:eastAsia="zh-CN" w:bidi="ar-SA"/>
          <w14:ligatures w14:val="none"/>
        </w:rPr>
        <w:t>如人员进行设备检修、检查作业，不切断电源，未挂不准合闸警示牌，未设专人监护等措施而造成严重后果。也有的因当时受定时电源开关作用或发生临时停电等因素误判而造成事故。也有的虽然对设备断电，但因未等至设备惯性运转彻底停住就下手工作，同样造成严重后果。</w:t>
      </w:r>
    </w:p>
    <w:p w14:paraId="210C5330">
      <w:pPr>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firstLine="560" w:firstLineChars="200"/>
        <w:textAlignment w:val="auto"/>
        <w:rPr>
          <w:rFonts w:hint="default" w:ascii="Times New Roman" w:hAnsi="Times New Roman" w:eastAsia="宋体" w:cs="Times New Roman"/>
          <w:b w:val="0"/>
          <w:bCs w:val="0"/>
          <w:kern w:val="2"/>
          <w:sz w:val="28"/>
          <w:szCs w:val="28"/>
          <w:lang w:val="en-US" w:eastAsia="zh-CN" w:bidi="ar-SA"/>
          <w14:ligatures w14:val="none"/>
        </w:rPr>
      </w:pPr>
      <w:bookmarkStart w:id="156" w:name="_Toc31601"/>
      <w:r>
        <w:rPr>
          <w:rFonts w:hint="eastAsia" w:ascii="Times New Roman" w:hAnsi="Times New Roman" w:eastAsia="宋体" w:cs="Times New Roman"/>
          <w:b w:val="0"/>
          <w:bCs w:val="0"/>
          <w:kern w:val="2"/>
          <w:sz w:val="28"/>
          <w:szCs w:val="28"/>
          <w:lang w:val="en-US" w:eastAsia="zh-CN" w:bidi="ar-SA"/>
          <w14:ligatures w14:val="none"/>
        </w:rPr>
        <w:t>（3）电源开关布局不合理。</w:t>
      </w:r>
      <w:bookmarkEnd w:id="156"/>
    </w:p>
    <w:p w14:paraId="30562754">
      <w:pPr>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firstLine="560" w:firstLineChars="200"/>
        <w:textAlignment w:val="auto"/>
        <w:rPr>
          <w:rFonts w:hint="default" w:ascii="Times New Roman" w:hAnsi="Times New Roman" w:eastAsia="宋体" w:cs="Times New Roman"/>
          <w:b w:val="0"/>
          <w:bCs w:val="0"/>
          <w:kern w:val="2"/>
          <w:sz w:val="28"/>
          <w:szCs w:val="28"/>
          <w:lang w:val="en-US" w:eastAsia="zh-CN" w:bidi="ar-SA"/>
          <w14:ligatures w14:val="none"/>
        </w:rPr>
      </w:pPr>
      <w:r>
        <w:rPr>
          <w:rFonts w:hint="eastAsia" w:ascii="Times New Roman" w:hAnsi="Times New Roman" w:eastAsia="宋体" w:cs="Times New Roman"/>
          <w:b w:val="0"/>
          <w:bCs w:val="0"/>
          <w:kern w:val="2"/>
          <w:sz w:val="28"/>
          <w:szCs w:val="28"/>
          <w:lang w:val="en-US" w:eastAsia="zh-CN" w:bidi="ar-SA"/>
          <w14:ligatures w14:val="none"/>
        </w:rPr>
        <w:t>一种是有了紧急情况不能立即停车；另一种是好几台机械开关设在一起，极易造成误开机械引发严重后果。</w:t>
      </w:r>
    </w:p>
    <w:p w14:paraId="343C0F12">
      <w:pPr>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firstLine="560" w:firstLineChars="200"/>
        <w:textAlignment w:val="auto"/>
        <w:rPr>
          <w:rFonts w:hint="default" w:ascii="Times New Roman" w:hAnsi="Times New Roman" w:eastAsia="宋体" w:cs="Times New Roman"/>
          <w:b w:val="0"/>
          <w:bCs w:val="0"/>
          <w:kern w:val="2"/>
          <w:sz w:val="28"/>
          <w:szCs w:val="28"/>
          <w:lang w:val="en-US" w:eastAsia="zh-CN" w:bidi="ar-SA"/>
          <w14:ligatures w14:val="none"/>
        </w:rPr>
      </w:pPr>
      <w:r>
        <w:rPr>
          <w:rFonts w:hint="eastAsia" w:ascii="Times New Roman" w:hAnsi="Times New Roman" w:eastAsia="宋体" w:cs="Times New Roman"/>
          <w:b w:val="0"/>
          <w:bCs w:val="0"/>
          <w:kern w:val="2"/>
          <w:sz w:val="28"/>
          <w:szCs w:val="28"/>
          <w:lang w:val="en-US" w:eastAsia="zh-CN" w:bidi="ar-SA"/>
          <w14:ligatures w14:val="none"/>
        </w:rPr>
        <w:t>（4）自制或任意改造机械设备，不符合安全要求。</w:t>
      </w:r>
    </w:p>
    <w:p w14:paraId="24CA69FE">
      <w:pPr>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firstLine="560" w:firstLineChars="200"/>
        <w:textAlignment w:val="auto"/>
        <w:rPr>
          <w:rFonts w:hint="default" w:ascii="Times New Roman" w:hAnsi="Times New Roman" w:eastAsia="宋体" w:cs="Times New Roman"/>
          <w:b w:val="0"/>
          <w:bCs w:val="0"/>
          <w:kern w:val="2"/>
          <w:sz w:val="28"/>
          <w:szCs w:val="28"/>
          <w:lang w:val="en-US" w:eastAsia="zh-CN" w:bidi="ar-SA"/>
          <w14:ligatures w14:val="none"/>
        </w:rPr>
      </w:pPr>
      <w:r>
        <w:rPr>
          <w:rFonts w:hint="eastAsia" w:ascii="Times New Roman" w:hAnsi="Times New Roman" w:eastAsia="宋体" w:cs="Times New Roman"/>
          <w:b w:val="0"/>
          <w:bCs w:val="0"/>
          <w:kern w:val="2"/>
          <w:sz w:val="28"/>
          <w:szCs w:val="28"/>
          <w:lang w:val="en-US" w:eastAsia="zh-CN" w:bidi="ar-SA"/>
          <w14:ligatures w14:val="none"/>
        </w:rPr>
        <w:t>（5）任意进入机械运行危险作业区（干活、拣物等）。</w:t>
      </w:r>
    </w:p>
    <w:p w14:paraId="3B316B47">
      <w:pPr>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firstLine="560" w:firstLineChars="200"/>
        <w:textAlignment w:val="auto"/>
        <w:rPr>
          <w:rFonts w:hint="default" w:ascii="Times New Roman" w:hAnsi="Times New Roman" w:eastAsia="宋体" w:cs="Times New Roman"/>
          <w:b w:val="0"/>
          <w:bCs w:val="0"/>
          <w:kern w:val="2"/>
          <w:sz w:val="28"/>
          <w:szCs w:val="28"/>
          <w:lang w:val="en-US" w:eastAsia="zh-CN" w:bidi="ar-SA"/>
          <w14:ligatures w14:val="none"/>
        </w:rPr>
      </w:pPr>
      <w:r>
        <w:rPr>
          <w:rFonts w:hint="eastAsia" w:ascii="Times New Roman" w:hAnsi="Times New Roman" w:eastAsia="宋体" w:cs="Times New Roman"/>
          <w:b w:val="0"/>
          <w:bCs w:val="0"/>
          <w:kern w:val="2"/>
          <w:sz w:val="28"/>
          <w:szCs w:val="28"/>
          <w:lang w:val="en-US" w:eastAsia="zh-CN" w:bidi="ar-SA"/>
          <w14:ligatures w14:val="none"/>
        </w:rPr>
        <w:t>（6）不具操作素质的人员上岗或其他人员乱动机械。</w:t>
      </w:r>
    </w:p>
    <w:p w14:paraId="3B287AB5">
      <w:pPr>
        <w:pStyle w:val="3"/>
        <w:keepNext w:val="0"/>
        <w:keepLines w:val="0"/>
        <w:pageBreakBefore w:val="0"/>
        <w:widowControl w:val="0"/>
        <w:kinsoku/>
        <w:wordWrap/>
        <w:overflowPunct/>
        <w:topLinePunct w:val="0"/>
        <w:autoSpaceDE/>
        <w:autoSpaceDN/>
        <w:bidi w:val="0"/>
        <w:adjustRightInd w:val="0"/>
        <w:snapToGrid w:val="0"/>
        <w:spacing w:before="120" w:beforeLines="50" w:after="120" w:afterLines="50" w:line="360" w:lineRule="auto"/>
        <w:ind w:firstLine="562" w:firstLineChars="200"/>
        <w:jc w:val="both"/>
        <w:textAlignment w:val="auto"/>
        <w:rPr>
          <w:rFonts w:hint="default" w:ascii="Times New Roman" w:hAnsi="Times New Roman" w:eastAsia="黑体" w:cs="Times New Roman"/>
          <w:b/>
          <w:bCs w:val="0"/>
          <w:kern w:val="0"/>
          <w:sz w:val="28"/>
          <w:lang w:val="en-US" w:eastAsia="zh-CN"/>
          <w14:ligatures w14:val="none"/>
        </w:rPr>
      </w:pPr>
      <w:bookmarkStart w:id="157" w:name="_Toc529533089"/>
      <w:bookmarkStart w:id="158" w:name="_Toc7443916"/>
      <w:bookmarkStart w:id="159" w:name="_Toc13882"/>
      <w:bookmarkStart w:id="160" w:name="_Toc23612"/>
      <w:bookmarkStart w:id="161" w:name="_Toc23808"/>
      <w:bookmarkStart w:id="162" w:name="_Toc4463"/>
      <w:bookmarkStart w:id="163" w:name="_Toc22952"/>
      <w:r>
        <w:rPr>
          <w:rFonts w:hint="default" w:ascii="Times New Roman" w:hAnsi="Times New Roman" w:eastAsia="黑体" w:cs="Times New Roman"/>
          <w:b/>
          <w:bCs w:val="0"/>
          <w:kern w:val="0"/>
          <w:sz w:val="28"/>
          <w:lang w:val="en-US" w:eastAsia="zh-CN"/>
          <w14:ligatures w14:val="none"/>
        </w:rPr>
        <w:t>3.2.</w:t>
      </w:r>
      <w:bookmarkEnd w:id="157"/>
      <w:bookmarkEnd w:id="158"/>
      <w:bookmarkEnd w:id="159"/>
      <w:bookmarkEnd w:id="160"/>
      <w:bookmarkEnd w:id="161"/>
      <w:bookmarkEnd w:id="162"/>
      <w:r>
        <w:rPr>
          <w:rFonts w:hint="eastAsia" w:ascii="Times New Roman" w:hAnsi="Times New Roman" w:eastAsia="黑体" w:cs="Times New Roman"/>
          <w:b/>
          <w:bCs w:val="0"/>
          <w:kern w:val="0"/>
          <w:sz w:val="28"/>
          <w:lang w:val="en-US" w:eastAsia="zh-CN"/>
          <w14:ligatures w14:val="none"/>
        </w:rPr>
        <w:t>5高处坠落</w:t>
      </w:r>
      <w:bookmarkEnd w:id="163"/>
    </w:p>
    <w:p w14:paraId="74F51395">
      <w:pPr>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firstLine="560" w:firstLineChars="200"/>
        <w:textAlignment w:val="auto"/>
        <w:rPr>
          <w:rFonts w:hint="default" w:ascii="Times New Roman" w:hAnsi="Times New Roman" w:eastAsia="宋体" w:cs="Times New Roman"/>
          <w:b w:val="0"/>
          <w:bCs w:val="0"/>
          <w:kern w:val="2"/>
          <w:sz w:val="28"/>
          <w:szCs w:val="28"/>
          <w:lang w:val="zh-CN" w:eastAsia="zh-CN" w:bidi="ar-SA"/>
          <w14:ligatures w14:val="none"/>
        </w:rPr>
      </w:pPr>
      <w:bookmarkStart w:id="164" w:name="_Toc31736"/>
      <w:bookmarkStart w:id="165" w:name="_Toc28768"/>
      <w:bookmarkStart w:id="166" w:name="_Toc7443917"/>
      <w:bookmarkStart w:id="167" w:name="_Toc529533090"/>
      <w:bookmarkStart w:id="168" w:name="_Toc11126"/>
      <w:bookmarkStart w:id="169" w:name="_Toc426619258"/>
      <w:bookmarkStart w:id="170" w:name="_Toc570"/>
      <w:r>
        <w:rPr>
          <w:rFonts w:hint="eastAsia" w:ascii="Times New Roman" w:hAnsi="Times New Roman" w:eastAsia="宋体" w:cs="Times New Roman"/>
          <w:b w:val="0"/>
          <w:bCs w:val="0"/>
          <w:kern w:val="2"/>
          <w:sz w:val="28"/>
          <w:szCs w:val="28"/>
          <w:lang w:val="zh-CN" w:eastAsia="zh-CN" w:bidi="ar-SA"/>
          <w14:ligatures w14:val="none"/>
        </w:rPr>
        <w:t>根据《高处作业分级》的规定，凡是高于基准面2m以上（含2m），有可能坠落的高处进行的作业均为高处作业。</w:t>
      </w:r>
    </w:p>
    <w:p w14:paraId="1F2B5F43">
      <w:pPr>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firstLine="560" w:firstLineChars="200"/>
        <w:textAlignment w:val="auto"/>
        <w:rPr>
          <w:rFonts w:hint="default" w:ascii="Times New Roman" w:hAnsi="Times New Roman" w:eastAsia="宋体" w:cs="Times New Roman"/>
          <w:b w:val="0"/>
          <w:bCs w:val="0"/>
          <w:kern w:val="2"/>
          <w:sz w:val="28"/>
          <w:szCs w:val="28"/>
          <w:lang w:val="en-US" w:eastAsia="zh-CN" w:bidi="ar-SA"/>
          <w14:ligatures w14:val="none"/>
        </w:rPr>
      </w:pPr>
      <w:r>
        <w:rPr>
          <w:rFonts w:hint="eastAsia" w:ascii="Times New Roman" w:hAnsi="Times New Roman" w:eastAsia="宋体" w:cs="Times New Roman"/>
          <w:b w:val="0"/>
          <w:bCs w:val="0"/>
          <w:kern w:val="2"/>
          <w:sz w:val="28"/>
          <w:szCs w:val="28"/>
          <w:lang w:val="zh-CN" w:eastAsia="zh-CN" w:bidi="ar-SA"/>
          <w14:ligatures w14:val="none"/>
        </w:rPr>
        <w:t>本项目高处坠落的主要类型有：因</w:t>
      </w:r>
      <w:r>
        <w:rPr>
          <w:rFonts w:hint="eastAsia" w:ascii="Times New Roman" w:hAnsi="Times New Roman" w:eastAsia="宋体" w:cs="Times New Roman"/>
          <w:b w:val="0"/>
          <w:bCs w:val="0"/>
          <w:kern w:val="2"/>
          <w:sz w:val="28"/>
          <w:szCs w:val="28"/>
          <w:lang w:val="en-US" w:eastAsia="zh-CN" w:bidi="ar-SA"/>
          <w14:ligatures w14:val="none"/>
        </w:rPr>
        <w:t>到储罐的顶部作业</w:t>
      </w:r>
      <w:r>
        <w:rPr>
          <w:rFonts w:hint="eastAsia" w:ascii="Times New Roman" w:hAnsi="Times New Roman" w:eastAsia="宋体" w:cs="Times New Roman"/>
          <w:b w:val="0"/>
          <w:bCs w:val="0"/>
          <w:kern w:val="2"/>
          <w:sz w:val="28"/>
          <w:szCs w:val="28"/>
          <w:lang w:val="zh-CN" w:eastAsia="zh-CN" w:bidi="ar-SA"/>
          <w14:ligatures w14:val="none"/>
        </w:rPr>
        <w:t>时，</w:t>
      </w:r>
      <w:r>
        <w:rPr>
          <w:rFonts w:hint="eastAsia" w:ascii="Times New Roman" w:hAnsi="Times New Roman" w:eastAsia="宋体" w:cs="Times New Roman"/>
          <w:b w:val="0"/>
          <w:bCs w:val="0"/>
          <w:kern w:val="2"/>
          <w:sz w:val="28"/>
          <w:szCs w:val="28"/>
          <w:lang w:val="en-US" w:eastAsia="zh-CN" w:bidi="ar-SA"/>
          <w14:ligatures w14:val="none"/>
        </w:rPr>
        <w:t>由于</w:t>
      </w:r>
      <w:r>
        <w:rPr>
          <w:rFonts w:hint="eastAsia" w:ascii="Times New Roman" w:hAnsi="Times New Roman" w:eastAsia="宋体" w:cs="Times New Roman"/>
          <w:b w:val="0"/>
          <w:bCs w:val="0"/>
          <w:kern w:val="2"/>
          <w:sz w:val="28"/>
          <w:szCs w:val="28"/>
          <w:lang w:val="zh-CN" w:eastAsia="zh-CN" w:bidi="ar-SA"/>
          <w14:ligatures w14:val="none"/>
        </w:rPr>
        <w:t>踏空、失稳、站位不当</w:t>
      </w:r>
      <w:r>
        <w:rPr>
          <w:rFonts w:hint="eastAsia" w:ascii="Times New Roman" w:hAnsi="Times New Roman" w:eastAsia="宋体" w:cs="Times New Roman"/>
          <w:b w:val="0"/>
          <w:bCs w:val="0"/>
          <w:kern w:val="2"/>
          <w:sz w:val="28"/>
          <w:szCs w:val="28"/>
          <w:lang w:val="en-US" w:eastAsia="zh-CN" w:bidi="ar-SA"/>
          <w14:ligatures w14:val="none"/>
        </w:rPr>
        <w:t>导致</w:t>
      </w:r>
      <w:r>
        <w:rPr>
          <w:rFonts w:hint="eastAsia" w:ascii="Times New Roman" w:hAnsi="Times New Roman" w:eastAsia="宋体" w:cs="Times New Roman"/>
          <w:b w:val="0"/>
          <w:bCs w:val="0"/>
          <w:kern w:val="2"/>
          <w:sz w:val="28"/>
          <w:szCs w:val="28"/>
          <w:lang w:val="zh-CN" w:eastAsia="zh-CN" w:bidi="ar-SA"/>
          <w14:ligatures w14:val="none"/>
        </w:rPr>
        <w:t>坠落等。高处坠落的主要原因是作业人员缺乏高处作业的安全技术知识和防高处坠落的安全设施、设备不健全。</w:t>
      </w:r>
    </w:p>
    <w:p w14:paraId="56F662FA">
      <w:pPr>
        <w:pStyle w:val="3"/>
        <w:keepNext w:val="0"/>
        <w:keepLines w:val="0"/>
        <w:pageBreakBefore w:val="0"/>
        <w:widowControl w:val="0"/>
        <w:kinsoku/>
        <w:wordWrap/>
        <w:overflowPunct/>
        <w:topLinePunct w:val="0"/>
        <w:autoSpaceDE/>
        <w:autoSpaceDN/>
        <w:bidi w:val="0"/>
        <w:adjustRightInd w:val="0"/>
        <w:snapToGrid w:val="0"/>
        <w:spacing w:before="120" w:beforeLines="50" w:after="120" w:afterLines="50" w:line="360" w:lineRule="auto"/>
        <w:ind w:firstLine="562" w:firstLineChars="200"/>
        <w:jc w:val="both"/>
        <w:textAlignment w:val="auto"/>
        <w:rPr>
          <w:rFonts w:hint="default" w:ascii="Times New Roman" w:hAnsi="Times New Roman" w:eastAsia="黑体" w:cs="Times New Roman"/>
          <w:b/>
          <w:bCs w:val="0"/>
          <w:kern w:val="0"/>
          <w:sz w:val="28"/>
          <w:lang w:val="en-US" w:eastAsia="zh-CN"/>
          <w14:ligatures w14:val="none"/>
        </w:rPr>
      </w:pPr>
      <w:bookmarkStart w:id="171" w:name="_Toc4380"/>
      <w:bookmarkStart w:id="172" w:name="_Toc25620"/>
      <w:r>
        <w:rPr>
          <w:rFonts w:hint="default" w:ascii="Times New Roman" w:hAnsi="Times New Roman" w:eastAsia="黑体" w:cs="Times New Roman"/>
          <w:b/>
          <w:bCs w:val="0"/>
          <w:kern w:val="0"/>
          <w:sz w:val="28"/>
          <w:lang w:val="en-US" w:eastAsia="zh-CN"/>
          <w14:ligatures w14:val="none"/>
        </w:rPr>
        <w:t>3.2.</w:t>
      </w:r>
      <w:bookmarkEnd w:id="164"/>
      <w:bookmarkEnd w:id="165"/>
      <w:bookmarkEnd w:id="166"/>
      <w:bookmarkEnd w:id="167"/>
      <w:bookmarkEnd w:id="168"/>
      <w:bookmarkEnd w:id="169"/>
      <w:bookmarkEnd w:id="170"/>
      <w:bookmarkEnd w:id="171"/>
      <w:r>
        <w:rPr>
          <w:rFonts w:hint="eastAsia" w:ascii="Times New Roman" w:hAnsi="Times New Roman" w:eastAsia="黑体" w:cs="Times New Roman"/>
          <w:b/>
          <w:bCs w:val="0"/>
          <w:kern w:val="0"/>
          <w:sz w:val="28"/>
          <w:lang w:val="en-US" w:eastAsia="zh-CN"/>
          <w14:ligatures w14:val="none"/>
        </w:rPr>
        <w:t>6物体打击</w:t>
      </w:r>
      <w:bookmarkEnd w:id="172"/>
    </w:p>
    <w:p w14:paraId="413858F3">
      <w:pPr>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firstLine="560" w:firstLineChars="200"/>
        <w:textAlignment w:val="auto"/>
        <w:rPr>
          <w:rFonts w:hint="default" w:ascii="Times New Roman" w:hAnsi="Times New Roman" w:eastAsia="宋体" w:cs="Times New Roman"/>
          <w:b w:val="0"/>
          <w:bCs w:val="0"/>
          <w:kern w:val="2"/>
          <w:sz w:val="28"/>
          <w:szCs w:val="28"/>
          <w:lang w:val="en-US" w:eastAsia="zh-CN" w:bidi="ar-SA"/>
          <w14:ligatures w14:val="none"/>
        </w:rPr>
      </w:pPr>
      <w:bookmarkStart w:id="173" w:name="_Toc529533091"/>
      <w:bookmarkStart w:id="174" w:name="_Toc7443918"/>
      <w:bookmarkStart w:id="175" w:name="_Toc22207"/>
      <w:bookmarkStart w:id="176" w:name="_Toc30131"/>
      <w:bookmarkStart w:id="177" w:name="_Toc24770"/>
      <w:r>
        <w:rPr>
          <w:rFonts w:hint="eastAsia" w:ascii="Times New Roman" w:hAnsi="Times New Roman" w:eastAsia="宋体" w:cs="Times New Roman"/>
          <w:b w:val="0"/>
          <w:bCs w:val="0"/>
          <w:kern w:val="2"/>
          <w:sz w:val="28"/>
          <w:szCs w:val="28"/>
          <w:lang w:val="en-US" w:eastAsia="zh-CN" w:bidi="ar-SA"/>
          <w14:ligatures w14:val="none"/>
        </w:rPr>
        <w:t>物体打击事故通常作业过程中大多是两人或两人以上的众人多工种或立体交叉作业过程中由于配合不当所致。</w:t>
      </w:r>
    </w:p>
    <w:p w14:paraId="73B752EA">
      <w:pPr>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firstLine="560" w:firstLineChars="200"/>
        <w:textAlignment w:val="auto"/>
        <w:rPr>
          <w:rFonts w:hint="default" w:ascii="Times New Roman" w:hAnsi="Times New Roman" w:eastAsia="宋体" w:cs="Times New Roman"/>
          <w:b w:val="0"/>
          <w:bCs w:val="0"/>
          <w:kern w:val="2"/>
          <w:sz w:val="28"/>
          <w:szCs w:val="28"/>
          <w:lang w:val="en-US" w:eastAsia="zh-CN" w:bidi="ar-SA"/>
          <w14:ligatures w14:val="none"/>
        </w:rPr>
      </w:pPr>
      <w:r>
        <w:rPr>
          <w:rFonts w:hint="eastAsia" w:ascii="Times New Roman" w:hAnsi="Times New Roman" w:eastAsia="宋体" w:cs="Times New Roman"/>
          <w:b w:val="0"/>
          <w:bCs w:val="0"/>
          <w:kern w:val="2"/>
          <w:sz w:val="28"/>
          <w:szCs w:val="28"/>
          <w:lang w:val="en-US" w:eastAsia="zh-CN" w:bidi="ar-SA"/>
          <w14:ligatures w14:val="none"/>
        </w:rPr>
        <w:t>本项目可能发生物体打击的情况如下：罐顶作业时作业人员从高处随意往下任意乱抛物体；在检修作业过程中工器具脱落飞出；在检修作业过程中物体受到打击后边、角飞出；正在转动的机器设备另部件因安装不牢而飞出，从而造成对作业人员或其周围人员的伤害。</w:t>
      </w:r>
    </w:p>
    <w:bookmarkEnd w:id="173"/>
    <w:bookmarkEnd w:id="174"/>
    <w:bookmarkEnd w:id="175"/>
    <w:bookmarkEnd w:id="176"/>
    <w:bookmarkEnd w:id="177"/>
    <w:p w14:paraId="13DE8279">
      <w:pPr>
        <w:pStyle w:val="3"/>
        <w:keepNext w:val="0"/>
        <w:keepLines w:val="0"/>
        <w:pageBreakBefore w:val="0"/>
        <w:widowControl w:val="0"/>
        <w:kinsoku/>
        <w:wordWrap/>
        <w:overflowPunct/>
        <w:topLinePunct w:val="0"/>
        <w:autoSpaceDE/>
        <w:autoSpaceDN/>
        <w:bidi w:val="0"/>
        <w:adjustRightInd w:val="0"/>
        <w:snapToGrid w:val="0"/>
        <w:spacing w:before="120" w:beforeLines="50" w:after="120" w:afterLines="50" w:line="360" w:lineRule="auto"/>
        <w:ind w:firstLine="562" w:firstLineChars="200"/>
        <w:jc w:val="both"/>
        <w:textAlignment w:val="auto"/>
        <w:rPr>
          <w:rFonts w:hint="default" w:ascii="Times New Roman" w:hAnsi="Times New Roman" w:eastAsia="黑体" w:cs="Times New Roman"/>
          <w:b/>
          <w:bCs w:val="0"/>
          <w:kern w:val="0"/>
          <w:sz w:val="28"/>
          <w:lang w:val="en-US" w:eastAsia="zh-CN"/>
          <w14:ligatures w14:val="none"/>
        </w:rPr>
      </w:pPr>
      <w:r>
        <w:rPr>
          <w:rFonts w:hint="default" w:ascii="Times New Roman" w:hAnsi="Times New Roman" w:eastAsia="黑体" w:cs="Times New Roman"/>
          <w:b/>
          <w:bCs w:val="0"/>
          <w:kern w:val="0"/>
          <w:sz w:val="28"/>
          <w:lang w:val="en-US" w:eastAsia="zh-CN"/>
          <w14:ligatures w14:val="none"/>
        </w:rPr>
        <w:t>3.2.</w:t>
      </w:r>
      <w:r>
        <w:rPr>
          <w:rFonts w:hint="eastAsia" w:ascii="Times New Roman" w:hAnsi="Times New Roman" w:eastAsia="黑体" w:cs="Times New Roman"/>
          <w:b/>
          <w:bCs w:val="0"/>
          <w:kern w:val="0"/>
          <w:sz w:val="28"/>
          <w:lang w:val="en-US" w:eastAsia="zh-CN"/>
          <w14:ligatures w14:val="none"/>
        </w:rPr>
        <w:t>7噪声及振动</w:t>
      </w:r>
    </w:p>
    <w:p w14:paraId="5348D287">
      <w:pPr>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firstLine="560" w:firstLineChars="200"/>
        <w:textAlignment w:val="auto"/>
        <w:rPr>
          <w:rFonts w:hint="default" w:ascii="Times New Roman" w:hAnsi="Times New Roman" w:eastAsia="宋体" w:cs="Times New Roman"/>
          <w:b w:val="0"/>
          <w:bCs w:val="0"/>
          <w:kern w:val="2"/>
          <w:sz w:val="28"/>
          <w:szCs w:val="28"/>
          <w:lang w:val="en-US" w:eastAsia="zh-CN" w:bidi="ar-SA"/>
          <w14:ligatures w14:val="none"/>
        </w:rPr>
      </w:pPr>
      <w:r>
        <w:rPr>
          <w:rFonts w:hint="eastAsia" w:ascii="Times New Roman" w:hAnsi="Times New Roman" w:eastAsia="宋体" w:cs="Times New Roman"/>
          <w:b w:val="0"/>
          <w:bCs w:val="0"/>
          <w:kern w:val="2"/>
          <w:sz w:val="28"/>
          <w:szCs w:val="28"/>
          <w:lang w:val="en-US" w:eastAsia="zh-CN" w:bidi="ar-SA"/>
          <w14:ligatures w14:val="none"/>
        </w:rPr>
        <w:t>本项目的主要噪声源主要来源于机泵工作过程，这些噪声均属机械性噪声。如果长期在强噪声环境下工作，日积月累，内耳器官易发生器质性病变，成为永久性听阈偏移，变成噪声性耳聋。噪声性耳聋与噪声的强度、频率有关，还与噪声的作用时间长短有关。噪声的强度越大、频率越高、作业时间越长，它的发病率越高。噪声还降低劳动生产率，在噪声的刺激下，人们的注意力很不容易集中，工作易出差错，不仅影响工作进度，而且降低工作质量，容易引起工伤事故。《工作场所有害因素职业接触限值 第2部分：物理因素》中规定：工人作业场所噪声容许标准为85dB（A）。</w:t>
      </w:r>
    </w:p>
    <w:p w14:paraId="031CEB6A">
      <w:pPr>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firstLine="560" w:firstLineChars="200"/>
        <w:textAlignment w:val="auto"/>
        <w:rPr>
          <w:rFonts w:hint="default" w:ascii="Times New Roman" w:hAnsi="Times New Roman" w:eastAsia="宋体" w:cs="Times New Roman"/>
          <w:b w:val="0"/>
          <w:bCs w:val="0"/>
          <w:kern w:val="2"/>
          <w:sz w:val="28"/>
          <w:szCs w:val="28"/>
          <w:lang w:val="en-US" w:eastAsia="zh-CN" w:bidi="ar-SA"/>
          <w14:ligatures w14:val="none"/>
        </w:rPr>
      </w:pPr>
      <w:r>
        <w:rPr>
          <w:rFonts w:hint="eastAsia" w:ascii="Times New Roman" w:hAnsi="Times New Roman" w:eastAsia="宋体" w:cs="Times New Roman"/>
          <w:b w:val="0"/>
          <w:bCs w:val="0"/>
          <w:kern w:val="2"/>
          <w:sz w:val="28"/>
          <w:szCs w:val="28"/>
          <w:lang w:val="en-US" w:eastAsia="zh-CN" w:bidi="ar-SA"/>
          <w14:ligatures w14:val="none"/>
        </w:rPr>
        <w:t>基础设备产生机械性振动，振动值过大除可能造成设备损坏外，还会对人体产生振动危害，长期接触大强度的生产性振动，在一定条件下可引起振动病，表现为以末梢循环、末梢神经障碍为主的全身性疾病。</w:t>
      </w:r>
    </w:p>
    <w:p w14:paraId="5D4C26D6">
      <w:pPr>
        <w:adjustRightInd w:val="0"/>
        <w:snapToGrid w:val="0"/>
        <w:spacing w:before="312" w:beforeLines="100" w:after="312" w:afterLines="100" w:line="360" w:lineRule="auto"/>
        <w:jc w:val="center"/>
        <w:outlineLvl w:val="1"/>
        <w:rPr>
          <w:rFonts w:ascii="Times New Roman" w:hAnsi="Times New Roman" w:eastAsia="楷体" w:cs="黑体"/>
          <w:b/>
          <w:sz w:val="32"/>
          <w:szCs w:val="32"/>
          <w14:ligatures w14:val="none"/>
        </w:rPr>
      </w:pPr>
      <w:bookmarkStart w:id="178" w:name="_Toc1468"/>
      <w:r>
        <w:rPr>
          <w:rFonts w:hint="eastAsia" w:ascii="Times New Roman" w:hAnsi="Times New Roman" w:eastAsia="楷体" w:cs="黑体"/>
          <w:b/>
          <w:sz w:val="32"/>
          <w:szCs w:val="32"/>
          <w14:ligatures w14:val="none"/>
        </w:rPr>
        <w:t>3.3自然条件的危险因素</w:t>
      </w:r>
      <w:bookmarkEnd w:id="178"/>
    </w:p>
    <w:p w14:paraId="1F28FAF0">
      <w:pPr>
        <w:adjustRightInd w:val="0"/>
        <w:snapToGrid w:val="0"/>
        <w:spacing w:after="0" w:line="360" w:lineRule="auto"/>
        <w:ind w:firstLine="560" w:firstLineChars="200"/>
        <w:jc w:val="both"/>
        <w:rPr>
          <w:rFonts w:hint="eastAsia" w:ascii="Times New Roman" w:hAnsi="Times New Roman" w:eastAsia="宋体" w:cs="Times New Roman"/>
          <w:sz w:val="28"/>
          <w:szCs w:val="28"/>
          <w:lang w:val="en-US" w:eastAsia="zh-CN"/>
          <w14:ligatures w14:val="none"/>
        </w:rPr>
      </w:pPr>
      <w:r>
        <w:rPr>
          <w:rFonts w:hint="eastAsia" w:ascii="Times New Roman" w:hAnsi="Times New Roman" w:eastAsia="宋体" w:cs="Times New Roman"/>
          <w:sz w:val="28"/>
          <w:szCs w:val="28"/>
          <w:lang w:val="en-US" w:eastAsia="zh-CN"/>
          <w14:ligatures w14:val="none"/>
        </w:rPr>
        <w:t>根据本项目所在地自然、地质条件资料，从本项目的特点和所涉及物料的危险特性，乃至事故危害及影响等因素综合考虑，因本项目采用玻璃钢储罐且室外露天布置，因此必须对夏季雷雨天气予以充分重视。对本项目的影响较大的自然条件进行分析如下：</w:t>
      </w:r>
    </w:p>
    <w:p w14:paraId="0830D4C4">
      <w:pPr>
        <w:pStyle w:val="3"/>
        <w:keepNext w:val="0"/>
        <w:keepLines w:val="0"/>
        <w:pageBreakBefore w:val="0"/>
        <w:widowControl w:val="0"/>
        <w:kinsoku/>
        <w:wordWrap/>
        <w:overflowPunct/>
        <w:topLinePunct w:val="0"/>
        <w:autoSpaceDE/>
        <w:autoSpaceDN/>
        <w:bidi w:val="0"/>
        <w:adjustRightInd w:val="0"/>
        <w:snapToGrid w:val="0"/>
        <w:spacing w:before="120" w:beforeLines="50" w:after="120" w:afterLines="50" w:line="360" w:lineRule="auto"/>
        <w:ind w:firstLine="562" w:firstLineChars="200"/>
        <w:jc w:val="both"/>
        <w:textAlignment w:val="auto"/>
        <w:rPr>
          <w:rFonts w:hint="eastAsia" w:ascii="Times New Roman" w:hAnsi="Times New Roman" w:eastAsia="黑体" w:cs="Times New Roman"/>
          <w:b/>
          <w:bCs w:val="0"/>
          <w:kern w:val="0"/>
          <w:sz w:val="28"/>
          <w:lang w:val="en-US" w:eastAsia="zh-CN"/>
          <w14:ligatures w14:val="none"/>
        </w:rPr>
      </w:pPr>
      <w:r>
        <w:rPr>
          <w:rFonts w:hint="eastAsia" w:ascii="Times New Roman" w:hAnsi="Times New Roman" w:eastAsia="黑体" w:cs="Times New Roman"/>
          <w:b/>
          <w:bCs w:val="0"/>
          <w:kern w:val="0"/>
          <w:sz w:val="28"/>
          <w:lang w:val="en-US" w:eastAsia="zh-CN"/>
          <w14:ligatures w14:val="none"/>
        </w:rPr>
        <w:t>3.3.1地震的影响</w:t>
      </w:r>
    </w:p>
    <w:p w14:paraId="4F71D752">
      <w:pPr>
        <w:adjustRightInd w:val="0"/>
        <w:snapToGrid w:val="0"/>
        <w:spacing w:after="0" w:line="360" w:lineRule="auto"/>
        <w:ind w:firstLine="560" w:firstLineChars="200"/>
        <w:jc w:val="both"/>
        <w:rPr>
          <w:rFonts w:hint="eastAsia" w:ascii="Times New Roman" w:hAnsi="Times New Roman" w:eastAsia="宋体" w:cs="Times New Roman"/>
          <w:sz w:val="28"/>
          <w:szCs w:val="28"/>
          <w:lang w:val="en-US" w:eastAsia="zh-CN"/>
          <w14:ligatures w14:val="none"/>
        </w:rPr>
      </w:pPr>
      <w:r>
        <w:rPr>
          <w:rFonts w:hint="eastAsia" w:ascii="Times New Roman" w:hAnsi="Times New Roman" w:eastAsia="宋体" w:cs="Times New Roman"/>
          <w:sz w:val="28"/>
          <w:szCs w:val="28"/>
          <w:lang w:val="en-US" w:eastAsia="zh-CN"/>
          <w14:ligatures w14:val="none"/>
        </w:rPr>
        <w:t>地震灾害的特点是突发性强；破坏性大；社会影响大；防御难度大。地震灾害分直接灾害和次生灾害。</w:t>
      </w:r>
    </w:p>
    <w:p w14:paraId="137ED0F0">
      <w:pPr>
        <w:adjustRightInd w:val="0"/>
        <w:snapToGrid w:val="0"/>
        <w:spacing w:after="0" w:line="360" w:lineRule="auto"/>
        <w:ind w:firstLine="560" w:firstLineChars="200"/>
        <w:jc w:val="both"/>
        <w:rPr>
          <w:rFonts w:hint="eastAsia" w:ascii="Times New Roman" w:hAnsi="Times New Roman" w:eastAsia="宋体" w:cs="Times New Roman"/>
          <w:sz w:val="28"/>
          <w:szCs w:val="28"/>
          <w:lang w:val="en-US" w:eastAsia="zh-CN"/>
          <w14:ligatures w14:val="none"/>
        </w:rPr>
      </w:pPr>
      <w:r>
        <w:rPr>
          <w:rFonts w:hint="eastAsia" w:ascii="Times New Roman" w:hAnsi="Times New Roman" w:eastAsia="宋体" w:cs="Times New Roman"/>
          <w:sz w:val="28"/>
          <w:szCs w:val="28"/>
          <w:lang w:val="en-US" w:eastAsia="zh-CN"/>
          <w14:ligatures w14:val="none"/>
        </w:rPr>
        <w:t>本项目所在地的抗震设防烈度为7度，直接灾害对本项目造成的灾害是地震波引起的强烈震动、地震断层的错动和地面变形等所造成的灾害，主要表现为断裂、隆起、平移或凹陷等形式。这些现象对本项目的储罐区、围堰、地面会造成破坏，对相关设施如交通、排水、供电等亦可能造成破坏。</w:t>
      </w:r>
    </w:p>
    <w:p w14:paraId="199C0D9C">
      <w:pPr>
        <w:adjustRightInd w:val="0"/>
        <w:snapToGrid w:val="0"/>
        <w:spacing w:after="0" w:line="360" w:lineRule="auto"/>
        <w:ind w:firstLine="560" w:firstLineChars="200"/>
        <w:jc w:val="both"/>
        <w:rPr>
          <w:rFonts w:hint="eastAsia" w:ascii="Times New Roman" w:hAnsi="Times New Roman" w:eastAsia="宋体" w:cs="Times New Roman"/>
          <w:sz w:val="28"/>
          <w:szCs w:val="28"/>
          <w:lang w:val="en-US" w:eastAsia="zh-CN"/>
          <w14:ligatures w14:val="none"/>
        </w:rPr>
      </w:pPr>
      <w:r>
        <w:rPr>
          <w:rFonts w:hint="eastAsia" w:ascii="Times New Roman" w:hAnsi="Times New Roman" w:eastAsia="宋体" w:cs="Times New Roman"/>
          <w:sz w:val="28"/>
          <w:szCs w:val="28"/>
          <w:lang w:val="en-US" w:eastAsia="zh-CN"/>
          <w14:ligatures w14:val="none"/>
        </w:rPr>
        <w:t>次生灾害是由于地震时酿成的引起其他事故造成人员伤亡、交通中断，影响生产经营和日常生活。</w:t>
      </w:r>
    </w:p>
    <w:p w14:paraId="23D6749C">
      <w:pPr>
        <w:pStyle w:val="3"/>
        <w:keepNext w:val="0"/>
        <w:keepLines w:val="0"/>
        <w:pageBreakBefore w:val="0"/>
        <w:widowControl w:val="0"/>
        <w:kinsoku/>
        <w:wordWrap/>
        <w:overflowPunct/>
        <w:topLinePunct w:val="0"/>
        <w:autoSpaceDE/>
        <w:autoSpaceDN/>
        <w:bidi w:val="0"/>
        <w:adjustRightInd w:val="0"/>
        <w:snapToGrid w:val="0"/>
        <w:spacing w:before="120" w:beforeLines="50" w:after="120" w:afterLines="50" w:line="360" w:lineRule="auto"/>
        <w:ind w:firstLine="562" w:firstLineChars="200"/>
        <w:jc w:val="both"/>
        <w:textAlignment w:val="auto"/>
        <w:rPr>
          <w:rFonts w:hint="eastAsia" w:ascii="Times New Roman" w:hAnsi="Times New Roman" w:eastAsia="黑体" w:cs="Times New Roman"/>
          <w:b/>
          <w:bCs w:val="0"/>
          <w:kern w:val="0"/>
          <w:sz w:val="28"/>
          <w:lang w:val="en-US" w:eastAsia="zh-CN"/>
          <w14:ligatures w14:val="none"/>
        </w:rPr>
      </w:pPr>
      <w:r>
        <w:rPr>
          <w:rFonts w:hint="eastAsia" w:ascii="Times New Roman" w:hAnsi="Times New Roman" w:eastAsia="黑体" w:cs="Times New Roman"/>
          <w:b/>
          <w:bCs w:val="0"/>
          <w:kern w:val="0"/>
          <w:sz w:val="28"/>
          <w:lang w:val="en-US" w:eastAsia="zh-CN"/>
          <w14:ligatures w14:val="none"/>
        </w:rPr>
        <w:t>3.3.2地质、水文的影响</w:t>
      </w:r>
    </w:p>
    <w:p w14:paraId="11B81616">
      <w:pPr>
        <w:adjustRightInd w:val="0"/>
        <w:snapToGrid w:val="0"/>
        <w:spacing w:after="0" w:line="360" w:lineRule="auto"/>
        <w:ind w:firstLine="560" w:firstLineChars="200"/>
        <w:jc w:val="both"/>
        <w:rPr>
          <w:rFonts w:hint="eastAsia" w:ascii="Times New Roman" w:hAnsi="Times New Roman" w:eastAsia="宋体" w:cs="Times New Roman"/>
          <w:sz w:val="28"/>
          <w:szCs w:val="28"/>
          <w:lang w:val="en-US" w:eastAsia="zh-CN"/>
          <w14:ligatures w14:val="none"/>
        </w:rPr>
      </w:pPr>
      <w:r>
        <w:rPr>
          <w:rFonts w:hint="eastAsia" w:ascii="Times New Roman" w:hAnsi="Times New Roman" w:eastAsia="宋体" w:cs="Times New Roman"/>
          <w:sz w:val="28"/>
          <w:szCs w:val="28"/>
          <w:lang w:val="en-US" w:eastAsia="zh-CN"/>
          <w14:ligatures w14:val="none"/>
        </w:rPr>
        <w:t>厂区附近无河流经过，厂址位于不受洪水或内涝威胁的地带，本项目地区不属泥石流、易塌陷等地质不良地段，地质、水文条件对生产影响较小。</w:t>
      </w:r>
    </w:p>
    <w:p w14:paraId="06105875">
      <w:pPr>
        <w:pStyle w:val="3"/>
        <w:keepNext w:val="0"/>
        <w:keepLines w:val="0"/>
        <w:pageBreakBefore w:val="0"/>
        <w:widowControl w:val="0"/>
        <w:kinsoku/>
        <w:wordWrap/>
        <w:overflowPunct/>
        <w:topLinePunct w:val="0"/>
        <w:autoSpaceDE/>
        <w:autoSpaceDN/>
        <w:bidi w:val="0"/>
        <w:adjustRightInd w:val="0"/>
        <w:snapToGrid w:val="0"/>
        <w:spacing w:before="120" w:beforeLines="50" w:after="120" w:afterLines="50" w:line="360" w:lineRule="auto"/>
        <w:ind w:firstLine="562" w:firstLineChars="200"/>
        <w:jc w:val="both"/>
        <w:textAlignment w:val="auto"/>
        <w:rPr>
          <w:rFonts w:hint="eastAsia" w:ascii="Times New Roman" w:hAnsi="Times New Roman" w:eastAsia="黑体" w:cs="Times New Roman"/>
          <w:b/>
          <w:bCs w:val="0"/>
          <w:kern w:val="0"/>
          <w:sz w:val="28"/>
          <w:lang w:val="en-US" w:eastAsia="zh-CN"/>
          <w14:ligatures w14:val="none"/>
        </w:rPr>
      </w:pPr>
      <w:r>
        <w:rPr>
          <w:rFonts w:hint="eastAsia" w:ascii="Times New Roman" w:hAnsi="Times New Roman" w:eastAsia="黑体" w:cs="Times New Roman"/>
          <w:b/>
          <w:bCs w:val="0"/>
          <w:kern w:val="0"/>
          <w:sz w:val="28"/>
          <w:lang w:val="en-US" w:eastAsia="zh-CN"/>
          <w14:ligatures w14:val="none"/>
        </w:rPr>
        <w:t>3.3.3雷电的影响</w:t>
      </w:r>
    </w:p>
    <w:p w14:paraId="2885C3CC">
      <w:pPr>
        <w:adjustRightInd w:val="0"/>
        <w:snapToGrid w:val="0"/>
        <w:spacing w:after="0" w:line="360" w:lineRule="auto"/>
        <w:ind w:firstLine="560" w:firstLineChars="200"/>
        <w:jc w:val="both"/>
        <w:rPr>
          <w:rFonts w:hint="eastAsia" w:ascii="Times New Roman" w:hAnsi="Times New Roman" w:eastAsia="宋体" w:cs="Times New Roman"/>
          <w:sz w:val="28"/>
          <w:szCs w:val="28"/>
          <w:lang w:val="en-US" w:eastAsia="zh-CN"/>
          <w14:ligatures w14:val="none"/>
        </w:rPr>
      </w:pPr>
      <w:r>
        <w:rPr>
          <w:rFonts w:hint="eastAsia" w:ascii="Times New Roman" w:hAnsi="Times New Roman" w:eastAsia="宋体" w:cs="Times New Roman"/>
          <w:sz w:val="28"/>
          <w:szCs w:val="28"/>
          <w:lang w:val="en-US" w:eastAsia="zh-CN"/>
          <w14:ligatures w14:val="none"/>
        </w:rPr>
        <w:t>雷电是自然界中的声、光、电现象，它给人类生活和生产活动带来很大的影响。本项目所在地年平均雷暴日数为31d，雷电次数较多，如果防雷设置不当，可能发生雷电灾害。由于雷电具有电流很大、电压很高、冲击性很强的特点，一旦被雷电击中，不但可能损坏有关设备和设施，造成大规模停电，而且还会导致衍生事故，可能会造成人员伤亡事故。</w:t>
      </w:r>
    </w:p>
    <w:p w14:paraId="51E5843C">
      <w:pPr>
        <w:pStyle w:val="3"/>
        <w:keepNext w:val="0"/>
        <w:keepLines w:val="0"/>
        <w:pageBreakBefore w:val="0"/>
        <w:widowControl w:val="0"/>
        <w:kinsoku/>
        <w:wordWrap/>
        <w:overflowPunct/>
        <w:topLinePunct w:val="0"/>
        <w:autoSpaceDE/>
        <w:autoSpaceDN/>
        <w:bidi w:val="0"/>
        <w:adjustRightInd w:val="0"/>
        <w:snapToGrid w:val="0"/>
        <w:spacing w:before="120" w:beforeLines="50" w:after="120" w:afterLines="50" w:line="360" w:lineRule="auto"/>
        <w:ind w:firstLine="562" w:firstLineChars="200"/>
        <w:jc w:val="both"/>
        <w:textAlignment w:val="auto"/>
        <w:rPr>
          <w:rFonts w:hint="eastAsia" w:ascii="Times New Roman" w:hAnsi="Times New Roman" w:eastAsia="黑体" w:cs="Times New Roman"/>
          <w:b/>
          <w:bCs w:val="0"/>
          <w:kern w:val="0"/>
          <w:sz w:val="28"/>
          <w:lang w:val="en-US" w:eastAsia="zh-CN"/>
          <w14:ligatures w14:val="none"/>
        </w:rPr>
      </w:pPr>
      <w:r>
        <w:rPr>
          <w:rFonts w:hint="eastAsia" w:ascii="Times New Roman" w:hAnsi="Times New Roman" w:eastAsia="黑体" w:cs="Times New Roman"/>
          <w:b/>
          <w:bCs w:val="0"/>
          <w:kern w:val="0"/>
          <w:sz w:val="28"/>
          <w:lang w:val="en-US" w:eastAsia="zh-CN"/>
          <w14:ligatures w14:val="none"/>
        </w:rPr>
        <w:t>3.3.4天气因素的影响</w:t>
      </w:r>
    </w:p>
    <w:p w14:paraId="793D2A59">
      <w:pPr>
        <w:adjustRightInd w:val="0"/>
        <w:snapToGrid w:val="0"/>
        <w:spacing w:after="0" w:line="360" w:lineRule="auto"/>
        <w:ind w:firstLine="560" w:firstLineChars="200"/>
        <w:jc w:val="both"/>
        <w:rPr>
          <w:rFonts w:hint="eastAsia" w:ascii="Times New Roman" w:hAnsi="Times New Roman" w:eastAsia="宋体" w:cs="Times New Roman"/>
          <w:sz w:val="28"/>
          <w:szCs w:val="28"/>
          <w:lang w:val="en-US" w:eastAsia="zh-CN"/>
          <w14:ligatures w14:val="none"/>
        </w:rPr>
      </w:pPr>
      <w:r>
        <w:rPr>
          <w:rFonts w:hint="eastAsia" w:ascii="Times New Roman" w:hAnsi="Times New Roman" w:eastAsia="宋体" w:cs="Times New Roman"/>
          <w:sz w:val="28"/>
          <w:szCs w:val="28"/>
          <w:lang w:val="en-US" w:eastAsia="zh-CN"/>
          <w14:ligatures w14:val="none"/>
        </w:rPr>
        <w:t>除雷电灾害外，朝阳市双塔区极端最高温43.3℃，极端最低温-34.4℃，可能会对室外工作人员会造成一定的影响。</w:t>
      </w:r>
    </w:p>
    <w:p w14:paraId="3E68C3E5">
      <w:pPr>
        <w:adjustRightInd w:val="0"/>
        <w:snapToGrid w:val="0"/>
        <w:spacing w:before="312" w:beforeLines="100" w:after="312" w:afterLines="100" w:line="360" w:lineRule="auto"/>
        <w:jc w:val="center"/>
        <w:outlineLvl w:val="1"/>
        <w:rPr>
          <w:rFonts w:ascii="Times New Roman" w:hAnsi="Times New Roman" w:eastAsia="楷体" w:cs="黑体"/>
          <w:b/>
          <w:sz w:val="32"/>
          <w:szCs w:val="32"/>
          <w14:ligatures w14:val="none"/>
        </w:rPr>
      </w:pPr>
      <w:bookmarkStart w:id="179" w:name="_Toc163051353"/>
      <w:bookmarkStart w:id="180" w:name="_Toc28462"/>
      <w:bookmarkStart w:id="181" w:name="_Toc479257174"/>
      <w:r>
        <w:rPr>
          <w:rFonts w:ascii="Times New Roman" w:hAnsi="Times New Roman" w:eastAsia="楷体" w:cs="黑体"/>
          <w:b/>
          <w:sz w:val="32"/>
          <w:szCs w:val="32"/>
          <w14:ligatures w14:val="none"/>
        </w:rPr>
        <w:t>3.</w:t>
      </w:r>
      <w:r>
        <w:rPr>
          <w:rFonts w:hint="eastAsia" w:ascii="Times New Roman" w:hAnsi="Times New Roman" w:eastAsia="楷体" w:cs="黑体"/>
          <w:b/>
          <w:sz w:val="32"/>
          <w:szCs w:val="32"/>
          <w:lang w:val="en-US" w:eastAsia="zh-CN"/>
          <w14:ligatures w14:val="none"/>
        </w:rPr>
        <w:t>4</w:t>
      </w:r>
      <w:r>
        <w:rPr>
          <w:rFonts w:hint="eastAsia" w:ascii="Times New Roman" w:hAnsi="Times New Roman" w:eastAsia="楷体" w:cs="黑体"/>
          <w:b/>
          <w:sz w:val="32"/>
          <w:szCs w:val="32"/>
          <w14:ligatures w14:val="none"/>
        </w:rPr>
        <w:t>“</w:t>
      </w:r>
      <w:r>
        <w:rPr>
          <w:rFonts w:ascii="Times New Roman" w:hAnsi="Times New Roman" w:eastAsia="楷体" w:cs="黑体"/>
          <w:b/>
          <w:sz w:val="32"/>
          <w:szCs w:val="32"/>
          <w14:ligatures w14:val="none"/>
        </w:rPr>
        <w:t>两重点、一重大</w:t>
      </w:r>
      <w:r>
        <w:rPr>
          <w:rFonts w:hint="eastAsia" w:ascii="Times New Roman" w:hAnsi="Times New Roman" w:eastAsia="楷体" w:cs="黑体"/>
          <w:b/>
          <w:sz w:val="32"/>
          <w:szCs w:val="32"/>
          <w14:ligatures w14:val="none"/>
        </w:rPr>
        <w:t>”</w:t>
      </w:r>
      <w:r>
        <w:rPr>
          <w:rFonts w:ascii="Times New Roman" w:hAnsi="Times New Roman" w:eastAsia="楷体" w:cs="黑体"/>
          <w:b/>
          <w:sz w:val="32"/>
          <w:szCs w:val="32"/>
          <w14:ligatures w14:val="none"/>
        </w:rPr>
        <w:t>辨识</w:t>
      </w:r>
      <w:bookmarkEnd w:id="179"/>
      <w:bookmarkEnd w:id="180"/>
      <w:bookmarkEnd w:id="181"/>
    </w:p>
    <w:p w14:paraId="542FFA89">
      <w:pPr>
        <w:tabs>
          <w:tab w:val="left" w:pos="840"/>
          <w:tab w:val="left" w:pos="1260"/>
        </w:tabs>
        <w:adjustRightInd w:val="0"/>
        <w:snapToGrid w:val="0"/>
        <w:spacing w:before="156" w:beforeLines="50" w:after="156" w:afterLines="50" w:line="360" w:lineRule="auto"/>
        <w:ind w:firstLine="562" w:firstLineChars="200"/>
        <w:jc w:val="both"/>
        <w:outlineLvl w:val="2"/>
        <w:rPr>
          <w:rFonts w:ascii="Times New Roman" w:hAnsi="Times New Roman" w:eastAsia="黑体" w:cs="Times New Roman"/>
          <w:b/>
          <w:sz w:val="28"/>
          <w:szCs w:val="32"/>
          <w14:ligatures w14:val="none"/>
        </w:rPr>
      </w:pPr>
      <w:bookmarkStart w:id="182" w:name="_Toc423599728"/>
      <w:bookmarkStart w:id="183" w:name="_Toc479257175"/>
      <w:r>
        <w:rPr>
          <w:rFonts w:ascii="Times New Roman" w:hAnsi="Times New Roman" w:eastAsia="黑体" w:cs="Times New Roman"/>
          <w:b/>
          <w:sz w:val="28"/>
          <w:szCs w:val="32"/>
          <w14:ligatures w14:val="none"/>
        </w:rPr>
        <w:t>3.</w:t>
      </w:r>
      <w:r>
        <w:rPr>
          <w:rFonts w:hint="eastAsia" w:ascii="Times New Roman" w:hAnsi="Times New Roman" w:eastAsia="黑体" w:cs="Times New Roman"/>
          <w:b/>
          <w:sz w:val="28"/>
          <w:szCs w:val="32"/>
          <w:lang w:val="en-US" w:eastAsia="zh-CN"/>
          <w14:ligatures w14:val="none"/>
        </w:rPr>
        <w:t>4</w:t>
      </w:r>
      <w:r>
        <w:rPr>
          <w:rFonts w:ascii="Times New Roman" w:hAnsi="Times New Roman" w:eastAsia="黑体" w:cs="Times New Roman"/>
          <w:b/>
          <w:sz w:val="28"/>
          <w:szCs w:val="32"/>
          <w14:ligatures w14:val="none"/>
        </w:rPr>
        <w:t>.1重大危险源辨识</w:t>
      </w:r>
      <w:bookmarkEnd w:id="182"/>
      <w:bookmarkEnd w:id="183"/>
    </w:p>
    <w:p w14:paraId="4FAB4B83">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（1）重大危险源定义</w:t>
      </w:r>
    </w:p>
    <w:p w14:paraId="797CB016">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根据《危险化学品重大危险源辨识》（</w:t>
      </w:r>
      <w:r>
        <w:rPr>
          <w:rFonts w:ascii="Times New Roman" w:hAnsi="Times New Roman" w:eastAsia="宋体" w:cs="Times New Roman"/>
          <w:sz w:val="28"/>
          <w:szCs w:val="28"/>
          <w14:ligatures w14:val="none"/>
        </w:rPr>
        <w:t>GBl8218-2018</w:t>
      </w:r>
      <w:r>
        <w:rPr>
          <w:rFonts w:hint="eastAsia" w:ascii="Times New Roman" w:hAnsi="Times New Roman" w:eastAsia="宋体" w:cs="Times New Roman"/>
          <w:sz w:val="28"/>
          <w:szCs w:val="28"/>
          <w14:ligatures w14:val="none"/>
        </w:rPr>
        <w:t>），危险化学品重大危险源的定义为：长期地或临时地生产、储存、使用和经营危险化学品，且危险化学品的数量等于或超过临界量的单元。</w:t>
      </w:r>
    </w:p>
    <w:p w14:paraId="3F7C317B">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（2）重大危险源辨识指标</w:t>
      </w:r>
    </w:p>
    <w:p w14:paraId="1A830E55">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重大危险源的辨识指标为：生产单元、储存单元内存在危险化学品的数量等于或超过规定的临界量，即被定为重大危险源。单元内存在危险化学品的数量根据危险化学品种类的多少区分为以下两种情况：</w:t>
      </w:r>
    </w:p>
    <w:p w14:paraId="133045FE">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生产单元、储存单元内存在的危险化学品为单一品种时，该危险化学品的数量即为单元内危险化学品的总量，若等于或超过相应的临界量，则定为重大危险源。</w:t>
      </w:r>
    </w:p>
    <w:p w14:paraId="4036AB95">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生产单元、储存单元内存在的危险物质为多品种时，则按下式计算，若满足下式，则定为重大危险源：</w:t>
      </w:r>
    </w:p>
    <w:p w14:paraId="0C6143C1">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m:oMath>
        <m:r>
          <m:rPr/>
          <w:rPr>
            <w:rFonts w:hint="eastAsia" w:ascii="Cambria Math" w:hAnsi="Cambria Math" w:eastAsia="宋体" w:cs="Times New Roman"/>
            <w:sz w:val="28"/>
            <w:szCs w:val="28"/>
            <w14:ligatures w14:val="none"/>
          </w:rPr>
          <m:t>S</m:t>
        </m:r>
        <m:r>
          <m:rPr>
            <m:sty m:val="p"/>
          </m:rPr>
          <w:rPr>
            <w:rFonts w:ascii="Cambria Math" w:hAnsi="Cambria Math" w:eastAsia="宋体" w:cs="Times New Roman"/>
            <w:sz w:val="28"/>
            <w:szCs w:val="28"/>
            <w14:ligatures w14:val="none"/>
          </w:rPr>
          <m:t>=</m:t>
        </m:r>
        <m:f>
          <m:fPr>
            <m:ctrlPr>
              <w:rPr>
                <w:rFonts w:ascii="Cambria Math" w:hAnsi="Cambria Math" w:eastAsia="宋体" w:cs="Times New Roman"/>
                <w:sz w:val="28"/>
                <w:szCs w:val="28"/>
                <w14:ligatures w14:val="none"/>
              </w:rPr>
            </m:ctrlPr>
          </m:fPr>
          <m:num>
            <m:sSub>
              <m:sSubPr>
                <m:ctrlPr>
                  <w:rPr>
                    <w:rFonts w:ascii="Cambria Math" w:hAnsi="Cambria Math" w:eastAsia="宋体" w:cs="Times New Roman"/>
                    <w:sz w:val="28"/>
                    <w:szCs w:val="28"/>
                    <w14:ligatures w14:val="none"/>
                  </w:rPr>
                </m:ctrlPr>
              </m:sSubPr>
              <m:e>
                <m:r>
                  <m:rPr/>
                  <w:rPr>
                    <w:rFonts w:hint="eastAsia" w:ascii="Cambria Math" w:hAnsi="Cambria Math" w:eastAsia="宋体" w:cs="Times New Roman"/>
                    <w:sz w:val="28"/>
                    <w:szCs w:val="28"/>
                    <w14:ligatures w14:val="none"/>
                  </w:rPr>
                  <m:t>q</m:t>
                </m:r>
                <m:ctrlPr>
                  <w:rPr>
                    <w:rFonts w:ascii="Cambria Math" w:hAnsi="Cambria Math" w:eastAsia="宋体" w:cs="Times New Roman"/>
                    <w:sz w:val="28"/>
                    <w:szCs w:val="28"/>
                    <w14:ligatures w14:val="none"/>
                  </w:rPr>
                </m:ctrlPr>
              </m:e>
              <m:sub>
                <m:r>
                  <m:rPr>
                    <m:sty m:val="p"/>
                  </m:rPr>
                  <w:rPr>
                    <w:rFonts w:ascii="Cambria Math" w:hAnsi="Cambria Math" w:eastAsia="宋体" w:cs="Times New Roman"/>
                    <w:sz w:val="28"/>
                    <w:szCs w:val="28"/>
                    <w14:ligatures w14:val="none"/>
                  </w:rPr>
                  <m:t>1</m:t>
                </m:r>
                <m:ctrlPr>
                  <w:rPr>
                    <w:rFonts w:ascii="Cambria Math" w:hAnsi="Cambria Math" w:eastAsia="宋体" w:cs="Times New Roman"/>
                    <w:sz w:val="28"/>
                    <w:szCs w:val="28"/>
                    <w14:ligatures w14:val="none"/>
                  </w:rPr>
                </m:ctrlPr>
              </m:sub>
            </m:sSub>
            <m:ctrlPr>
              <w:rPr>
                <w:rFonts w:ascii="Cambria Math" w:hAnsi="Cambria Math" w:eastAsia="宋体" w:cs="Times New Roman"/>
                <w:sz w:val="28"/>
                <w:szCs w:val="28"/>
                <w14:ligatures w14:val="none"/>
              </w:rPr>
            </m:ctrlPr>
          </m:num>
          <m:den>
            <m:sSub>
              <m:sSubPr>
                <m:ctrlPr>
                  <w:rPr>
                    <w:rFonts w:ascii="Cambria Math" w:hAnsi="Cambria Math" w:eastAsia="宋体" w:cs="Times New Roman"/>
                    <w:sz w:val="28"/>
                    <w:szCs w:val="28"/>
                    <w14:ligatures w14:val="none"/>
                  </w:rPr>
                </m:ctrlPr>
              </m:sSubPr>
              <m:e>
                <m:r>
                  <m:rPr/>
                  <w:rPr>
                    <w:rFonts w:ascii="Cambria Math" w:hAnsi="Cambria Math" w:eastAsia="宋体" w:cs="Times New Roman"/>
                    <w:sz w:val="28"/>
                    <w:szCs w:val="28"/>
                    <w14:ligatures w14:val="none"/>
                  </w:rPr>
                  <m:t>Q</m:t>
                </m:r>
                <m:ctrlPr>
                  <w:rPr>
                    <w:rFonts w:ascii="Cambria Math" w:hAnsi="Cambria Math" w:eastAsia="宋体" w:cs="Times New Roman"/>
                    <w:sz w:val="28"/>
                    <w:szCs w:val="28"/>
                    <w14:ligatures w14:val="none"/>
                  </w:rPr>
                </m:ctrlPr>
              </m:e>
              <m:sub>
                <m:r>
                  <m:rPr>
                    <m:sty m:val="p"/>
                  </m:rPr>
                  <w:rPr>
                    <w:rFonts w:ascii="Cambria Math" w:hAnsi="Cambria Math" w:eastAsia="宋体" w:cs="Times New Roman"/>
                    <w:sz w:val="28"/>
                    <w:szCs w:val="28"/>
                    <w14:ligatures w14:val="none"/>
                  </w:rPr>
                  <m:t>1</m:t>
                </m:r>
                <m:ctrlPr>
                  <w:rPr>
                    <w:rFonts w:ascii="Cambria Math" w:hAnsi="Cambria Math" w:eastAsia="宋体" w:cs="Times New Roman"/>
                    <w:sz w:val="28"/>
                    <w:szCs w:val="28"/>
                    <w14:ligatures w14:val="none"/>
                  </w:rPr>
                </m:ctrlPr>
              </m:sub>
            </m:sSub>
            <m:ctrlPr>
              <w:rPr>
                <w:rFonts w:ascii="Cambria Math" w:hAnsi="Cambria Math" w:eastAsia="宋体" w:cs="Times New Roman"/>
                <w:sz w:val="28"/>
                <w:szCs w:val="28"/>
                <w14:ligatures w14:val="none"/>
              </w:rPr>
            </m:ctrlPr>
          </m:den>
        </m:f>
        <m:r>
          <m:rPr>
            <m:sty m:val="p"/>
          </m:rPr>
          <w:rPr>
            <w:rFonts w:ascii="Cambria Math" w:hAnsi="Cambria Math" w:eastAsia="宋体" w:cs="Times New Roman"/>
            <w:sz w:val="28"/>
            <w:szCs w:val="28"/>
            <w14:ligatures w14:val="none"/>
          </w:rPr>
          <m:t>+</m:t>
        </m:r>
        <m:f>
          <m:fPr>
            <m:ctrlPr>
              <w:rPr>
                <w:rFonts w:ascii="Cambria Math" w:hAnsi="Cambria Math" w:eastAsia="宋体" w:cs="Times New Roman"/>
                <w:sz w:val="28"/>
                <w:szCs w:val="28"/>
                <w14:ligatures w14:val="none"/>
              </w:rPr>
            </m:ctrlPr>
          </m:fPr>
          <m:num>
            <m:sSub>
              <m:sSubPr>
                <m:ctrlPr>
                  <w:rPr>
                    <w:rFonts w:ascii="Cambria Math" w:hAnsi="Cambria Math" w:eastAsia="宋体" w:cs="Times New Roman"/>
                    <w:sz w:val="28"/>
                    <w:szCs w:val="28"/>
                    <w14:ligatures w14:val="none"/>
                  </w:rPr>
                </m:ctrlPr>
              </m:sSubPr>
              <m:e>
                <m:r>
                  <m:rPr/>
                  <w:rPr>
                    <w:rFonts w:ascii="Cambria Math" w:hAnsi="Cambria Math" w:eastAsia="宋体" w:cs="Times New Roman"/>
                    <w:sz w:val="28"/>
                    <w:szCs w:val="28"/>
                    <w14:ligatures w14:val="none"/>
                  </w:rPr>
                  <m:t>q</m:t>
                </m:r>
                <m:ctrlPr>
                  <w:rPr>
                    <w:rFonts w:ascii="Cambria Math" w:hAnsi="Cambria Math" w:eastAsia="宋体" w:cs="Times New Roman"/>
                    <w:sz w:val="28"/>
                    <w:szCs w:val="28"/>
                    <w14:ligatures w14:val="none"/>
                  </w:rPr>
                </m:ctrlPr>
              </m:e>
              <m:sub>
                <m:r>
                  <m:rPr>
                    <m:sty m:val="p"/>
                  </m:rPr>
                  <w:rPr>
                    <w:rFonts w:ascii="Cambria Math" w:hAnsi="Cambria Math" w:eastAsia="宋体" w:cs="Times New Roman"/>
                    <w:sz w:val="28"/>
                    <w:szCs w:val="28"/>
                    <w14:ligatures w14:val="none"/>
                  </w:rPr>
                  <m:t>2</m:t>
                </m:r>
                <m:ctrlPr>
                  <w:rPr>
                    <w:rFonts w:ascii="Cambria Math" w:hAnsi="Cambria Math" w:eastAsia="宋体" w:cs="Times New Roman"/>
                    <w:sz w:val="28"/>
                    <w:szCs w:val="28"/>
                    <w14:ligatures w14:val="none"/>
                  </w:rPr>
                </m:ctrlPr>
              </m:sub>
            </m:sSub>
            <m:ctrlPr>
              <w:rPr>
                <w:rFonts w:ascii="Cambria Math" w:hAnsi="Cambria Math" w:eastAsia="宋体" w:cs="Times New Roman"/>
                <w:sz w:val="28"/>
                <w:szCs w:val="28"/>
                <w14:ligatures w14:val="none"/>
              </w:rPr>
            </m:ctrlPr>
          </m:num>
          <m:den>
            <m:sSub>
              <m:sSubPr>
                <m:ctrlPr>
                  <w:rPr>
                    <w:rFonts w:ascii="Cambria Math" w:hAnsi="Cambria Math" w:eastAsia="宋体" w:cs="Times New Roman"/>
                    <w:sz w:val="28"/>
                    <w:szCs w:val="28"/>
                    <w14:ligatures w14:val="none"/>
                  </w:rPr>
                </m:ctrlPr>
              </m:sSubPr>
              <m:e>
                <m:r>
                  <m:rPr/>
                  <w:rPr>
                    <w:rFonts w:ascii="Cambria Math" w:hAnsi="Cambria Math" w:eastAsia="宋体" w:cs="Times New Roman"/>
                    <w:sz w:val="28"/>
                    <w:szCs w:val="28"/>
                    <w14:ligatures w14:val="none"/>
                  </w:rPr>
                  <m:t>Q</m:t>
                </m:r>
                <m:ctrlPr>
                  <w:rPr>
                    <w:rFonts w:ascii="Cambria Math" w:hAnsi="Cambria Math" w:eastAsia="宋体" w:cs="Times New Roman"/>
                    <w:sz w:val="28"/>
                    <w:szCs w:val="28"/>
                    <w14:ligatures w14:val="none"/>
                  </w:rPr>
                </m:ctrlPr>
              </m:e>
              <m:sub>
                <m:r>
                  <m:rPr>
                    <m:sty m:val="p"/>
                  </m:rPr>
                  <w:rPr>
                    <w:rFonts w:ascii="Cambria Math" w:hAnsi="Cambria Math" w:eastAsia="宋体" w:cs="Times New Roman"/>
                    <w:sz w:val="28"/>
                    <w:szCs w:val="28"/>
                    <w14:ligatures w14:val="none"/>
                  </w:rPr>
                  <m:t>2</m:t>
                </m:r>
                <m:ctrlPr>
                  <w:rPr>
                    <w:rFonts w:ascii="Cambria Math" w:hAnsi="Cambria Math" w:eastAsia="宋体" w:cs="Times New Roman"/>
                    <w:sz w:val="28"/>
                    <w:szCs w:val="28"/>
                    <w14:ligatures w14:val="none"/>
                  </w:rPr>
                </m:ctrlPr>
              </m:sub>
            </m:sSub>
            <m:ctrlPr>
              <w:rPr>
                <w:rFonts w:ascii="Cambria Math" w:hAnsi="Cambria Math" w:eastAsia="宋体" w:cs="Times New Roman"/>
                <w:sz w:val="28"/>
                <w:szCs w:val="28"/>
                <w14:ligatures w14:val="none"/>
              </w:rPr>
            </m:ctrlPr>
          </m:den>
        </m:f>
        <m:r>
          <m:rPr>
            <m:sty m:val="p"/>
          </m:rPr>
          <w:rPr>
            <w:rFonts w:ascii="Cambria Math" w:hAnsi="Cambria Math" w:eastAsia="宋体" w:cs="Times New Roman"/>
            <w:sz w:val="28"/>
            <w:szCs w:val="28"/>
            <w14:ligatures w14:val="none"/>
          </w:rPr>
          <m:t>+⋯+</m:t>
        </m:r>
        <m:f>
          <m:fPr>
            <m:ctrlPr>
              <w:rPr>
                <w:rFonts w:ascii="Cambria Math" w:hAnsi="Cambria Math" w:eastAsia="宋体" w:cs="Times New Roman"/>
                <w:sz w:val="28"/>
                <w:szCs w:val="28"/>
                <w14:ligatures w14:val="none"/>
              </w:rPr>
            </m:ctrlPr>
          </m:fPr>
          <m:num>
            <m:sSub>
              <m:sSubPr>
                <m:ctrlPr>
                  <w:rPr>
                    <w:rFonts w:ascii="Cambria Math" w:hAnsi="Cambria Math" w:eastAsia="宋体" w:cs="Times New Roman"/>
                    <w:sz w:val="28"/>
                    <w:szCs w:val="28"/>
                    <w14:ligatures w14:val="none"/>
                  </w:rPr>
                </m:ctrlPr>
              </m:sSubPr>
              <m:e>
                <m:r>
                  <m:rPr/>
                  <w:rPr>
                    <w:rFonts w:ascii="Cambria Math" w:hAnsi="Cambria Math" w:eastAsia="宋体" w:cs="Times New Roman"/>
                    <w:sz w:val="28"/>
                    <w:szCs w:val="28"/>
                    <w14:ligatures w14:val="none"/>
                  </w:rPr>
                  <m:t>q</m:t>
                </m:r>
                <m:ctrlPr>
                  <w:rPr>
                    <w:rFonts w:ascii="Cambria Math" w:hAnsi="Cambria Math" w:eastAsia="宋体" w:cs="Times New Roman"/>
                    <w:sz w:val="28"/>
                    <w:szCs w:val="28"/>
                    <w14:ligatures w14:val="none"/>
                  </w:rPr>
                </m:ctrlPr>
              </m:e>
              <m:sub>
                <m:r>
                  <m:rPr/>
                  <w:rPr>
                    <w:rFonts w:ascii="Cambria Math" w:hAnsi="Cambria Math" w:eastAsia="宋体" w:cs="Times New Roman"/>
                    <w:sz w:val="28"/>
                    <w:szCs w:val="28"/>
                    <w14:ligatures w14:val="none"/>
                  </w:rPr>
                  <m:t>n</m:t>
                </m:r>
                <m:ctrlPr>
                  <w:rPr>
                    <w:rFonts w:ascii="Cambria Math" w:hAnsi="Cambria Math" w:eastAsia="宋体" w:cs="Times New Roman"/>
                    <w:sz w:val="28"/>
                    <w:szCs w:val="28"/>
                    <w14:ligatures w14:val="none"/>
                  </w:rPr>
                </m:ctrlPr>
              </m:sub>
            </m:sSub>
            <m:ctrlPr>
              <w:rPr>
                <w:rFonts w:ascii="Cambria Math" w:hAnsi="Cambria Math" w:eastAsia="宋体" w:cs="Times New Roman"/>
                <w:sz w:val="28"/>
                <w:szCs w:val="28"/>
                <w14:ligatures w14:val="none"/>
              </w:rPr>
            </m:ctrlPr>
          </m:num>
          <m:den>
            <m:sSub>
              <m:sSubPr>
                <m:ctrlPr>
                  <w:rPr>
                    <w:rFonts w:ascii="Cambria Math" w:hAnsi="Cambria Math" w:eastAsia="宋体" w:cs="Times New Roman"/>
                    <w:sz w:val="28"/>
                    <w:szCs w:val="28"/>
                    <w14:ligatures w14:val="none"/>
                  </w:rPr>
                </m:ctrlPr>
              </m:sSubPr>
              <m:e>
                <m:r>
                  <m:rPr/>
                  <w:rPr>
                    <w:rFonts w:ascii="Cambria Math" w:hAnsi="Cambria Math" w:eastAsia="宋体" w:cs="Times New Roman"/>
                    <w:sz w:val="28"/>
                    <w:szCs w:val="28"/>
                    <w14:ligatures w14:val="none"/>
                  </w:rPr>
                  <m:t>Q</m:t>
                </m:r>
                <m:ctrlPr>
                  <w:rPr>
                    <w:rFonts w:ascii="Cambria Math" w:hAnsi="Cambria Math" w:eastAsia="宋体" w:cs="Times New Roman"/>
                    <w:sz w:val="28"/>
                    <w:szCs w:val="28"/>
                    <w14:ligatures w14:val="none"/>
                  </w:rPr>
                </m:ctrlPr>
              </m:e>
              <m:sub>
                <m:r>
                  <m:rPr/>
                  <w:rPr>
                    <w:rFonts w:ascii="Cambria Math" w:hAnsi="Cambria Math" w:eastAsia="宋体" w:cs="Times New Roman"/>
                    <w:sz w:val="28"/>
                    <w:szCs w:val="28"/>
                    <w14:ligatures w14:val="none"/>
                  </w:rPr>
                  <m:t>n</m:t>
                </m:r>
                <m:ctrlPr>
                  <w:rPr>
                    <w:rFonts w:ascii="Cambria Math" w:hAnsi="Cambria Math" w:eastAsia="宋体" w:cs="Times New Roman"/>
                    <w:sz w:val="28"/>
                    <w:szCs w:val="28"/>
                    <w14:ligatures w14:val="none"/>
                  </w:rPr>
                </m:ctrlPr>
              </m:sub>
            </m:sSub>
            <m:ctrlPr>
              <w:rPr>
                <w:rFonts w:ascii="Cambria Math" w:hAnsi="Cambria Math" w:eastAsia="宋体" w:cs="Times New Roman"/>
                <w:sz w:val="28"/>
                <w:szCs w:val="28"/>
                <w14:ligatures w14:val="none"/>
              </w:rPr>
            </m:ctrlPr>
          </m:den>
        </m:f>
        <m:r>
          <m:rPr>
            <m:sty m:val="p"/>
          </m:rPr>
          <w:rPr>
            <w:rFonts w:ascii="Cambria Math" w:hAnsi="Cambria Math" w:eastAsia="宋体" w:cs="Times New Roman"/>
            <w:sz w:val="28"/>
            <w:szCs w:val="28"/>
            <w14:ligatures w14:val="none"/>
          </w:rPr>
          <m:t>≥1</m:t>
        </m:r>
      </m:oMath>
      <w:r>
        <w:rPr>
          <w:rFonts w:hint="eastAsia" w:ascii="Times New Roman" w:hAnsi="Times New Roman" w:eastAsia="宋体" w:cs="Times New Roman"/>
          <w:sz w:val="28"/>
          <w:szCs w:val="28"/>
          <w14:ligatures w14:val="none"/>
        </w:rPr>
        <w:t xml:space="preserve">                               公式（3.5</w:t>
      </w:r>
      <w:r>
        <w:rPr>
          <w:rFonts w:ascii="Times New Roman" w:hAnsi="Times New Roman" w:eastAsia="宋体" w:cs="Times New Roman"/>
          <w:sz w:val="28"/>
          <w:szCs w:val="28"/>
          <w14:ligatures w14:val="none"/>
        </w:rPr>
        <w:t>-1</w:t>
      </w:r>
      <w:r>
        <w:rPr>
          <w:rFonts w:hint="eastAsia" w:ascii="Times New Roman" w:hAnsi="Times New Roman" w:eastAsia="宋体" w:cs="Times New Roman"/>
          <w:sz w:val="28"/>
          <w:szCs w:val="28"/>
          <w14:ligatures w14:val="none"/>
        </w:rPr>
        <w:t>）</w:t>
      </w:r>
    </w:p>
    <w:p w14:paraId="0A7107AD">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式中：</w:t>
      </w:r>
      <w:r>
        <w:rPr>
          <w:rFonts w:ascii="Times New Roman" w:hAnsi="Times New Roman" w:eastAsia="宋体" w:cs="Times New Roman"/>
          <w:sz w:val="28"/>
          <w:szCs w:val="28"/>
          <w14:ligatures w14:val="none"/>
        </w:rPr>
        <w:t>q</w:t>
      </w:r>
      <w:r>
        <w:rPr>
          <w:rFonts w:ascii="Times New Roman" w:hAnsi="Times New Roman" w:eastAsia="宋体" w:cs="Times New Roman"/>
          <w:sz w:val="28"/>
          <w:szCs w:val="28"/>
          <w:vertAlign w:val="subscript"/>
          <w14:ligatures w14:val="none"/>
        </w:rPr>
        <w:t>1</w:t>
      </w:r>
      <w:r>
        <w:rPr>
          <w:rFonts w:hint="eastAsia" w:ascii="Times New Roman" w:hAnsi="Times New Roman" w:eastAsia="宋体" w:cs="Times New Roman"/>
          <w:sz w:val="28"/>
          <w:szCs w:val="28"/>
          <w14:ligatures w14:val="none"/>
        </w:rPr>
        <w:t>，</w:t>
      </w:r>
      <w:r>
        <w:rPr>
          <w:rFonts w:ascii="Times New Roman" w:hAnsi="Times New Roman" w:eastAsia="宋体" w:cs="Times New Roman"/>
          <w:sz w:val="28"/>
          <w:szCs w:val="28"/>
          <w14:ligatures w14:val="none"/>
        </w:rPr>
        <w:t>q</w:t>
      </w:r>
      <w:r>
        <w:rPr>
          <w:rFonts w:ascii="Times New Roman" w:hAnsi="Times New Roman" w:eastAsia="宋体" w:cs="Times New Roman"/>
          <w:sz w:val="28"/>
          <w:szCs w:val="28"/>
          <w:vertAlign w:val="subscript"/>
          <w14:ligatures w14:val="none"/>
        </w:rPr>
        <w:t>2</w:t>
      </w:r>
      <w:r>
        <w:rPr>
          <w:rFonts w:hint="eastAsia" w:ascii="Times New Roman" w:hAnsi="Times New Roman" w:eastAsia="宋体" w:cs="Times New Roman"/>
          <w:sz w:val="28"/>
          <w:szCs w:val="28"/>
          <w14:ligatures w14:val="none"/>
        </w:rPr>
        <w:t>，…，</w:t>
      </w:r>
      <w:r>
        <w:rPr>
          <w:rFonts w:ascii="Times New Roman" w:hAnsi="Times New Roman" w:eastAsia="宋体" w:cs="Times New Roman"/>
          <w:sz w:val="28"/>
          <w:szCs w:val="28"/>
          <w14:ligatures w14:val="none"/>
        </w:rPr>
        <w:t>q</w:t>
      </w:r>
      <w:r>
        <w:rPr>
          <w:rFonts w:ascii="Times New Roman" w:hAnsi="Times New Roman" w:eastAsia="宋体" w:cs="Times New Roman"/>
          <w:sz w:val="28"/>
          <w:szCs w:val="28"/>
          <w:vertAlign w:val="subscript"/>
          <w14:ligatures w14:val="none"/>
        </w:rPr>
        <w:t>n</w:t>
      </w:r>
      <w:r>
        <w:rPr>
          <w:rFonts w:hint="eastAsia" w:ascii="Times New Roman" w:hAnsi="Times New Roman" w:eastAsia="宋体" w:cs="Times New Roman"/>
          <w:sz w:val="28"/>
          <w:szCs w:val="28"/>
          <w14:ligatures w14:val="none"/>
        </w:rPr>
        <w:t>——每种危险化学品的实际存在量，</w:t>
      </w:r>
      <w:r>
        <w:rPr>
          <w:rFonts w:ascii="Times New Roman" w:hAnsi="Times New Roman" w:eastAsia="宋体" w:cs="Times New Roman"/>
          <w:sz w:val="28"/>
          <w:szCs w:val="28"/>
          <w14:ligatures w14:val="none"/>
        </w:rPr>
        <w:t>t</w:t>
      </w:r>
      <w:r>
        <w:rPr>
          <w:rFonts w:hint="eastAsia" w:ascii="Times New Roman" w:hAnsi="Times New Roman" w:eastAsia="宋体" w:cs="Times New Roman"/>
          <w:sz w:val="28"/>
          <w:szCs w:val="28"/>
          <w14:ligatures w14:val="none"/>
        </w:rPr>
        <w:t>。</w:t>
      </w:r>
    </w:p>
    <w:p w14:paraId="2D40330B">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ascii="Times New Roman" w:hAnsi="Times New Roman" w:eastAsia="宋体" w:cs="Times New Roman"/>
          <w:sz w:val="28"/>
          <w:szCs w:val="28"/>
          <w14:ligatures w14:val="none"/>
        </w:rPr>
        <w:t>Q</w:t>
      </w:r>
      <w:r>
        <w:rPr>
          <w:rFonts w:ascii="Times New Roman" w:hAnsi="Times New Roman" w:eastAsia="宋体" w:cs="Times New Roman"/>
          <w:sz w:val="28"/>
          <w:szCs w:val="28"/>
          <w:vertAlign w:val="subscript"/>
          <w14:ligatures w14:val="none"/>
        </w:rPr>
        <w:t>1</w:t>
      </w:r>
      <w:r>
        <w:rPr>
          <w:rFonts w:hint="eastAsia" w:ascii="Times New Roman" w:hAnsi="Times New Roman" w:eastAsia="宋体" w:cs="Times New Roman"/>
          <w:sz w:val="28"/>
          <w:szCs w:val="28"/>
          <w14:ligatures w14:val="none"/>
        </w:rPr>
        <w:t>，</w:t>
      </w:r>
      <w:r>
        <w:rPr>
          <w:rFonts w:ascii="Times New Roman" w:hAnsi="Times New Roman" w:eastAsia="宋体" w:cs="Times New Roman"/>
          <w:sz w:val="28"/>
          <w:szCs w:val="28"/>
          <w14:ligatures w14:val="none"/>
        </w:rPr>
        <w:t>Q</w:t>
      </w:r>
      <w:r>
        <w:rPr>
          <w:rFonts w:ascii="Times New Roman" w:hAnsi="Times New Roman" w:eastAsia="宋体" w:cs="Times New Roman"/>
          <w:sz w:val="28"/>
          <w:szCs w:val="28"/>
          <w:vertAlign w:val="subscript"/>
          <w14:ligatures w14:val="none"/>
        </w:rPr>
        <w:t>2</w:t>
      </w:r>
      <w:r>
        <w:rPr>
          <w:rFonts w:hint="eastAsia" w:ascii="Times New Roman" w:hAnsi="Times New Roman" w:eastAsia="宋体" w:cs="Times New Roman"/>
          <w:sz w:val="28"/>
          <w:szCs w:val="28"/>
          <w14:ligatures w14:val="none"/>
        </w:rPr>
        <w:t>，…，</w:t>
      </w:r>
      <w:r>
        <w:rPr>
          <w:rFonts w:ascii="Times New Roman" w:hAnsi="Times New Roman" w:eastAsia="宋体" w:cs="Times New Roman"/>
          <w:sz w:val="28"/>
          <w:szCs w:val="28"/>
          <w14:ligatures w14:val="none"/>
        </w:rPr>
        <w:t>Q</w:t>
      </w:r>
      <w:r>
        <w:rPr>
          <w:rFonts w:ascii="Times New Roman" w:hAnsi="Times New Roman" w:eastAsia="宋体" w:cs="Times New Roman"/>
          <w:sz w:val="28"/>
          <w:szCs w:val="28"/>
          <w:vertAlign w:val="subscript"/>
          <w14:ligatures w14:val="none"/>
        </w:rPr>
        <w:t>n</w:t>
      </w:r>
      <w:r>
        <w:rPr>
          <w:rFonts w:hint="eastAsia" w:ascii="Times New Roman" w:hAnsi="Times New Roman" w:eastAsia="宋体" w:cs="Times New Roman"/>
          <w:sz w:val="28"/>
          <w:szCs w:val="28"/>
          <w14:ligatures w14:val="none"/>
        </w:rPr>
        <w:t>——与每种危险化学品相对应的临界量，</w:t>
      </w:r>
      <w:r>
        <w:rPr>
          <w:rFonts w:ascii="Times New Roman" w:hAnsi="Times New Roman" w:eastAsia="宋体" w:cs="Times New Roman"/>
          <w:sz w:val="28"/>
          <w:szCs w:val="28"/>
          <w14:ligatures w14:val="none"/>
        </w:rPr>
        <w:t>t</w:t>
      </w:r>
      <w:r>
        <w:rPr>
          <w:rFonts w:hint="eastAsia" w:ascii="Times New Roman" w:hAnsi="Times New Roman" w:eastAsia="宋体" w:cs="Times New Roman"/>
          <w:sz w:val="28"/>
          <w:szCs w:val="28"/>
          <w14:ligatures w14:val="none"/>
        </w:rPr>
        <w:t>。</w:t>
      </w:r>
    </w:p>
    <w:p w14:paraId="12F2F382">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（3）重大危险源辨识</w:t>
      </w:r>
    </w:p>
    <w:p w14:paraId="3FC7CA46">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经辨识，本项目涉及的</w:t>
      </w:r>
      <w:r>
        <w:rPr>
          <w:rFonts w:hint="eastAsia" w:ascii="Times New Roman" w:hAnsi="Times New Roman" w:eastAsia="宋体" w:cs="Times New Roman"/>
          <w:sz w:val="28"/>
          <w:szCs w:val="28"/>
          <w:lang w:val="en-US" w:eastAsia="zh-CN"/>
          <w14:ligatures w14:val="none"/>
        </w:rPr>
        <w:t>有储存装置经营的</w:t>
      </w:r>
      <w:r>
        <w:rPr>
          <w:rFonts w:hint="eastAsia" w:ascii="Times New Roman" w:hAnsi="Times New Roman" w:eastAsia="宋体" w:cs="Times New Roman"/>
          <w:sz w:val="28"/>
          <w:szCs w:val="28"/>
          <w14:ligatures w14:val="none"/>
        </w:rPr>
        <w:t>盐酸</w:t>
      </w:r>
      <w:r>
        <w:rPr>
          <w:rFonts w:hint="eastAsia" w:ascii="Times New Roman" w:hAnsi="Times New Roman" w:eastAsia="宋体" w:cs="Times New Roman"/>
          <w:sz w:val="28"/>
          <w:szCs w:val="28"/>
          <w:lang w:eastAsia="zh-CN"/>
          <w14:ligatures w14:val="none"/>
        </w:rPr>
        <w:t>、</w:t>
      </w:r>
      <w:r>
        <w:rPr>
          <w:rFonts w:hint="eastAsia" w:ascii="Times New Roman" w:hAnsi="Times New Roman" w:eastAsia="宋体" w:cs="Times New Roman"/>
          <w:sz w:val="28"/>
          <w:szCs w:val="28"/>
          <w:lang w:val="en-US" w:eastAsia="zh-CN"/>
          <w14:ligatures w14:val="none"/>
        </w:rPr>
        <w:t>四氯化钛、次氯酸钠</w:t>
      </w:r>
      <w:r>
        <w:rPr>
          <w:rFonts w:hint="eastAsia" w:ascii="Times New Roman" w:hAnsi="Times New Roman" w:eastAsia="宋体" w:cs="Times New Roman"/>
          <w:sz w:val="28"/>
          <w:szCs w:val="28"/>
          <w14:ligatures w14:val="none"/>
        </w:rPr>
        <w:t>不在危险化学品重大危险源的辨识范围内，</w:t>
      </w:r>
      <w:r>
        <w:rPr>
          <w:rFonts w:hint="eastAsia" w:ascii="Times New Roman" w:hAnsi="Times New Roman" w:eastAsia="宋体" w:cs="Times New Roman"/>
          <w:sz w:val="28"/>
          <w:szCs w:val="28"/>
          <w:lang w:val="en-US" w:eastAsia="zh-CN"/>
          <w14:ligatures w14:val="none"/>
        </w:rPr>
        <w:t>所以</w:t>
      </w:r>
      <w:r>
        <w:rPr>
          <w:rFonts w:hint="eastAsia" w:ascii="Times New Roman" w:hAnsi="Times New Roman" w:eastAsia="宋体" w:cs="Times New Roman"/>
          <w:sz w:val="28"/>
          <w:szCs w:val="28"/>
          <w14:ligatures w14:val="none"/>
        </w:rPr>
        <w:t>未构成危险化学品重大危险源。</w:t>
      </w:r>
    </w:p>
    <w:p w14:paraId="6EA7BA04">
      <w:pPr>
        <w:keepNext/>
        <w:tabs>
          <w:tab w:val="left" w:pos="840"/>
          <w:tab w:val="left" w:pos="1260"/>
        </w:tabs>
        <w:adjustRightInd w:val="0"/>
        <w:snapToGrid w:val="0"/>
        <w:spacing w:before="156" w:beforeLines="50" w:after="156" w:afterLines="50" w:line="360" w:lineRule="auto"/>
        <w:ind w:firstLine="562" w:firstLineChars="200"/>
        <w:jc w:val="both"/>
        <w:outlineLvl w:val="2"/>
        <w:rPr>
          <w:rFonts w:ascii="Times New Roman" w:hAnsi="Times New Roman" w:eastAsia="黑体" w:cs="Times New Roman"/>
          <w:b/>
          <w:sz w:val="28"/>
          <w:szCs w:val="32"/>
          <w14:ligatures w14:val="none"/>
        </w:rPr>
      </w:pPr>
      <w:bookmarkStart w:id="184" w:name="_Toc479257176"/>
      <w:bookmarkStart w:id="185" w:name="_Toc423599729"/>
      <w:r>
        <w:rPr>
          <w:rFonts w:ascii="Times New Roman" w:hAnsi="Times New Roman" w:eastAsia="黑体" w:cs="Times New Roman"/>
          <w:b/>
          <w:sz w:val="28"/>
          <w:szCs w:val="32"/>
          <w14:ligatures w14:val="none"/>
        </w:rPr>
        <w:t>3.</w:t>
      </w:r>
      <w:r>
        <w:rPr>
          <w:rFonts w:hint="eastAsia" w:ascii="Times New Roman" w:hAnsi="Times New Roman" w:eastAsia="黑体" w:cs="Times New Roman"/>
          <w:b/>
          <w:sz w:val="28"/>
          <w:szCs w:val="32"/>
          <w:lang w:val="en-US" w:eastAsia="zh-CN"/>
          <w14:ligatures w14:val="none"/>
        </w:rPr>
        <w:t>4</w:t>
      </w:r>
      <w:r>
        <w:rPr>
          <w:rFonts w:ascii="Times New Roman" w:hAnsi="Times New Roman" w:eastAsia="黑体" w:cs="Times New Roman"/>
          <w:b/>
          <w:sz w:val="28"/>
          <w:szCs w:val="32"/>
          <w14:ligatures w14:val="none"/>
        </w:rPr>
        <w:t>.2重点监管危险化学品辨识</w:t>
      </w:r>
      <w:bookmarkEnd w:id="184"/>
      <w:bookmarkEnd w:id="185"/>
    </w:p>
    <w:p w14:paraId="33981C72">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ascii="Times New Roman" w:hAnsi="Times New Roman" w:eastAsia="宋体" w:cs="Times New Roman"/>
          <w:sz w:val="28"/>
          <w:szCs w:val="28"/>
          <w14:ligatures w14:val="none"/>
        </w:rPr>
        <w:t>根据《国家安全监管总局关于公布首批重点监管的危险化学品目录的通知》（安监总管三〔2011〕95号）、《国家安全监管总局关于公布第二批重点监管危险化学品名录的通知》（安监总管三〔2013〕12号），</w:t>
      </w:r>
      <w:r>
        <w:rPr>
          <w:rFonts w:hint="eastAsia" w:ascii="Times New Roman" w:hAnsi="Times New Roman" w:eastAsia="宋体" w:cs="Times New Roman"/>
          <w:sz w:val="28"/>
          <w:szCs w:val="28"/>
          <w:lang w:val="en-US" w:eastAsia="zh-CN"/>
          <w14:ligatures w14:val="none"/>
        </w:rPr>
        <w:t>本项目有储存装置经营的四氯化钛为</w:t>
      </w:r>
      <w:r>
        <w:rPr>
          <w:rFonts w:ascii="Times New Roman" w:hAnsi="Times New Roman" w:eastAsia="宋体" w:cs="Times New Roman"/>
          <w:sz w:val="28"/>
          <w:szCs w:val="28"/>
          <w14:ligatures w14:val="none"/>
        </w:rPr>
        <w:t>重点监管</w:t>
      </w:r>
      <w:r>
        <w:rPr>
          <w:rFonts w:hint="eastAsia" w:ascii="Times New Roman" w:hAnsi="Times New Roman" w:eastAsia="宋体" w:cs="Times New Roman"/>
          <w:sz w:val="28"/>
          <w:szCs w:val="28"/>
          <w:lang w:val="en-US" w:eastAsia="zh-CN"/>
          <w14:ligatures w14:val="none"/>
        </w:rPr>
        <w:t>的</w:t>
      </w:r>
      <w:r>
        <w:rPr>
          <w:rFonts w:ascii="Times New Roman" w:hAnsi="Times New Roman" w:eastAsia="宋体" w:cs="Times New Roman"/>
          <w:sz w:val="28"/>
          <w:szCs w:val="28"/>
          <w14:ligatures w14:val="none"/>
        </w:rPr>
        <w:t>危险化学品。</w:t>
      </w:r>
    </w:p>
    <w:p w14:paraId="6D8817F4">
      <w:pPr>
        <w:tabs>
          <w:tab w:val="left" w:pos="840"/>
          <w:tab w:val="left" w:pos="1260"/>
        </w:tabs>
        <w:adjustRightInd w:val="0"/>
        <w:snapToGrid w:val="0"/>
        <w:spacing w:before="156" w:beforeLines="50" w:after="156" w:afterLines="50" w:line="360" w:lineRule="auto"/>
        <w:ind w:firstLine="562" w:firstLineChars="200"/>
        <w:jc w:val="both"/>
        <w:outlineLvl w:val="2"/>
        <w:rPr>
          <w:rFonts w:ascii="Times New Roman" w:hAnsi="Times New Roman" w:eastAsia="黑体" w:cs="Times New Roman"/>
          <w:b/>
          <w:sz w:val="28"/>
          <w:szCs w:val="32"/>
          <w14:ligatures w14:val="none"/>
        </w:rPr>
      </w:pPr>
      <w:bookmarkStart w:id="186" w:name="_Toc479257177"/>
      <w:bookmarkStart w:id="187" w:name="_Toc423599730"/>
      <w:r>
        <w:rPr>
          <w:rFonts w:ascii="Times New Roman" w:hAnsi="Times New Roman" w:eastAsia="黑体" w:cs="Times New Roman"/>
          <w:b/>
          <w:sz w:val="28"/>
          <w:szCs w:val="32"/>
          <w14:ligatures w14:val="none"/>
        </w:rPr>
        <w:t>3.</w:t>
      </w:r>
      <w:r>
        <w:rPr>
          <w:rFonts w:hint="eastAsia" w:ascii="Times New Roman" w:hAnsi="Times New Roman" w:eastAsia="黑体" w:cs="Times New Roman"/>
          <w:b/>
          <w:sz w:val="28"/>
          <w:szCs w:val="32"/>
          <w:lang w:val="en-US" w:eastAsia="zh-CN"/>
          <w14:ligatures w14:val="none"/>
        </w:rPr>
        <w:t>4</w:t>
      </w:r>
      <w:r>
        <w:rPr>
          <w:rFonts w:ascii="Times New Roman" w:hAnsi="Times New Roman" w:eastAsia="黑体" w:cs="Times New Roman"/>
          <w:b/>
          <w:sz w:val="28"/>
          <w:szCs w:val="32"/>
          <w14:ligatures w14:val="none"/>
        </w:rPr>
        <w:t>.3重点监管危险化工工艺辨识</w:t>
      </w:r>
      <w:bookmarkEnd w:id="186"/>
      <w:bookmarkEnd w:id="187"/>
    </w:p>
    <w:p w14:paraId="190BE3FA">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ascii="Times New Roman" w:hAnsi="Times New Roman" w:eastAsia="宋体" w:cs="Times New Roman"/>
          <w:sz w:val="28"/>
          <w:szCs w:val="28"/>
          <w14:ligatures w14:val="none"/>
        </w:rPr>
        <w:t>根据《国家安全监管总局关于公布首批重点监管的危险化工工艺目录的通知》（安监总管三〔2009〕116号）、《国家安全监管总局关于公布第二批重点监管、危险化工工艺目录和调整首批重点监管、危险化工工艺中部分典型工艺的通知》（安监总管三〔2013〕3号）</w:t>
      </w:r>
      <w:r>
        <w:rPr>
          <w:rFonts w:hint="eastAsia" w:ascii="Times New Roman" w:hAnsi="Times New Roman" w:eastAsia="宋体" w:cs="Times New Roman"/>
          <w:sz w:val="28"/>
          <w:szCs w:val="28"/>
          <w14:ligatures w14:val="none"/>
        </w:rPr>
        <w:t>，</w:t>
      </w:r>
      <w:r>
        <w:rPr>
          <w:rFonts w:hint="eastAsia" w:ascii="Times New Roman" w:hAnsi="Times New Roman" w:eastAsia="宋体" w:cs="Times New Roman"/>
          <w:sz w:val="28"/>
          <w:szCs w:val="28"/>
          <w:lang w:val="en-US" w:eastAsia="zh-CN"/>
          <w14:ligatures w14:val="none"/>
        </w:rPr>
        <w:t>本项目</w:t>
      </w:r>
      <w:r>
        <w:rPr>
          <w:rFonts w:hint="eastAsia" w:ascii="Times New Roman" w:hAnsi="Times New Roman" w:eastAsia="宋体" w:cs="Times New Roman"/>
          <w:sz w:val="28"/>
          <w:szCs w:val="28"/>
          <w14:ligatures w14:val="none"/>
        </w:rPr>
        <w:t>未</w:t>
      </w:r>
      <w:r>
        <w:rPr>
          <w:rFonts w:ascii="Times New Roman" w:hAnsi="Times New Roman" w:eastAsia="宋体" w:cs="Times New Roman"/>
          <w:sz w:val="28"/>
          <w:szCs w:val="28"/>
          <w14:ligatures w14:val="none"/>
        </w:rPr>
        <w:t>涉及危险化工工艺。</w:t>
      </w:r>
    </w:p>
    <w:p w14:paraId="27106A60">
      <w:pPr>
        <w:adjustRightInd w:val="0"/>
        <w:snapToGrid w:val="0"/>
        <w:spacing w:before="312" w:beforeLines="100" w:after="312" w:afterLines="100" w:line="360" w:lineRule="auto"/>
        <w:jc w:val="center"/>
        <w:outlineLvl w:val="1"/>
        <w:rPr>
          <w:rFonts w:ascii="Times New Roman" w:hAnsi="Times New Roman" w:eastAsia="楷体" w:cs="黑体"/>
          <w:b/>
          <w:sz w:val="32"/>
          <w:szCs w:val="32"/>
          <w14:ligatures w14:val="none"/>
        </w:rPr>
      </w:pPr>
      <w:r>
        <w:rPr>
          <w:rFonts w:ascii="Times New Roman" w:hAnsi="Times New Roman" w:eastAsia="楷体" w:cs="黑体"/>
          <w:b/>
          <w:sz w:val="32"/>
          <w:szCs w:val="32"/>
          <w14:ligatures w14:val="none"/>
        </w:rPr>
        <w:t>3.</w:t>
      </w:r>
      <w:r>
        <w:rPr>
          <w:rFonts w:hint="eastAsia" w:ascii="Times New Roman" w:hAnsi="Times New Roman" w:eastAsia="楷体" w:cs="黑体"/>
          <w:b/>
          <w:sz w:val="32"/>
          <w:szCs w:val="32"/>
          <w:lang w:val="en-US" w:eastAsia="zh-CN"/>
          <w14:ligatures w14:val="none"/>
        </w:rPr>
        <w:t>5事故案例分析</w:t>
      </w:r>
    </w:p>
    <w:p w14:paraId="3A3C7CE3">
      <w:pPr>
        <w:adjustRightInd w:val="0"/>
        <w:snapToGrid w:val="0"/>
        <w:spacing w:after="0" w:line="360" w:lineRule="auto"/>
        <w:ind w:firstLine="560" w:firstLineChars="20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事故案例分析：通过调查，尽可能收集相关事故资料，找出事故发生的潜在隐患，吸取事故经验教训，避免同类事故发生，为企业的安全生产与科学管理提供参考与借鉴。以下叙述2起爆炸事故，希望对企业安全生产和管理能起到借鉴作用。</w:t>
      </w:r>
    </w:p>
    <w:p w14:paraId="7F79E51F">
      <w:pPr>
        <w:adjustRightInd w:val="0"/>
        <w:snapToGrid w:val="0"/>
        <w:spacing w:after="0" w:line="360" w:lineRule="auto"/>
        <w:ind w:firstLine="560" w:firstLineChars="200"/>
        <w:jc w:val="both"/>
        <w:rPr>
          <w:rFonts w:hint="eastAsia" w:ascii="Times New Roman" w:hAnsi="Times New Roman" w:eastAsia="宋体" w:cs="Times New Roman"/>
          <w:sz w:val="28"/>
          <w:szCs w:val="28"/>
          <w:lang w:val="en-US" w:eastAsia="zh-CN"/>
          <w14:ligatures w14:val="none"/>
        </w:rPr>
      </w:pPr>
      <w:r>
        <w:rPr>
          <w:rFonts w:hint="eastAsia" w:ascii="Times New Roman" w:hAnsi="Times New Roman" w:eastAsia="宋体" w:cs="Times New Roman"/>
          <w:sz w:val="28"/>
          <w:szCs w:val="28"/>
          <w:lang w:val="en-US" w:eastAsia="zh-CN"/>
          <w14:ligatures w14:val="none"/>
        </w:rPr>
        <w:t>案例：韶关市广氮化工有限公司“7.14”盐酸罐泄漏事故</w:t>
      </w:r>
    </w:p>
    <w:p w14:paraId="7A39490C">
      <w:pPr>
        <w:numPr>
          <w:ilvl w:val="0"/>
          <w:numId w:val="9"/>
        </w:numPr>
        <w:adjustRightInd w:val="0"/>
        <w:snapToGrid w:val="0"/>
        <w:spacing w:after="0" w:line="360" w:lineRule="auto"/>
        <w:ind w:firstLine="560" w:firstLineChars="200"/>
        <w:jc w:val="both"/>
        <w:rPr>
          <w:rFonts w:hint="eastAsia" w:ascii="Times New Roman" w:hAnsi="Times New Roman" w:eastAsia="宋体" w:cs="Times New Roman"/>
          <w:sz w:val="28"/>
          <w:szCs w:val="28"/>
          <w:lang w:val="en-US" w:eastAsia="zh-CN"/>
          <w14:ligatures w14:val="none"/>
        </w:rPr>
      </w:pPr>
      <w:r>
        <w:rPr>
          <w:rFonts w:hint="eastAsia" w:ascii="Times New Roman" w:hAnsi="Times New Roman" w:eastAsia="宋体" w:cs="Times New Roman"/>
          <w:sz w:val="28"/>
          <w:szCs w:val="28"/>
          <w:lang w:val="en-US" w:eastAsia="zh-CN"/>
          <w14:ligatures w14:val="none"/>
        </w:rPr>
        <w:t>事故概况</w:t>
      </w:r>
    </w:p>
    <w:p w14:paraId="16598511">
      <w:pPr>
        <w:numPr>
          <w:ilvl w:val="0"/>
          <w:numId w:val="0"/>
        </w:num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2015年7月14日凌晨3时10分左右，位于曲江区乌石镇韶关市广氮化工有限公司盐酸储罐区发生一起因盐酸罐体底部破裂及罐体倒塌引发的盐酸泄漏事故，事故导致盐酸罐区内约168吨盐酸泄漏，事故未造成人员伤亡，直接经济损失约100万元。</w:t>
      </w:r>
    </w:p>
    <w:p w14:paraId="04DDB96D">
      <w:pPr>
        <w:numPr>
          <w:ilvl w:val="0"/>
          <w:numId w:val="0"/>
        </w:num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eastAsia" w:ascii="Times New Roman" w:hAnsi="Times New Roman" w:eastAsia="宋体" w:cs="Times New Roman"/>
          <w:sz w:val="28"/>
          <w:szCs w:val="28"/>
          <w:lang w:val="en-US" w:eastAsia="zh-CN"/>
          <w14:ligatures w14:val="none"/>
        </w:rPr>
        <w:t>（2）事故经过</w:t>
      </w:r>
    </w:p>
    <w:p w14:paraId="0F8352A8">
      <w:pPr>
        <w:adjustRightInd w:val="0"/>
        <w:snapToGrid w:val="0"/>
        <w:spacing w:after="0" w:line="360" w:lineRule="auto"/>
        <w:ind w:firstLine="560" w:firstLineChars="200"/>
        <w:jc w:val="both"/>
        <w:rPr>
          <w:rFonts w:hint="eastAsia" w:ascii="Times New Roman" w:hAnsi="Times New Roman" w:eastAsia="宋体" w:cs="Times New Roman"/>
          <w:sz w:val="28"/>
          <w:szCs w:val="28"/>
          <w:lang w:val="en-US" w:eastAsia="zh-CN"/>
          <w14:ligatures w14:val="none"/>
        </w:rPr>
      </w:pPr>
      <w:r>
        <w:rPr>
          <w:rFonts w:hint="eastAsia" w:ascii="Times New Roman" w:hAnsi="Times New Roman" w:eastAsia="宋体" w:cs="Times New Roman"/>
          <w:sz w:val="28"/>
          <w:szCs w:val="28"/>
          <w:lang w:val="en-US" w:eastAsia="zh-CN"/>
          <w14:ligatures w14:val="none"/>
        </w:rPr>
        <w:t>事故发生后，乌石镇人民政府、区安监局区、曲江区消防大队、区环保局等相关单位及部门的人员立即赶赴现场施救，曲江区政府、韶关市安监局领导及时组织应急救援力量，积极开展抢救和善后处理工作。区委、区政府领导非常重视，立即启动事故应急预案，抢险人员于凌晨4时35分成功封堵5#盐酸储罐泄漏管口，阻止了泄漏的进一步扩大。由于抢险及时，处置得当，事故未造成人员伤亡，泄漏未对北江造成影响。</w:t>
      </w:r>
    </w:p>
    <w:p w14:paraId="37868594">
      <w:pPr>
        <w:adjustRightInd w:val="0"/>
        <w:snapToGrid w:val="0"/>
        <w:spacing w:after="0" w:line="360" w:lineRule="auto"/>
        <w:ind w:firstLine="560" w:firstLineChars="200"/>
        <w:jc w:val="both"/>
        <w:rPr>
          <w:rFonts w:hint="eastAsia" w:ascii="Times New Roman" w:hAnsi="Times New Roman" w:eastAsia="宋体" w:cs="Times New Roman"/>
          <w:sz w:val="28"/>
          <w:szCs w:val="28"/>
          <w:lang w:val="en-US" w:eastAsia="zh-CN"/>
          <w14:ligatures w14:val="none"/>
        </w:rPr>
      </w:pPr>
      <w:r>
        <w:rPr>
          <w:rFonts w:hint="eastAsia" w:ascii="Times New Roman" w:hAnsi="Times New Roman" w:eastAsia="宋体" w:cs="Times New Roman"/>
          <w:sz w:val="28"/>
          <w:szCs w:val="28"/>
          <w:lang w:val="en-US" w:eastAsia="zh-CN"/>
          <w14:ligatures w14:val="none"/>
        </w:rPr>
        <w:t>凌晨3时23分区安监局接到事故报告后，立即报请区委、区政府启动生产安全事故应急预案，</w:t>
      </w:r>
    </w:p>
    <w:p w14:paraId="6D7157BB">
      <w:pPr>
        <w:adjustRightInd w:val="0"/>
        <w:snapToGrid w:val="0"/>
        <w:spacing w:after="0" w:line="360" w:lineRule="auto"/>
        <w:ind w:firstLine="560" w:firstLineChars="200"/>
        <w:jc w:val="both"/>
        <w:rPr>
          <w:rFonts w:hint="eastAsia" w:ascii="Times New Roman" w:hAnsi="Times New Roman" w:eastAsia="宋体" w:cs="Times New Roman"/>
          <w:sz w:val="28"/>
          <w:szCs w:val="28"/>
          <w:lang w:val="en-US" w:eastAsia="zh-CN"/>
          <w14:ligatures w14:val="none"/>
        </w:rPr>
      </w:pPr>
      <w:r>
        <w:rPr>
          <w:rFonts w:hint="eastAsia" w:ascii="Times New Roman" w:hAnsi="Times New Roman" w:eastAsia="宋体" w:cs="Times New Roman"/>
          <w:sz w:val="28"/>
          <w:szCs w:val="28"/>
          <w:lang w:val="en-US" w:eastAsia="zh-CN"/>
          <w14:ligatures w14:val="none"/>
        </w:rPr>
        <w:t>凌晨3时45分，安监及消防人员到达事故现场指挥事故应急救援，指挥附近受影响的村民人员疏散，现场指挥5#盐酸储罐排险堵漏，指挥消防人员冲水稀释泄漏盐酸，指挥广氮化工公司调运石灰及片碱中和泄漏盐酸，修筑石灰围堰防止废水外排。</w:t>
      </w:r>
    </w:p>
    <w:p w14:paraId="66E31345">
      <w:pPr>
        <w:adjustRightInd w:val="0"/>
        <w:snapToGrid w:val="0"/>
        <w:spacing w:after="0" w:line="360" w:lineRule="auto"/>
        <w:ind w:firstLine="560" w:firstLineChars="200"/>
        <w:jc w:val="both"/>
        <w:rPr>
          <w:rFonts w:hint="eastAsia" w:ascii="Times New Roman" w:hAnsi="Times New Roman" w:eastAsia="宋体" w:cs="Times New Roman"/>
          <w:sz w:val="28"/>
          <w:szCs w:val="28"/>
          <w:lang w:val="en-US" w:eastAsia="zh-CN"/>
          <w14:ligatures w14:val="none"/>
        </w:rPr>
      </w:pPr>
      <w:r>
        <w:rPr>
          <w:rFonts w:hint="eastAsia" w:ascii="Times New Roman" w:hAnsi="Times New Roman" w:eastAsia="宋体" w:cs="Times New Roman"/>
          <w:sz w:val="28"/>
          <w:szCs w:val="28"/>
          <w:lang w:val="en-US" w:eastAsia="zh-CN"/>
          <w14:ligatures w14:val="none"/>
        </w:rPr>
        <w:t>凌晨4时35分，5#盐酸储罐成功堵漏；</w:t>
      </w:r>
    </w:p>
    <w:p w14:paraId="5B454C62">
      <w:pPr>
        <w:numPr>
          <w:ilvl w:val="0"/>
          <w:numId w:val="0"/>
        </w:numPr>
        <w:adjustRightInd w:val="0"/>
        <w:snapToGrid w:val="0"/>
        <w:spacing w:after="0" w:line="360" w:lineRule="auto"/>
        <w:ind w:leftChars="200"/>
        <w:jc w:val="both"/>
        <w:rPr>
          <w:rFonts w:hint="eastAsia" w:ascii="Times New Roman" w:hAnsi="Times New Roman" w:eastAsia="宋体" w:cs="Times New Roman"/>
          <w:sz w:val="28"/>
          <w:szCs w:val="28"/>
          <w:lang w:val="en-US" w:eastAsia="zh-CN"/>
          <w14:ligatures w14:val="none"/>
        </w:rPr>
      </w:pPr>
      <w:r>
        <w:rPr>
          <w:rFonts w:hint="eastAsia" w:ascii="Times New Roman" w:hAnsi="Times New Roman" w:eastAsia="宋体" w:cs="Times New Roman"/>
          <w:sz w:val="28"/>
          <w:szCs w:val="28"/>
          <w:lang w:val="en-US" w:eastAsia="zh-CN"/>
          <w14:ligatures w14:val="none"/>
        </w:rPr>
        <w:t>（3）事故原因及分析</w:t>
      </w:r>
    </w:p>
    <w:p w14:paraId="11C97F88">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直接原因</w:t>
      </w:r>
      <w:r>
        <w:rPr>
          <w:rFonts w:hint="eastAsia" w:ascii="Times New Roman" w:hAnsi="Times New Roman" w:eastAsia="宋体" w:cs="Times New Roman"/>
          <w:sz w:val="28"/>
          <w:szCs w:val="28"/>
          <w:lang w:val="en-US" w:eastAsia="zh-CN"/>
          <w14:ligatures w14:val="none"/>
        </w:rPr>
        <w:t>：</w:t>
      </w:r>
      <w:r>
        <w:rPr>
          <w:rFonts w:hint="default" w:ascii="Times New Roman" w:hAnsi="Times New Roman" w:eastAsia="宋体" w:cs="Times New Roman"/>
          <w:sz w:val="28"/>
          <w:szCs w:val="28"/>
          <w:lang w:val="en-US" w:eastAsia="zh-CN"/>
          <w14:ligatures w14:val="none"/>
        </w:rPr>
        <w:t>广氮化工公司近年来经营困难，对设备设施的安全管理措施严重不足，对事故储罐缺乏正常的保养与检测，使事故储罐的隐患无法发现及处理；事故防泄漏措施（围堰）不符合相关安全技术规范要求、形同虚设，是事故发生的直接原因。</w:t>
      </w:r>
    </w:p>
    <w:p w14:paraId="62CF8473">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管理原因</w:t>
      </w:r>
      <w:r>
        <w:rPr>
          <w:rFonts w:hint="eastAsia" w:ascii="Times New Roman" w:hAnsi="Times New Roman" w:eastAsia="宋体" w:cs="Times New Roman"/>
          <w:sz w:val="28"/>
          <w:szCs w:val="28"/>
          <w:lang w:val="en-US" w:eastAsia="zh-CN"/>
          <w14:ligatures w14:val="none"/>
        </w:rPr>
        <w:t>：</w:t>
      </w:r>
      <w:r>
        <w:rPr>
          <w:rFonts w:hint="default" w:ascii="Times New Roman" w:hAnsi="Times New Roman" w:eastAsia="宋体" w:cs="Times New Roman"/>
          <w:sz w:val="28"/>
          <w:szCs w:val="28"/>
          <w:lang w:val="en-US" w:eastAsia="zh-CN"/>
          <w14:ligatures w14:val="none"/>
        </w:rPr>
        <w:t>广氮化工公司安全生产管理混乱，是事故发生的主要原因之一。安全生产管理混乱。公司安全生产规章制度不健全、不规范，规章制度未落实。未建立隐患排查治理制度，无隐患排查治理台账。风险辨识不全面，对储罐倒塌危险未进行辨识，缺乏防范措施。</w:t>
      </w:r>
    </w:p>
    <w:p w14:paraId="32921B48">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广氮化工公司对安全生产工作重视不够，是事故发生的重要原因。广氮化工公司安全生产责任落实不到位，安全生产责任体系不健全.未对事故储罐采取任何保护措施。</w:t>
      </w:r>
    </w:p>
    <w:p w14:paraId="3C04C9C1">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区安全生产监督管理局等部门对安全设施维护和安全生产职责划分不清、责任不明；对企业隐患排查治理和应急预案执行工作督促指导不力，对设施安全运行跟踪分析不到位；安全生产大检查存在死角、盲区，特别是在全国集中开展的安全生产大检查中，隐患排查工作不深入、不细致，未发现储罐的安全隐患。</w:t>
      </w:r>
    </w:p>
    <w:p w14:paraId="69DCBC59">
      <w:pPr>
        <w:adjustRightInd w:val="0"/>
        <w:snapToGrid w:val="0"/>
        <w:spacing w:after="0" w:line="360" w:lineRule="auto"/>
        <w:jc w:val="both"/>
        <w:rPr>
          <w:rFonts w:ascii="Times New Roman" w:hAnsi="Times New Roman" w:eastAsia="宋体" w:cs="Times New Roman"/>
          <w:sz w:val="28"/>
          <w:szCs w:val="28"/>
          <w14:ligatures w14:val="none"/>
        </w:rPr>
      </w:pPr>
      <w:r>
        <w:rPr>
          <w:rFonts w:ascii="Times New Roman" w:hAnsi="Times New Roman" w:eastAsia="宋体" w:cs="Times New Roman"/>
          <w:sz w:val="28"/>
          <w:szCs w:val="28"/>
          <w14:ligatures w14:val="none"/>
        </w:rPr>
        <w:br w:type="page"/>
      </w:r>
    </w:p>
    <w:p w14:paraId="16660017">
      <w:pPr>
        <w:adjustRightInd w:val="0"/>
        <w:snapToGrid w:val="0"/>
        <w:spacing w:before="468" w:beforeLines="150" w:after="468" w:afterLines="150" w:line="360" w:lineRule="auto"/>
        <w:jc w:val="center"/>
        <w:outlineLvl w:val="0"/>
        <w:rPr>
          <w:rFonts w:ascii="Times New Roman" w:hAnsi="Times New Roman" w:eastAsia="黑体" w:cs="黑体"/>
          <w:b/>
          <w:kern w:val="44"/>
          <w:sz w:val="32"/>
          <w:szCs w:val="44"/>
          <w14:ligatures w14:val="none"/>
        </w:rPr>
      </w:pPr>
      <w:bookmarkStart w:id="188" w:name="_Toc16504"/>
      <w:r>
        <w:rPr>
          <w:rFonts w:hint="eastAsia" w:ascii="Times New Roman" w:hAnsi="Times New Roman" w:eastAsia="黑体" w:cs="黑体"/>
          <w:b/>
          <w:kern w:val="44"/>
          <w:sz w:val="32"/>
          <w:szCs w:val="44"/>
          <w14:ligatures w14:val="none"/>
        </w:rPr>
        <w:t>4评价单元划分及评价方法选择</w:t>
      </w:r>
      <w:bookmarkEnd w:id="188"/>
    </w:p>
    <w:p w14:paraId="621E289A">
      <w:pPr>
        <w:adjustRightInd w:val="0"/>
        <w:snapToGrid w:val="0"/>
        <w:spacing w:before="312" w:beforeLines="100" w:after="312" w:afterLines="100" w:line="360" w:lineRule="auto"/>
        <w:jc w:val="center"/>
        <w:outlineLvl w:val="1"/>
        <w:rPr>
          <w:rFonts w:ascii="Times New Roman" w:hAnsi="Times New Roman" w:eastAsia="楷体" w:cs="黑体"/>
          <w:b/>
          <w:sz w:val="32"/>
          <w:szCs w:val="32"/>
          <w14:ligatures w14:val="none"/>
        </w:rPr>
      </w:pPr>
      <w:bookmarkStart w:id="189" w:name="_Toc19822"/>
      <w:r>
        <w:rPr>
          <w:rFonts w:hint="eastAsia" w:ascii="Times New Roman" w:hAnsi="Times New Roman" w:eastAsia="楷体" w:cs="黑体"/>
          <w:b/>
          <w:sz w:val="32"/>
          <w:szCs w:val="32"/>
          <w14:ligatures w14:val="none"/>
        </w:rPr>
        <w:t>4.1评价单元划分和评价方法选择</w:t>
      </w:r>
      <w:bookmarkEnd w:id="189"/>
    </w:p>
    <w:p w14:paraId="3A088944">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按照评价单元划分的原则和方法，结合该项目经营条件及安全管理、周边环境及平面布置、储存</w:t>
      </w:r>
      <w:r>
        <w:rPr>
          <w:rFonts w:hint="eastAsia" w:ascii="Times New Roman" w:hAnsi="Times New Roman" w:eastAsia="宋体" w:cs="Times New Roman"/>
          <w:sz w:val="28"/>
          <w:szCs w:val="28"/>
          <w:lang w:val="en-US" w:eastAsia="zh-CN"/>
          <w14:ligatures w14:val="none"/>
        </w:rPr>
        <w:t>设施</w:t>
      </w:r>
      <w:r>
        <w:rPr>
          <w:rFonts w:hint="eastAsia" w:ascii="Times New Roman" w:hAnsi="Times New Roman" w:eastAsia="宋体" w:cs="Times New Roman"/>
          <w:sz w:val="28"/>
          <w:szCs w:val="28"/>
          <w14:ligatures w14:val="none"/>
        </w:rPr>
        <w:t>、公辅工程及重大生产安全事故隐患等内容，将该项目划分为5个评价单元，各个单元采用的评价方法见表4.1-1所示。</w:t>
      </w:r>
    </w:p>
    <w:p w14:paraId="7486D010">
      <w:pPr>
        <w:keepNext/>
        <w:adjustRightInd w:val="0"/>
        <w:snapToGrid w:val="0"/>
        <w:spacing w:before="156" w:beforeLines="50" w:after="156" w:afterLines="50" w:line="240" w:lineRule="auto"/>
        <w:jc w:val="center"/>
        <w:rPr>
          <w:rFonts w:ascii="Times New Roman" w:hAnsi="Times New Roman" w:eastAsia="黑体" w:cs="Times New Roman"/>
          <w:sz w:val="24"/>
          <w14:ligatures w14:val="none"/>
        </w:rPr>
      </w:pPr>
      <w:r>
        <w:rPr>
          <w:rFonts w:hint="eastAsia" w:ascii="Times New Roman" w:hAnsi="Times New Roman" w:eastAsia="黑体" w:cs="Times New Roman"/>
          <w:sz w:val="24"/>
          <w14:ligatures w14:val="none"/>
        </w:rPr>
        <w:t>表4.1-1  各单元评价方法的选择</w:t>
      </w:r>
    </w:p>
    <w:tbl>
      <w:tblPr>
        <w:tblStyle w:val="1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92"/>
        <w:gridCol w:w="2207"/>
        <w:gridCol w:w="1748"/>
        <w:gridCol w:w="4753"/>
      </w:tblGrid>
      <w:tr w14:paraId="0F80E0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68" w:type="pct"/>
            <w:vAlign w:val="center"/>
          </w:tcPr>
          <w:p w14:paraId="1F535907">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序号</w:t>
            </w:r>
          </w:p>
        </w:tc>
        <w:tc>
          <w:tcPr>
            <w:tcW w:w="1174" w:type="pct"/>
            <w:vAlign w:val="center"/>
          </w:tcPr>
          <w:p w14:paraId="5B8B164B">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评价单元</w:t>
            </w:r>
          </w:p>
        </w:tc>
        <w:tc>
          <w:tcPr>
            <w:tcW w:w="930" w:type="pct"/>
            <w:vAlign w:val="center"/>
          </w:tcPr>
          <w:p w14:paraId="01E3104B">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eastAsia" w:ascii="Times New Roman" w:hAnsi="Times New Roman" w:eastAsia="宋体" w:cs="Times New Roman"/>
                <w:sz w:val="21"/>
                <w14:ligatures w14:val="none"/>
              </w:rPr>
              <w:t>选用评价方法</w:t>
            </w:r>
          </w:p>
        </w:tc>
        <w:tc>
          <w:tcPr>
            <w:tcW w:w="2528" w:type="pct"/>
            <w:vAlign w:val="center"/>
          </w:tcPr>
          <w:p w14:paraId="7EF4C6F0">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主要内容</w:t>
            </w:r>
          </w:p>
        </w:tc>
      </w:tr>
      <w:tr w14:paraId="5509BD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68" w:type="pct"/>
            <w:vAlign w:val="center"/>
          </w:tcPr>
          <w:p w14:paraId="5E23DF0E">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1</w:t>
            </w:r>
          </w:p>
        </w:tc>
        <w:tc>
          <w:tcPr>
            <w:tcW w:w="1174" w:type="pct"/>
            <w:vAlign w:val="center"/>
          </w:tcPr>
          <w:p w14:paraId="21310058">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经营</w:t>
            </w:r>
            <w:r>
              <w:rPr>
                <w:rFonts w:hint="eastAsia" w:ascii="Times New Roman" w:hAnsi="Times New Roman" w:eastAsia="宋体" w:cs="Times New Roman"/>
                <w:sz w:val="21"/>
                <w14:ligatures w14:val="none"/>
              </w:rPr>
              <w:t>条件</w:t>
            </w:r>
            <w:r>
              <w:rPr>
                <w:rFonts w:hint="default" w:ascii="Times New Roman" w:hAnsi="Times New Roman" w:eastAsia="宋体" w:cs="Times New Roman"/>
                <w:sz w:val="21"/>
                <w14:ligatures w14:val="none"/>
              </w:rPr>
              <w:t>及安全管理</w:t>
            </w:r>
          </w:p>
        </w:tc>
        <w:tc>
          <w:tcPr>
            <w:tcW w:w="930" w:type="pct"/>
            <w:vAlign w:val="center"/>
          </w:tcPr>
          <w:p w14:paraId="6FE6E4CA">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安全检查表法</w:t>
            </w:r>
          </w:p>
        </w:tc>
        <w:tc>
          <w:tcPr>
            <w:tcW w:w="2528" w:type="pct"/>
            <w:vAlign w:val="center"/>
          </w:tcPr>
          <w:p w14:paraId="07E41BC3">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sz w:val="21"/>
                <w14:ligatures w14:val="none"/>
              </w:rPr>
            </w:pPr>
            <w:r>
              <w:rPr>
                <w:rFonts w:hint="default" w:ascii="Times New Roman" w:hAnsi="Times New Roman" w:eastAsia="宋体" w:cs="Times New Roman"/>
                <w:sz w:val="21"/>
                <w:szCs w:val="21"/>
                <w14:ligatures w14:val="none"/>
              </w:rPr>
              <w:t>包括经营基本条件、安全生产管理机构的设置、安全生产管理规章制度、事故应急预案与演练等</w:t>
            </w:r>
          </w:p>
        </w:tc>
      </w:tr>
      <w:tr w14:paraId="787196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68" w:type="pct"/>
            <w:vAlign w:val="center"/>
          </w:tcPr>
          <w:p w14:paraId="71B46079">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2</w:t>
            </w:r>
          </w:p>
        </w:tc>
        <w:tc>
          <w:tcPr>
            <w:tcW w:w="1174" w:type="pct"/>
            <w:vAlign w:val="center"/>
          </w:tcPr>
          <w:p w14:paraId="2FE60169">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周边环境及平面布置</w:t>
            </w:r>
          </w:p>
        </w:tc>
        <w:tc>
          <w:tcPr>
            <w:tcW w:w="930" w:type="pct"/>
            <w:vAlign w:val="center"/>
          </w:tcPr>
          <w:p w14:paraId="25D0F1F0">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eastAsia" w:ascii="Times New Roman" w:hAnsi="Times New Roman" w:eastAsia="宋体" w:cs="Times New Roman"/>
                <w:sz w:val="21"/>
                <w:szCs w:val="21"/>
                <w14:ligatures w14:val="none"/>
              </w:rPr>
              <w:t>安全检查表法</w:t>
            </w:r>
          </w:p>
        </w:tc>
        <w:tc>
          <w:tcPr>
            <w:tcW w:w="2528" w:type="pct"/>
            <w:vAlign w:val="center"/>
          </w:tcPr>
          <w:p w14:paraId="5BDE4107">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包括本项目建（构）筑物与其他建（构）筑物之间的防火间距</w:t>
            </w:r>
          </w:p>
        </w:tc>
      </w:tr>
      <w:tr w14:paraId="34CD0B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68" w:type="pct"/>
            <w:vAlign w:val="center"/>
          </w:tcPr>
          <w:p w14:paraId="389E77AF">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3</w:t>
            </w:r>
          </w:p>
        </w:tc>
        <w:tc>
          <w:tcPr>
            <w:tcW w:w="1174" w:type="pct"/>
            <w:vAlign w:val="center"/>
          </w:tcPr>
          <w:p w14:paraId="32624B6B">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sz w:val="21"/>
                <w:lang w:val="en-US" w:eastAsia="zh-CN"/>
                <w14:ligatures w14:val="none"/>
              </w:rPr>
            </w:pPr>
            <w:r>
              <w:rPr>
                <w:rFonts w:hint="eastAsia" w:ascii="Times New Roman" w:hAnsi="Times New Roman" w:eastAsia="宋体" w:cs="Times New Roman"/>
                <w:sz w:val="21"/>
                <w:lang w:val="en-US" w:eastAsia="zh-CN"/>
                <w14:ligatures w14:val="none"/>
              </w:rPr>
              <w:t>储存设施</w:t>
            </w:r>
          </w:p>
        </w:tc>
        <w:tc>
          <w:tcPr>
            <w:tcW w:w="930" w:type="pct"/>
            <w:vAlign w:val="center"/>
          </w:tcPr>
          <w:p w14:paraId="7FF40F59">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eastAsia" w:ascii="Times New Roman" w:hAnsi="Times New Roman" w:eastAsia="宋体" w:cs="Times New Roman"/>
                <w:sz w:val="21"/>
                <w:szCs w:val="21"/>
                <w14:ligatures w14:val="none"/>
              </w:rPr>
              <w:t>安全检查表法</w:t>
            </w:r>
          </w:p>
        </w:tc>
        <w:tc>
          <w:tcPr>
            <w:tcW w:w="2528" w:type="pct"/>
            <w:vAlign w:val="center"/>
          </w:tcPr>
          <w:p w14:paraId="50FDD479">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sz w:val="21"/>
                <w:lang w:val="en-US" w:eastAsia="zh-CN"/>
                <w14:ligatures w14:val="none"/>
              </w:rPr>
            </w:pPr>
            <w:r>
              <w:rPr>
                <w:rFonts w:hint="default" w:ascii="Times New Roman" w:hAnsi="Times New Roman" w:eastAsia="宋体" w:cs="Times New Roman"/>
                <w:sz w:val="21"/>
                <w14:ligatures w14:val="none"/>
              </w:rPr>
              <w:t>储罐</w:t>
            </w:r>
            <w:r>
              <w:rPr>
                <w:rFonts w:hint="eastAsia" w:ascii="Times New Roman" w:hAnsi="Times New Roman" w:eastAsia="宋体" w:cs="Times New Roman"/>
                <w:sz w:val="21"/>
                <w:lang w:eastAsia="zh-CN"/>
                <w14:ligatures w14:val="none"/>
              </w:rPr>
              <w:t>、</w:t>
            </w:r>
            <w:r>
              <w:rPr>
                <w:rFonts w:hint="eastAsia" w:ascii="Times New Roman" w:hAnsi="Times New Roman" w:eastAsia="宋体" w:cs="Times New Roman"/>
                <w:sz w:val="21"/>
                <w:lang w:val="en-US" w:eastAsia="zh-CN"/>
                <w14:ligatures w14:val="none"/>
              </w:rPr>
              <w:t>管道、泵</w:t>
            </w:r>
          </w:p>
        </w:tc>
      </w:tr>
      <w:tr w14:paraId="22C3E0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68" w:type="pct"/>
            <w:vAlign w:val="center"/>
          </w:tcPr>
          <w:p w14:paraId="39443259">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4</w:t>
            </w:r>
          </w:p>
        </w:tc>
        <w:tc>
          <w:tcPr>
            <w:tcW w:w="1174" w:type="pct"/>
            <w:vAlign w:val="center"/>
          </w:tcPr>
          <w:p w14:paraId="084C5AC6">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公辅工程</w:t>
            </w:r>
          </w:p>
        </w:tc>
        <w:tc>
          <w:tcPr>
            <w:tcW w:w="930" w:type="pct"/>
            <w:vAlign w:val="center"/>
          </w:tcPr>
          <w:p w14:paraId="74431A9E">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eastAsia" w:ascii="Times New Roman" w:hAnsi="Times New Roman" w:eastAsia="宋体" w:cs="Times New Roman"/>
                <w:sz w:val="21"/>
                <w:szCs w:val="21"/>
                <w14:ligatures w14:val="none"/>
              </w:rPr>
              <w:t>安全检查表法</w:t>
            </w:r>
          </w:p>
        </w:tc>
        <w:tc>
          <w:tcPr>
            <w:tcW w:w="2528" w:type="pct"/>
            <w:vAlign w:val="center"/>
          </w:tcPr>
          <w:p w14:paraId="4D61248C">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包括电气和仪表</w:t>
            </w:r>
            <w:r>
              <w:rPr>
                <w:rFonts w:hint="eastAsia" w:ascii="Times New Roman" w:hAnsi="Times New Roman" w:eastAsia="宋体" w:cs="Times New Roman"/>
                <w:sz w:val="21"/>
                <w:lang w:eastAsia="zh-CN"/>
                <w14:ligatures w14:val="none"/>
              </w:rPr>
              <w:t>、</w:t>
            </w:r>
            <w:r>
              <w:rPr>
                <w:rFonts w:hint="eastAsia" w:ascii="Times New Roman" w:hAnsi="Times New Roman" w:eastAsia="宋体" w:cs="Times New Roman"/>
                <w:sz w:val="21"/>
                <w:lang w:val="en-US" w:eastAsia="zh-CN"/>
                <w14:ligatures w14:val="none"/>
              </w:rPr>
              <w:t>消防、个体防护</w:t>
            </w:r>
            <w:r>
              <w:rPr>
                <w:rFonts w:hint="default" w:ascii="Times New Roman" w:hAnsi="Times New Roman" w:eastAsia="宋体" w:cs="Times New Roman"/>
                <w:sz w:val="21"/>
                <w14:ligatures w14:val="none"/>
              </w:rPr>
              <w:t>等</w:t>
            </w:r>
          </w:p>
        </w:tc>
      </w:tr>
      <w:tr w14:paraId="4276A7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5" w:hRule="atLeast"/>
          <w:jc w:val="center"/>
        </w:trPr>
        <w:tc>
          <w:tcPr>
            <w:tcW w:w="368" w:type="pct"/>
            <w:vAlign w:val="center"/>
          </w:tcPr>
          <w:p w14:paraId="271470D5">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eastAsia" w:ascii="Times New Roman" w:hAnsi="Times New Roman" w:eastAsia="宋体" w:cs="Times New Roman"/>
                <w:sz w:val="21"/>
                <w14:ligatures w14:val="none"/>
              </w:rPr>
              <w:t>5</w:t>
            </w:r>
          </w:p>
        </w:tc>
        <w:tc>
          <w:tcPr>
            <w:tcW w:w="1174" w:type="pct"/>
            <w:vAlign w:val="center"/>
          </w:tcPr>
          <w:p w14:paraId="5639700C">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eastAsia" w:ascii="Times New Roman" w:hAnsi="Times New Roman" w:eastAsia="宋体" w:cs="Times New Roman"/>
                <w:sz w:val="21"/>
                <w14:ligatures w14:val="none"/>
              </w:rPr>
              <w:t>重大生产安全事故隐患</w:t>
            </w:r>
          </w:p>
        </w:tc>
        <w:tc>
          <w:tcPr>
            <w:tcW w:w="930" w:type="pct"/>
            <w:vAlign w:val="center"/>
          </w:tcPr>
          <w:p w14:paraId="748C5FF0">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安全检查表法</w:t>
            </w:r>
          </w:p>
        </w:tc>
        <w:tc>
          <w:tcPr>
            <w:tcW w:w="2528" w:type="pct"/>
            <w:vAlign w:val="center"/>
          </w:tcPr>
          <w:p w14:paraId="48496363">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sz w:val="21"/>
                <w14:ligatures w14:val="none"/>
              </w:rPr>
            </w:pPr>
            <w:r>
              <w:rPr>
                <w:rFonts w:hint="eastAsia" w:ascii="Times New Roman" w:hAnsi="Times New Roman" w:eastAsia="宋体" w:cs="Times New Roman"/>
                <w:sz w:val="21"/>
                <w14:ligatures w14:val="none"/>
              </w:rPr>
              <w:t>判定是否为重大生产安全事故隐患</w:t>
            </w:r>
          </w:p>
        </w:tc>
      </w:tr>
    </w:tbl>
    <w:p w14:paraId="029A0F5E">
      <w:pPr>
        <w:adjustRightInd w:val="0"/>
        <w:snapToGrid w:val="0"/>
        <w:spacing w:before="312" w:beforeLines="100" w:after="312" w:afterLines="100" w:line="360" w:lineRule="auto"/>
        <w:jc w:val="center"/>
        <w:outlineLvl w:val="1"/>
        <w:rPr>
          <w:rFonts w:ascii="Times New Roman" w:hAnsi="Times New Roman" w:eastAsia="楷体" w:cs="黑体"/>
          <w:b/>
          <w:sz w:val="32"/>
          <w:szCs w:val="32"/>
          <w14:ligatures w14:val="none"/>
        </w:rPr>
      </w:pPr>
      <w:bookmarkStart w:id="190" w:name="_Toc26366"/>
      <w:r>
        <w:rPr>
          <w:rFonts w:hint="eastAsia" w:ascii="Times New Roman" w:hAnsi="Times New Roman" w:eastAsia="楷体" w:cs="黑体"/>
          <w:b/>
          <w:sz w:val="32"/>
          <w:szCs w:val="32"/>
          <w14:ligatures w14:val="none"/>
        </w:rPr>
        <w:t>4.2评价方法简介</w:t>
      </w:r>
      <w:bookmarkEnd w:id="190"/>
    </w:p>
    <w:p w14:paraId="6B4C3DBF">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安全检查表是系统安全工程的一种最基础、最简便、广泛应用的系统安全评价方法。安全检查表不仅用于查找系统中各种潜在的事故隐患，还对各检查项目给予量化，用于进行系统安全评价。</w:t>
      </w:r>
    </w:p>
    <w:p w14:paraId="66E9B5DB">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对系统进行评价时，对照安全检查表逐项检查，从而评价出系统的安全等级。编制安全检查表的主要依据为有关的安全法规、标准、规程和国内外相关的事故案例。</w:t>
      </w:r>
    </w:p>
    <w:p w14:paraId="2EF291DD">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安全检查表的编制步骤如下：</w:t>
      </w:r>
    </w:p>
    <w:p w14:paraId="2AD29611">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（1）熟悉系统。包括评价对象的结构、功能、工艺流程、操作条件、总图布置、已有的安全卫生设置等；</w:t>
      </w:r>
    </w:p>
    <w:p w14:paraId="6BD3C84A">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（2）搜集资料。搜集与评价对象有关的安全法规、标准、制度、过去发生过的事故案例，作为评价依据；</w:t>
      </w:r>
    </w:p>
    <w:p w14:paraId="36B7AEFA">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（3）划分单元。按功能或结构：将系统划分为若干子系统或单元，逐个分析潜在的危险因素；</w:t>
      </w:r>
    </w:p>
    <w:p w14:paraId="14E7E3CC">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（4）编制检查表。</w:t>
      </w:r>
      <w:r>
        <w:rPr>
          <w:rFonts w:ascii="Times New Roman" w:hAnsi="Times New Roman" w:eastAsia="宋体" w:cs="Times New Roman"/>
          <w:sz w:val="28"/>
          <w:szCs w:val="28"/>
          <w14:ligatures w14:val="none"/>
        </w:rPr>
        <w:br w:type="page"/>
      </w:r>
    </w:p>
    <w:p w14:paraId="147955D5">
      <w:pPr>
        <w:adjustRightInd w:val="0"/>
        <w:snapToGrid w:val="0"/>
        <w:spacing w:before="468" w:beforeLines="150" w:after="468" w:afterLines="150" w:line="360" w:lineRule="auto"/>
        <w:jc w:val="center"/>
        <w:outlineLvl w:val="0"/>
        <w:rPr>
          <w:rFonts w:ascii="Times New Roman" w:hAnsi="Times New Roman" w:eastAsia="黑体" w:cs="黑体"/>
          <w:b/>
          <w:color w:val="000000" w:themeColor="text1"/>
          <w:kern w:val="44"/>
          <w:sz w:val="32"/>
          <w:szCs w:val="44"/>
          <w:highlight w:val="none"/>
          <w14:textFill>
            <w14:solidFill>
              <w14:schemeClr w14:val="tx1"/>
            </w14:solidFill>
          </w14:textFill>
          <w14:ligatures w14:val="none"/>
        </w:rPr>
      </w:pPr>
      <w:bookmarkStart w:id="191" w:name="_Toc20513"/>
      <w:r>
        <w:rPr>
          <w:rFonts w:hint="eastAsia" w:ascii="Times New Roman" w:hAnsi="Times New Roman" w:eastAsia="黑体" w:cs="黑体"/>
          <w:b/>
          <w:color w:val="000000" w:themeColor="text1"/>
          <w:kern w:val="44"/>
          <w:sz w:val="32"/>
          <w:szCs w:val="44"/>
          <w:highlight w:val="none"/>
          <w14:textFill>
            <w14:solidFill>
              <w14:schemeClr w14:val="tx1"/>
            </w14:solidFill>
          </w14:textFill>
          <w14:ligatures w14:val="none"/>
        </w:rPr>
        <w:t>5定性、定量评价</w:t>
      </w:r>
      <w:bookmarkEnd w:id="191"/>
    </w:p>
    <w:p w14:paraId="0DDE9B48">
      <w:pPr>
        <w:adjustRightInd w:val="0"/>
        <w:snapToGrid w:val="0"/>
        <w:spacing w:before="312" w:beforeLines="100" w:after="312" w:afterLines="100" w:line="360" w:lineRule="auto"/>
        <w:jc w:val="center"/>
        <w:outlineLvl w:val="1"/>
        <w:rPr>
          <w:rFonts w:ascii="Times New Roman" w:hAnsi="Times New Roman" w:eastAsia="楷体" w:cs="黑体"/>
          <w:b/>
          <w:sz w:val="32"/>
          <w:szCs w:val="32"/>
          <w14:ligatures w14:val="none"/>
        </w:rPr>
      </w:pPr>
      <w:bookmarkStart w:id="192" w:name="_Toc19885"/>
      <w:r>
        <w:rPr>
          <w:rFonts w:hint="eastAsia" w:ascii="Times New Roman" w:hAnsi="Times New Roman" w:eastAsia="楷体" w:cs="黑体"/>
          <w:b/>
          <w:sz w:val="32"/>
          <w:szCs w:val="32"/>
          <w14:ligatures w14:val="none"/>
        </w:rPr>
        <w:t>5.1经营条件及安全管理单元</w:t>
      </w:r>
      <w:bookmarkEnd w:id="192"/>
    </w:p>
    <w:p w14:paraId="2FF7D6E6">
      <w:pPr>
        <w:adjustRightInd w:val="0"/>
        <w:snapToGrid w:val="0"/>
        <w:spacing w:after="0" w:line="360" w:lineRule="auto"/>
        <w:ind w:firstLine="560" w:firstLineChars="20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根据《危险化学品经营许可证管理办法》、《辽宁省危险化学品经营许可证颁发管理施细则》等行政法规、部门规章，针对</w:t>
      </w:r>
      <w:r>
        <w:rPr>
          <w:rFonts w:hint="eastAsia" w:ascii="Times New Roman" w:hAnsi="Times New Roman" w:eastAsia="宋体" w:cs="Times New Roman"/>
          <w:sz w:val="28"/>
          <w:szCs w:val="28"/>
          <w:lang w:eastAsia="zh-CN"/>
          <w14:ligatures w14:val="none"/>
        </w:rPr>
        <w:t>朝阳金达钛业股份有限公司</w:t>
      </w:r>
      <w:r>
        <w:rPr>
          <w:rFonts w:hint="eastAsia" w:ascii="Times New Roman" w:hAnsi="Times New Roman" w:eastAsia="宋体" w:cs="Times New Roman"/>
          <w:sz w:val="28"/>
          <w:szCs w:val="28"/>
          <w14:ligatures w14:val="none"/>
        </w:rPr>
        <w:t>经营条件及安全管理符合性进行检查，检查结果见表5.1-1。</w:t>
      </w:r>
    </w:p>
    <w:p w14:paraId="68783B2A">
      <w:pPr>
        <w:keepNext/>
        <w:adjustRightInd w:val="0"/>
        <w:snapToGrid w:val="0"/>
        <w:spacing w:before="156" w:beforeLines="50" w:after="156" w:afterLines="50" w:line="240" w:lineRule="auto"/>
        <w:jc w:val="center"/>
        <w:rPr>
          <w:rFonts w:ascii="Times New Roman" w:hAnsi="Times New Roman" w:eastAsia="黑体" w:cs="Times New Roman"/>
          <w:sz w:val="24"/>
          <w14:ligatures w14:val="none"/>
        </w:rPr>
      </w:pPr>
      <w:r>
        <w:rPr>
          <w:rFonts w:hint="eastAsia" w:ascii="Times New Roman" w:hAnsi="Times New Roman" w:eastAsia="黑体" w:cs="Times New Roman"/>
          <w:sz w:val="24"/>
          <w14:ligatures w14:val="none"/>
        </w:rPr>
        <w:t>表5.1-1  经营条件及安全管理单元安全检查表</w:t>
      </w:r>
    </w:p>
    <w:tbl>
      <w:tblPr>
        <w:tblStyle w:val="1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0"/>
        <w:gridCol w:w="2953"/>
        <w:gridCol w:w="2688"/>
        <w:gridCol w:w="2090"/>
        <w:gridCol w:w="819"/>
      </w:tblGrid>
      <w:tr w14:paraId="10C957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blHeader/>
          <w:jc w:val="center"/>
        </w:trPr>
        <w:tc>
          <w:tcPr>
            <w:tcW w:w="452" w:type="pct"/>
            <w:vAlign w:val="center"/>
          </w:tcPr>
          <w:p w14:paraId="4321E94A">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bCs/>
                <w:sz w:val="21"/>
                <w14:ligatures w14:val="none"/>
              </w:rPr>
            </w:pPr>
            <w:r>
              <w:rPr>
                <w:rFonts w:hint="default" w:ascii="Times New Roman" w:hAnsi="Times New Roman" w:eastAsia="宋体" w:cs="Times New Roman"/>
                <w:bCs/>
                <w:sz w:val="21"/>
                <w14:ligatures w14:val="none"/>
              </w:rPr>
              <w:t>项目</w:t>
            </w:r>
          </w:p>
        </w:tc>
        <w:tc>
          <w:tcPr>
            <w:tcW w:w="1570" w:type="pct"/>
            <w:vAlign w:val="center"/>
          </w:tcPr>
          <w:p w14:paraId="06FF914E">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bCs/>
                <w:sz w:val="21"/>
                <w14:ligatures w14:val="none"/>
              </w:rPr>
            </w:pPr>
            <w:r>
              <w:rPr>
                <w:rFonts w:hint="default" w:ascii="Times New Roman" w:hAnsi="Times New Roman" w:eastAsia="宋体" w:cs="Times New Roman"/>
                <w:bCs/>
                <w:sz w:val="21"/>
                <w14:ligatures w14:val="none"/>
              </w:rPr>
              <w:t>检查内容</w:t>
            </w:r>
          </w:p>
        </w:tc>
        <w:tc>
          <w:tcPr>
            <w:tcW w:w="1429" w:type="pct"/>
            <w:vAlign w:val="center"/>
          </w:tcPr>
          <w:p w14:paraId="15761383">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bCs/>
                <w:sz w:val="21"/>
                <w14:ligatures w14:val="none"/>
              </w:rPr>
            </w:pPr>
            <w:r>
              <w:rPr>
                <w:rFonts w:hint="default" w:ascii="Times New Roman" w:hAnsi="Times New Roman" w:eastAsia="宋体" w:cs="Times New Roman"/>
                <w:bCs/>
                <w:sz w:val="21"/>
                <w14:ligatures w14:val="none"/>
              </w:rPr>
              <w:t>依据</w:t>
            </w:r>
          </w:p>
        </w:tc>
        <w:tc>
          <w:tcPr>
            <w:tcW w:w="1111" w:type="pct"/>
            <w:vAlign w:val="center"/>
          </w:tcPr>
          <w:p w14:paraId="6DD74893">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bCs/>
                <w:sz w:val="21"/>
                <w14:ligatures w14:val="none"/>
              </w:rPr>
            </w:pPr>
            <w:r>
              <w:rPr>
                <w:rFonts w:hint="default" w:ascii="Times New Roman" w:hAnsi="Times New Roman" w:eastAsia="宋体" w:cs="Times New Roman"/>
                <w:bCs/>
                <w:sz w:val="21"/>
                <w14:ligatures w14:val="none"/>
              </w:rPr>
              <w:t>检查记录</w:t>
            </w:r>
          </w:p>
        </w:tc>
        <w:tc>
          <w:tcPr>
            <w:tcW w:w="435" w:type="pct"/>
            <w:vAlign w:val="center"/>
          </w:tcPr>
          <w:p w14:paraId="7708343F">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bCs/>
                <w:sz w:val="21"/>
                <w14:ligatures w14:val="none"/>
              </w:rPr>
            </w:pPr>
            <w:r>
              <w:rPr>
                <w:rFonts w:hint="default" w:ascii="Times New Roman" w:hAnsi="Times New Roman" w:eastAsia="宋体" w:cs="Times New Roman"/>
                <w:bCs/>
                <w:sz w:val="21"/>
                <w14:ligatures w14:val="none"/>
              </w:rPr>
              <w:t>结论</w:t>
            </w:r>
          </w:p>
        </w:tc>
      </w:tr>
      <w:tr w14:paraId="0D6F65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52" w:type="pct"/>
            <w:vMerge w:val="restart"/>
            <w:vAlign w:val="center"/>
          </w:tcPr>
          <w:p w14:paraId="171CE1BE">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基本</w:t>
            </w:r>
          </w:p>
          <w:p w14:paraId="4A0CF7F6">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eastAsia" w:ascii="Times New Roman" w:hAnsi="Times New Roman" w:eastAsia="宋体" w:cs="Times New Roman"/>
                <w:sz w:val="21"/>
                <w14:ligatures w14:val="none"/>
              </w:rPr>
              <w:t>证</w:t>
            </w:r>
            <w:r>
              <w:rPr>
                <w:rFonts w:hint="default" w:ascii="Times New Roman" w:hAnsi="Times New Roman" w:eastAsia="宋体" w:cs="Times New Roman"/>
                <w:sz w:val="21"/>
                <w14:ligatures w14:val="none"/>
              </w:rPr>
              <w:t>件</w:t>
            </w:r>
          </w:p>
        </w:tc>
        <w:tc>
          <w:tcPr>
            <w:tcW w:w="1570" w:type="pct"/>
            <w:vAlign w:val="center"/>
          </w:tcPr>
          <w:p w14:paraId="6E916C36">
            <w:pPr>
              <w:keepNext w:val="0"/>
              <w:keepLines w:val="0"/>
              <w:numPr>
                <w:ilvl w:val="0"/>
                <w:numId w:val="10"/>
              </w:numPr>
              <w:suppressLineNumbers w:val="0"/>
              <w:adjustRightInd w:val="0"/>
              <w:snapToGrid w:val="0"/>
              <w:spacing w:before="0" w:beforeAutospacing="0" w:after="0" w:afterAutospacing="0" w:line="240" w:lineRule="auto"/>
              <w:ind w:left="0" w:right="0" w:firstLine="0"/>
              <w:jc w:val="both"/>
              <w:rPr>
                <w:rFonts w:hint="default" w:ascii="Times New Roman" w:hAnsi="Times New Roman" w:eastAsia="宋体" w:cs="Times New Roman"/>
                <w:sz w:val="21"/>
                <w14:ligatures w14:val="none"/>
              </w:rPr>
            </w:pPr>
            <w:r>
              <w:rPr>
                <w:rFonts w:hint="eastAsia" w:ascii="Times New Roman" w:hAnsi="Times New Roman" w:eastAsia="宋体" w:cs="Times New Roman"/>
                <w:sz w:val="21"/>
                <w14:ligatures w14:val="none"/>
              </w:rPr>
              <w:t>具有</w:t>
            </w:r>
            <w:r>
              <w:rPr>
                <w:rFonts w:hint="default"/>
              </w:rPr>
              <w:fldChar w:fldCharType="begin"/>
            </w:r>
            <w:r>
              <w:rPr>
                <w:rFonts w:hint="default"/>
              </w:rPr>
              <w:instrText xml:space="preserve"> HYPERLINK "https://baike.sogou.com/lemma/ShowInnerLink.htm?lemmaId=235796&amp;ss_c=ssc.citiao.link" \t "https://baike.sogou.com/_blank" </w:instrText>
            </w:r>
            <w:r>
              <w:rPr>
                <w:rFonts w:hint="default"/>
              </w:rPr>
              <w:fldChar w:fldCharType="separate"/>
            </w:r>
            <w:r>
              <w:rPr>
                <w:rFonts w:hint="default" w:ascii="Times New Roman" w:hAnsi="Times New Roman" w:eastAsia="宋体" w:cs="Times New Roman"/>
                <w:sz w:val="21"/>
                <w14:ligatures w14:val="none"/>
              </w:rPr>
              <w:t>工商行政管理</w:t>
            </w:r>
            <w:r>
              <w:rPr>
                <w:rFonts w:hint="default" w:ascii="Times New Roman" w:hAnsi="Times New Roman" w:eastAsia="宋体" w:cs="Times New Roman"/>
                <w:sz w:val="21"/>
                <w14:ligatures w14:val="none"/>
              </w:rPr>
              <w:fldChar w:fldCharType="end"/>
            </w:r>
            <w:r>
              <w:rPr>
                <w:rFonts w:hint="default" w:ascii="Times New Roman" w:hAnsi="Times New Roman" w:eastAsia="宋体" w:cs="Times New Roman"/>
                <w:sz w:val="21"/>
                <w14:ligatures w14:val="none"/>
              </w:rPr>
              <w:t>部门颁发的企业性质营业执照或者</w:t>
            </w:r>
            <w:r>
              <w:rPr>
                <w:rFonts w:hint="default"/>
              </w:rPr>
              <w:fldChar w:fldCharType="begin"/>
            </w:r>
            <w:r>
              <w:rPr>
                <w:rFonts w:hint="default"/>
              </w:rPr>
              <w:instrText xml:space="preserve"> HYPERLINK "https://baike.sogou.com/lemma/ShowInnerLink.htm?lemmaId=168030163&amp;ss_c=ssc.citiao.link" \t "https://baike.sogou.com/_blank" </w:instrText>
            </w:r>
            <w:r>
              <w:rPr>
                <w:rFonts w:hint="default"/>
              </w:rPr>
              <w:fldChar w:fldCharType="separate"/>
            </w:r>
            <w:r>
              <w:rPr>
                <w:rFonts w:hint="default" w:ascii="Times New Roman" w:hAnsi="Times New Roman" w:eastAsia="宋体" w:cs="Times New Roman"/>
                <w:sz w:val="21"/>
                <w14:ligatures w14:val="none"/>
              </w:rPr>
              <w:t>企业名称预先核准</w:t>
            </w:r>
            <w:r>
              <w:rPr>
                <w:rFonts w:hint="default" w:ascii="Times New Roman" w:hAnsi="Times New Roman" w:eastAsia="宋体" w:cs="Times New Roman"/>
                <w:sz w:val="21"/>
                <w14:ligatures w14:val="none"/>
              </w:rPr>
              <w:fldChar w:fldCharType="end"/>
            </w:r>
            <w:r>
              <w:rPr>
                <w:rFonts w:hint="default" w:ascii="Times New Roman" w:hAnsi="Times New Roman" w:eastAsia="宋体" w:cs="Times New Roman"/>
                <w:sz w:val="21"/>
                <w14:ligatures w14:val="none"/>
              </w:rPr>
              <w:t>文件</w:t>
            </w:r>
          </w:p>
        </w:tc>
        <w:tc>
          <w:tcPr>
            <w:tcW w:w="1429" w:type="pct"/>
            <w:vAlign w:val="center"/>
          </w:tcPr>
          <w:p w14:paraId="5BF13745">
            <w:pPr>
              <w:keepNext w:val="0"/>
              <w:keepLines w:val="0"/>
              <w:suppressLineNumbers w:val="0"/>
              <w:spacing w:before="0" w:beforeAutospacing="0" w:after="0" w:afterAutospacing="0" w:line="240" w:lineRule="auto"/>
              <w:ind w:left="0" w:right="0"/>
              <w:rPr>
                <w:rFonts w:hint="default" w:ascii="Times New Roman" w:hAnsi="Times New Roman" w:eastAsia="宋体" w:cs="Times New Roman"/>
                <w:sz w:val="21"/>
                <w14:ligatures w14:val="none"/>
              </w:rPr>
            </w:pPr>
            <w:r>
              <w:rPr>
                <w:rFonts w:hint="default" w:ascii="Times New Roman" w:hAnsi="Times New Roman" w:eastAsia="宋体" w:cs="Times New Roman"/>
                <w:sz w:val="21"/>
                <w:szCs w:val="21"/>
                <w14:ligatures w14:val="none"/>
              </w:rPr>
              <w:t>《危险化学品经营许可证管理办法》第</w:t>
            </w:r>
            <w:r>
              <w:rPr>
                <w:rFonts w:hint="eastAsia" w:ascii="Times New Roman" w:hAnsi="Times New Roman" w:eastAsia="宋体" w:cs="Times New Roman"/>
                <w:sz w:val="21"/>
                <w:szCs w:val="21"/>
                <w14:ligatures w14:val="none"/>
              </w:rPr>
              <w:t>九</w:t>
            </w:r>
            <w:r>
              <w:rPr>
                <w:rFonts w:hint="default" w:ascii="Times New Roman" w:hAnsi="Times New Roman" w:eastAsia="宋体" w:cs="Times New Roman"/>
                <w:sz w:val="21"/>
                <w:szCs w:val="21"/>
                <w14:ligatures w14:val="none"/>
              </w:rPr>
              <w:t>条</w:t>
            </w:r>
          </w:p>
        </w:tc>
        <w:tc>
          <w:tcPr>
            <w:tcW w:w="1111" w:type="pct"/>
            <w:vAlign w:val="center"/>
          </w:tcPr>
          <w:p w14:paraId="4FE24262">
            <w:pPr>
              <w:keepNext w:val="0"/>
              <w:keepLines w:val="0"/>
              <w:suppressLineNumbers w:val="0"/>
              <w:spacing w:before="0" w:beforeAutospacing="0" w:after="0" w:afterAutospacing="0" w:line="240" w:lineRule="auto"/>
              <w:ind w:left="0" w:right="0"/>
              <w:rPr>
                <w:rFonts w:hint="default" w:ascii="Times New Roman" w:hAnsi="Times New Roman" w:eastAsia="宋体" w:cs="Times New Roman"/>
                <w:sz w:val="21"/>
                <w14:ligatures w14:val="none"/>
              </w:rPr>
            </w:pPr>
            <w:r>
              <w:rPr>
                <w:rFonts w:hint="default" w:ascii="Times New Roman" w:hAnsi="Times New Roman" w:eastAsia="宋体" w:cs="Times New Roman"/>
                <w:sz w:val="21"/>
                <w:szCs w:val="21"/>
                <w14:ligatures w14:val="none"/>
              </w:rPr>
              <w:t>有营业执照，并在有效期内，见附件</w:t>
            </w:r>
          </w:p>
        </w:tc>
        <w:tc>
          <w:tcPr>
            <w:tcW w:w="435" w:type="pct"/>
            <w:vAlign w:val="center"/>
          </w:tcPr>
          <w:p w14:paraId="36198E28">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default" w:ascii="Times New Roman" w:hAnsi="Times New Roman" w:eastAsia="宋体" w:cs="Times New Roman"/>
                <w:sz w:val="21"/>
                <w:szCs w:val="21"/>
                <w14:ligatures w14:val="none"/>
              </w:rPr>
              <w:t>符合</w:t>
            </w:r>
          </w:p>
        </w:tc>
      </w:tr>
      <w:tr w14:paraId="68D978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52" w:type="pct"/>
            <w:vMerge w:val="continue"/>
            <w:vAlign w:val="center"/>
          </w:tcPr>
          <w:p w14:paraId="058B53F7">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p>
        </w:tc>
        <w:tc>
          <w:tcPr>
            <w:tcW w:w="1570" w:type="pct"/>
            <w:vAlign w:val="center"/>
          </w:tcPr>
          <w:p w14:paraId="4D20E1CD">
            <w:pPr>
              <w:keepNext w:val="0"/>
              <w:keepLines w:val="0"/>
              <w:numPr>
                <w:ilvl w:val="0"/>
                <w:numId w:val="10"/>
              </w:numPr>
              <w:suppressLineNumbers w:val="0"/>
              <w:adjustRightInd w:val="0"/>
              <w:snapToGrid w:val="0"/>
              <w:spacing w:before="0" w:beforeAutospacing="0" w:after="0" w:afterAutospacing="0" w:line="240" w:lineRule="auto"/>
              <w:ind w:left="0" w:right="0" w:firstLine="0"/>
              <w:jc w:val="both"/>
              <w:rPr>
                <w:rFonts w:hint="default" w:ascii="Times New Roman" w:hAnsi="Times New Roman" w:eastAsia="宋体" w:cs="Times New Roman"/>
                <w:sz w:val="21"/>
                <w14:ligatures w14:val="none"/>
              </w:rPr>
            </w:pPr>
            <w:r>
              <w:rPr>
                <w:rFonts w:hint="eastAsia" w:ascii="Times New Roman" w:hAnsi="Times New Roman" w:eastAsia="宋体" w:cs="Times New Roman"/>
                <w:sz w:val="21"/>
                <w14:ligatures w14:val="none"/>
              </w:rPr>
              <w:t>具有</w:t>
            </w:r>
            <w:r>
              <w:rPr>
                <w:rFonts w:hint="default" w:ascii="Times New Roman" w:hAnsi="Times New Roman" w:eastAsia="宋体" w:cs="Times New Roman"/>
                <w:sz w:val="21"/>
                <w14:ligatures w14:val="none"/>
              </w:rPr>
              <w:t>经营场所产权证明文件或者租赁证明文件</w:t>
            </w:r>
          </w:p>
        </w:tc>
        <w:tc>
          <w:tcPr>
            <w:tcW w:w="1429" w:type="pct"/>
            <w:vAlign w:val="center"/>
          </w:tcPr>
          <w:p w14:paraId="018362B9">
            <w:pPr>
              <w:keepNext w:val="0"/>
              <w:keepLines w:val="0"/>
              <w:suppressLineNumbers w:val="0"/>
              <w:spacing w:before="0" w:beforeAutospacing="0" w:after="0" w:afterAutospacing="0" w:line="240" w:lineRule="auto"/>
              <w:ind w:left="0" w:right="0"/>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《危险化学品经营许可证管理办法》第</w:t>
            </w:r>
            <w:r>
              <w:rPr>
                <w:rFonts w:hint="eastAsia" w:ascii="Times New Roman" w:hAnsi="Times New Roman" w:eastAsia="宋体" w:cs="Times New Roman"/>
                <w:sz w:val="21"/>
                <w:szCs w:val="21"/>
                <w14:ligatures w14:val="none"/>
              </w:rPr>
              <w:t>九</w:t>
            </w:r>
            <w:r>
              <w:rPr>
                <w:rFonts w:hint="default" w:ascii="Times New Roman" w:hAnsi="Times New Roman" w:eastAsia="宋体" w:cs="Times New Roman"/>
                <w:sz w:val="21"/>
                <w:szCs w:val="21"/>
                <w14:ligatures w14:val="none"/>
              </w:rPr>
              <w:t>条</w:t>
            </w:r>
          </w:p>
        </w:tc>
        <w:tc>
          <w:tcPr>
            <w:tcW w:w="1111" w:type="pct"/>
            <w:vAlign w:val="center"/>
          </w:tcPr>
          <w:p w14:paraId="286F003E">
            <w:pPr>
              <w:keepNext w:val="0"/>
              <w:keepLines w:val="0"/>
              <w:suppressLineNumbers w:val="0"/>
              <w:spacing w:before="0" w:beforeAutospacing="0" w:after="0" w:afterAutospacing="0" w:line="240" w:lineRule="auto"/>
              <w:ind w:left="0" w:right="0"/>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14:ligatures w14:val="none"/>
              </w:rPr>
              <w:t>具有经营场所产权证明文件</w:t>
            </w:r>
          </w:p>
        </w:tc>
        <w:tc>
          <w:tcPr>
            <w:tcW w:w="435" w:type="pct"/>
            <w:vAlign w:val="center"/>
          </w:tcPr>
          <w:p w14:paraId="4569045F">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529417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52" w:type="pct"/>
            <w:vMerge w:val="restart"/>
            <w:vAlign w:val="center"/>
          </w:tcPr>
          <w:p w14:paraId="79E45FC3">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highlight w:val="none"/>
                <w14:ligatures w14:val="none"/>
              </w:rPr>
            </w:pPr>
            <w:r>
              <w:rPr>
                <w:rFonts w:hint="default" w:ascii="Times New Roman" w:hAnsi="Times New Roman" w:eastAsia="宋体" w:cs="Times New Roman"/>
                <w:sz w:val="21"/>
                <w:highlight w:val="none"/>
                <w14:ligatures w14:val="none"/>
              </w:rPr>
              <w:t>安全管理职责</w:t>
            </w:r>
          </w:p>
        </w:tc>
        <w:tc>
          <w:tcPr>
            <w:tcW w:w="1570" w:type="pct"/>
            <w:vAlign w:val="center"/>
          </w:tcPr>
          <w:p w14:paraId="493AC0FD">
            <w:pPr>
              <w:keepNext w:val="0"/>
              <w:keepLines w:val="0"/>
              <w:numPr>
                <w:ilvl w:val="0"/>
                <w:numId w:val="11"/>
              </w:numPr>
              <w:suppressLineNumbers w:val="0"/>
              <w:adjustRightInd w:val="0"/>
              <w:snapToGrid w:val="0"/>
              <w:spacing w:before="0" w:beforeAutospacing="0" w:after="0" w:afterAutospacing="0" w:line="240" w:lineRule="auto"/>
              <w:ind w:right="0"/>
              <w:jc w:val="both"/>
              <w:rPr>
                <w:rFonts w:hint="default" w:ascii="Times New Roman" w:hAnsi="Times New Roman" w:eastAsia="宋体" w:cs="Times New Roman"/>
                <w:sz w:val="21"/>
                <w14:ligatures w14:val="none"/>
              </w:rPr>
            </w:pPr>
            <w:r>
              <w:rPr>
                <w:rFonts w:hint="eastAsia" w:ascii="Times New Roman" w:hAnsi="Times New Roman" w:eastAsia="宋体" w:cs="Times New Roman"/>
                <w:sz w:val="21"/>
                <w:lang w:val="en-US" w:eastAsia="zh-CN"/>
                <w14:ligatures w14:val="none"/>
              </w:rPr>
              <w:t>厂长安全责任制</w:t>
            </w:r>
          </w:p>
        </w:tc>
        <w:tc>
          <w:tcPr>
            <w:tcW w:w="1429" w:type="pct"/>
            <w:vAlign w:val="center"/>
          </w:tcPr>
          <w:p w14:paraId="6E0A7B34">
            <w:pPr>
              <w:keepNext w:val="0"/>
              <w:keepLines w:val="0"/>
              <w:suppressLineNumbers w:val="0"/>
              <w:spacing w:before="0" w:beforeAutospacing="0" w:after="0" w:afterAutospacing="0" w:line="240" w:lineRule="auto"/>
              <w:ind w:left="0" w:right="0"/>
              <w:rPr>
                <w:rFonts w:hint="default" w:ascii="Times New Roman" w:hAnsi="Times New Roman" w:eastAsia="宋体" w:cs="Times New Roman"/>
                <w:sz w:val="21"/>
                <w14:ligatures w14:val="none"/>
              </w:rPr>
            </w:pPr>
            <w:r>
              <w:rPr>
                <w:rFonts w:hint="default" w:ascii="Times New Roman" w:hAnsi="Times New Roman" w:eastAsia="宋体" w:cs="Times New Roman"/>
                <w:sz w:val="21"/>
                <w:szCs w:val="21"/>
                <w14:ligatures w14:val="none"/>
              </w:rPr>
              <w:t>《危险化学品经营许可证管理办法》第</w:t>
            </w:r>
            <w:r>
              <w:rPr>
                <w:rFonts w:hint="eastAsia" w:ascii="Times New Roman" w:hAnsi="Times New Roman" w:eastAsia="宋体" w:cs="Times New Roman"/>
                <w:sz w:val="21"/>
                <w:szCs w:val="21"/>
                <w14:ligatures w14:val="none"/>
              </w:rPr>
              <w:t>六</w:t>
            </w:r>
            <w:r>
              <w:rPr>
                <w:rFonts w:hint="default" w:ascii="Times New Roman" w:hAnsi="Times New Roman" w:eastAsia="宋体" w:cs="Times New Roman"/>
                <w:sz w:val="21"/>
                <w:szCs w:val="21"/>
                <w14:ligatures w14:val="none"/>
              </w:rPr>
              <w:t>条</w:t>
            </w:r>
          </w:p>
        </w:tc>
        <w:tc>
          <w:tcPr>
            <w:tcW w:w="1111" w:type="pct"/>
            <w:vAlign w:val="center"/>
          </w:tcPr>
          <w:p w14:paraId="23257D2B">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完善</w:t>
            </w:r>
          </w:p>
        </w:tc>
        <w:tc>
          <w:tcPr>
            <w:tcW w:w="435" w:type="pct"/>
            <w:vAlign w:val="center"/>
          </w:tcPr>
          <w:p w14:paraId="703F9716">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符合</w:t>
            </w:r>
          </w:p>
        </w:tc>
      </w:tr>
      <w:tr w14:paraId="79A621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52" w:type="pct"/>
            <w:vMerge w:val="continue"/>
            <w:vAlign w:val="center"/>
          </w:tcPr>
          <w:p w14:paraId="164C3689">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p>
        </w:tc>
        <w:tc>
          <w:tcPr>
            <w:tcW w:w="1570" w:type="pct"/>
            <w:vAlign w:val="center"/>
          </w:tcPr>
          <w:p w14:paraId="04D4E22A">
            <w:pPr>
              <w:keepNext w:val="0"/>
              <w:keepLines w:val="0"/>
              <w:numPr>
                <w:ilvl w:val="0"/>
                <w:numId w:val="11"/>
              </w:numPr>
              <w:suppressLineNumbers w:val="0"/>
              <w:adjustRightInd w:val="0"/>
              <w:snapToGrid w:val="0"/>
              <w:spacing w:before="0" w:beforeAutospacing="0" w:after="0" w:afterAutospacing="0" w:line="240" w:lineRule="auto"/>
              <w:ind w:left="0" w:right="0" w:firstLine="0"/>
              <w:jc w:val="both"/>
              <w:rPr>
                <w:rFonts w:hint="default" w:ascii="Times New Roman" w:hAnsi="Times New Roman" w:eastAsia="宋体" w:cs="Times New Roman"/>
                <w:sz w:val="21"/>
                <w14:ligatures w14:val="none"/>
              </w:rPr>
            </w:pPr>
            <w:r>
              <w:rPr>
                <w:rFonts w:hint="eastAsia" w:ascii="Times New Roman" w:hAnsi="Times New Roman" w:eastAsia="宋体" w:cs="Times New Roman"/>
                <w:sz w:val="21"/>
                <w:lang w:val="en-US" w:eastAsia="zh-CN"/>
                <w14:ligatures w14:val="none"/>
              </w:rPr>
              <w:t>安全工程师安全责任制</w:t>
            </w:r>
          </w:p>
        </w:tc>
        <w:tc>
          <w:tcPr>
            <w:tcW w:w="1429" w:type="pct"/>
            <w:vAlign w:val="center"/>
          </w:tcPr>
          <w:p w14:paraId="75F5282A">
            <w:pPr>
              <w:keepNext w:val="0"/>
              <w:keepLines w:val="0"/>
              <w:suppressLineNumbers w:val="0"/>
              <w:spacing w:before="0" w:beforeAutospacing="0" w:after="0" w:afterAutospacing="0" w:line="240" w:lineRule="auto"/>
              <w:ind w:left="0" w:right="0"/>
              <w:rPr>
                <w:rFonts w:hint="default" w:ascii="Times New Roman" w:hAnsi="Times New Roman" w:eastAsia="宋体" w:cs="Times New Roman"/>
                <w:sz w:val="21"/>
                <w14:ligatures w14:val="none"/>
              </w:rPr>
            </w:pPr>
            <w:r>
              <w:rPr>
                <w:rFonts w:hint="default" w:ascii="Times New Roman" w:hAnsi="Times New Roman" w:eastAsia="宋体" w:cs="Times New Roman"/>
                <w:sz w:val="21"/>
                <w:szCs w:val="21"/>
                <w14:ligatures w14:val="none"/>
              </w:rPr>
              <w:t>《危险化学品经营许可证管理办法》第</w:t>
            </w:r>
            <w:r>
              <w:rPr>
                <w:rFonts w:hint="eastAsia" w:ascii="Times New Roman" w:hAnsi="Times New Roman" w:eastAsia="宋体" w:cs="Times New Roman"/>
                <w:sz w:val="21"/>
                <w:szCs w:val="21"/>
                <w14:ligatures w14:val="none"/>
              </w:rPr>
              <w:t>六</w:t>
            </w:r>
            <w:r>
              <w:rPr>
                <w:rFonts w:hint="default" w:ascii="Times New Roman" w:hAnsi="Times New Roman" w:eastAsia="宋体" w:cs="Times New Roman"/>
                <w:sz w:val="21"/>
                <w:szCs w:val="21"/>
                <w14:ligatures w14:val="none"/>
              </w:rPr>
              <w:t>条</w:t>
            </w:r>
          </w:p>
        </w:tc>
        <w:tc>
          <w:tcPr>
            <w:tcW w:w="1111" w:type="pct"/>
            <w:vAlign w:val="center"/>
          </w:tcPr>
          <w:p w14:paraId="5912DB54">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完善</w:t>
            </w:r>
          </w:p>
        </w:tc>
        <w:tc>
          <w:tcPr>
            <w:tcW w:w="435" w:type="pct"/>
            <w:vAlign w:val="center"/>
          </w:tcPr>
          <w:p w14:paraId="4374F9F6">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符合</w:t>
            </w:r>
          </w:p>
        </w:tc>
      </w:tr>
      <w:tr w14:paraId="65F24D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52" w:type="pct"/>
            <w:vMerge w:val="continue"/>
            <w:vAlign w:val="center"/>
          </w:tcPr>
          <w:p w14:paraId="32B31B27">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p>
        </w:tc>
        <w:tc>
          <w:tcPr>
            <w:tcW w:w="1570" w:type="pct"/>
            <w:vAlign w:val="center"/>
          </w:tcPr>
          <w:p w14:paraId="1C2566A2">
            <w:pPr>
              <w:keepNext w:val="0"/>
              <w:keepLines w:val="0"/>
              <w:numPr>
                <w:ilvl w:val="0"/>
                <w:numId w:val="11"/>
              </w:numPr>
              <w:suppressLineNumbers w:val="0"/>
              <w:adjustRightInd w:val="0"/>
              <w:snapToGrid w:val="0"/>
              <w:spacing w:before="0" w:beforeAutospacing="0" w:after="0" w:afterAutospacing="0" w:line="240" w:lineRule="auto"/>
              <w:ind w:left="0" w:right="0" w:firstLine="0"/>
              <w:jc w:val="both"/>
              <w:rPr>
                <w:rFonts w:hint="default" w:ascii="Times New Roman" w:hAnsi="Times New Roman" w:eastAsia="宋体" w:cs="Times New Roman"/>
                <w:sz w:val="21"/>
                <w14:ligatures w14:val="none"/>
              </w:rPr>
            </w:pPr>
            <w:r>
              <w:rPr>
                <w:rFonts w:hint="eastAsia" w:ascii="Times New Roman" w:hAnsi="Times New Roman" w:eastAsia="宋体" w:cs="Times New Roman"/>
                <w:sz w:val="21"/>
                <w:lang w:val="en-US" w:eastAsia="zh-CN"/>
                <w14:ligatures w14:val="none"/>
              </w:rPr>
              <w:t>员工安全生产责任制</w:t>
            </w:r>
          </w:p>
        </w:tc>
        <w:tc>
          <w:tcPr>
            <w:tcW w:w="1429" w:type="pct"/>
            <w:vAlign w:val="center"/>
          </w:tcPr>
          <w:p w14:paraId="61DF28EB">
            <w:pPr>
              <w:keepNext w:val="0"/>
              <w:keepLines w:val="0"/>
              <w:suppressLineNumbers w:val="0"/>
              <w:spacing w:before="0" w:beforeAutospacing="0" w:after="0" w:afterAutospacing="0" w:line="240" w:lineRule="auto"/>
              <w:ind w:left="0" w:right="0"/>
              <w:rPr>
                <w:rFonts w:hint="default"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《危险化学品经营许可证管理办法》第六条</w:t>
            </w:r>
          </w:p>
        </w:tc>
        <w:tc>
          <w:tcPr>
            <w:tcW w:w="1111" w:type="pct"/>
            <w:vAlign w:val="center"/>
          </w:tcPr>
          <w:p w14:paraId="4931B7EE">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eastAsia" w:ascii="Times New Roman" w:hAnsi="Times New Roman" w:eastAsia="宋体" w:cs="Times New Roman"/>
                <w:sz w:val="21"/>
                <w14:ligatures w14:val="none"/>
              </w:rPr>
              <w:t>完善</w:t>
            </w:r>
          </w:p>
        </w:tc>
        <w:tc>
          <w:tcPr>
            <w:tcW w:w="435" w:type="pct"/>
            <w:vAlign w:val="center"/>
          </w:tcPr>
          <w:p w14:paraId="136A0945">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eastAsia" w:ascii="Times New Roman" w:hAnsi="Times New Roman" w:eastAsia="宋体" w:cs="Times New Roman"/>
                <w:sz w:val="21"/>
                <w14:ligatures w14:val="none"/>
              </w:rPr>
              <w:t>符合</w:t>
            </w:r>
          </w:p>
        </w:tc>
      </w:tr>
      <w:tr w14:paraId="0836F7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52" w:type="pct"/>
            <w:vMerge w:val="continue"/>
            <w:vAlign w:val="center"/>
          </w:tcPr>
          <w:p w14:paraId="1F9EA77B">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p>
        </w:tc>
        <w:tc>
          <w:tcPr>
            <w:tcW w:w="1570" w:type="pct"/>
            <w:vAlign w:val="center"/>
          </w:tcPr>
          <w:p w14:paraId="0040F681">
            <w:pPr>
              <w:keepNext w:val="0"/>
              <w:keepLines w:val="0"/>
              <w:numPr>
                <w:ilvl w:val="0"/>
                <w:numId w:val="11"/>
              </w:numPr>
              <w:suppressLineNumbers w:val="0"/>
              <w:adjustRightInd w:val="0"/>
              <w:snapToGrid w:val="0"/>
              <w:spacing w:before="0" w:beforeAutospacing="0" w:after="0" w:afterAutospacing="0" w:line="240" w:lineRule="auto"/>
              <w:ind w:left="0" w:right="0" w:firstLine="0"/>
              <w:jc w:val="both"/>
              <w:rPr>
                <w:rFonts w:hint="eastAsia" w:ascii="Times New Roman" w:hAnsi="Times New Roman" w:eastAsia="宋体" w:cs="Times New Roman"/>
                <w:sz w:val="21"/>
                <w:lang w:val="en-US" w:eastAsia="zh-CN"/>
                <w14:ligatures w14:val="none"/>
              </w:rPr>
            </w:pPr>
            <w:r>
              <w:rPr>
                <w:rFonts w:hint="eastAsia" w:ascii="Times New Roman" w:hAnsi="Times New Roman" w:eastAsia="宋体" w:cs="Times New Roman"/>
                <w:sz w:val="21"/>
                <w:lang w:val="en-US" w:eastAsia="zh-CN"/>
                <w14:ligatures w14:val="none"/>
              </w:rPr>
              <w:t>安全工程师安全责任制</w:t>
            </w:r>
          </w:p>
        </w:tc>
        <w:tc>
          <w:tcPr>
            <w:tcW w:w="1429" w:type="pct"/>
            <w:vAlign w:val="center"/>
          </w:tcPr>
          <w:p w14:paraId="7F397DEE">
            <w:pPr>
              <w:keepNext w:val="0"/>
              <w:keepLines w:val="0"/>
              <w:suppressLineNumbers w:val="0"/>
              <w:spacing w:before="0" w:beforeAutospacing="0" w:after="0" w:afterAutospacing="0" w:line="240" w:lineRule="auto"/>
              <w:ind w:left="0" w:right="0"/>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《危险化学品经营许可证管理办法》第六条</w:t>
            </w:r>
          </w:p>
        </w:tc>
        <w:tc>
          <w:tcPr>
            <w:tcW w:w="1111" w:type="pct"/>
            <w:vAlign w:val="center"/>
          </w:tcPr>
          <w:p w14:paraId="7D8251DC">
            <w:pPr>
              <w:keepNext w:val="0"/>
              <w:keepLines w:val="0"/>
              <w:suppressLineNumbers w:val="0"/>
              <w:spacing w:before="0" w:beforeAutospacing="0" w:after="0" w:afterAutospacing="0" w:line="240" w:lineRule="auto"/>
              <w:ind w:left="0" w:right="0"/>
              <w:jc w:val="center"/>
              <w:rPr>
                <w:rFonts w:hint="eastAsia" w:ascii="Times New Roman" w:hAnsi="Times New Roman" w:eastAsia="宋体" w:cs="Times New Roman"/>
                <w:sz w:val="21"/>
                <w14:ligatures w14:val="none"/>
              </w:rPr>
            </w:pPr>
            <w:r>
              <w:rPr>
                <w:rFonts w:hint="eastAsia" w:ascii="Times New Roman" w:hAnsi="Times New Roman" w:eastAsia="宋体" w:cs="Times New Roman"/>
                <w:sz w:val="21"/>
                <w14:ligatures w14:val="none"/>
              </w:rPr>
              <w:t>完善</w:t>
            </w:r>
          </w:p>
        </w:tc>
        <w:tc>
          <w:tcPr>
            <w:tcW w:w="435" w:type="pct"/>
            <w:vAlign w:val="center"/>
          </w:tcPr>
          <w:p w14:paraId="6D851D4E">
            <w:pPr>
              <w:keepNext w:val="0"/>
              <w:keepLines w:val="0"/>
              <w:suppressLineNumbers w:val="0"/>
              <w:spacing w:before="0" w:beforeAutospacing="0" w:after="0" w:afterAutospacing="0" w:line="240" w:lineRule="auto"/>
              <w:ind w:left="0" w:right="0"/>
              <w:jc w:val="center"/>
              <w:rPr>
                <w:rFonts w:hint="eastAsia" w:ascii="Times New Roman" w:hAnsi="Times New Roman" w:eastAsia="宋体" w:cs="Times New Roman"/>
                <w:sz w:val="21"/>
                <w14:ligatures w14:val="none"/>
              </w:rPr>
            </w:pPr>
            <w:r>
              <w:rPr>
                <w:rFonts w:hint="eastAsia" w:ascii="Times New Roman" w:hAnsi="Times New Roman" w:eastAsia="宋体" w:cs="Times New Roman"/>
                <w:sz w:val="21"/>
                <w14:ligatures w14:val="none"/>
              </w:rPr>
              <w:t>符合</w:t>
            </w:r>
          </w:p>
        </w:tc>
      </w:tr>
      <w:tr w14:paraId="69183C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52" w:type="pct"/>
            <w:vMerge w:val="restart"/>
            <w:vAlign w:val="center"/>
          </w:tcPr>
          <w:p w14:paraId="2B7EE3F3">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highlight w:val="yellow"/>
                <w14:ligatures w14:val="none"/>
              </w:rPr>
            </w:pPr>
            <w:r>
              <w:rPr>
                <w:rFonts w:hint="default" w:ascii="Times New Roman" w:hAnsi="Times New Roman" w:eastAsia="宋体" w:cs="Times New Roman"/>
                <w:sz w:val="21"/>
                <w:highlight w:val="none"/>
                <w14:ligatures w14:val="none"/>
              </w:rPr>
              <w:t>安全管理制度</w:t>
            </w:r>
          </w:p>
        </w:tc>
        <w:tc>
          <w:tcPr>
            <w:tcW w:w="1570" w:type="pct"/>
            <w:vAlign w:val="center"/>
          </w:tcPr>
          <w:p w14:paraId="3DFBBA11">
            <w:pPr>
              <w:keepNext w:val="0"/>
              <w:keepLines w:val="0"/>
              <w:numPr>
                <w:ilvl w:val="0"/>
                <w:numId w:val="12"/>
              </w:numPr>
              <w:suppressLineNumbers w:val="0"/>
              <w:adjustRightInd w:val="0"/>
              <w:snapToGrid w:val="0"/>
              <w:spacing w:before="0" w:beforeAutospacing="0" w:after="0" w:afterAutospacing="0" w:line="240" w:lineRule="auto"/>
              <w:ind w:left="0" w:right="0" w:firstLine="0"/>
              <w:jc w:val="both"/>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全员安全生产责任制度</w:t>
            </w:r>
          </w:p>
        </w:tc>
        <w:tc>
          <w:tcPr>
            <w:tcW w:w="1429" w:type="pct"/>
            <w:vAlign w:val="center"/>
          </w:tcPr>
          <w:p w14:paraId="7D1E0161">
            <w:pPr>
              <w:keepNext w:val="0"/>
              <w:keepLines w:val="0"/>
              <w:suppressLineNumbers w:val="0"/>
              <w:spacing w:before="0" w:beforeAutospacing="0" w:after="0" w:afterAutospacing="0" w:line="240" w:lineRule="auto"/>
              <w:ind w:left="0" w:leftChars="0" w:right="0" w:rightChars="0"/>
              <w:rPr>
                <w:rFonts w:hint="default" w:ascii="Times New Roman" w:hAnsi="Times New Roman" w:eastAsia="宋体" w:cs="Times New Roman"/>
                <w:sz w:val="21"/>
                <w14:ligatures w14:val="none"/>
              </w:rPr>
            </w:pPr>
            <w:r>
              <w:rPr>
                <w:rFonts w:hint="default" w:ascii="Times New Roman" w:hAnsi="Times New Roman" w:eastAsia="宋体" w:cs="Times New Roman"/>
                <w:sz w:val="21"/>
                <w:szCs w:val="21"/>
                <w14:ligatures w14:val="none"/>
              </w:rPr>
              <w:t>《危险化学品经营许可证管理办法》第</w:t>
            </w:r>
            <w:r>
              <w:rPr>
                <w:rFonts w:hint="eastAsia" w:ascii="Times New Roman" w:hAnsi="Times New Roman" w:eastAsia="宋体" w:cs="Times New Roman"/>
                <w:sz w:val="21"/>
                <w:szCs w:val="21"/>
                <w14:ligatures w14:val="none"/>
              </w:rPr>
              <w:t>六</w:t>
            </w:r>
            <w:r>
              <w:rPr>
                <w:rFonts w:hint="default" w:ascii="Times New Roman" w:hAnsi="Times New Roman" w:eastAsia="宋体" w:cs="Times New Roman"/>
                <w:sz w:val="21"/>
                <w:szCs w:val="21"/>
                <w14:ligatures w14:val="none"/>
              </w:rPr>
              <w:t>条</w:t>
            </w:r>
          </w:p>
        </w:tc>
        <w:tc>
          <w:tcPr>
            <w:tcW w:w="1111" w:type="pct"/>
            <w:vAlign w:val="center"/>
          </w:tcPr>
          <w:p w14:paraId="0327D2F7">
            <w:pPr>
              <w:keepNext w:val="0"/>
              <w:keepLines w:val="0"/>
              <w:suppressLineNumbers w:val="0"/>
              <w:spacing w:before="0" w:beforeAutospacing="0" w:after="0" w:afterAutospacing="0" w:line="240" w:lineRule="auto"/>
              <w:ind w:left="0" w:leftChars="0" w:right="0" w:rightChars="0"/>
              <w:jc w:val="center"/>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完善</w:t>
            </w:r>
          </w:p>
        </w:tc>
        <w:tc>
          <w:tcPr>
            <w:tcW w:w="435" w:type="pct"/>
            <w:vAlign w:val="center"/>
          </w:tcPr>
          <w:p w14:paraId="29D4F06D">
            <w:pPr>
              <w:keepNext w:val="0"/>
              <w:keepLines w:val="0"/>
              <w:suppressLineNumbers w:val="0"/>
              <w:spacing w:before="0" w:beforeAutospacing="0" w:after="0" w:afterAutospacing="0" w:line="240" w:lineRule="auto"/>
              <w:ind w:left="0" w:leftChars="0" w:right="0" w:rightChars="0"/>
              <w:jc w:val="center"/>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符合</w:t>
            </w:r>
          </w:p>
        </w:tc>
      </w:tr>
      <w:tr w14:paraId="1FEE79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52" w:type="pct"/>
            <w:vMerge w:val="continue"/>
            <w:vAlign w:val="center"/>
          </w:tcPr>
          <w:p w14:paraId="5CA909D6">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highlight w:val="none"/>
                <w14:ligatures w14:val="none"/>
              </w:rPr>
            </w:pPr>
          </w:p>
        </w:tc>
        <w:tc>
          <w:tcPr>
            <w:tcW w:w="1570" w:type="pct"/>
            <w:vAlign w:val="center"/>
          </w:tcPr>
          <w:p w14:paraId="49DB3F54">
            <w:pPr>
              <w:keepNext w:val="0"/>
              <w:keepLines w:val="0"/>
              <w:numPr>
                <w:ilvl w:val="0"/>
                <w:numId w:val="12"/>
              </w:numPr>
              <w:suppressLineNumbers w:val="0"/>
              <w:adjustRightInd w:val="0"/>
              <w:snapToGrid w:val="0"/>
              <w:spacing w:before="0" w:beforeAutospacing="0" w:after="0" w:afterAutospacing="0" w:line="240" w:lineRule="auto"/>
              <w:ind w:left="0" w:right="0" w:firstLine="0"/>
              <w:jc w:val="both"/>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危险化学品购销管理制度</w:t>
            </w:r>
          </w:p>
        </w:tc>
        <w:tc>
          <w:tcPr>
            <w:tcW w:w="1429" w:type="pct"/>
            <w:vAlign w:val="center"/>
          </w:tcPr>
          <w:p w14:paraId="3C886968">
            <w:pPr>
              <w:keepNext w:val="0"/>
              <w:keepLines w:val="0"/>
              <w:suppressLineNumbers w:val="0"/>
              <w:spacing w:before="0" w:beforeAutospacing="0" w:after="0" w:afterAutospacing="0" w:line="240" w:lineRule="auto"/>
              <w:ind w:left="0" w:leftChars="0" w:right="0" w:rightChars="0"/>
              <w:rPr>
                <w:rFonts w:hint="default" w:ascii="Times New Roman" w:hAnsi="Times New Roman" w:eastAsia="宋体" w:cs="Times New Roman"/>
                <w:sz w:val="21"/>
                <w14:ligatures w14:val="none"/>
              </w:rPr>
            </w:pPr>
            <w:r>
              <w:rPr>
                <w:rFonts w:hint="default" w:ascii="Times New Roman" w:hAnsi="Times New Roman" w:eastAsia="宋体" w:cs="Times New Roman"/>
                <w:sz w:val="21"/>
                <w:szCs w:val="21"/>
                <w14:ligatures w14:val="none"/>
              </w:rPr>
              <w:t>《危险化学品经营许可证管理办法》第</w:t>
            </w:r>
            <w:r>
              <w:rPr>
                <w:rFonts w:hint="eastAsia" w:ascii="Times New Roman" w:hAnsi="Times New Roman" w:eastAsia="宋体" w:cs="Times New Roman"/>
                <w:sz w:val="21"/>
                <w:szCs w:val="21"/>
                <w14:ligatures w14:val="none"/>
              </w:rPr>
              <w:t>六</w:t>
            </w:r>
            <w:r>
              <w:rPr>
                <w:rFonts w:hint="default" w:ascii="Times New Roman" w:hAnsi="Times New Roman" w:eastAsia="宋体" w:cs="Times New Roman"/>
                <w:sz w:val="21"/>
                <w:szCs w:val="21"/>
                <w14:ligatures w14:val="none"/>
              </w:rPr>
              <w:t>条</w:t>
            </w:r>
          </w:p>
        </w:tc>
        <w:tc>
          <w:tcPr>
            <w:tcW w:w="1111" w:type="pct"/>
            <w:vAlign w:val="center"/>
          </w:tcPr>
          <w:p w14:paraId="7912D920">
            <w:pPr>
              <w:keepNext w:val="0"/>
              <w:keepLines w:val="0"/>
              <w:suppressLineNumbers w:val="0"/>
              <w:spacing w:before="0" w:beforeAutospacing="0" w:after="0" w:afterAutospacing="0" w:line="240" w:lineRule="auto"/>
              <w:ind w:left="0" w:leftChars="0" w:right="0" w:rightChars="0"/>
              <w:jc w:val="center"/>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完善</w:t>
            </w:r>
          </w:p>
        </w:tc>
        <w:tc>
          <w:tcPr>
            <w:tcW w:w="435" w:type="pct"/>
            <w:vAlign w:val="center"/>
          </w:tcPr>
          <w:p w14:paraId="33717499">
            <w:pPr>
              <w:keepNext w:val="0"/>
              <w:keepLines w:val="0"/>
              <w:suppressLineNumbers w:val="0"/>
              <w:spacing w:before="0" w:beforeAutospacing="0" w:after="0" w:afterAutospacing="0" w:line="240" w:lineRule="auto"/>
              <w:ind w:left="0" w:leftChars="0" w:right="0" w:rightChars="0"/>
              <w:jc w:val="center"/>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符合</w:t>
            </w:r>
          </w:p>
        </w:tc>
      </w:tr>
      <w:tr w14:paraId="3CCAEE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52" w:type="pct"/>
            <w:vMerge w:val="continue"/>
            <w:vAlign w:val="center"/>
          </w:tcPr>
          <w:p w14:paraId="71335677">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highlight w:val="none"/>
                <w14:ligatures w14:val="none"/>
              </w:rPr>
            </w:pPr>
          </w:p>
        </w:tc>
        <w:tc>
          <w:tcPr>
            <w:tcW w:w="1570" w:type="pct"/>
            <w:vAlign w:val="center"/>
          </w:tcPr>
          <w:p w14:paraId="1A8ABE32">
            <w:pPr>
              <w:keepNext w:val="0"/>
              <w:keepLines w:val="0"/>
              <w:numPr>
                <w:ilvl w:val="0"/>
                <w:numId w:val="12"/>
              </w:numPr>
              <w:suppressLineNumbers w:val="0"/>
              <w:adjustRightInd w:val="0"/>
              <w:snapToGrid w:val="0"/>
              <w:spacing w:before="0" w:beforeAutospacing="0" w:after="0" w:afterAutospacing="0" w:line="240" w:lineRule="auto"/>
              <w:ind w:left="0" w:right="0" w:firstLine="0"/>
              <w:jc w:val="both"/>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危险化学品安全管理制度</w:t>
            </w:r>
          </w:p>
        </w:tc>
        <w:tc>
          <w:tcPr>
            <w:tcW w:w="1429" w:type="pct"/>
            <w:vAlign w:val="center"/>
          </w:tcPr>
          <w:p w14:paraId="282D5CBE">
            <w:pPr>
              <w:keepNext w:val="0"/>
              <w:keepLines w:val="0"/>
              <w:suppressLineNumbers w:val="0"/>
              <w:spacing w:before="0" w:beforeAutospacing="0" w:after="0" w:afterAutospacing="0" w:line="240" w:lineRule="auto"/>
              <w:ind w:left="0" w:leftChars="0" w:right="0" w:rightChars="0"/>
              <w:rPr>
                <w:rFonts w:hint="default" w:ascii="Times New Roman" w:hAnsi="Times New Roman" w:eastAsia="宋体" w:cs="Times New Roman"/>
                <w:sz w:val="21"/>
                <w14:ligatures w14:val="none"/>
              </w:rPr>
            </w:pPr>
            <w:r>
              <w:rPr>
                <w:rFonts w:hint="default" w:ascii="Times New Roman" w:hAnsi="Times New Roman" w:eastAsia="宋体" w:cs="Times New Roman"/>
                <w:sz w:val="21"/>
                <w:szCs w:val="21"/>
                <w14:ligatures w14:val="none"/>
              </w:rPr>
              <w:t>《危险化学品经营许可证管理办法》第</w:t>
            </w:r>
            <w:r>
              <w:rPr>
                <w:rFonts w:hint="eastAsia" w:ascii="Times New Roman" w:hAnsi="Times New Roman" w:eastAsia="宋体" w:cs="Times New Roman"/>
                <w:sz w:val="21"/>
                <w:szCs w:val="21"/>
                <w14:ligatures w14:val="none"/>
              </w:rPr>
              <w:t>六</w:t>
            </w:r>
            <w:r>
              <w:rPr>
                <w:rFonts w:hint="default" w:ascii="Times New Roman" w:hAnsi="Times New Roman" w:eastAsia="宋体" w:cs="Times New Roman"/>
                <w:sz w:val="21"/>
                <w:szCs w:val="21"/>
                <w14:ligatures w14:val="none"/>
              </w:rPr>
              <w:t>条</w:t>
            </w:r>
          </w:p>
        </w:tc>
        <w:tc>
          <w:tcPr>
            <w:tcW w:w="1111" w:type="pct"/>
            <w:vAlign w:val="center"/>
          </w:tcPr>
          <w:p w14:paraId="5045DBFB">
            <w:pPr>
              <w:keepNext w:val="0"/>
              <w:keepLines w:val="0"/>
              <w:suppressLineNumbers w:val="0"/>
              <w:spacing w:before="0" w:beforeAutospacing="0" w:after="0" w:afterAutospacing="0" w:line="240" w:lineRule="auto"/>
              <w:ind w:left="0" w:leftChars="0" w:right="0" w:rightChars="0"/>
              <w:jc w:val="center"/>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完善</w:t>
            </w:r>
          </w:p>
        </w:tc>
        <w:tc>
          <w:tcPr>
            <w:tcW w:w="435" w:type="pct"/>
            <w:vAlign w:val="center"/>
          </w:tcPr>
          <w:p w14:paraId="56F45A55">
            <w:pPr>
              <w:keepNext w:val="0"/>
              <w:keepLines w:val="0"/>
              <w:suppressLineNumbers w:val="0"/>
              <w:spacing w:before="0" w:beforeAutospacing="0" w:after="0" w:afterAutospacing="0" w:line="240" w:lineRule="auto"/>
              <w:ind w:left="0" w:leftChars="0" w:right="0" w:rightChars="0"/>
              <w:jc w:val="center"/>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符合</w:t>
            </w:r>
          </w:p>
        </w:tc>
      </w:tr>
      <w:tr w14:paraId="2E2AAD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52" w:type="pct"/>
            <w:vMerge w:val="continue"/>
            <w:vAlign w:val="center"/>
          </w:tcPr>
          <w:p w14:paraId="7EFC6CA9">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highlight w:val="none"/>
                <w14:ligatures w14:val="none"/>
              </w:rPr>
            </w:pPr>
          </w:p>
        </w:tc>
        <w:tc>
          <w:tcPr>
            <w:tcW w:w="1570" w:type="pct"/>
            <w:shd w:val="clear" w:color="auto" w:fill="auto"/>
            <w:vAlign w:val="center"/>
          </w:tcPr>
          <w:p w14:paraId="059A303F">
            <w:pPr>
              <w:keepNext w:val="0"/>
              <w:keepLines w:val="0"/>
              <w:numPr>
                <w:ilvl w:val="0"/>
                <w:numId w:val="12"/>
              </w:numPr>
              <w:suppressLineNumbers w:val="0"/>
              <w:adjustRightInd w:val="0"/>
              <w:snapToGrid w:val="0"/>
              <w:spacing w:before="0" w:beforeAutospacing="0" w:after="0" w:afterAutospacing="0" w:line="240" w:lineRule="auto"/>
              <w:ind w:left="0" w:leftChars="0" w:right="0" w:rightChars="0" w:firstLine="0" w:firstLineChars="0"/>
              <w:jc w:val="both"/>
              <w:rPr>
                <w:rFonts w:hint="eastAsia" w:ascii="Times New Roman" w:hAnsi="Times New Roman" w:eastAsia="宋体" w:cs="Times New Roman"/>
                <w:kern w:val="2"/>
                <w:sz w:val="21"/>
                <w:szCs w:val="24"/>
                <w:lang w:val="en-US" w:eastAsia="zh-CN" w:bidi="ar-SA"/>
                <w14:ligatures w14:val="none"/>
              </w:rPr>
            </w:pPr>
            <w:r>
              <w:rPr>
                <w:rFonts w:hint="eastAsia" w:ascii="Times New Roman" w:hAnsi="Times New Roman" w:eastAsia="宋体" w:cs="Times New Roman"/>
                <w:sz w:val="21"/>
                <w:lang w:val="en-US" w:eastAsia="zh-CN"/>
                <w14:ligatures w14:val="none"/>
              </w:rPr>
              <w:t>职业健康管理制度</w:t>
            </w:r>
          </w:p>
        </w:tc>
        <w:tc>
          <w:tcPr>
            <w:tcW w:w="1429" w:type="pct"/>
            <w:shd w:val="clear" w:color="auto" w:fill="auto"/>
            <w:vAlign w:val="center"/>
          </w:tcPr>
          <w:p w14:paraId="34B56380">
            <w:pPr>
              <w:keepNext w:val="0"/>
              <w:keepLines w:val="0"/>
              <w:suppressLineNumbers w:val="0"/>
              <w:spacing w:before="0" w:beforeAutospacing="0" w:after="0" w:afterAutospacing="0" w:line="240" w:lineRule="auto"/>
              <w:ind w:left="0" w:leftChars="0" w:right="0" w:rightChars="0"/>
              <w:rPr>
                <w:rFonts w:hint="default" w:ascii="Times New Roman" w:hAnsi="Times New Roman" w:eastAsia="宋体" w:cs="Times New Roman"/>
                <w:kern w:val="2"/>
                <w:sz w:val="21"/>
                <w:szCs w:val="24"/>
                <w:lang w:val="en-US" w:eastAsia="zh-CN" w:bidi="ar-SA"/>
                <w14:ligatures w14:val="none"/>
              </w:rPr>
            </w:pPr>
            <w:r>
              <w:rPr>
                <w:rFonts w:hint="default" w:ascii="Times New Roman" w:hAnsi="Times New Roman" w:eastAsia="宋体" w:cs="Times New Roman"/>
                <w:sz w:val="21"/>
                <w:szCs w:val="21"/>
                <w14:ligatures w14:val="none"/>
              </w:rPr>
              <w:t>《危险化学品经营许可证管理办法》第</w:t>
            </w:r>
            <w:r>
              <w:rPr>
                <w:rFonts w:hint="eastAsia" w:ascii="Times New Roman" w:hAnsi="Times New Roman" w:eastAsia="宋体" w:cs="Times New Roman"/>
                <w:sz w:val="21"/>
                <w:szCs w:val="21"/>
                <w14:ligatures w14:val="none"/>
              </w:rPr>
              <w:t>六</w:t>
            </w:r>
            <w:r>
              <w:rPr>
                <w:rFonts w:hint="default" w:ascii="Times New Roman" w:hAnsi="Times New Roman" w:eastAsia="宋体" w:cs="Times New Roman"/>
                <w:sz w:val="21"/>
                <w:szCs w:val="21"/>
                <w14:ligatures w14:val="none"/>
              </w:rPr>
              <w:t>条</w:t>
            </w:r>
          </w:p>
        </w:tc>
        <w:tc>
          <w:tcPr>
            <w:tcW w:w="1111" w:type="pct"/>
            <w:shd w:val="clear" w:color="auto" w:fill="auto"/>
            <w:vAlign w:val="center"/>
          </w:tcPr>
          <w:p w14:paraId="574FA94E">
            <w:pPr>
              <w:keepNext w:val="0"/>
              <w:keepLines w:val="0"/>
              <w:suppressLineNumbers w:val="0"/>
              <w:spacing w:before="0" w:beforeAutospacing="0" w:after="0" w:afterAutospacing="0" w:line="240" w:lineRule="auto"/>
              <w:ind w:left="0" w:leftChars="0" w:right="0" w:rightChars="0"/>
              <w:jc w:val="center"/>
              <w:rPr>
                <w:rFonts w:hint="default" w:ascii="Times New Roman" w:hAnsi="Times New Roman" w:eastAsia="宋体" w:cs="Times New Roman"/>
                <w:kern w:val="2"/>
                <w:sz w:val="21"/>
                <w:szCs w:val="24"/>
                <w:lang w:val="en-US" w:eastAsia="zh-CN" w:bidi="ar-SA"/>
                <w14:ligatures w14:val="none"/>
              </w:rPr>
            </w:pPr>
            <w:r>
              <w:rPr>
                <w:rFonts w:hint="default" w:ascii="Times New Roman" w:hAnsi="Times New Roman" w:eastAsia="宋体" w:cs="Times New Roman"/>
                <w:sz w:val="21"/>
                <w14:ligatures w14:val="none"/>
              </w:rPr>
              <w:t>完善</w:t>
            </w:r>
          </w:p>
        </w:tc>
        <w:tc>
          <w:tcPr>
            <w:tcW w:w="435" w:type="pct"/>
            <w:shd w:val="clear" w:color="auto" w:fill="auto"/>
            <w:vAlign w:val="center"/>
          </w:tcPr>
          <w:p w14:paraId="1EDFDD23">
            <w:pPr>
              <w:keepNext w:val="0"/>
              <w:keepLines w:val="0"/>
              <w:suppressLineNumbers w:val="0"/>
              <w:spacing w:before="0" w:beforeAutospacing="0" w:after="0" w:afterAutospacing="0" w:line="240" w:lineRule="auto"/>
              <w:ind w:left="0" w:leftChars="0" w:right="0" w:rightChars="0"/>
              <w:jc w:val="center"/>
              <w:rPr>
                <w:rFonts w:hint="default" w:ascii="Times New Roman" w:hAnsi="Times New Roman" w:eastAsia="宋体" w:cs="Times New Roman"/>
                <w:kern w:val="2"/>
                <w:sz w:val="21"/>
                <w:szCs w:val="24"/>
                <w:lang w:val="en-US" w:eastAsia="zh-CN" w:bidi="ar-SA"/>
                <w14:ligatures w14:val="none"/>
              </w:rPr>
            </w:pPr>
            <w:r>
              <w:rPr>
                <w:rFonts w:hint="default" w:ascii="Times New Roman" w:hAnsi="Times New Roman" w:eastAsia="宋体" w:cs="Times New Roman"/>
                <w:sz w:val="21"/>
                <w14:ligatures w14:val="none"/>
              </w:rPr>
              <w:t>符合</w:t>
            </w:r>
          </w:p>
        </w:tc>
      </w:tr>
      <w:tr w14:paraId="7CDD17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52" w:type="pct"/>
            <w:vMerge w:val="continue"/>
            <w:vAlign w:val="center"/>
          </w:tcPr>
          <w:p w14:paraId="5A99B6E7">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p>
        </w:tc>
        <w:tc>
          <w:tcPr>
            <w:tcW w:w="1570" w:type="pct"/>
            <w:vAlign w:val="center"/>
          </w:tcPr>
          <w:p w14:paraId="43C8A736">
            <w:pPr>
              <w:keepNext w:val="0"/>
              <w:keepLines w:val="0"/>
              <w:numPr>
                <w:ilvl w:val="0"/>
                <w:numId w:val="12"/>
              </w:numPr>
              <w:suppressLineNumbers w:val="0"/>
              <w:adjustRightInd w:val="0"/>
              <w:snapToGrid w:val="0"/>
              <w:spacing w:before="0" w:beforeAutospacing="0" w:after="0" w:afterAutospacing="0" w:line="240" w:lineRule="auto"/>
              <w:ind w:left="0" w:right="0" w:firstLine="0"/>
              <w:jc w:val="both"/>
              <w:rPr>
                <w:rFonts w:hint="default" w:ascii="Times New Roman" w:hAnsi="Times New Roman" w:eastAsia="宋体" w:cs="Times New Roman"/>
                <w:sz w:val="21"/>
                <w14:ligatures w14:val="none"/>
              </w:rPr>
            </w:pPr>
            <w:r>
              <w:rPr>
                <w:rFonts w:hint="eastAsia" w:ascii="Times New Roman" w:hAnsi="Times New Roman" w:eastAsia="宋体" w:cs="Times New Roman"/>
                <w:sz w:val="21"/>
                <w:lang w:val="en-US" w:eastAsia="zh-CN"/>
                <w14:ligatures w14:val="none"/>
              </w:rPr>
              <w:t>劳动防护用品管理制度</w:t>
            </w:r>
          </w:p>
        </w:tc>
        <w:tc>
          <w:tcPr>
            <w:tcW w:w="1429" w:type="pct"/>
            <w:vAlign w:val="center"/>
          </w:tcPr>
          <w:p w14:paraId="03C3987D">
            <w:pPr>
              <w:keepNext w:val="0"/>
              <w:keepLines w:val="0"/>
              <w:suppressLineNumbers w:val="0"/>
              <w:spacing w:before="0" w:beforeAutospacing="0" w:after="0" w:afterAutospacing="0" w:line="240" w:lineRule="auto"/>
              <w:ind w:left="0" w:right="0"/>
              <w:rPr>
                <w:rFonts w:hint="default"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《危险化学品经营许可证管理办法》第六条</w:t>
            </w:r>
          </w:p>
        </w:tc>
        <w:tc>
          <w:tcPr>
            <w:tcW w:w="1111" w:type="pct"/>
            <w:vAlign w:val="center"/>
          </w:tcPr>
          <w:p w14:paraId="01BDAD09">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eastAsia" w:ascii="Times New Roman" w:hAnsi="Times New Roman" w:eastAsia="宋体" w:cs="Times New Roman"/>
                <w:sz w:val="21"/>
                <w14:ligatures w14:val="none"/>
              </w:rPr>
              <w:t>完善</w:t>
            </w:r>
          </w:p>
        </w:tc>
        <w:tc>
          <w:tcPr>
            <w:tcW w:w="435" w:type="pct"/>
            <w:vAlign w:val="center"/>
          </w:tcPr>
          <w:p w14:paraId="64A3D988">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eastAsia" w:ascii="Times New Roman" w:hAnsi="Times New Roman" w:eastAsia="宋体" w:cs="Times New Roman"/>
                <w:sz w:val="21"/>
                <w14:ligatures w14:val="none"/>
              </w:rPr>
              <w:t>符合</w:t>
            </w:r>
          </w:p>
        </w:tc>
      </w:tr>
      <w:tr w14:paraId="40338F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52" w:type="pct"/>
            <w:vMerge w:val="continue"/>
            <w:vAlign w:val="center"/>
          </w:tcPr>
          <w:p w14:paraId="61E50FFB">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p>
        </w:tc>
        <w:tc>
          <w:tcPr>
            <w:tcW w:w="1570" w:type="pct"/>
            <w:vAlign w:val="center"/>
          </w:tcPr>
          <w:p w14:paraId="2BA2F484">
            <w:pPr>
              <w:keepNext w:val="0"/>
              <w:keepLines w:val="0"/>
              <w:numPr>
                <w:ilvl w:val="0"/>
                <w:numId w:val="12"/>
              </w:numPr>
              <w:suppressLineNumbers w:val="0"/>
              <w:adjustRightInd w:val="0"/>
              <w:snapToGrid w:val="0"/>
              <w:spacing w:before="0" w:beforeAutospacing="0" w:after="0" w:afterAutospacing="0" w:line="240" w:lineRule="auto"/>
              <w:ind w:left="0" w:right="0" w:firstLine="0"/>
              <w:jc w:val="both"/>
              <w:rPr>
                <w:rFonts w:hint="default" w:ascii="Times New Roman" w:hAnsi="Times New Roman" w:eastAsia="宋体" w:cs="Times New Roman"/>
                <w:sz w:val="21"/>
                <w14:ligatures w14:val="none"/>
              </w:rPr>
            </w:pPr>
            <w:r>
              <w:rPr>
                <w:rFonts w:hint="eastAsia" w:ascii="Times New Roman" w:hAnsi="Times New Roman" w:eastAsia="宋体" w:cs="Times New Roman"/>
                <w:sz w:val="21"/>
                <w14:ligatures w14:val="none"/>
              </w:rPr>
              <w:t>安全检查管理制度</w:t>
            </w:r>
          </w:p>
        </w:tc>
        <w:tc>
          <w:tcPr>
            <w:tcW w:w="1429" w:type="pct"/>
            <w:vAlign w:val="center"/>
          </w:tcPr>
          <w:p w14:paraId="258B27BF">
            <w:pPr>
              <w:keepNext w:val="0"/>
              <w:keepLines w:val="0"/>
              <w:suppressLineNumbers w:val="0"/>
              <w:spacing w:before="0" w:beforeAutospacing="0" w:after="0" w:afterAutospacing="0" w:line="240" w:lineRule="auto"/>
              <w:ind w:left="0" w:right="0"/>
              <w:rPr>
                <w:rFonts w:hint="default" w:ascii="Times New Roman" w:hAnsi="Times New Roman" w:eastAsia="宋体" w:cs="Times New Roman"/>
                <w:sz w:val="21"/>
                <w14:ligatures w14:val="none"/>
              </w:rPr>
            </w:pPr>
            <w:r>
              <w:rPr>
                <w:rFonts w:hint="default" w:ascii="Times New Roman" w:hAnsi="Times New Roman" w:eastAsia="宋体" w:cs="Times New Roman"/>
                <w:sz w:val="21"/>
                <w:szCs w:val="21"/>
                <w14:ligatures w14:val="none"/>
              </w:rPr>
              <w:t>《危险化学品经营许可证管理办法》第</w:t>
            </w:r>
            <w:r>
              <w:rPr>
                <w:rFonts w:hint="eastAsia" w:ascii="Times New Roman" w:hAnsi="Times New Roman" w:eastAsia="宋体" w:cs="Times New Roman"/>
                <w:sz w:val="21"/>
                <w:szCs w:val="21"/>
                <w14:ligatures w14:val="none"/>
              </w:rPr>
              <w:t>六</w:t>
            </w:r>
            <w:r>
              <w:rPr>
                <w:rFonts w:hint="default" w:ascii="Times New Roman" w:hAnsi="Times New Roman" w:eastAsia="宋体" w:cs="Times New Roman"/>
                <w:sz w:val="21"/>
                <w:szCs w:val="21"/>
                <w14:ligatures w14:val="none"/>
              </w:rPr>
              <w:t>条</w:t>
            </w:r>
          </w:p>
        </w:tc>
        <w:tc>
          <w:tcPr>
            <w:tcW w:w="1111" w:type="pct"/>
            <w:vAlign w:val="center"/>
          </w:tcPr>
          <w:p w14:paraId="6680A247">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完善</w:t>
            </w:r>
          </w:p>
        </w:tc>
        <w:tc>
          <w:tcPr>
            <w:tcW w:w="435" w:type="pct"/>
            <w:vAlign w:val="center"/>
          </w:tcPr>
          <w:p w14:paraId="6FDE5A1A">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符合</w:t>
            </w:r>
          </w:p>
        </w:tc>
      </w:tr>
      <w:tr w14:paraId="4E40FA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52" w:type="pct"/>
            <w:vMerge w:val="continue"/>
            <w:vAlign w:val="center"/>
          </w:tcPr>
          <w:p w14:paraId="0DEF63BC">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p>
        </w:tc>
        <w:tc>
          <w:tcPr>
            <w:tcW w:w="1570" w:type="pct"/>
            <w:vAlign w:val="center"/>
          </w:tcPr>
          <w:p w14:paraId="33D1CA30">
            <w:pPr>
              <w:keepNext w:val="0"/>
              <w:keepLines w:val="0"/>
              <w:numPr>
                <w:ilvl w:val="0"/>
                <w:numId w:val="12"/>
              </w:numPr>
              <w:suppressLineNumbers w:val="0"/>
              <w:adjustRightInd w:val="0"/>
              <w:snapToGrid w:val="0"/>
              <w:spacing w:before="0" w:beforeAutospacing="0" w:after="0" w:afterAutospacing="0" w:line="240" w:lineRule="auto"/>
              <w:ind w:left="0" w:right="0" w:firstLine="0"/>
              <w:jc w:val="both"/>
              <w:rPr>
                <w:rFonts w:hint="default" w:ascii="Times New Roman" w:hAnsi="Times New Roman" w:eastAsia="宋体" w:cs="Times New Roman"/>
                <w:sz w:val="21"/>
                <w14:ligatures w14:val="none"/>
              </w:rPr>
            </w:pPr>
            <w:r>
              <w:rPr>
                <w:rFonts w:hint="eastAsia" w:ascii="Times New Roman" w:hAnsi="Times New Roman" w:eastAsia="宋体" w:cs="Times New Roman"/>
                <w:sz w:val="21"/>
                <w14:ligatures w14:val="none"/>
              </w:rPr>
              <w:t>应急救援管理制度</w:t>
            </w:r>
          </w:p>
        </w:tc>
        <w:tc>
          <w:tcPr>
            <w:tcW w:w="1429" w:type="pct"/>
            <w:vAlign w:val="center"/>
          </w:tcPr>
          <w:p w14:paraId="12465155">
            <w:pPr>
              <w:keepNext w:val="0"/>
              <w:keepLines w:val="0"/>
              <w:suppressLineNumbers w:val="0"/>
              <w:spacing w:before="0" w:beforeAutospacing="0" w:after="0" w:afterAutospacing="0" w:line="240" w:lineRule="auto"/>
              <w:ind w:left="0" w:right="0"/>
              <w:rPr>
                <w:rFonts w:hint="default"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《危险化学品经营许可证管理办法》第六条</w:t>
            </w:r>
          </w:p>
        </w:tc>
        <w:tc>
          <w:tcPr>
            <w:tcW w:w="1111" w:type="pct"/>
            <w:vAlign w:val="center"/>
          </w:tcPr>
          <w:p w14:paraId="2EAADEB4">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eastAsia" w:ascii="Times New Roman" w:hAnsi="Times New Roman" w:eastAsia="宋体" w:cs="Times New Roman"/>
                <w:sz w:val="21"/>
                <w14:ligatures w14:val="none"/>
              </w:rPr>
              <w:t>完善</w:t>
            </w:r>
          </w:p>
        </w:tc>
        <w:tc>
          <w:tcPr>
            <w:tcW w:w="435" w:type="pct"/>
            <w:vAlign w:val="center"/>
          </w:tcPr>
          <w:p w14:paraId="6C2E7B66">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eastAsia" w:ascii="Times New Roman" w:hAnsi="Times New Roman" w:eastAsia="宋体" w:cs="Times New Roman"/>
                <w:sz w:val="21"/>
                <w14:ligatures w14:val="none"/>
              </w:rPr>
              <w:t>符合</w:t>
            </w:r>
          </w:p>
        </w:tc>
      </w:tr>
      <w:tr w14:paraId="0DEA08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52" w:type="pct"/>
            <w:vMerge w:val="continue"/>
            <w:vAlign w:val="center"/>
          </w:tcPr>
          <w:p w14:paraId="7BF28D5A">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p>
        </w:tc>
        <w:tc>
          <w:tcPr>
            <w:tcW w:w="1570" w:type="pct"/>
            <w:vAlign w:val="center"/>
          </w:tcPr>
          <w:p w14:paraId="2325A3FE">
            <w:pPr>
              <w:keepNext w:val="0"/>
              <w:keepLines w:val="0"/>
              <w:numPr>
                <w:ilvl w:val="0"/>
                <w:numId w:val="12"/>
              </w:numPr>
              <w:suppressLineNumbers w:val="0"/>
              <w:adjustRightInd w:val="0"/>
              <w:snapToGrid w:val="0"/>
              <w:spacing w:before="0" w:beforeAutospacing="0" w:after="0" w:afterAutospacing="0" w:line="240" w:lineRule="auto"/>
              <w:ind w:left="0" w:right="0" w:firstLine="0"/>
              <w:jc w:val="both"/>
              <w:rPr>
                <w:rFonts w:hint="default" w:ascii="Times New Roman" w:hAnsi="Times New Roman" w:eastAsia="宋体" w:cs="Times New Roman"/>
                <w:sz w:val="21"/>
                <w14:ligatures w14:val="none"/>
              </w:rPr>
            </w:pPr>
            <w:r>
              <w:rPr>
                <w:rFonts w:hint="eastAsia" w:ascii="Times New Roman" w:hAnsi="Times New Roman" w:eastAsia="宋体" w:cs="Times New Roman"/>
                <w:sz w:val="21"/>
                <w:lang w:val="en-US" w:eastAsia="zh-CN"/>
                <w14:ligatures w14:val="none"/>
              </w:rPr>
              <w:t>事故报告、调查、处理制度</w:t>
            </w:r>
          </w:p>
        </w:tc>
        <w:tc>
          <w:tcPr>
            <w:tcW w:w="1429" w:type="pct"/>
            <w:vAlign w:val="center"/>
          </w:tcPr>
          <w:p w14:paraId="76110922">
            <w:pPr>
              <w:keepNext w:val="0"/>
              <w:keepLines w:val="0"/>
              <w:suppressLineNumbers w:val="0"/>
              <w:spacing w:before="0" w:beforeAutospacing="0" w:after="0" w:afterAutospacing="0" w:line="240" w:lineRule="auto"/>
              <w:ind w:left="0" w:right="0"/>
              <w:rPr>
                <w:rFonts w:hint="default"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《危险化学品经营许可证管理办法》第六条</w:t>
            </w:r>
          </w:p>
        </w:tc>
        <w:tc>
          <w:tcPr>
            <w:tcW w:w="1111" w:type="pct"/>
            <w:vAlign w:val="center"/>
          </w:tcPr>
          <w:p w14:paraId="06985098">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eastAsia" w:ascii="Times New Roman" w:hAnsi="Times New Roman" w:eastAsia="宋体" w:cs="Times New Roman"/>
                <w:sz w:val="21"/>
                <w14:ligatures w14:val="none"/>
              </w:rPr>
              <w:t>完善</w:t>
            </w:r>
          </w:p>
        </w:tc>
        <w:tc>
          <w:tcPr>
            <w:tcW w:w="435" w:type="pct"/>
            <w:vAlign w:val="center"/>
          </w:tcPr>
          <w:p w14:paraId="1C5898C9">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eastAsia" w:ascii="Times New Roman" w:hAnsi="Times New Roman" w:eastAsia="宋体" w:cs="Times New Roman"/>
                <w:sz w:val="21"/>
                <w14:ligatures w14:val="none"/>
              </w:rPr>
              <w:t>符合</w:t>
            </w:r>
          </w:p>
        </w:tc>
      </w:tr>
      <w:tr w14:paraId="289AD7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52" w:type="pct"/>
            <w:vMerge w:val="continue"/>
            <w:vAlign w:val="center"/>
          </w:tcPr>
          <w:p w14:paraId="31786971">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p>
        </w:tc>
        <w:tc>
          <w:tcPr>
            <w:tcW w:w="1570" w:type="pct"/>
            <w:vAlign w:val="center"/>
          </w:tcPr>
          <w:p w14:paraId="7371D6CF">
            <w:pPr>
              <w:keepNext w:val="0"/>
              <w:keepLines w:val="0"/>
              <w:numPr>
                <w:ilvl w:val="0"/>
                <w:numId w:val="12"/>
              </w:numPr>
              <w:suppressLineNumbers w:val="0"/>
              <w:adjustRightInd w:val="0"/>
              <w:snapToGrid w:val="0"/>
              <w:spacing w:before="0" w:beforeAutospacing="0" w:after="0" w:afterAutospacing="0" w:line="240" w:lineRule="auto"/>
              <w:ind w:left="0" w:right="0" w:firstLine="0"/>
              <w:jc w:val="both"/>
              <w:rPr>
                <w:rFonts w:hint="default" w:ascii="Times New Roman" w:hAnsi="Times New Roman" w:eastAsia="宋体" w:cs="Times New Roman"/>
                <w:sz w:val="21"/>
                <w14:ligatures w14:val="none"/>
              </w:rPr>
            </w:pPr>
            <w:r>
              <w:rPr>
                <w:rFonts w:hint="eastAsia" w:ascii="Times New Roman" w:hAnsi="Times New Roman" w:eastAsia="宋体" w:cs="Times New Roman"/>
                <w:sz w:val="21"/>
                <w14:ligatures w14:val="none"/>
              </w:rPr>
              <w:t>事故管理制度</w:t>
            </w:r>
          </w:p>
        </w:tc>
        <w:tc>
          <w:tcPr>
            <w:tcW w:w="1429" w:type="pct"/>
            <w:vAlign w:val="center"/>
          </w:tcPr>
          <w:p w14:paraId="714ABD54">
            <w:pPr>
              <w:keepNext w:val="0"/>
              <w:keepLines w:val="0"/>
              <w:suppressLineNumbers w:val="0"/>
              <w:spacing w:before="0" w:beforeAutospacing="0" w:after="0" w:afterAutospacing="0" w:line="240" w:lineRule="auto"/>
              <w:ind w:left="0" w:right="0"/>
              <w:rPr>
                <w:rFonts w:hint="default"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《危险化学品经营许可证管理办法》第六条</w:t>
            </w:r>
          </w:p>
        </w:tc>
        <w:tc>
          <w:tcPr>
            <w:tcW w:w="1111" w:type="pct"/>
            <w:vAlign w:val="center"/>
          </w:tcPr>
          <w:p w14:paraId="5B4E42B7">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eastAsia" w:ascii="Times New Roman" w:hAnsi="Times New Roman" w:eastAsia="宋体" w:cs="Times New Roman"/>
                <w:sz w:val="21"/>
                <w14:ligatures w14:val="none"/>
              </w:rPr>
              <w:t>完善</w:t>
            </w:r>
          </w:p>
        </w:tc>
        <w:tc>
          <w:tcPr>
            <w:tcW w:w="435" w:type="pct"/>
            <w:vAlign w:val="center"/>
          </w:tcPr>
          <w:p w14:paraId="6462426A">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eastAsia" w:ascii="Times New Roman" w:hAnsi="Times New Roman" w:eastAsia="宋体" w:cs="Times New Roman"/>
                <w:sz w:val="21"/>
                <w14:ligatures w14:val="none"/>
              </w:rPr>
              <w:t>符合</w:t>
            </w:r>
          </w:p>
        </w:tc>
      </w:tr>
      <w:tr w14:paraId="61B07B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52" w:type="pct"/>
            <w:vMerge w:val="continue"/>
            <w:vAlign w:val="center"/>
          </w:tcPr>
          <w:p w14:paraId="644B3ECA">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p>
        </w:tc>
        <w:tc>
          <w:tcPr>
            <w:tcW w:w="1570" w:type="pct"/>
            <w:vAlign w:val="center"/>
          </w:tcPr>
          <w:p w14:paraId="35B4B9D4">
            <w:pPr>
              <w:keepNext w:val="0"/>
              <w:keepLines w:val="0"/>
              <w:numPr>
                <w:ilvl w:val="0"/>
                <w:numId w:val="12"/>
              </w:numPr>
              <w:suppressLineNumbers w:val="0"/>
              <w:adjustRightInd w:val="0"/>
              <w:snapToGrid w:val="0"/>
              <w:spacing w:before="0" w:beforeAutospacing="0" w:after="0" w:afterAutospacing="0" w:line="240" w:lineRule="auto"/>
              <w:ind w:left="0" w:right="0" w:firstLine="0"/>
              <w:jc w:val="both"/>
              <w:rPr>
                <w:rFonts w:hint="default" w:ascii="Times New Roman" w:hAnsi="Times New Roman" w:eastAsia="宋体" w:cs="Times New Roman"/>
                <w:sz w:val="21"/>
                <w14:ligatures w14:val="none"/>
              </w:rPr>
            </w:pPr>
            <w:r>
              <w:rPr>
                <w:rFonts w:hint="eastAsia" w:ascii="Times New Roman" w:hAnsi="Times New Roman" w:eastAsia="宋体" w:cs="Times New Roman"/>
                <w:sz w:val="21"/>
                <w14:ligatures w14:val="none"/>
              </w:rPr>
              <w:t>安全生产投入保障制度</w:t>
            </w:r>
          </w:p>
        </w:tc>
        <w:tc>
          <w:tcPr>
            <w:tcW w:w="1429" w:type="pct"/>
            <w:vAlign w:val="center"/>
          </w:tcPr>
          <w:p w14:paraId="7149C9D0">
            <w:pPr>
              <w:keepNext w:val="0"/>
              <w:keepLines w:val="0"/>
              <w:suppressLineNumbers w:val="0"/>
              <w:spacing w:before="0" w:beforeAutospacing="0" w:after="0" w:afterAutospacing="0" w:line="240" w:lineRule="auto"/>
              <w:ind w:left="0" w:right="0"/>
              <w:rPr>
                <w:rFonts w:hint="default"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《危险化学品经营许可证管理办法》第六条</w:t>
            </w:r>
          </w:p>
        </w:tc>
        <w:tc>
          <w:tcPr>
            <w:tcW w:w="1111" w:type="pct"/>
            <w:vAlign w:val="center"/>
          </w:tcPr>
          <w:p w14:paraId="36D01B90">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eastAsia" w:ascii="Times New Roman" w:hAnsi="Times New Roman" w:eastAsia="宋体" w:cs="Times New Roman"/>
                <w:sz w:val="21"/>
                <w14:ligatures w14:val="none"/>
              </w:rPr>
              <w:t>完善</w:t>
            </w:r>
          </w:p>
        </w:tc>
        <w:tc>
          <w:tcPr>
            <w:tcW w:w="435" w:type="pct"/>
            <w:vAlign w:val="center"/>
          </w:tcPr>
          <w:p w14:paraId="68BE2579">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eastAsia" w:ascii="Times New Roman" w:hAnsi="Times New Roman" w:eastAsia="宋体" w:cs="Times New Roman"/>
                <w:sz w:val="21"/>
                <w14:ligatures w14:val="none"/>
              </w:rPr>
              <w:t>符合</w:t>
            </w:r>
          </w:p>
        </w:tc>
      </w:tr>
      <w:tr w14:paraId="2EC9FA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52" w:type="pct"/>
            <w:vMerge w:val="continue"/>
            <w:vAlign w:val="center"/>
          </w:tcPr>
          <w:p w14:paraId="6C40C195">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p>
        </w:tc>
        <w:tc>
          <w:tcPr>
            <w:tcW w:w="1570" w:type="pct"/>
            <w:vAlign w:val="center"/>
          </w:tcPr>
          <w:p w14:paraId="0B4F6BB7">
            <w:pPr>
              <w:keepNext w:val="0"/>
              <w:keepLines w:val="0"/>
              <w:numPr>
                <w:ilvl w:val="0"/>
                <w:numId w:val="12"/>
              </w:numPr>
              <w:suppressLineNumbers w:val="0"/>
              <w:adjustRightInd w:val="0"/>
              <w:snapToGrid w:val="0"/>
              <w:spacing w:before="0" w:beforeAutospacing="0" w:after="0" w:afterAutospacing="0" w:line="240" w:lineRule="auto"/>
              <w:ind w:left="0" w:right="0" w:firstLine="0"/>
              <w:jc w:val="both"/>
              <w:rPr>
                <w:rFonts w:hint="default" w:ascii="Times New Roman" w:hAnsi="Times New Roman" w:eastAsia="宋体" w:cs="Times New Roman"/>
                <w:sz w:val="21"/>
                <w14:ligatures w14:val="none"/>
              </w:rPr>
            </w:pPr>
            <w:r>
              <w:rPr>
                <w:rFonts w:hint="eastAsia" w:ascii="Times New Roman" w:hAnsi="Times New Roman" w:eastAsia="宋体" w:cs="Times New Roman"/>
                <w:sz w:val="21"/>
                <w:lang w:val="en-US" w:eastAsia="zh-CN"/>
                <w14:ligatures w14:val="none"/>
              </w:rPr>
              <w:t>安全教育培训管理制度</w:t>
            </w:r>
          </w:p>
        </w:tc>
        <w:tc>
          <w:tcPr>
            <w:tcW w:w="1429" w:type="pct"/>
            <w:vAlign w:val="center"/>
          </w:tcPr>
          <w:p w14:paraId="00E40541">
            <w:pPr>
              <w:keepNext w:val="0"/>
              <w:keepLines w:val="0"/>
              <w:suppressLineNumbers w:val="0"/>
              <w:spacing w:before="0" w:beforeAutospacing="0" w:after="0" w:afterAutospacing="0" w:line="240" w:lineRule="auto"/>
              <w:ind w:left="0" w:right="0"/>
              <w:rPr>
                <w:rFonts w:hint="default"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《危险化学品经营许可证管理办法》第六条</w:t>
            </w:r>
          </w:p>
        </w:tc>
        <w:tc>
          <w:tcPr>
            <w:tcW w:w="1111" w:type="pct"/>
            <w:vAlign w:val="center"/>
          </w:tcPr>
          <w:p w14:paraId="46AA43D0">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eastAsia" w:ascii="Times New Roman" w:hAnsi="Times New Roman" w:eastAsia="宋体" w:cs="Times New Roman"/>
                <w:sz w:val="21"/>
                <w14:ligatures w14:val="none"/>
              </w:rPr>
              <w:t>完善</w:t>
            </w:r>
          </w:p>
        </w:tc>
        <w:tc>
          <w:tcPr>
            <w:tcW w:w="435" w:type="pct"/>
            <w:vAlign w:val="center"/>
          </w:tcPr>
          <w:p w14:paraId="0CF85B0F">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eastAsia" w:ascii="Times New Roman" w:hAnsi="Times New Roman" w:eastAsia="宋体" w:cs="Times New Roman"/>
                <w:sz w:val="21"/>
                <w14:ligatures w14:val="none"/>
              </w:rPr>
              <w:t>符合</w:t>
            </w:r>
          </w:p>
        </w:tc>
      </w:tr>
      <w:tr w14:paraId="57E383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52" w:type="pct"/>
            <w:vMerge w:val="continue"/>
            <w:vAlign w:val="center"/>
          </w:tcPr>
          <w:p w14:paraId="109C6F07">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p>
        </w:tc>
        <w:tc>
          <w:tcPr>
            <w:tcW w:w="1570" w:type="pct"/>
            <w:vAlign w:val="center"/>
          </w:tcPr>
          <w:p w14:paraId="5C5C0FDF">
            <w:pPr>
              <w:keepNext w:val="0"/>
              <w:keepLines w:val="0"/>
              <w:numPr>
                <w:ilvl w:val="0"/>
                <w:numId w:val="12"/>
              </w:numPr>
              <w:suppressLineNumbers w:val="0"/>
              <w:adjustRightInd w:val="0"/>
              <w:snapToGrid w:val="0"/>
              <w:spacing w:before="0" w:beforeAutospacing="0" w:after="0" w:afterAutospacing="0" w:line="240" w:lineRule="auto"/>
              <w:ind w:left="0" w:right="0" w:firstLine="0"/>
              <w:jc w:val="both"/>
              <w:rPr>
                <w:rFonts w:hint="default" w:ascii="Times New Roman" w:hAnsi="Times New Roman" w:eastAsia="宋体" w:cs="Times New Roman"/>
                <w:sz w:val="21"/>
                <w14:ligatures w14:val="none"/>
              </w:rPr>
            </w:pPr>
            <w:r>
              <w:rPr>
                <w:rFonts w:hint="eastAsia" w:ascii="Times New Roman" w:hAnsi="Times New Roman" w:eastAsia="宋体" w:cs="Times New Roman"/>
                <w:sz w:val="21"/>
                <w14:ligatures w14:val="none"/>
              </w:rPr>
              <w:t>安全生产</w:t>
            </w:r>
            <w:r>
              <w:rPr>
                <w:rFonts w:hint="eastAsia" w:ascii="Times New Roman" w:hAnsi="Times New Roman" w:eastAsia="宋体" w:cs="Times New Roman"/>
                <w:sz w:val="21"/>
                <w:lang w:val="en-US" w:eastAsia="zh-CN"/>
                <w14:ligatures w14:val="none"/>
              </w:rPr>
              <w:t>建议及隐患报告奖励</w:t>
            </w:r>
            <w:r>
              <w:rPr>
                <w:rFonts w:hint="eastAsia" w:ascii="Times New Roman" w:hAnsi="Times New Roman" w:eastAsia="宋体" w:cs="Times New Roman"/>
                <w:sz w:val="21"/>
                <w14:ligatures w14:val="none"/>
              </w:rPr>
              <w:t>制度</w:t>
            </w:r>
          </w:p>
        </w:tc>
        <w:tc>
          <w:tcPr>
            <w:tcW w:w="1429" w:type="pct"/>
            <w:vAlign w:val="center"/>
          </w:tcPr>
          <w:p w14:paraId="52D9BDEB">
            <w:pPr>
              <w:keepNext w:val="0"/>
              <w:keepLines w:val="0"/>
              <w:suppressLineNumbers w:val="0"/>
              <w:spacing w:before="0" w:beforeAutospacing="0" w:after="0" w:afterAutospacing="0" w:line="240" w:lineRule="auto"/>
              <w:ind w:left="0" w:right="0"/>
              <w:rPr>
                <w:rFonts w:hint="default"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《危险化学品经营许可证管理办法》第六条</w:t>
            </w:r>
          </w:p>
        </w:tc>
        <w:tc>
          <w:tcPr>
            <w:tcW w:w="1111" w:type="pct"/>
            <w:vAlign w:val="center"/>
          </w:tcPr>
          <w:p w14:paraId="0657CD65">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eastAsia" w:ascii="Times New Roman" w:hAnsi="Times New Roman" w:eastAsia="宋体" w:cs="Times New Roman"/>
                <w:sz w:val="21"/>
                <w14:ligatures w14:val="none"/>
              </w:rPr>
              <w:t>完善</w:t>
            </w:r>
          </w:p>
        </w:tc>
        <w:tc>
          <w:tcPr>
            <w:tcW w:w="435" w:type="pct"/>
            <w:vAlign w:val="center"/>
          </w:tcPr>
          <w:p w14:paraId="716F5A2E">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eastAsia" w:ascii="Times New Roman" w:hAnsi="Times New Roman" w:eastAsia="宋体" w:cs="Times New Roman"/>
                <w:sz w:val="21"/>
                <w14:ligatures w14:val="none"/>
              </w:rPr>
              <w:t>符合</w:t>
            </w:r>
          </w:p>
        </w:tc>
      </w:tr>
      <w:tr w14:paraId="6DAF43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52" w:type="pct"/>
            <w:vMerge w:val="continue"/>
            <w:vAlign w:val="center"/>
          </w:tcPr>
          <w:p w14:paraId="5C667F9C">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p>
        </w:tc>
        <w:tc>
          <w:tcPr>
            <w:tcW w:w="1570" w:type="pct"/>
            <w:vAlign w:val="center"/>
          </w:tcPr>
          <w:p w14:paraId="633A6AC5">
            <w:pPr>
              <w:keepNext w:val="0"/>
              <w:keepLines w:val="0"/>
              <w:numPr>
                <w:ilvl w:val="0"/>
                <w:numId w:val="12"/>
              </w:numPr>
              <w:suppressLineNumbers w:val="0"/>
              <w:adjustRightInd w:val="0"/>
              <w:snapToGrid w:val="0"/>
              <w:spacing w:before="0" w:beforeAutospacing="0" w:after="0" w:afterAutospacing="0" w:line="240" w:lineRule="auto"/>
              <w:ind w:left="0" w:right="0" w:firstLine="0"/>
              <w:jc w:val="both"/>
              <w:rPr>
                <w:rFonts w:hint="default" w:ascii="Times New Roman" w:hAnsi="Times New Roman" w:eastAsia="宋体" w:cs="Times New Roman"/>
                <w:sz w:val="21"/>
                <w14:ligatures w14:val="none"/>
              </w:rPr>
            </w:pPr>
            <w:r>
              <w:rPr>
                <w:rFonts w:hint="eastAsia" w:ascii="Times New Roman" w:hAnsi="Times New Roman" w:eastAsia="宋体" w:cs="Times New Roman"/>
                <w:sz w:val="21"/>
                <w14:ligatures w14:val="none"/>
              </w:rPr>
              <w:t>消防</w:t>
            </w:r>
            <w:r>
              <w:rPr>
                <w:rFonts w:hint="eastAsia" w:ascii="Times New Roman" w:hAnsi="Times New Roman" w:eastAsia="宋体" w:cs="Times New Roman"/>
                <w:sz w:val="21"/>
                <w:lang w:val="en-US" w:eastAsia="zh-CN"/>
                <w14:ligatures w14:val="none"/>
              </w:rPr>
              <w:t>安全</w:t>
            </w:r>
            <w:r>
              <w:rPr>
                <w:rFonts w:hint="eastAsia" w:ascii="Times New Roman" w:hAnsi="Times New Roman" w:eastAsia="宋体" w:cs="Times New Roman"/>
                <w:sz w:val="21"/>
                <w14:ligatures w14:val="none"/>
              </w:rPr>
              <w:t>管理制度</w:t>
            </w:r>
          </w:p>
        </w:tc>
        <w:tc>
          <w:tcPr>
            <w:tcW w:w="1429" w:type="pct"/>
            <w:vAlign w:val="center"/>
          </w:tcPr>
          <w:p w14:paraId="531F055F">
            <w:pPr>
              <w:keepNext w:val="0"/>
              <w:keepLines w:val="0"/>
              <w:suppressLineNumbers w:val="0"/>
              <w:spacing w:before="0" w:beforeAutospacing="0" w:after="0" w:afterAutospacing="0" w:line="240" w:lineRule="auto"/>
              <w:ind w:left="0" w:right="0"/>
              <w:rPr>
                <w:rFonts w:hint="default"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《危险化学品经营许可证管理办法》第六条</w:t>
            </w:r>
          </w:p>
        </w:tc>
        <w:tc>
          <w:tcPr>
            <w:tcW w:w="1111" w:type="pct"/>
            <w:vAlign w:val="center"/>
          </w:tcPr>
          <w:p w14:paraId="681DE660">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eastAsia" w:ascii="Times New Roman" w:hAnsi="Times New Roman" w:eastAsia="宋体" w:cs="Times New Roman"/>
                <w:sz w:val="21"/>
                <w14:ligatures w14:val="none"/>
              </w:rPr>
              <w:t>完善</w:t>
            </w:r>
          </w:p>
        </w:tc>
        <w:tc>
          <w:tcPr>
            <w:tcW w:w="435" w:type="pct"/>
            <w:vAlign w:val="center"/>
          </w:tcPr>
          <w:p w14:paraId="5E1BDB0C">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eastAsia" w:ascii="Times New Roman" w:hAnsi="Times New Roman" w:eastAsia="宋体" w:cs="Times New Roman"/>
                <w:sz w:val="21"/>
                <w14:ligatures w14:val="none"/>
              </w:rPr>
              <w:t>符合</w:t>
            </w:r>
          </w:p>
        </w:tc>
      </w:tr>
      <w:tr w14:paraId="04B6F1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9" w:hRule="atLeast"/>
          <w:jc w:val="center"/>
        </w:trPr>
        <w:tc>
          <w:tcPr>
            <w:tcW w:w="452" w:type="pct"/>
            <w:vMerge w:val="continue"/>
            <w:vAlign w:val="center"/>
          </w:tcPr>
          <w:p w14:paraId="29211EA0">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p>
        </w:tc>
        <w:tc>
          <w:tcPr>
            <w:tcW w:w="1570" w:type="pct"/>
            <w:vAlign w:val="center"/>
          </w:tcPr>
          <w:p w14:paraId="458352E9">
            <w:pPr>
              <w:keepNext w:val="0"/>
              <w:keepLines w:val="0"/>
              <w:numPr>
                <w:ilvl w:val="0"/>
                <w:numId w:val="12"/>
              </w:numPr>
              <w:suppressLineNumbers w:val="0"/>
              <w:adjustRightInd w:val="0"/>
              <w:snapToGrid w:val="0"/>
              <w:spacing w:before="0" w:beforeAutospacing="0" w:after="0" w:afterAutospacing="0" w:line="240" w:lineRule="auto"/>
              <w:ind w:left="0" w:right="0" w:firstLine="0"/>
              <w:jc w:val="both"/>
              <w:rPr>
                <w:rFonts w:hint="eastAsia" w:ascii="Times New Roman" w:hAnsi="Times New Roman" w:eastAsia="宋体" w:cs="Times New Roman"/>
                <w:sz w:val="21"/>
                <w14:ligatures w14:val="none"/>
              </w:rPr>
            </w:pPr>
            <w:r>
              <w:rPr>
                <w:rFonts w:hint="eastAsia" w:ascii="Times New Roman" w:hAnsi="Times New Roman" w:eastAsia="宋体" w:cs="Times New Roman"/>
                <w:sz w:val="21"/>
                <w:lang w:val="en-US" w:eastAsia="zh-CN"/>
                <w14:ligatures w14:val="none"/>
              </w:rPr>
              <w:t>员工奖惩制度</w:t>
            </w:r>
          </w:p>
        </w:tc>
        <w:tc>
          <w:tcPr>
            <w:tcW w:w="1429" w:type="pct"/>
            <w:vAlign w:val="center"/>
          </w:tcPr>
          <w:p w14:paraId="7CE496C0">
            <w:pPr>
              <w:keepNext w:val="0"/>
              <w:keepLines w:val="0"/>
              <w:suppressLineNumbers w:val="0"/>
              <w:spacing w:before="0" w:beforeAutospacing="0" w:after="0" w:afterAutospacing="0" w:line="240" w:lineRule="auto"/>
              <w:ind w:left="0" w:right="0"/>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《危险化学品经营许可证管理办法》第六条</w:t>
            </w:r>
          </w:p>
        </w:tc>
        <w:tc>
          <w:tcPr>
            <w:tcW w:w="1111" w:type="pct"/>
            <w:vAlign w:val="center"/>
          </w:tcPr>
          <w:p w14:paraId="5A20B591">
            <w:pPr>
              <w:keepNext w:val="0"/>
              <w:keepLines w:val="0"/>
              <w:suppressLineNumbers w:val="0"/>
              <w:spacing w:before="0" w:beforeAutospacing="0" w:after="0" w:afterAutospacing="0" w:line="240" w:lineRule="auto"/>
              <w:ind w:left="0" w:right="0"/>
              <w:jc w:val="center"/>
              <w:rPr>
                <w:rFonts w:hint="eastAsia" w:ascii="Times New Roman" w:hAnsi="Times New Roman" w:eastAsia="宋体" w:cs="Times New Roman"/>
                <w:sz w:val="21"/>
                <w14:ligatures w14:val="none"/>
              </w:rPr>
            </w:pPr>
            <w:r>
              <w:rPr>
                <w:rFonts w:hint="eastAsia" w:ascii="Times New Roman" w:hAnsi="Times New Roman" w:eastAsia="宋体" w:cs="Times New Roman"/>
                <w:sz w:val="21"/>
                <w14:ligatures w14:val="none"/>
              </w:rPr>
              <w:t>完善</w:t>
            </w:r>
          </w:p>
        </w:tc>
        <w:tc>
          <w:tcPr>
            <w:tcW w:w="435" w:type="pct"/>
            <w:vAlign w:val="center"/>
          </w:tcPr>
          <w:p w14:paraId="19ECFB00">
            <w:pPr>
              <w:keepNext w:val="0"/>
              <w:keepLines w:val="0"/>
              <w:suppressLineNumbers w:val="0"/>
              <w:spacing w:before="0" w:beforeAutospacing="0" w:after="0" w:afterAutospacing="0" w:line="240" w:lineRule="auto"/>
              <w:ind w:left="0" w:right="0"/>
              <w:jc w:val="center"/>
              <w:rPr>
                <w:rFonts w:hint="eastAsia" w:ascii="Times New Roman" w:hAnsi="Times New Roman" w:eastAsia="宋体" w:cs="Times New Roman"/>
                <w:sz w:val="21"/>
                <w14:ligatures w14:val="none"/>
              </w:rPr>
            </w:pPr>
            <w:r>
              <w:rPr>
                <w:rFonts w:hint="eastAsia" w:ascii="Times New Roman" w:hAnsi="Times New Roman" w:eastAsia="宋体" w:cs="Times New Roman"/>
                <w:sz w:val="21"/>
                <w14:ligatures w14:val="none"/>
              </w:rPr>
              <w:t>符合</w:t>
            </w:r>
          </w:p>
        </w:tc>
      </w:tr>
      <w:tr w14:paraId="042980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5" w:hRule="atLeast"/>
          <w:jc w:val="center"/>
        </w:trPr>
        <w:tc>
          <w:tcPr>
            <w:tcW w:w="452" w:type="pct"/>
            <w:vMerge w:val="restart"/>
            <w:vAlign w:val="center"/>
          </w:tcPr>
          <w:p w14:paraId="694664E5">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操作</w:t>
            </w:r>
          </w:p>
          <w:p w14:paraId="4C9982C7">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规程</w:t>
            </w:r>
          </w:p>
        </w:tc>
        <w:tc>
          <w:tcPr>
            <w:tcW w:w="1570" w:type="pct"/>
            <w:vAlign w:val="center"/>
          </w:tcPr>
          <w:p w14:paraId="3D225A0B">
            <w:pPr>
              <w:keepNext w:val="0"/>
              <w:keepLines w:val="0"/>
              <w:numPr>
                <w:ilvl w:val="0"/>
                <w:numId w:val="13"/>
              </w:numPr>
              <w:suppressLineNumbers w:val="0"/>
              <w:adjustRightInd w:val="0"/>
              <w:snapToGrid w:val="0"/>
              <w:spacing w:before="0" w:beforeAutospacing="0" w:after="0" w:afterAutospacing="0" w:line="240" w:lineRule="auto"/>
              <w:ind w:left="0" w:right="0" w:firstLine="0"/>
              <w:jc w:val="both"/>
              <w:rPr>
                <w:rFonts w:hint="default"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次氯酸钠存储、装卸车安全操作规程</w:t>
            </w:r>
          </w:p>
        </w:tc>
        <w:tc>
          <w:tcPr>
            <w:tcW w:w="1429" w:type="pct"/>
            <w:vAlign w:val="center"/>
          </w:tcPr>
          <w:p w14:paraId="35F28F8C">
            <w:pPr>
              <w:keepNext w:val="0"/>
              <w:keepLines w:val="0"/>
              <w:suppressLineNumbers w:val="0"/>
              <w:spacing w:before="0" w:beforeAutospacing="0" w:after="0" w:afterAutospacing="0" w:line="240" w:lineRule="auto"/>
              <w:ind w:left="0" w:right="0"/>
              <w:rPr>
                <w:rFonts w:hint="default"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《危险化学品经营许可证管理办法》第六条</w:t>
            </w:r>
          </w:p>
        </w:tc>
        <w:tc>
          <w:tcPr>
            <w:tcW w:w="1111" w:type="pct"/>
            <w:vAlign w:val="center"/>
          </w:tcPr>
          <w:p w14:paraId="6BCB3E27">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eastAsia" w:ascii="Times New Roman" w:hAnsi="Times New Roman" w:eastAsia="宋体" w:cs="Times New Roman"/>
                <w:sz w:val="21"/>
                <w14:ligatures w14:val="none"/>
              </w:rPr>
              <w:t>可行</w:t>
            </w:r>
          </w:p>
        </w:tc>
        <w:tc>
          <w:tcPr>
            <w:tcW w:w="435" w:type="pct"/>
            <w:vAlign w:val="center"/>
          </w:tcPr>
          <w:p w14:paraId="22EC4E48">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eastAsia" w:ascii="Times New Roman" w:hAnsi="Times New Roman" w:eastAsia="宋体" w:cs="Times New Roman"/>
                <w:sz w:val="21"/>
                <w14:ligatures w14:val="none"/>
              </w:rPr>
              <w:t>符合</w:t>
            </w:r>
          </w:p>
        </w:tc>
      </w:tr>
      <w:tr w14:paraId="094680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52" w:type="pct"/>
            <w:vMerge w:val="continue"/>
            <w:vAlign w:val="center"/>
          </w:tcPr>
          <w:p w14:paraId="5D6720EE">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p>
        </w:tc>
        <w:tc>
          <w:tcPr>
            <w:tcW w:w="1570" w:type="pct"/>
            <w:vAlign w:val="center"/>
          </w:tcPr>
          <w:p w14:paraId="58672FD7">
            <w:pPr>
              <w:keepNext w:val="0"/>
              <w:keepLines w:val="0"/>
              <w:numPr>
                <w:ilvl w:val="0"/>
                <w:numId w:val="13"/>
              </w:numPr>
              <w:suppressLineNumbers w:val="0"/>
              <w:adjustRightInd w:val="0"/>
              <w:snapToGrid w:val="0"/>
              <w:spacing w:before="0" w:beforeAutospacing="0" w:after="0" w:afterAutospacing="0" w:line="240" w:lineRule="auto"/>
              <w:ind w:left="0" w:right="0" w:firstLine="0"/>
              <w:jc w:val="both"/>
              <w:rPr>
                <w:rFonts w:hint="default"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盐酸装卸车操作规程</w:t>
            </w:r>
          </w:p>
        </w:tc>
        <w:tc>
          <w:tcPr>
            <w:tcW w:w="1429" w:type="pct"/>
            <w:vAlign w:val="center"/>
          </w:tcPr>
          <w:p w14:paraId="09A3295E">
            <w:pPr>
              <w:keepNext w:val="0"/>
              <w:keepLines w:val="0"/>
              <w:suppressLineNumbers w:val="0"/>
              <w:spacing w:before="0" w:beforeAutospacing="0" w:after="0" w:afterAutospacing="0" w:line="240" w:lineRule="auto"/>
              <w:ind w:left="0" w:right="0"/>
              <w:rPr>
                <w:rFonts w:hint="default" w:ascii="Times New Roman" w:hAnsi="Times New Roman" w:eastAsia="宋体" w:cs="Times New Roman"/>
                <w:sz w:val="21"/>
                <w14:ligatures w14:val="none"/>
              </w:rPr>
            </w:pPr>
            <w:r>
              <w:rPr>
                <w:rFonts w:hint="default" w:ascii="Times New Roman" w:hAnsi="Times New Roman" w:eastAsia="宋体" w:cs="Times New Roman"/>
                <w:sz w:val="21"/>
                <w:szCs w:val="21"/>
                <w14:ligatures w14:val="none"/>
              </w:rPr>
              <w:t>《危险化学品经营许可证管理办法》第</w:t>
            </w:r>
            <w:r>
              <w:rPr>
                <w:rFonts w:hint="eastAsia" w:ascii="Times New Roman" w:hAnsi="Times New Roman" w:eastAsia="宋体" w:cs="Times New Roman"/>
                <w:sz w:val="21"/>
                <w:szCs w:val="21"/>
                <w14:ligatures w14:val="none"/>
              </w:rPr>
              <w:t>六</w:t>
            </w:r>
            <w:r>
              <w:rPr>
                <w:rFonts w:hint="default" w:ascii="Times New Roman" w:hAnsi="Times New Roman" w:eastAsia="宋体" w:cs="Times New Roman"/>
                <w:sz w:val="21"/>
                <w:szCs w:val="21"/>
                <w14:ligatures w14:val="none"/>
              </w:rPr>
              <w:t>条</w:t>
            </w:r>
          </w:p>
        </w:tc>
        <w:tc>
          <w:tcPr>
            <w:tcW w:w="1111" w:type="pct"/>
            <w:vAlign w:val="center"/>
          </w:tcPr>
          <w:p w14:paraId="5376C1F4">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可行</w:t>
            </w:r>
          </w:p>
        </w:tc>
        <w:tc>
          <w:tcPr>
            <w:tcW w:w="435" w:type="pct"/>
            <w:vAlign w:val="center"/>
          </w:tcPr>
          <w:p w14:paraId="0DFBA06F">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符合</w:t>
            </w:r>
          </w:p>
        </w:tc>
      </w:tr>
      <w:tr w14:paraId="181CE9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52" w:type="pct"/>
            <w:vMerge w:val="continue"/>
            <w:vAlign w:val="center"/>
          </w:tcPr>
          <w:p w14:paraId="7885872D">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p>
        </w:tc>
        <w:tc>
          <w:tcPr>
            <w:tcW w:w="1570" w:type="pct"/>
            <w:vAlign w:val="center"/>
          </w:tcPr>
          <w:p w14:paraId="08DD1E3E">
            <w:pPr>
              <w:keepNext w:val="0"/>
              <w:keepLines w:val="0"/>
              <w:numPr>
                <w:ilvl w:val="0"/>
                <w:numId w:val="13"/>
              </w:numPr>
              <w:suppressLineNumbers w:val="0"/>
              <w:adjustRightInd w:val="0"/>
              <w:snapToGrid w:val="0"/>
              <w:spacing w:before="0" w:beforeAutospacing="0" w:after="0" w:afterAutospacing="0" w:line="240" w:lineRule="auto"/>
              <w:ind w:left="0" w:right="0" w:firstLine="0"/>
              <w:jc w:val="both"/>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高硅四氯化钛装卸车操作规程</w:t>
            </w:r>
          </w:p>
        </w:tc>
        <w:tc>
          <w:tcPr>
            <w:tcW w:w="2688" w:type="dxa"/>
            <w:vAlign w:val="center"/>
          </w:tcPr>
          <w:p w14:paraId="7DC931F1">
            <w:pPr>
              <w:keepNext w:val="0"/>
              <w:keepLines w:val="0"/>
              <w:suppressLineNumbers w:val="0"/>
              <w:spacing w:before="0" w:beforeAutospacing="0" w:after="0" w:afterAutospacing="0" w:line="240" w:lineRule="auto"/>
              <w:ind w:left="0" w:leftChars="0" w:right="0" w:rightChars="0"/>
              <w:rPr>
                <w:rFonts w:hint="default"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《危险化学品经营许可证管理办法》第六条</w:t>
            </w:r>
          </w:p>
        </w:tc>
        <w:tc>
          <w:tcPr>
            <w:tcW w:w="2090" w:type="dxa"/>
            <w:vAlign w:val="center"/>
          </w:tcPr>
          <w:p w14:paraId="1B416DCA">
            <w:pPr>
              <w:keepNext w:val="0"/>
              <w:keepLines w:val="0"/>
              <w:suppressLineNumbers w:val="0"/>
              <w:spacing w:before="0" w:beforeAutospacing="0" w:after="0" w:afterAutospacing="0" w:line="240" w:lineRule="auto"/>
              <w:ind w:left="0" w:leftChars="0" w:right="0" w:rightChars="0"/>
              <w:jc w:val="center"/>
              <w:rPr>
                <w:rFonts w:hint="default" w:ascii="Times New Roman" w:hAnsi="Times New Roman" w:eastAsia="宋体" w:cs="Times New Roman"/>
                <w:sz w:val="21"/>
                <w14:ligatures w14:val="none"/>
              </w:rPr>
            </w:pPr>
            <w:r>
              <w:rPr>
                <w:rFonts w:hint="eastAsia" w:ascii="Times New Roman" w:hAnsi="Times New Roman" w:eastAsia="宋体" w:cs="Times New Roman"/>
                <w:sz w:val="21"/>
                <w14:ligatures w14:val="none"/>
              </w:rPr>
              <w:t>可行</w:t>
            </w:r>
          </w:p>
        </w:tc>
        <w:tc>
          <w:tcPr>
            <w:tcW w:w="819" w:type="dxa"/>
            <w:vAlign w:val="center"/>
          </w:tcPr>
          <w:p w14:paraId="720D605D">
            <w:pPr>
              <w:keepNext w:val="0"/>
              <w:keepLines w:val="0"/>
              <w:suppressLineNumbers w:val="0"/>
              <w:spacing w:before="0" w:beforeAutospacing="0" w:after="0" w:afterAutospacing="0" w:line="240" w:lineRule="auto"/>
              <w:ind w:left="0" w:leftChars="0" w:right="0" w:rightChars="0"/>
              <w:jc w:val="center"/>
              <w:rPr>
                <w:rFonts w:hint="default" w:ascii="Times New Roman" w:hAnsi="Times New Roman" w:eastAsia="宋体" w:cs="Times New Roman"/>
                <w:sz w:val="21"/>
                <w14:ligatures w14:val="none"/>
              </w:rPr>
            </w:pPr>
            <w:r>
              <w:rPr>
                <w:rFonts w:hint="eastAsia" w:ascii="Times New Roman" w:hAnsi="Times New Roman" w:eastAsia="宋体" w:cs="Times New Roman"/>
                <w:sz w:val="21"/>
                <w14:ligatures w14:val="none"/>
              </w:rPr>
              <w:t>符合</w:t>
            </w:r>
          </w:p>
        </w:tc>
      </w:tr>
      <w:tr w14:paraId="447FDA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52" w:type="pct"/>
            <w:vAlign w:val="center"/>
          </w:tcPr>
          <w:p w14:paraId="0AB14E60">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安全</w:t>
            </w:r>
          </w:p>
          <w:p w14:paraId="4F185E6A">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管理</w:t>
            </w:r>
          </w:p>
          <w:p w14:paraId="74EAE26B">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组织</w:t>
            </w:r>
          </w:p>
        </w:tc>
        <w:tc>
          <w:tcPr>
            <w:tcW w:w="1570" w:type="pct"/>
            <w:vAlign w:val="center"/>
          </w:tcPr>
          <w:p w14:paraId="71FD21DF">
            <w:pPr>
              <w:keepNext w:val="0"/>
              <w:keepLines w:val="0"/>
              <w:numPr>
                <w:ilvl w:val="0"/>
                <w:numId w:val="14"/>
              </w:numPr>
              <w:suppressLineNumbers w:val="0"/>
              <w:adjustRightInd w:val="0"/>
              <w:snapToGrid w:val="0"/>
              <w:spacing w:before="0" w:beforeAutospacing="0" w:after="0" w:afterAutospacing="0" w:line="240" w:lineRule="auto"/>
              <w:ind w:left="0" w:right="0" w:firstLine="0"/>
              <w:jc w:val="both"/>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设立安全管理机构或配备专职安全管理人员。</w:t>
            </w:r>
          </w:p>
        </w:tc>
        <w:tc>
          <w:tcPr>
            <w:tcW w:w="1429" w:type="pct"/>
            <w:vAlign w:val="center"/>
          </w:tcPr>
          <w:p w14:paraId="170963B9">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《中华人民共和国安全生产法》第</w:t>
            </w:r>
            <w:r>
              <w:rPr>
                <w:rFonts w:hint="eastAsia" w:ascii="Times New Roman" w:hAnsi="Times New Roman" w:eastAsia="宋体" w:cs="Times New Roman"/>
                <w:sz w:val="21"/>
                <w14:ligatures w14:val="none"/>
              </w:rPr>
              <w:t>二十一</w:t>
            </w:r>
            <w:r>
              <w:rPr>
                <w:rFonts w:hint="default" w:ascii="Times New Roman" w:hAnsi="Times New Roman" w:eastAsia="宋体" w:cs="Times New Roman"/>
                <w:sz w:val="21"/>
                <w14:ligatures w14:val="none"/>
              </w:rPr>
              <w:t>条</w:t>
            </w:r>
          </w:p>
        </w:tc>
        <w:tc>
          <w:tcPr>
            <w:tcW w:w="1111" w:type="pct"/>
            <w:vAlign w:val="center"/>
          </w:tcPr>
          <w:p w14:paraId="5E435F7C">
            <w:pPr>
              <w:keepNext w:val="0"/>
              <w:keepLines w:val="0"/>
              <w:suppressLineNumbers w:val="0"/>
              <w:spacing w:before="0" w:beforeAutospacing="0" w:after="0" w:afterAutospacing="0" w:line="240" w:lineRule="auto"/>
              <w:ind w:left="0" w:right="0"/>
              <w:jc w:val="both"/>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配备有专职安全管理人员</w:t>
            </w:r>
          </w:p>
        </w:tc>
        <w:tc>
          <w:tcPr>
            <w:tcW w:w="435" w:type="pct"/>
            <w:vAlign w:val="center"/>
          </w:tcPr>
          <w:p w14:paraId="59B3097D">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符合</w:t>
            </w:r>
          </w:p>
        </w:tc>
      </w:tr>
      <w:tr w14:paraId="742CA6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52" w:type="pct"/>
            <w:vMerge w:val="restart"/>
            <w:vAlign w:val="center"/>
          </w:tcPr>
          <w:p w14:paraId="77EA5AA9">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应急</w:t>
            </w:r>
          </w:p>
          <w:p w14:paraId="74A4FCE7">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救援</w:t>
            </w:r>
          </w:p>
          <w:p w14:paraId="78871F54">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措施</w:t>
            </w:r>
          </w:p>
        </w:tc>
        <w:tc>
          <w:tcPr>
            <w:tcW w:w="1570" w:type="pct"/>
            <w:vAlign w:val="center"/>
          </w:tcPr>
          <w:p w14:paraId="72C9CBA1">
            <w:pPr>
              <w:keepNext w:val="0"/>
              <w:keepLines w:val="0"/>
              <w:numPr>
                <w:ilvl w:val="0"/>
                <w:numId w:val="15"/>
              </w:numPr>
              <w:suppressLineNumbers w:val="0"/>
              <w:adjustRightInd w:val="0"/>
              <w:snapToGrid w:val="0"/>
              <w:spacing w:before="0" w:beforeAutospacing="0" w:after="0" w:afterAutospacing="0" w:line="240" w:lineRule="auto"/>
              <w:ind w:left="0" w:right="0" w:firstLine="0"/>
              <w:jc w:val="both"/>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建立应急救援组织，制定事故应急预案。</w:t>
            </w:r>
          </w:p>
        </w:tc>
        <w:tc>
          <w:tcPr>
            <w:tcW w:w="1429" w:type="pct"/>
            <w:vAlign w:val="center"/>
          </w:tcPr>
          <w:p w14:paraId="4295D1E7">
            <w:pPr>
              <w:keepNext w:val="0"/>
              <w:keepLines w:val="0"/>
              <w:suppressLineNumbers w:val="0"/>
              <w:spacing w:before="0" w:beforeAutospacing="0" w:after="0" w:afterAutospacing="0" w:line="240" w:lineRule="auto"/>
              <w:ind w:left="0" w:right="0"/>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《危险化学品安全管理条例》第</w:t>
            </w:r>
            <w:r>
              <w:rPr>
                <w:rFonts w:hint="eastAsia" w:ascii="Times New Roman" w:hAnsi="Times New Roman" w:eastAsia="宋体" w:cs="Times New Roman"/>
                <w:sz w:val="21"/>
                <w14:ligatures w14:val="none"/>
              </w:rPr>
              <w:t>三十四</w:t>
            </w:r>
            <w:r>
              <w:rPr>
                <w:rFonts w:hint="default" w:ascii="Times New Roman" w:hAnsi="Times New Roman" w:eastAsia="宋体" w:cs="Times New Roman"/>
                <w:sz w:val="21"/>
                <w14:ligatures w14:val="none"/>
              </w:rPr>
              <w:t>条</w:t>
            </w:r>
          </w:p>
        </w:tc>
        <w:tc>
          <w:tcPr>
            <w:tcW w:w="1111" w:type="pct"/>
            <w:vAlign w:val="center"/>
          </w:tcPr>
          <w:p w14:paraId="08A272D9">
            <w:pPr>
              <w:keepNext w:val="0"/>
              <w:keepLines w:val="0"/>
              <w:suppressLineNumbers w:val="0"/>
              <w:spacing w:before="0" w:beforeAutospacing="0" w:after="0" w:afterAutospacing="0" w:line="240" w:lineRule="auto"/>
              <w:ind w:left="0" w:right="0"/>
              <w:jc w:val="both"/>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已建立应急救援组织，并制定事故应急预案</w:t>
            </w:r>
          </w:p>
        </w:tc>
        <w:tc>
          <w:tcPr>
            <w:tcW w:w="435" w:type="pct"/>
            <w:vAlign w:val="center"/>
          </w:tcPr>
          <w:p w14:paraId="5B1C9FD5">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符合</w:t>
            </w:r>
          </w:p>
        </w:tc>
      </w:tr>
      <w:tr w14:paraId="4E26E4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52" w:type="pct"/>
            <w:vMerge w:val="continue"/>
            <w:vAlign w:val="center"/>
          </w:tcPr>
          <w:p w14:paraId="7001A982">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p>
        </w:tc>
        <w:tc>
          <w:tcPr>
            <w:tcW w:w="1570" w:type="pct"/>
            <w:vAlign w:val="center"/>
          </w:tcPr>
          <w:p w14:paraId="0AD0C875">
            <w:pPr>
              <w:keepNext w:val="0"/>
              <w:keepLines w:val="0"/>
              <w:numPr>
                <w:ilvl w:val="0"/>
                <w:numId w:val="15"/>
              </w:numPr>
              <w:suppressLineNumbers w:val="0"/>
              <w:adjustRightInd w:val="0"/>
              <w:snapToGrid w:val="0"/>
              <w:spacing w:before="0" w:beforeAutospacing="0" w:after="0" w:afterAutospacing="0" w:line="240" w:lineRule="auto"/>
              <w:ind w:left="0" w:right="0" w:firstLine="0"/>
              <w:jc w:val="both"/>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预案编制符合《生产经营单位生产安全事故应急预案编制导则》GB/T 29639-20</w:t>
            </w:r>
            <w:r>
              <w:rPr>
                <w:rFonts w:hint="eastAsia" w:ascii="Times New Roman" w:hAnsi="Times New Roman" w:eastAsia="宋体" w:cs="Times New Roman"/>
                <w:sz w:val="21"/>
                <w14:ligatures w14:val="none"/>
              </w:rPr>
              <w:t>20</w:t>
            </w:r>
          </w:p>
        </w:tc>
        <w:tc>
          <w:tcPr>
            <w:tcW w:w="1429" w:type="pct"/>
            <w:vAlign w:val="center"/>
          </w:tcPr>
          <w:p w14:paraId="06A6D719">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《危险化学品安全管理条例》第</w:t>
            </w:r>
            <w:r>
              <w:rPr>
                <w:rFonts w:hint="eastAsia" w:ascii="Times New Roman" w:hAnsi="Times New Roman" w:eastAsia="宋体" w:cs="Times New Roman"/>
                <w:sz w:val="21"/>
                <w14:ligatures w14:val="none"/>
              </w:rPr>
              <w:t>三十四</w:t>
            </w:r>
            <w:r>
              <w:rPr>
                <w:rFonts w:hint="default" w:ascii="Times New Roman" w:hAnsi="Times New Roman" w:eastAsia="宋体" w:cs="Times New Roman"/>
                <w:sz w:val="21"/>
                <w14:ligatures w14:val="none"/>
              </w:rPr>
              <w:t>条</w:t>
            </w:r>
          </w:p>
        </w:tc>
        <w:tc>
          <w:tcPr>
            <w:tcW w:w="1111" w:type="pct"/>
            <w:vAlign w:val="center"/>
          </w:tcPr>
          <w:p w14:paraId="49967C19">
            <w:pPr>
              <w:keepNext w:val="0"/>
              <w:keepLines w:val="0"/>
              <w:suppressLineNumbers w:val="0"/>
              <w:spacing w:before="0" w:beforeAutospacing="0" w:after="0" w:afterAutospacing="0" w:line="240" w:lineRule="auto"/>
              <w:ind w:left="0" w:right="0"/>
              <w:jc w:val="both"/>
              <w:rPr>
                <w:rFonts w:hint="default" w:ascii="Times New Roman" w:hAnsi="Times New Roman" w:eastAsia="宋体" w:cs="Times New Roman"/>
                <w:sz w:val="21"/>
                <w:lang w:val="en-US" w:eastAsia="zh-CN"/>
                <w14:ligatures w14:val="none"/>
              </w:rPr>
            </w:pPr>
            <w:r>
              <w:rPr>
                <w:rFonts w:hint="eastAsia" w:ascii="Times New Roman" w:hAnsi="Times New Roman" w:eastAsia="宋体" w:cs="Times New Roman"/>
                <w:sz w:val="21"/>
                <w14:ligatures w14:val="none"/>
              </w:rPr>
              <w:t>企业已编制应急预案</w:t>
            </w:r>
            <w:r>
              <w:rPr>
                <w:rFonts w:hint="eastAsia" w:ascii="Times New Roman" w:hAnsi="Times New Roman" w:eastAsia="宋体" w:cs="Times New Roman"/>
                <w:sz w:val="21"/>
                <w:lang w:eastAsia="zh-CN"/>
                <w14:ligatures w14:val="none"/>
              </w:rPr>
              <w:t>，</w:t>
            </w:r>
            <w:r>
              <w:rPr>
                <w:rFonts w:hint="eastAsia" w:ascii="Times New Roman" w:hAnsi="Times New Roman" w:eastAsia="宋体" w:cs="Times New Roman"/>
                <w:sz w:val="21"/>
                <w:lang w:val="en-US" w:eastAsia="zh-CN"/>
                <w14:ligatures w14:val="none"/>
              </w:rPr>
              <w:t>并符合规范</w:t>
            </w:r>
          </w:p>
        </w:tc>
        <w:tc>
          <w:tcPr>
            <w:tcW w:w="435" w:type="pct"/>
            <w:vAlign w:val="center"/>
          </w:tcPr>
          <w:p w14:paraId="2D23B6C1">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符合</w:t>
            </w:r>
          </w:p>
        </w:tc>
      </w:tr>
      <w:tr w14:paraId="18544C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52" w:type="pct"/>
            <w:vMerge w:val="continue"/>
            <w:vAlign w:val="center"/>
          </w:tcPr>
          <w:p w14:paraId="451DB826">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p>
        </w:tc>
        <w:tc>
          <w:tcPr>
            <w:tcW w:w="1570" w:type="pct"/>
            <w:vAlign w:val="center"/>
          </w:tcPr>
          <w:p w14:paraId="202E6478">
            <w:pPr>
              <w:keepNext w:val="0"/>
              <w:keepLines w:val="0"/>
              <w:numPr>
                <w:ilvl w:val="0"/>
                <w:numId w:val="15"/>
              </w:numPr>
              <w:suppressLineNumbers w:val="0"/>
              <w:adjustRightInd w:val="0"/>
              <w:snapToGrid w:val="0"/>
              <w:spacing w:before="0" w:beforeAutospacing="0" w:after="0" w:afterAutospacing="0" w:line="240" w:lineRule="auto"/>
              <w:ind w:left="0" w:right="0" w:firstLine="0"/>
              <w:jc w:val="both"/>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定期组织预案演练并进行记录。</w:t>
            </w:r>
          </w:p>
        </w:tc>
        <w:tc>
          <w:tcPr>
            <w:tcW w:w="1429" w:type="pct"/>
            <w:vAlign w:val="center"/>
          </w:tcPr>
          <w:p w14:paraId="2ED12131">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《危险化学品安全管理条例》第</w:t>
            </w:r>
            <w:r>
              <w:rPr>
                <w:rFonts w:hint="eastAsia" w:ascii="Times New Roman" w:hAnsi="Times New Roman" w:eastAsia="宋体" w:cs="Times New Roman"/>
                <w:sz w:val="21"/>
                <w14:ligatures w14:val="none"/>
              </w:rPr>
              <w:t>三十四</w:t>
            </w:r>
            <w:r>
              <w:rPr>
                <w:rFonts w:hint="default" w:ascii="Times New Roman" w:hAnsi="Times New Roman" w:eastAsia="宋体" w:cs="Times New Roman"/>
                <w:sz w:val="21"/>
                <w14:ligatures w14:val="none"/>
              </w:rPr>
              <w:t>条</w:t>
            </w:r>
          </w:p>
        </w:tc>
        <w:tc>
          <w:tcPr>
            <w:tcW w:w="1111" w:type="pct"/>
            <w:vAlign w:val="center"/>
          </w:tcPr>
          <w:p w14:paraId="27F32739">
            <w:pPr>
              <w:keepNext w:val="0"/>
              <w:keepLines w:val="0"/>
              <w:suppressLineNumbers w:val="0"/>
              <w:spacing w:before="0" w:beforeAutospacing="0" w:after="0" w:afterAutospacing="0" w:line="240" w:lineRule="auto"/>
              <w:ind w:left="0" w:right="0"/>
              <w:jc w:val="both"/>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有演练记录</w:t>
            </w:r>
          </w:p>
        </w:tc>
        <w:tc>
          <w:tcPr>
            <w:tcW w:w="435" w:type="pct"/>
            <w:vAlign w:val="center"/>
          </w:tcPr>
          <w:p w14:paraId="3634880E">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符合</w:t>
            </w:r>
          </w:p>
        </w:tc>
      </w:tr>
      <w:tr w14:paraId="477216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52" w:type="pct"/>
            <w:vMerge w:val="restart"/>
            <w:vAlign w:val="center"/>
          </w:tcPr>
          <w:p w14:paraId="750640BA">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从业</w:t>
            </w:r>
          </w:p>
          <w:p w14:paraId="0BEE1510">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人员</w:t>
            </w:r>
          </w:p>
          <w:p w14:paraId="47AAB318">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资格</w:t>
            </w:r>
          </w:p>
        </w:tc>
        <w:tc>
          <w:tcPr>
            <w:tcW w:w="1570" w:type="pct"/>
            <w:shd w:val="clear" w:color="auto" w:fill="auto"/>
            <w:vAlign w:val="center"/>
          </w:tcPr>
          <w:p w14:paraId="7AA586F7">
            <w:pPr>
              <w:keepNext w:val="0"/>
              <w:keepLines w:val="0"/>
              <w:numPr>
                <w:ilvl w:val="0"/>
                <w:numId w:val="16"/>
              </w:numPr>
              <w:suppressLineNumbers w:val="0"/>
              <w:adjustRightInd w:val="0"/>
              <w:snapToGrid w:val="0"/>
              <w:spacing w:before="0" w:beforeAutospacing="0" w:after="0" w:afterAutospacing="0" w:line="240" w:lineRule="auto"/>
              <w:ind w:left="0" w:leftChars="0" w:right="0" w:rightChars="0" w:firstLine="0" w:firstLineChars="0"/>
              <w:jc w:val="both"/>
              <w:rPr>
                <w:rFonts w:hint="default" w:ascii="Times New Roman" w:hAnsi="Times New Roman" w:eastAsia="宋体" w:cs="Times New Roman"/>
                <w:kern w:val="2"/>
                <w:sz w:val="21"/>
                <w:szCs w:val="24"/>
                <w:lang w:val="en-US" w:eastAsia="zh-CN" w:bidi="ar-SA"/>
                <w14:ligatures w14:val="none"/>
              </w:rPr>
            </w:pPr>
            <w:r>
              <w:rPr>
                <w:rFonts w:hint="default" w:ascii="Times New Roman" w:hAnsi="Times New Roman" w:eastAsia="宋体" w:cs="Times New Roman"/>
                <w:sz w:val="21"/>
                <w14:ligatures w14:val="none"/>
              </w:rPr>
              <w:t>生产经营单位的主要负责 人和安全生产管理人员必须具备与本单位所从事的 生产经营活动相应的安全生产知识和管理能力。危险物品的生产、储存、装卸单位以及矿山、金属冶炼单位应当有注册安全工程师从事安全生产管理工作。</w:t>
            </w:r>
          </w:p>
        </w:tc>
        <w:tc>
          <w:tcPr>
            <w:tcW w:w="1429" w:type="pct"/>
            <w:shd w:val="clear" w:color="auto" w:fill="auto"/>
            <w:vAlign w:val="center"/>
          </w:tcPr>
          <w:p w14:paraId="398D9B51">
            <w:pPr>
              <w:keepNext w:val="0"/>
              <w:keepLines w:val="0"/>
              <w:numPr>
                <w:ilvl w:val="0"/>
                <w:numId w:val="0"/>
              </w:numPr>
              <w:suppressLineNumbers w:val="0"/>
              <w:adjustRightInd w:val="0"/>
              <w:snapToGrid w:val="0"/>
              <w:spacing w:before="0" w:beforeAutospacing="0" w:after="0" w:afterAutospacing="0" w:line="240" w:lineRule="auto"/>
              <w:ind w:left="0" w:leftChars="0" w:right="0" w:rightChars="0"/>
              <w:jc w:val="center"/>
              <w:rPr>
                <w:rFonts w:hint="default" w:ascii="Times New Roman" w:hAnsi="Times New Roman" w:eastAsia="宋体" w:cs="Times New Roman"/>
                <w:sz w:val="21"/>
                <w14:ligatures w14:val="none"/>
              </w:rPr>
            </w:pPr>
          </w:p>
          <w:p w14:paraId="57BA1DEC">
            <w:pPr>
              <w:keepNext w:val="0"/>
              <w:keepLines w:val="0"/>
              <w:numPr>
                <w:ilvl w:val="0"/>
                <w:numId w:val="0"/>
              </w:numPr>
              <w:suppressLineNumbers w:val="0"/>
              <w:adjustRightInd w:val="0"/>
              <w:snapToGrid w:val="0"/>
              <w:spacing w:before="0" w:beforeAutospacing="0" w:after="0" w:afterAutospacing="0" w:line="240" w:lineRule="auto"/>
              <w:ind w:left="0" w:leftChars="0" w:right="0" w:rightChars="0"/>
              <w:jc w:val="center"/>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《中华人民共和国安全生产法》</w:t>
            </w:r>
          </w:p>
          <w:p w14:paraId="3B327A2F">
            <w:pPr>
              <w:keepNext w:val="0"/>
              <w:keepLines w:val="0"/>
              <w:numPr>
                <w:ilvl w:val="0"/>
                <w:numId w:val="0"/>
              </w:numPr>
              <w:suppressLineNumbers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kern w:val="2"/>
                <w:sz w:val="21"/>
                <w:szCs w:val="21"/>
                <w:lang w:val="en-US" w:eastAsia="zh-CN" w:bidi="ar-SA"/>
                <w14:ligatures w14:val="none"/>
              </w:rPr>
            </w:pPr>
            <w:r>
              <w:rPr>
                <w:rFonts w:hint="default" w:ascii="Times New Roman" w:hAnsi="Times New Roman" w:eastAsia="宋体" w:cs="Times New Roman"/>
                <w:sz w:val="21"/>
                <w14:ligatures w14:val="none"/>
              </w:rPr>
              <w:t>第二十七条</w:t>
            </w:r>
          </w:p>
        </w:tc>
        <w:tc>
          <w:tcPr>
            <w:tcW w:w="1111" w:type="pct"/>
            <w:shd w:val="clear" w:color="auto" w:fill="auto"/>
            <w:vAlign w:val="center"/>
          </w:tcPr>
          <w:p w14:paraId="4D90F5A6">
            <w:pPr>
              <w:keepNext w:val="0"/>
              <w:keepLines w:val="0"/>
              <w:numPr>
                <w:ilvl w:val="0"/>
                <w:numId w:val="0"/>
              </w:numPr>
              <w:suppressLineNumbers w:val="0"/>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kern w:val="2"/>
                <w:sz w:val="21"/>
                <w:szCs w:val="24"/>
                <w:lang w:val="en-US" w:eastAsia="zh-CN" w:bidi="ar-SA"/>
                <w14:ligatures w14:val="none"/>
              </w:rPr>
            </w:pPr>
            <w:r>
              <w:rPr>
                <w:rFonts w:hint="default" w:ascii="Times New Roman" w:hAnsi="Times New Roman" w:eastAsia="宋体" w:cs="Times New Roman"/>
                <w:sz w:val="21"/>
                <w14:ligatures w14:val="none"/>
              </w:rPr>
              <w:t>该企业主要负责人和安全生产管理人员具备与本单位所从事的生产经营活动相应的安全生产知识和管理能力。</w:t>
            </w:r>
          </w:p>
        </w:tc>
        <w:tc>
          <w:tcPr>
            <w:tcW w:w="435" w:type="pct"/>
            <w:shd w:val="clear" w:color="auto" w:fill="auto"/>
            <w:vAlign w:val="center"/>
          </w:tcPr>
          <w:p w14:paraId="359C478F">
            <w:pPr>
              <w:keepNext w:val="0"/>
              <w:keepLines w:val="0"/>
              <w:suppressLineNumbers w:val="0"/>
              <w:spacing w:before="0" w:beforeAutospacing="0" w:after="0" w:afterAutospacing="0" w:line="240" w:lineRule="auto"/>
              <w:ind w:left="0" w:leftChars="0" w:right="0" w:rightChars="0"/>
              <w:jc w:val="center"/>
              <w:rPr>
                <w:rFonts w:hint="default" w:ascii="Times New Roman" w:hAnsi="Times New Roman" w:eastAsia="宋体" w:cs="Times New Roman"/>
                <w:kern w:val="2"/>
                <w:sz w:val="21"/>
                <w:szCs w:val="24"/>
                <w:lang w:val="en-US" w:eastAsia="zh-CN" w:bidi="ar-SA"/>
                <w14:ligatures w14:val="none"/>
              </w:rPr>
            </w:pPr>
            <w:r>
              <w:rPr>
                <w:rFonts w:hint="eastAsia" w:ascii="Times New Roman" w:hAnsi="Times New Roman" w:eastAsia="宋体" w:cs="Times New Roman"/>
                <w:sz w:val="21"/>
                <w:lang w:val="en-US" w:eastAsia="zh-CN"/>
                <w14:ligatures w14:val="none"/>
              </w:rPr>
              <w:t>符合</w:t>
            </w:r>
          </w:p>
        </w:tc>
      </w:tr>
      <w:tr w14:paraId="3F50E2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52" w:type="pct"/>
            <w:vMerge w:val="continue"/>
            <w:vAlign w:val="center"/>
          </w:tcPr>
          <w:p w14:paraId="6884E7FC">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p>
        </w:tc>
        <w:tc>
          <w:tcPr>
            <w:tcW w:w="1570" w:type="pct"/>
            <w:shd w:val="clear" w:color="auto" w:fill="auto"/>
            <w:vAlign w:val="center"/>
          </w:tcPr>
          <w:p w14:paraId="31EC9BAF">
            <w:pPr>
              <w:keepNext w:val="0"/>
              <w:keepLines w:val="0"/>
              <w:numPr>
                <w:ilvl w:val="0"/>
                <w:numId w:val="16"/>
              </w:numPr>
              <w:suppressLineNumbers w:val="0"/>
              <w:adjustRightInd w:val="0"/>
              <w:snapToGrid w:val="0"/>
              <w:spacing w:before="0" w:beforeAutospacing="0" w:after="0" w:afterAutospacing="0" w:line="240" w:lineRule="auto"/>
              <w:ind w:left="0" w:leftChars="0" w:right="0" w:rightChars="0" w:firstLine="0" w:firstLineChars="0"/>
              <w:jc w:val="both"/>
              <w:rPr>
                <w:rFonts w:hint="default" w:ascii="Times New Roman" w:hAnsi="Times New Roman" w:eastAsia="宋体" w:cs="Times New Roman"/>
                <w:kern w:val="2"/>
                <w:sz w:val="21"/>
                <w:szCs w:val="24"/>
                <w:lang w:val="en-US" w:eastAsia="zh-CN" w:bidi="ar-SA"/>
                <w14:ligatures w14:val="none"/>
              </w:rPr>
            </w:pPr>
            <w:r>
              <w:rPr>
                <w:rFonts w:hint="default" w:ascii="Times New Roman" w:hAnsi="Times New Roman" w:eastAsia="宋体" w:cs="Times New Roman"/>
                <w:sz w:val="21"/>
                <w14:ligatures w14:val="none"/>
              </w:rPr>
              <w:t>主要负责人安全资格证书。</w:t>
            </w:r>
          </w:p>
        </w:tc>
        <w:tc>
          <w:tcPr>
            <w:tcW w:w="1429" w:type="pct"/>
            <w:shd w:val="clear" w:color="auto" w:fill="auto"/>
            <w:vAlign w:val="center"/>
          </w:tcPr>
          <w:p w14:paraId="1A2FD1E3">
            <w:pPr>
              <w:keepNext w:val="0"/>
              <w:keepLines w:val="0"/>
              <w:suppressLineNumbers w:val="0"/>
              <w:spacing w:before="0" w:beforeAutospacing="0" w:after="0" w:afterAutospacing="0" w:line="240" w:lineRule="auto"/>
              <w:ind w:left="0" w:leftChars="0" w:right="0" w:rightChars="0"/>
              <w:jc w:val="center"/>
              <w:rPr>
                <w:rFonts w:hint="default" w:ascii="Times New Roman" w:hAnsi="Times New Roman" w:eastAsia="宋体" w:cs="Times New Roman"/>
                <w:kern w:val="2"/>
                <w:sz w:val="21"/>
                <w:szCs w:val="24"/>
                <w:lang w:val="en-US" w:eastAsia="zh-CN" w:bidi="ar-SA"/>
                <w14:ligatures w14:val="none"/>
              </w:rPr>
            </w:pPr>
            <w:r>
              <w:rPr>
                <w:rFonts w:hint="default" w:ascii="Times New Roman" w:hAnsi="Times New Roman" w:eastAsia="宋体" w:cs="Times New Roman"/>
                <w:sz w:val="21"/>
                <w:szCs w:val="21"/>
                <w14:ligatures w14:val="none"/>
              </w:rPr>
              <w:t>《危险化学品经营许可证管理办法》第</w:t>
            </w:r>
            <w:r>
              <w:rPr>
                <w:rFonts w:hint="eastAsia" w:ascii="Times New Roman" w:hAnsi="Times New Roman" w:eastAsia="宋体" w:cs="Times New Roman"/>
                <w:sz w:val="21"/>
                <w:szCs w:val="21"/>
                <w14:ligatures w14:val="none"/>
              </w:rPr>
              <w:t>六</w:t>
            </w:r>
            <w:r>
              <w:rPr>
                <w:rFonts w:hint="default" w:ascii="Times New Roman" w:hAnsi="Times New Roman" w:eastAsia="宋体" w:cs="Times New Roman"/>
                <w:sz w:val="21"/>
                <w:szCs w:val="21"/>
                <w14:ligatures w14:val="none"/>
              </w:rPr>
              <w:t>条</w:t>
            </w:r>
          </w:p>
        </w:tc>
        <w:tc>
          <w:tcPr>
            <w:tcW w:w="1111" w:type="pct"/>
            <w:shd w:val="clear" w:color="auto" w:fill="auto"/>
            <w:vAlign w:val="center"/>
          </w:tcPr>
          <w:p w14:paraId="24B27A6D">
            <w:pPr>
              <w:keepNext w:val="0"/>
              <w:keepLines w:val="0"/>
              <w:suppressLineNumbers w:val="0"/>
              <w:spacing w:before="0" w:beforeAutospacing="0" w:after="0" w:afterAutospacing="0" w:line="240" w:lineRule="auto"/>
              <w:ind w:left="0" w:leftChars="0" w:right="0" w:rightChars="0"/>
              <w:jc w:val="both"/>
              <w:rPr>
                <w:rFonts w:hint="default" w:ascii="Times New Roman" w:hAnsi="Times New Roman" w:eastAsia="宋体" w:cs="Times New Roman"/>
                <w:kern w:val="2"/>
                <w:sz w:val="21"/>
                <w:szCs w:val="24"/>
                <w:lang w:val="en-US" w:eastAsia="zh-CN" w:bidi="ar-SA"/>
                <w14:ligatures w14:val="none"/>
              </w:rPr>
            </w:pPr>
            <w:r>
              <w:rPr>
                <w:rFonts w:hint="default" w:ascii="Times New Roman" w:hAnsi="Times New Roman" w:eastAsia="宋体" w:cs="Times New Roman"/>
                <w:sz w:val="21"/>
                <w14:ligatures w14:val="none"/>
              </w:rPr>
              <w:t>取得安全资格证书</w:t>
            </w:r>
          </w:p>
        </w:tc>
        <w:tc>
          <w:tcPr>
            <w:tcW w:w="435" w:type="pct"/>
            <w:shd w:val="clear" w:color="auto" w:fill="auto"/>
            <w:vAlign w:val="center"/>
          </w:tcPr>
          <w:p w14:paraId="6C39E6C9">
            <w:pPr>
              <w:keepNext w:val="0"/>
              <w:keepLines w:val="0"/>
              <w:suppressLineNumbers w:val="0"/>
              <w:spacing w:before="0" w:beforeAutospacing="0" w:after="0" w:afterAutospacing="0" w:line="240" w:lineRule="auto"/>
              <w:ind w:left="0" w:leftChars="0" w:right="0" w:rightChars="0"/>
              <w:jc w:val="center"/>
              <w:rPr>
                <w:rFonts w:hint="eastAsia" w:ascii="Times New Roman" w:hAnsi="Times New Roman" w:eastAsia="宋体" w:cs="Times New Roman"/>
                <w:kern w:val="2"/>
                <w:sz w:val="21"/>
                <w:szCs w:val="24"/>
                <w:lang w:val="en-US" w:eastAsia="zh-CN" w:bidi="ar-SA"/>
                <w14:ligatures w14:val="none"/>
              </w:rPr>
            </w:pPr>
            <w:r>
              <w:rPr>
                <w:rFonts w:hint="default" w:ascii="Times New Roman" w:hAnsi="Times New Roman" w:eastAsia="宋体" w:cs="Times New Roman"/>
                <w:sz w:val="21"/>
                <w14:ligatures w14:val="none"/>
              </w:rPr>
              <w:t>符合</w:t>
            </w:r>
          </w:p>
        </w:tc>
      </w:tr>
      <w:tr w14:paraId="275D55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52" w:type="pct"/>
            <w:vMerge w:val="continue"/>
            <w:vAlign w:val="center"/>
          </w:tcPr>
          <w:p w14:paraId="150ABC9A">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p>
        </w:tc>
        <w:tc>
          <w:tcPr>
            <w:tcW w:w="1570" w:type="pct"/>
            <w:vAlign w:val="center"/>
          </w:tcPr>
          <w:p w14:paraId="4A2E4A3A">
            <w:pPr>
              <w:keepNext w:val="0"/>
              <w:keepLines w:val="0"/>
              <w:numPr>
                <w:ilvl w:val="0"/>
                <w:numId w:val="16"/>
              </w:numPr>
              <w:suppressLineNumbers w:val="0"/>
              <w:adjustRightInd w:val="0"/>
              <w:snapToGrid w:val="0"/>
              <w:spacing w:before="0" w:beforeAutospacing="0" w:after="0" w:afterAutospacing="0" w:line="240" w:lineRule="auto"/>
              <w:ind w:left="0" w:right="0" w:firstLine="0"/>
              <w:jc w:val="both"/>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安全管理人员安全资格证书。</w:t>
            </w:r>
          </w:p>
        </w:tc>
        <w:tc>
          <w:tcPr>
            <w:tcW w:w="1429" w:type="pct"/>
            <w:vAlign w:val="center"/>
          </w:tcPr>
          <w:p w14:paraId="6CE2735A">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default" w:ascii="Times New Roman" w:hAnsi="Times New Roman" w:eastAsia="宋体" w:cs="Times New Roman"/>
                <w:sz w:val="21"/>
                <w:szCs w:val="21"/>
                <w14:ligatures w14:val="none"/>
              </w:rPr>
              <w:t>《危险化学品经营许可证管理办法》第</w:t>
            </w:r>
            <w:r>
              <w:rPr>
                <w:rFonts w:hint="eastAsia" w:ascii="Times New Roman" w:hAnsi="Times New Roman" w:eastAsia="宋体" w:cs="Times New Roman"/>
                <w:sz w:val="21"/>
                <w:szCs w:val="21"/>
                <w14:ligatures w14:val="none"/>
              </w:rPr>
              <w:t>六</w:t>
            </w:r>
            <w:r>
              <w:rPr>
                <w:rFonts w:hint="default" w:ascii="Times New Roman" w:hAnsi="Times New Roman" w:eastAsia="宋体" w:cs="Times New Roman"/>
                <w:sz w:val="21"/>
                <w:szCs w:val="21"/>
                <w14:ligatures w14:val="none"/>
              </w:rPr>
              <w:t>条</w:t>
            </w:r>
          </w:p>
        </w:tc>
        <w:tc>
          <w:tcPr>
            <w:tcW w:w="1111" w:type="pct"/>
            <w:vAlign w:val="center"/>
          </w:tcPr>
          <w:p w14:paraId="46702D32">
            <w:pPr>
              <w:keepNext w:val="0"/>
              <w:keepLines w:val="0"/>
              <w:suppressLineNumbers w:val="0"/>
              <w:spacing w:before="0" w:beforeAutospacing="0" w:after="0" w:afterAutospacing="0" w:line="240" w:lineRule="auto"/>
              <w:ind w:left="0" w:right="0"/>
              <w:jc w:val="both"/>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取得安全资格证书</w:t>
            </w:r>
          </w:p>
        </w:tc>
        <w:tc>
          <w:tcPr>
            <w:tcW w:w="435" w:type="pct"/>
            <w:vAlign w:val="center"/>
          </w:tcPr>
          <w:p w14:paraId="5882A769">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符合</w:t>
            </w:r>
          </w:p>
        </w:tc>
      </w:tr>
      <w:tr w14:paraId="0137F5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52" w:type="pct"/>
            <w:vMerge w:val="continue"/>
            <w:vAlign w:val="center"/>
          </w:tcPr>
          <w:p w14:paraId="42A951A7">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p>
        </w:tc>
        <w:tc>
          <w:tcPr>
            <w:tcW w:w="1570" w:type="pct"/>
            <w:vAlign w:val="center"/>
          </w:tcPr>
          <w:p w14:paraId="74AE5EAA">
            <w:pPr>
              <w:keepNext w:val="0"/>
              <w:keepLines w:val="0"/>
              <w:numPr>
                <w:ilvl w:val="0"/>
                <w:numId w:val="16"/>
              </w:numPr>
              <w:suppressLineNumbers w:val="0"/>
              <w:adjustRightInd w:val="0"/>
              <w:snapToGrid w:val="0"/>
              <w:spacing w:before="0" w:beforeAutospacing="0" w:after="0" w:afterAutospacing="0" w:line="240" w:lineRule="auto"/>
              <w:ind w:left="0" w:right="0" w:firstLine="0"/>
              <w:jc w:val="both"/>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特种作业人员操作资格证书。</w:t>
            </w:r>
          </w:p>
        </w:tc>
        <w:tc>
          <w:tcPr>
            <w:tcW w:w="1429" w:type="pct"/>
            <w:vAlign w:val="center"/>
          </w:tcPr>
          <w:p w14:paraId="60728848">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default" w:ascii="Times New Roman" w:hAnsi="Times New Roman" w:eastAsia="宋体" w:cs="Times New Roman"/>
                <w:sz w:val="21"/>
                <w:szCs w:val="21"/>
                <w14:ligatures w14:val="none"/>
              </w:rPr>
              <w:t>《危险化学品经营许可证管理办法》第</w:t>
            </w:r>
            <w:r>
              <w:rPr>
                <w:rFonts w:hint="eastAsia" w:ascii="Times New Roman" w:hAnsi="Times New Roman" w:eastAsia="宋体" w:cs="Times New Roman"/>
                <w:sz w:val="21"/>
                <w:szCs w:val="21"/>
                <w14:ligatures w14:val="none"/>
              </w:rPr>
              <w:t>六</w:t>
            </w:r>
            <w:r>
              <w:rPr>
                <w:rFonts w:hint="default" w:ascii="Times New Roman" w:hAnsi="Times New Roman" w:eastAsia="宋体" w:cs="Times New Roman"/>
                <w:sz w:val="21"/>
                <w:szCs w:val="21"/>
                <w14:ligatures w14:val="none"/>
              </w:rPr>
              <w:t>条</w:t>
            </w:r>
          </w:p>
        </w:tc>
        <w:tc>
          <w:tcPr>
            <w:tcW w:w="1111" w:type="pct"/>
            <w:vAlign w:val="center"/>
          </w:tcPr>
          <w:p w14:paraId="24E31AFC">
            <w:pPr>
              <w:keepNext w:val="0"/>
              <w:keepLines w:val="0"/>
              <w:suppressLineNumbers w:val="0"/>
              <w:spacing w:before="0" w:beforeAutospacing="0" w:after="0" w:afterAutospacing="0" w:line="240" w:lineRule="auto"/>
              <w:ind w:left="0" w:right="0"/>
              <w:jc w:val="both"/>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特种作业人员</w:t>
            </w:r>
            <w:r>
              <w:rPr>
                <w:rFonts w:hint="eastAsia" w:ascii="Times New Roman" w:hAnsi="Times New Roman" w:eastAsia="宋体" w:cs="Times New Roman"/>
                <w:sz w:val="21"/>
                <w:lang w:eastAsia="zh-CN"/>
                <w14:ligatures w14:val="none"/>
              </w:rPr>
              <w:t>（</w:t>
            </w:r>
            <w:r>
              <w:rPr>
                <w:rFonts w:hint="eastAsia" w:ascii="Times New Roman" w:hAnsi="Times New Roman" w:eastAsia="宋体" w:cs="Times New Roman"/>
                <w:sz w:val="21"/>
                <w:lang w:val="en-US" w:eastAsia="zh-CN"/>
                <w14:ligatures w14:val="none"/>
              </w:rPr>
              <w:t>电工</w:t>
            </w:r>
            <w:r>
              <w:rPr>
                <w:rFonts w:hint="eastAsia" w:ascii="Times New Roman" w:hAnsi="Times New Roman" w:eastAsia="宋体" w:cs="Times New Roman"/>
                <w:sz w:val="21"/>
                <w:lang w:eastAsia="zh-CN"/>
                <w14:ligatures w14:val="none"/>
              </w:rPr>
              <w:t>）</w:t>
            </w:r>
            <w:r>
              <w:rPr>
                <w:rFonts w:hint="default" w:ascii="Times New Roman" w:hAnsi="Times New Roman" w:eastAsia="宋体" w:cs="Times New Roman"/>
                <w:sz w:val="21"/>
                <w14:ligatures w14:val="none"/>
              </w:rPr>
              <w:t>已取得资格证书</w:t>
            </w:r>
          </w:p>
        </w:tc>
        <w:tc>
          <w:tcPr>
            <w:tcW w:w="435" w:type="pct"/>
            <w:vAlign w:val="center"/>
          </w:tcPr>
          <w:p w14:paraId="378EED72">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符合</w:t>
            </w:r>
          </w:p>
        </w:tc>
      </w:tr>
      <w:tr w14:paraId="40CAEE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52" w:type="pct"/>
            <w:vMerge w:val="continue"/>
            <w:vAlign w:val="center"/>
          </w:tcPr>
          <w:p w14:paraId="5AC75822">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p>
        </w:tc>
        <w:tc>
          <w:tcPr>
            <w:tcW w:w="1570" w:type="pct"/>
            <w:vAlign w:val="center"/>
          </w:tcPr>
          <w:p w14:paraId="2C8CF4AF">
            <w:pPr>
              <w:keepNext w:val="0"/>
              <w:keepLines w:val="0"/>
              <w:numPr>
                <w:ilvl w:val="0"/>
                <w:numId w:val="16"/>
              </w:numPr>
              <w:suppressLineNumbers w:val="0"/>
              <w:adjustRightInd w:val="0"/>
              <w:snapToGrid w:val="0"/>
              <w:spacing w:before="0" w:beforeAutospacing="0" w:after="0" w:afterAutospacing="0" w:line="240" w:lineRule="auto"/>
              <w:ind w:left="0" w:right="0" w:firstLine="0"/>
              <w:jc w:val="both"/>
              <w:rPr>
                <w:rFonts w:hint="default" w:ascii="Times New Roman" w:hAnsi="Times New Roman" w:eastAsia="宋体" w:cs="Times New Roman"/>
                <w:sz w:val="21"/>
                <w14:ligatures w14:val="none"/>
              </w:rPr>
            </w:pPr>
            <w:r>
              <w:rPr>
                <w:rFonts w:hint="eastAsia" w:ascii="Times New Roman" w:hAnsi="Times New Roman" w:eastAsia="宋体" w:cs="Times New Roman"/>
                <w:sz w:val="21"/>
                <w14:ligatures w14:val="none"/>
              </w:rPr>
              <w:t>其他从业人员依照有关规定经安全生产教育和专业技术培训合格</w:t>
            </w:r>
            <w:r>
              <w:rPr>
                <w:rFonts w:hint="eastAsia" w:ascii="Times New Roman" w:hAnsi="Times New Roman" w:eastAsia="宋体" w:cs="Times New Roman"/>
                <w:sz w:val="21"/>
                <w:lang w:eastAsia="zh-CN"/>
                <w14:ligatures w14:val="none"/>
              </w:rPr>
              <w:t>。</w:t>
            </w:r>
          </w:p>
        </w:tc>
        <w:tc>
          <w:tcPr>
            <w:tcW w:w="1429" w:type="pct"/>
            <w:vAlign w:val="center"/>
          </w:tcPr>
          <w:p w14:paraId="3693A4D5">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default" w:ascii="Times New Roman" w:hAnsi="Times New Roman" w:eastAsia="宋体" w:cs="Times New Roman"/>
                <w:sz w:val="21"/>
                <w:szCs w:val="21"/>
                <w14:ligatures w14:val="none"/>
              </w:rPr>
              <w:t>《危险化学品经营许可证管理办法》第</w:t>
            </w:r>
            <w:r>
              <w:rPr>
                <w:rFonts w:hint="eastAsia" w:ascii="Times New Roman" w:hAnsi="Times New Roman" w:eastAsia="宋体" w:cs="Times New Roman"/>
                <w:sz w:val="21"/>
                <w:szCs w:val="21"/>
                <w14:ligatures w14:val="none"/>
              </w:rPr>
              <w:t>六</w:t>
            </w:r>
            <w:r>
              <w:rPr>
                <w:rFonts w:hint="default" w:ascii="Times New Roman" w:hAnsi="Times New Roman" w:eastAsia="宋体" w:cs="Times New Roman"/>
                <w:sz w:val="21"/>
                <w:szCs w:val="21"/>
                <w14:ligatures w14:val="none"/>
              </w:rPr>
              <w:t>条</w:t>
            </w:r>
          </w:p>
        </w:tc>
        <w:tc>
          <w:tcPr>
            <w:tcW w:w="1111" w:type="pct"/>
            <w:vAlign w:val="center"/>
          </w:tcPr>
          <w:p w14:paraId="59274F40">
            <w:pPr>
              <w:keepNext w:val="0"/>
              <w:keepLines w:val="0"/>
              <w:suppressLineNumbers w:val="0"/>
              <w:spacing w:before="0" w:beforeAutospacing="0" w:after="0" w:afterAutospacing="0" w:line="240" w:lineRule="auto"/>
              <w:ind w:left="0" w:right="0"/>
              <w:jc w:val="both"/>
              <w:rPr>
                <w:rFonts w:hint="default" w:ascii="Times New Roman" w:hAnsi="Times New Roman" w:eastAsia="宋体" w:cs="Times New Roman"/>
                <w:sz w:val="21"/>
                <w14:ligatures w14:val="none"/>
              </w:rPr>
            </w:pPr>
            <w:r>
              <w:rPr>
                <w:rFonts w:hint="eastAsia" w:ascii="Times New Roman" w:hAnsi="Times New Roman" w:eastAsia="宋体" w:cs="Times New Roman"/>
                <w:sz w:val="21"/>
                <w:lang w:val="en-US" w:eastAsia="zh-CN"/>
                <w14:ligatures w14:val="none"/>
              </w:rPr>
              <w:t>定期对</w:t>
            </w:r>
            <w:r>
              <w:rPr>
                <w:rFonts w:hint="default" w:ascii="Times New Roman" w:hAnsi="Times New Roman" w:eastAsia="宋体" w:cs="Times New Roman"/>
                <w:sz w:val="21"/>
                <w14:ligatures w14:val="none"/>
              </w:rPr>
              <w:t>从业人员</w:t>
            </w:r>
            <w:r>
              <w:rPr>
                <w:rFonts w:hint="eastAsia" w:ascii="Times New Roman" w:hAnsi="Times New Roman" w:eastAsia="宋体" w:cs="Times New Roman"/>
                <w:sz w:val="21"/>
                <w:lang w:val="en-US" w:eastAsia="zh-CN"/>
                <w14:ligatures w14:val="none"/>
              </w:rPr>
              <w:t>进行内部培训</w:t>
            </w:r>
          </w:p>
        </w:tc>
        <w:tc>
          <w:tcPr>
            <w:tcW w:w="435" w:type="pct"/>
            <w:vAlign w:val="center"/>
          </w:tcPr>
          <w:p w14:paraId="54183C37">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符合</w:t>
            </w:r>
          </w:p>
        </w:tc>
      </w:tr>
      <w:tr w14:paraId="7DA5F0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52" w:type="pct"/>
            <w:vAlign w:val="center"/>
          </w:tcPr>
          <w:p w14:paraId="276443FF">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14:ligatures w14:val="none"/>
              </w:rPr>
            </w:pPr>
            <w:r>
              <w:rPr>
                <w:rFonts w:hint="eastAsia" w:ascii="Times New Roman" w:hAnsi="Times New Roman" w:eastAsia="宋体" w:cs="Times New Roman"/>
                <w:sz w:val="21"/>
                <w14:ligatures w14:val="none"/>
              </w:rPr>
              <w:t>劳动防护用品</w:t>
            </w:r>
          </w:p>
        </w:tc>
        <w:tc>
          <w:tcPr>
            <w:tcW w:w="1570" w:type="pct"/>
            <w:vAlign w:val="center"/>
          </w:tcPr>
          <w:p w14:paraId="4C9149E1">
            <w:pPr>
              <w:keepNext w:val="0"/>
              <w:keepLines w:val="0"/>
              <w:suppressLineNumbers w:val="0"/>
              <w:adjustRightInd w:val="0"/>
              <w:snapToGrid w:val="0"/>
              <w:spacing w:before="0" w:beforeAutospacing="0" w:after="0" w:afterAutospacing="0" w:line="240" w:lineRule="auto"/>
              <w:ind w:left="0" w:right="0"/>
              <w:rPr>
                <w:rFonts w:hint="default"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1.生产经营单位必须为从业人员提供符合国家标准或者行业标准的劳动防护用品，并监督、教育从业人员按照使用规则佩戴、使用。</w:t>
            </w:r>
          </w:p>
        </w:tc>
        <w:tc>
          <w:tcPr>
            <w:tcW w:w="1429" w:type="pct"/>
            <w:vAlign w:val="center"/>
          </w:tcPr>
          <w:p w14:paraId="7CCC1813">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《安全生产法》</w:t>
            </w:r>
          </w:p>
          <w:p w14:paraId="3CC47ADA">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第四十五条</w:t>
            </w:r>
          </w:p>
        </w:tc>
        <w:tc>
          <w:tcPr>
            <w:tcW w:w="1111" w:type="pct"/>
            <w:vAlign w:val="center"/>
          </w:tcPr>
          <w:p w14:paraId="58A9D10A">
            <w:pPr>
              <w:keepNext w:val="0"/>
              <w:keepLines w:val="0"/>
              <w:suppressLineNumbers w:val="0"/>
              <w:spacing w:before="0" w:beforeAutospacing="0" w:after="0" w:afterAutospacing="0" w:line="240" w:lineRule="auto"/>
              <w:ind w:left="0" w:right="0"/>
              <w:rPr>
                <w:rFonts w:hint="default"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企业为员工提供耐酸工作服、手套、防护眼镜、面罩等劳动防护用品。</w:t>
            </w:r>
          </w:p>
        </w:tc>
        <w:tc>
          <w:tcPr>
            <w:tcW w:w="435" w:type="pct"/>
            <w:vAlign w:val="center"/>
          </w:tcPr>
          <w:p w14:paraId="05C5504B">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bl>
    <w:p w14:paraId="078C49A7">
      <w:pPr>
        <w:keepNext w:val="0"/>
        <w:keepLines w:val="0"/>
        <w:pageBreakBefore w:val="0"/>
        <w:widowControl w:val="0"/>
        <w:kinsoku/>
        <w:wordWrap/>
        <w:overflowPunct/>
        <w:topLinePunct w:val="0"/>
        <w:autoSpaceDE/>
        <w:autoSpaceDN/>
        <w:bidi w:val="0"/>
        <w:adjustRightInd w:val="0"/>
        <w:snapToGrid w:val="0"/>
        <w:spacing w:before="157" w:beforeLines="50" w:after="0" w:line="360" w:lineRule="auto"/>
        <w:ind w:firstLine="560" w:firstLineChars="20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小结：通过对</w:t>
      </w:r>
      <w:r>
        <w:rPr>
          <w:rFonts w:hint="eastAsia" w:ascii="Times New Roman" w:hAnsi="Times New Roman" w:eastAsia="宋体" w:cs="Times New Roman"/>
          <w:sz w:val="28"/>
          <w:szCs w:val="28"/>
          <w:lang w:eastAsia="zh-CN"/>
          <w14:ligatures w14:val="none"/>
        </w:rPr>
        <w:t>朝阳金达钛业股份有限公司</w:t>
      </w:r>
      <w:r>
        <w:rPr>
          <w:rFonts w:hint="eastAsia" w:ascii="Times New Roman" w:hAnsi="Times New Roman" w:eastAsia="宋体" w:cs="Times New Roman"/>
          <w:sz w:val="28"/>
          <w:szCs w:val="28"/>
          <w14:ligatures w14:val="none"/>
        </w:rPr>
        <w:t>经营危险化学品的经营条件、安全管理制度、管理组织、从业人员资格等经营条件进行安全评价，共检查</w:t>
      </w:r>
      <w:r>
        <w:rPr>
          <w:rFonts w:hint="eastAsia" w:ascii="Times New Roman" w:hAnsi="Times New Roman" w:eastAsia="宋体" w:cs="Times New Roman"/>
          <w:sz w:val="28"/>
          <w:szCs w:val="28"/>
          <w:lang w:val="en-US" w:eastAsia="zh-CN"/>
          <w14:ligatures w14:val="none"/>
        </w:rPr>
        <w:t>33</w:t>
      </w:r>
      <w:r>
        <w:rPr>
          <w:rFonts w:hint="eastAsia" w:ascii="Times New Roman" w:hAnsi="Times New Roman" w:eastAsia="宋体" w:cs="Times New Roman"/>
          <w:sz w:val="28"/>
          <w:szCs w:val="28"/>
          <w14:ligatures w14:val="none"/>
        </w:rPr>
        <w:t>项，检查结果均为符合。</w:t>
      </w:r>
    </w:p>
    <w:p w14:paraId="38C474BA">
      <w:pPr>
        <w:adjustRightInd w:val="0"/>
        <w:snapToGrid w:val="0"/>
        <w:spacing w:before="312" w:beforeLines="100" w:after="312" w:afterLines="100" w:line="360" w:lineRule="auto"/>
        <w:jc w:val="center"/>
        <w:outlineLvl w:val="1"/>
        <w:rPr>
          <w:rFonts w:ascii="Times New Roman" w:hAnsi="Times New Roman" w:eastAsia="楷体" w:cs="黑体"/>
          <w:b/>
          <w:sz w:val="32"/>
          <w:szCs w:val="32"/>
          <w14:ligatures w14:val="none"/>
        </w:rPr>
      </w:pPr>
      <w:bookmarkStart w:id="193" w:name="_Toc23261"/>
      <w:r>
        <w:rPr>
          <w:rFonts w:hint="eastAsia" w:ascii="Times New Roman" w:hAnsi="Times New Roman" w:eastAsia="楷体" w:cs="黑体"/>
          <w:b/>
          <w:sz w:val="32"/>
          <w:szCs w:val="32"/>
          <w14:ligatures w14:val="none"/>
        </w:rPr>
        <w:t>5.2周边环境及平面布置单元</w:t>
      </w:r>
      <w:bookmarkEnd w:id="193"/>
    </w:p>
    <w:p w14:paraId="63BEE799">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采用安全检查表法对周边环境及平面布置单元进行评价，见表5.2-1。</w:t>
      </w:r>
    </w:p>
    <w:p w14:paraId="547CBB27">
      <w:pPr>
        <w:keepNext/>
        <w:adjustRightInd w:val="0"/>
        <w:snapToGrid w:val="0"/>
        <w:spacing w:before="156" w:beforeLines="50" w:after="156" w:afterLines="50" w:line="240" w:lineRule="auto"/>
        <w:jc w:val="center"/>
        <w:rPr>
          <w:rFonts w:ascii="Times New Roman" w:hAnsi="Times New Roman" w:eastAsia="黑体" w:cs="Times New Roman"/>
          <w:sz w:val="24"/>
          <w14:ligatures w14:val="none"/>
        </w:rPr>
      </w:pPr>
      <w:r>
        <w:rPr>
          <w:rFonts w:hint="eastAsia" w:ascii="Times New Roman" w:hAnsi="Times New Roman" w:eastAsia="黑体" w:cs="Times New Roman"/>
          <w:sz w:val="24"/>
          <w14:ligatures w14:val="none"/>
        </w:rPr>
        <w:t>表5.2-1  周边环境及平面布置单元安全检查表</w:t>
      </w:r>
    </w:p>
    <w:tbl>
      <w:tblPr>
        <w:tblStyle w:val="1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657"/>
        <w:gridCol w:w="4231"/>
        <w:gridCol w:w="1783"/>
        <w:gridCol w:w="1892"/>
        <w:gridCol w:w="677"/>
      </w:tblGrid>
      <w:tr w14:paraId="01CD60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tblHeader/>
          <w:jc w:val="center"/>
        </w:trPr>
        <w:tc>
          <w:tcPr>
            <w:tcW w:w="356" w:type="pct"/>
            <w:vAlign w:val="center"/>
          </w:tcPr>
          <w:p w14:paraId="27EE99E5">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序号</w:t>
            </w:r>
          </w:p>
        </w:tc>
        <w:tc>
          <w:tcPr>
            <w:tcW w:w="2288" w:type="pct"/>
            <w:vAlign w:val="center"/>
          </w:tcPr>
          <w:p w14:paraId="0792A150">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检查内容</w:t>
            </w:r>
          </w:p>
        </w:tc>
        <w:tc>
          <w:tcPr>
            <w:tcW w:w="964" w:type="pct"/>
            <w:vAlign w:val="center"/>
          </w:tcPr>
          <w:p w14:paraId="1F43399B">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检查依据</w:t>
            </w:r>
          </w:p>
        </w:tc>
        <w:tc>
          <w:tcPr>
            <w:tcW w:w="1023" w:type="pct"/>
            <w:vAlign w:val="center"/>
          </w:tcPr>
          <w:p w14:paraId="7105A3FB">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实际情况</w:t>
            </w:r>
          </w:p>
        </w:tc>
        <w:tc>
          <w:tcPr>
            <w:tcW w:w="366" w:type="pct"/>
            <w:vAlign w:val="center"/>
          </w:tcPr>
          <w:p w14:paraId="0070C8A0">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结论</w:t>
            </w:r>
          </w:p>
        </w:tc>
      </w:tr>
      <w:tr w14:paraId="5A848D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56" w:type="pct"/>
            <w:vAlign w:val="center"/>
          </w:tcPr>
          <w:p w14:paraId="3EEC3483">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1</w:t>
            </w:r>
          </w:p>
        </w:tc>
        <w:tc>
          <w:tcPr>
            <w:tcW w:w="2288" w:type="pct"/>
            <w:vAlign w:val="center"/>
          </w:tcPr>
          <w:p w14:paraId="06A768FC">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厂址选择应符合工业布局、城镇（乡）总体规划及土地利用总体规划的要求。</w:t>
            </w:r>
          </w:p>
        </w:tc>
        <w:tc>
          <w:tcPr>
            <w:tcW w:w="964" w:type="pct"/>
            <w:vAlign w:val="center"/>
          </w:tcPr>
          <w:p w14:paraId="0D7895DF">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《工业企业总平面设计规范》（GB50187-2012）</w:t>
            </w:r>
          </w:p>
          <w:p w14:paraId="002E8F29">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第3.0.1条</w:t>
            </w:r>
          </w:p>
        </w:tc>
        <w:tc>
          <w:tcPr>
            <w:tcW w:w="1023" w:type="pct"/>
            <w:vAlign w:val="center"/>
          </w:tcPr>
          <w:p w14:paraId="66DE331C">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厂址选择符合工业布局及城市规划要求。</w:t>
            </w:r>
          </w:p>
        </w:tc>
        <w:tc>
          <w:tcPr>
            <w:tcW w:w="366" w:type="pct"/>
            <w:vAlign w:val="center"/>
          </w:tcPr>
          <w:p w14:paraId="755BB6E6">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符合</w:t>
            </w:r>
          </w:p>
        </w:tc>
      </w:tr>
      <w:tr w14:paraId="0AA15A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56" w:type="pct"/>
            <w:vAlign w:val="center"/>
          </w:tcPr>
          <w:p w14:paraId="2A4152EF">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2</w:t>
            </w:r>
          </w:p>
        </w:tc>
        <w:tc>
          <w:tcPr>
            <w:tcW w:w="2288" w:type="pct"/>
            <w:vAlign w:val="center"/>
          </w:tcPr>
          <w:p w14:paraId="271763A8">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厂址应有便利和经济的交通运输条件，与厂外铁路、公路的连接，应便捷、工程量小。</w:t>
            </w:r>
          </w:p>
        </w:tc>
        <w:tc>
          <w:tcPr>
            <w:tcW w:w="964" w:type="pct"/>
            <w:vAlign w:val="center"/>
          </w:tcPr>
          <w:p w14:paraId="5459C095">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《工业企业总平面设计规范》（GB50187-2012）</w:t>
            </w:r>
          </w:p>
          <w:p w14:paraId="3BE0C5CD">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第3.0.5条</w:t>
            </w:r>
          </w:p>
        </w:tc>
        <w:tc>
          <w:tcPr>
            <w:tcW w:w="1023" w:type="pct"/>
            <w:vAlign w:val="center"/>
          </w:tcPr>
          <w:p w14:paraId="203A34E5">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符合要求</w:t>
            </w:r>
          </w:p>
        </w:tc>
        <w:tc>
          <w:tcPr>
            <w:tcW w:w="366" w:type="pct"/>
            <w:vAlign w:val="center"/>
          </w:tcPr>
          <w:p w14:paraId="740BFACC">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符合</w:t>
            </w:r>
          </w:p>
        </w:tc>
      </w:tr>
      <w:tr w14:paraId="235E49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56" w:type="pct"/>
            <w:vAlign w:val="center"/>
          </w:tcPr>
          <w:p w14:paraId="6B1993AC">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3</w:t>
            </w:r>
          </w:p>
        </w:tc>
        <w:tc>
          <w:tcPr>
            <w:tcW w:w="2288" w:type="pct"/>
            <w:vAlign w:val="center"/>
          </w:tcPr>
          <w:p w14:paraId="4F433002">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厂址应具有满足生产、生活及发展所必需的水源和电源。</w:t>
            </w:r>
          </w:p>
        </w:tc>
        <w:tc>
          <w:tcPr>
            <w:tcW w:w="964" w:type="pct"/>
            <w:vAlign w:val="center"/>
          </w:tcPr>
          <w:p w14:paraId="1641556F">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《工业企业总平面设计规范》（GB50187-2012）</w:t>
            </w:r>
          </w:p>
          <w:p w14:paraId="0F247A89">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第3.0.6条</w:t>
            </w:r>
          </w:p>
        </w:tc>
        <w:tc>
          <w:tcPr>
            <w:tcW w:w="1023" w:type="pct"/>
            <w:vAlign w:val="center"/>
          </w:tcPr>
          <w:p w14:paraId="09092A1C">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厂址具有满足生产、生活所必需的水源和电源，符合要求。</w:t>
            </w:r>
          </w:p>
        </w:tc>
        <w:tc>
          <w:tcPr>
            <w:tcW w:w="366" w:type="pct"/>
            <w:vAlign w:val="center"/>
          </w:tcPr>
          <w:p w14:paraId="3FA1203B">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符合</w:t>
            </w:r>
          </w:p>
        </w:tc>
      </w:tr>
      <w:tr w14:paraId="6942BD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56" w:type="pct"/>
            <w:vAlign w:val="center"/>
          </w:tcPr>
          <w:p w14:paraId="73414908">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4</w:t>
            </w:r>
          </w:p>
        </w:tc>
        <w:tc>
          <w:tcPr>
            <w:tcW w:w="2288" w:type="pct"/>
            <w:vAlign w:val="center"/>
          </w:tcPr>
          <w:p w14:paraId="2A9BADC5">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散发有害物质的工业企业厂址应位于城镇、相邻工业企业和居住区全年最小频率风向的上风侧，不应位于窝风地带。</w:t>
            </w:r>
          </w:p>
        </w:tc>
        <w:tc>
          <w:tcPr>
            <w:tcW w:w="964" w:type="pct"/>
            <w:vAlign w:val="center"/>
          </w:tcPr>
          <w:p w14:paraId="551AB9C3">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《工业企业总平面设计规范》（GB50187-2012）</w:t>
            </w:r>
          </w:p>
          <w:p w14:paraId="198EE89C">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第3.0.7条</w:t>
            </w:r>
          </w:p>
        </w:tc>
        <w:tc>
          <w:tcPr>
            <w:tcW w:w="1023" w:type="pct"/>
            <w:vAlign w:val="center"/>
          </w:tcPr>
          <w:p w14:paraId="0944E20F">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符合要求</w:t>
            </w:r>
          </w:p>
        </w:tc>
        <w:tc>
          <w:tcPr>
            <w:tcW w:w="366" w:type="pct"/>
            <w:vAlign w:val="center"/>
          </w:tcPr>
          <w:p w14:paraId="32A118D7">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符合</w:t>
            </w:r>
          </w:p>
        </w:tc>
      </w:tr>
      <w:tr w14:paraId="01F1F7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56" w:type="pct"/>
            <w:vAlign w:val="center"/>
          </w:tcPr>
          <w:p w14:paraId="40617092">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5</w:t>
            </w:r>
          </w:p>
        </w:tc>
        <w:tc>
          <w:tcPr>
            <w:tcW w:w="2288" w:type="pct"/>
            <w:vAlign w:val="center"/>
          </w:tcPr>
          <w:p w14:paraId="75287477">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厂址应具有满足建设工程需要的工程地质条件和水文地质条件。</w:t>
            </w:r>
          </w:p>
        </w:tc>
        <w:tc>
          <w:tcPr>
            <w:tcW w:w="964" w:type="pct"/>
            <w:vAlign w:val="center"/>
          </w:tcPr>
          <w:p w14:paraId="1C01FE9B">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《工业企业总平面设计规范》（GB50187-2012）</w:t>
            </w:r>
          </w:p>
          <w:p w14:paraId="32FA61F1">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第3.0.8条</w:t>
            </w:r>
          </w:p>
        </w:tc>
        <w:tc>
          <w:tcPr>
            <w:tcW w:w="1023" w:type="pct"/>
            <w:vAlign w:val="center"/>
          </w:tcPr>
          <w:p w14:paraId="7D17F3B0">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厂址具有满足建设工程需要的工程地质条件和水文地质条件，符合要求。</w:t>
            </w:r>
          </w:p>
        </w:tc>
        <w:tc>
          <w:tcPr>
            <w:tcW w:w="366" w:type="pct"/>
            <w:vAlign w:val="center"/>
          </w:tcPr>
          <w:p w14:paraId="1AEC9A8E">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符合</w:t>
            </w:r>
          </w:p>
        </w:tc>
      </w:tr>
      <w:tr w14:paraId="1722BD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56" w:type="pct"/>
            <w:vAlign w:val="center"/>
          </w:tcPr>
          <w:p w14:paraId="1C2EDF38">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宋体" w:eastAsia="宋体" w:cs="Times New Roman"/>
                <w:kern w:val="28"/>
                <w:sz w:val="21"/>
                <w:szCs w:val="21"/>
                <w:lang w:val="en-US" w:eastAsia="zh-CN"/>
                <w14:ligatures w14:val="none"/>
              </w:rPr>
            </w:pPr>
            <w:r>
              <w:rPr>
                <w:rFonts w:hint="eastAsia" w:ascii="Times New Roman" w:hAnsi="宋体" w:eastAsia="宋体" w:cs="Times New Roman"/>
                <w:kern w:val="28"/>
                <w:sz w:val="21"/>
                <w:szCs w:val="21"/>
                <w:lang w:val="en-US" w:eastAsia="zh-CN"/>
                <w14:ligatures w14:val="none"/>
              </w:rPr>
              <w:t>6</w:t>
            </w:r>
          </w:p>
        </w:tc>
        <w:tc>
          <w:tcPr>
            <w:tcW w:w="2288" w:type="pct"/>
            <w:vAlign w:val="center"/>
          </w:tcPr>
          <w:p w14:paraId="511296FD">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厂址应满足近期建设所必 需的场地面积和适宜的建 厂地形，并应根据工业企业 远期发展规划的需要，留有适当的发展余地。</w:t>
            </w:r>
          </w:p>
        </w:tc>
        <w:tc>
          <w:tcPr>
            <w:tcW w:w="964" w:type="pct"/>
            <w:vAlign w:val="center"/>
          </w:tcPr>
          <w:p w14:paraId="4911F22F">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《工业企业总平面设计规范》（GB50187-2012）</w:t>
            </w:r>
          </w:p>
          <w:p w14:paraId="5F3E132C">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第3.0.</w:t>
            </w:r>
            <w:r>
              <w:rPr>
                <w:rFonts w:hint="eastAsia" w:ascii="Times New Roman" w:hAnsi="宋体" w:eastAsia="宋体" w:cs="Times New Roman"/>
                <w:kern w:val="28"/>
                <w:sz w:val="21"/>
                <w:szCs w:val="21"/>
                <w:lang w:val="en-US" w:eastAsia="zh-CN"/>
                <w14:ligatures w14:val="none"/>
              </w:rPr>
              <w:t>9</w:t>
            </w:r>
            <w:r>
              <w:rPr>
                <w:rFonts w:hint="eastAsia" w:ascii="Times New Roman" w:hAnsi="宋体" w:eastAsia="宋体" w:cs="Times New Roman"/>
                <w:kern w:val="28"/>
                <w:sz w:val="21"/>
                <w:szCs w:val="21"/>
                <w:lang w:eastAsia="zh-CN"/>
                <w14:ligatures w14:val="none"/>
              </w:rPr>
              <w:t>条</w:t>
            </w:r>
          </w:p>
        </w:tc>
        <w:tc>
          <w:tcPr>
            <w:tcW w:w="1023" w:type="pct"/>
            <w:vAlign w:val="center"/>
          </w:tcPr>
          <w:p w14:paraId="3F0A45A6">
            <w:pPr>
              <w:keepNext w:val="0"/>
              <w:keepLines w:val="0"/>
              <w:suppressLineNumbers w:val="0"/>
              <w:adjustRightInd w:val="0"/>
              <w:snapToGrid w:val="0"/>
              <w:spacing w:before="0" w:beforeAutospacing="0" w:after="0" w:afterAutospacing="0" w:line="240" w:lineRule="auto"/>
              <w:ind w:left="0" w:right="0"/>
              <w:jc w:val="left"/>
              <w:rPr>
                <w:rFonts w:hint="default" w:ascii="Times New Roman" w:hAnsi="宋体" w:eastAsia="宋体" w:cs="Times New Roman"/>
                <w:kern w:val="28"/>
                <w:sz w:val="21"/>
                <w:szCs w:val="21"/>
                <w:lang w:val="en-US" w:eastAsia="zh-CN"/>
                <w14:ligatures w14:val="none"/>
              </w:rPr>
            </w:pPr>
            <w:r>
              <w:rPr>
                <w:rFonts w:hint="eastAsia" w:ascii="Times New Roman" w:hAnsi="宋体" w:eastAsia="宋体" w:cs="Times New Roman"/>
                <w:kern w:val="28"/>
                <w:sz w:val="21"/>
                <w:szCs w:val="21"/>
                <w:lang w:eastAsia="zh-CN"/>
                <w14:ligatures w14:val="none"/>
              </w:rPr>
              <w:t>厂址满足工业企业近期所必需的 场地面积和适宜 的地形，留有待</w:t>
            </w:r>
            <w:r>
              <w:rPr>
                <w:rFonts w:hint="eastAsia" w:ascii="Times New Roman" w:hAnsi="宋体" w:eastAsia="宋体" w:cs="Times New Roman"/>
                <w:kern w:val="28"/>
                <w:sz w:val="21"/>
                <w:szCs w:val="21"/>
                <w:lang w:val="en-US" w:eastAsia="zh-CN"/>
                <w14:ligatures w14:val="none"/>
              </w:rPr>
              <w:t>建地</w:t>
            </w:r>
          </w:p>
        </w:tc>
        <w:tc>
          <w:tcPr>
            <w:tcW w:w="366" w:type="pct"/>
            <w:vAlign w:val="center"/>
          </w:tcPr>
          <w:p w14:paraId="5CC18A3D">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宋体" w:eastAsia="宋体" w:cs="Times New Roman"/>
                <w:kern w:val="28"/>
                <w:sz w:val="21"/>
                <w:szCs w:val="21"/>
                <w:lang w:val="en-US" w:eastAsia="zh-CN"/>
                <w14:ligatures w14:val="none"/>
              </w:rPr>
            </w:pPr>
            <w:r>
              <w:rPr>
                <w:rFonts w:hint="eastAsia" w:ascii="Times New Roman" w:hAnsi="宋体" w:eastAsia="宋体" w:cs="Times New Roman"/>
                <w:kern w:val="28"/>
                <w:sz w:val="21"/>
                <w:szCs w:val="21"/>
                <w:lang w:val="en-US" w:eastAsia="zh-CN"/>
                <w14:ligatures w14:val="none"/>
              </w:rPr>
              <w:t>符合</w:t>
            </w:r>
          </w:p>
        </w:tc>
      </w:tr>
      <w:tr w14:paraId="3C7429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56" w:type="pct"/>
            <w:vAlign w:val="center"/>
          </w:tcPr>
          <w:p w14:paraId="3F693753">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宋体" w:eastAsia="宋体" w:cs="Times New Roman"/>
                <w:kern w:val="28"/>
                <w:sz w:val="21"/>
                <w:szCs w:val="21"/>
                <w:lang w:val="en-US" w:eastAsia="zh-CN"/>
                <w14:ligatures w14:val="none"/>
              </w:rPr>
            </w:pPr>
            <w:r>
              <w:rPr>
                <w:rFonts w:hint="eastAsia" w:ascii="Times New Roman" w:hAnsi="宋体" w:eastAsia="宋体" w:cs="Times New Roman"/>
                <w:kern w:val="28"/>
                <w:sz w:val="21"/>
                <w:szCs w:val="21"/>
                <w:lang w:val="en-US" w:eastAsia="zh-CN"/>
                <w14:ligatures w14:val="none"/>
              </w:rPr>
              <w:t>7</w:t>
            </w:r>
          </w:p>
        </w:tc>
        <w:tc>
          <w:tcPr>
            <w:tcW w:w="2288" w:type="pct"/>
            <w:vAlign w:val="center"/>
          </w:tcPr>
          <w:p w14:paraId="2757BB73">
            <w:pPr>
              <w:keepNext w:val="0"/>
              <w:keepLines w:val="0"/>
              <w:suppressLineNumbers w:val="0"/>
              <w:adjustRightInd w:val="0"/>
              <w:snapToGrid w:val="0"/>
              <w:spacing w:before="0" w:beforeAutospacing="0" w:after="0" w:afterAutospacing="0" w:line="240" w:lineRule="auto"/>
              <w:ind w:left="0" w:right="0"/>
              <w:jc w:val="both"/>
              <w:rPr>
                <w:rFonts w:hint="eastAsia" w:ascii="Times New Roman" w:hAnsi="宋体" w:eastAsia="宋体" w:cs="Times New Roman"/>
                <w:kern w:val="28"/>
                <w:sz w:val="21"/>
                <w:szCs w:val="21"/>
                <w:lang w:eastAsia="zh-CN"/>
                <w14:ligatures w14:val="none"/>
              </w:rPr>
            </w:pPr>
          </w:p>
          <w:p w14:paraId="7B288B56">
            <w:pPr>
              <w:keepNext w:val="0"/>
              <w:keepLines w:val="0"/>
              <w:suppressLineNumbers w:val="0"/>
              <w:adjustRightInd w:val="0"/>
              <w:snapToGrid w:val="0"/>
              <w:spacing w:before="0" w:beforeAutospacing="0" w:after="0" w:afterAutospacing="0" w:line="240" w:lineRule="auto"/>
              <w:ind w:left="0" w:right="0"/>
              <w:jc w:val="both"/>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厂址应有利于同邻近工业 企业和依托城镇在生产、交 通运输、动力公用、修理、 综合利用和生活设施等方 面的协作</w:t>
            </w:r>
          </w:p>
        </w:tc>
        <w:tc>
          <w:tcPr>
            <w:tcW w:w="964" w:type="pct"/>
            <w:vAlign w:val="center"/>
          </w:tcPr>
          <w:p w14:paraId="4144E557">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p>
          <w:p w14:paraId="33715A6F">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《工业企业总平面设计规范》</w:t>
            </w:r>
          </w:p>
          <w:p w14:paraId="466EF71B">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GB 50187-2012</w:t>
            </w:r>
          </w:p>
          <w:p w14:paraId="336A0B4A">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第3.0.11 条</w:t>
            </w:r>
          </w:p>
        </w:tc>
        <w:tc>
          <w:tcPr>
            <w:tcW w:w="1023" w:type="pct"/>
            <w:vAlign w:val="center"/>
          </w:tcPr>
          <w:p w14:paraId="0F4EEA52">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厂址与周边邻近工业企业协作，依托城镇在 产、交通运输、 动力公用、修理、综合利用和生活 设施等</w:t>
            </w:r>
          </w:p>
        </w:tc>
        <w:tc>
          <w:tcPr>
            <w:tcW w:w="366" w:type="pct"/>
            <w:vAlign w:val="center"/>
          </w:tcPr>
          <w:p w14:paraId="0BE2BE73">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val="en-US" w:eastAsia="zh-CN"/>
                <w14:ligatures w14:val="none"/>
              </w:rPr>
            </w:pPr>
            <w:r>
              <w:rPr>
                <w:rFonts w:hint="eastAsia" w:ascii="Times New Roman" w:hAnsi="宋体" w:eastAsia="宋体" w:cs="Times New Roman"/>
                <w:kern w:val="28"/>
                <w:sz w:val="21"/>
                <w:szCs w:val="21"/>
                <w:lang w:eastAsia="zh-CN"/>
                <w14:ligatures w14:val="none"/>
              </w:rPr>
              <w:t>符合</w:t>
            </w:r>
          </w:p>
        </w:tc>
      </w:tr>
      <w:tr w14:paraId="259747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56" w:type="pct"/>
            <w:vAlign w:val="center"/>
          </w:tcPr>
          <w:p w14:paraId="3F9ABDA3">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宋体" w:eastAsia="宋体" w:cs="Times New Roman"/>
                <w:kern w:val="28"/>
                <w:sz w:val="21"/>
                <w:szCs w:val="21"/>
                <w:lang w:val="en-US" w:eastAsia="zh-CN"/>
                <w14:ligatures w14:val="none"/>
              </w:rPr>
            </w:pPr>
            <w:r>
              <w:rPr>
                <w:rFonts w:hint="eastAsia" w:ascii="Times New Roman" w:hAnsi="宋体" w:eastAsia="宋体" w:cs="Times New Roman"/>
                <w:kern w:val="28"/>
                <w:sz w:val="21"/>
                <w:szCs w:val="21"/>
                <w:lang w:val="en-US" w:eastAsia="zh-CN"/>
                <w14:ligatures w14:val="none"/>
              </w:rPr>
              <w:t>8</w:t>
            </w:r>
          </w:p>
        </w:tc>
        <w:tc>
          <w:tcPr>
            <w:tcW w:w="2288" w:type="pct"/>
            <w:vAlign w:val="center"/>
          </w:tcPr>
          <w:p w14:paraId="5584BA2D">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厂址应位于不受洪水、潮水或内涝威胁的地带；当不可避免时，必须具有可靠的防洪、排涝措施。</w:t>
            </w:r>
          </w:p>
        </w:tc>
        <w:tc>
          <w:tcPr>
            <w:tcW w:w="964" w:type="pct"/>
            <w:vAlign w:val="center"/>
          </w:tcPr>
          <w:p w14:paraId="214A149F">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《工业企业总平面设计规范》（GB50187-2012）</w:t>
            </w:r>
          </w:p>
          <w:p w14:paraId="3C81207B">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第3.0.12条</w:t>
            </w:r>
          </w:p>
        </w:tc>
        <w:tc>
          <w:tcPr>
            <w:tcW w:w="1023" w:type="pct"/>
            <w:vAlign w:val="center"/>
          </w:tcPr>
          <w:p w14:paraId="218FBC6D">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符合要求</w:t>
            </w:r>
          </w:p>
        </w:tc>
        <w:tc>
          <w:tcPr>
            <w:tcW w:w="366" w:type="pct"/>
            <w:vAlign w:val="center"/>
          </w:tcPr>
          <w:p w14:paraId="5359FB57">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符合</w:t>
            </w:r>
          </w:p>
        </w:tc>
      </w:tr>
      <w:tr w14:paraId="414938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56" w:type="pct"/>
            <w:vAlign w:val="center"/>
          </w:tcPr>
          <w:p w14:paraId="3884AB2F">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宋体" w:eastAsia="宋体" w:cs="Times New Roman"/>
                <w:kern w:val="28"/>
                <w:sz w:val="21"/>
                <w:szCs w:val="21"/>
                <w:lang w:val="en-US" w:eastAsia="zh-CN"/>
                <w14:ligatures w14:val="none"/>
              </w:rPr>
            </w:pPr>
            <w:r>
              <w:rPr>
                <w:rFonts w:hint="eastAsia" w:ascii="Times New Roman" w:hAnsi="宋体" w:eastAsia="宋体" w:cs="Times New Roman"/>
                <w:kern w:val="28"/>
                <w:sz w:val="21"/>
                <w:szCs w:val="21"/>
                <w:lang w:val="en-US" w:eastAsia="zh-CN"/>
                <w14:ligatures w14:val="none"/>
              </w:rPr>
              <w:t>9</w:t>
            </w:r>
          </w:p>
        </w:tc>
        <w:tc>
          <w:tcPr>
            <w:tcW w:w="2288" w:type="pct"/>
            <w:vAlign w:val="center"/>
          </w:tcPr>
          <w:p w14:paraId="5223FF86">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下列地段和地区不得选为厂址：</w:t>
            </w:r>
          </w:p>
          <w:p w14:paraId="102AE092">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1）地震断层和抗震设防烈度为9及高于9度的地震区；</w:t>
            </w:r>
          </w:p>
          <w:p w14:paraId="24828E28">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2）有泥石流、滑坡、流沙、溶洞等直接危害的地段；</w:t>
            </w:r>
          </w:p>
          <w:p w14:paraId="55E6FD74">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3）采矿陷落区界限内；</w:t>
            </w:r>
          </w:p>
          <w:p w14:paraId="7D494B8F">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4）爆破危险范围内；</w:t>
            </w:r>
          </w:p>
          <w:p w14:paraId="0B453CD9">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5）坝或提决溃后可能淹没的地区；</w:t>
            </w:r>
          </w:p>
          <w:p w14:paraId="703BE1A3">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6）有严重放射性物质污染影响区；</w:t>
            </w:r>
          </w:p>
          <w:p w14:paraId="3DCCF485">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7）生活居住区、文教区、水源保护区、名胜古迹、风景游览区、温泉、疗养区、自然保护区和其它需要特别保护的区域；</w:t>
            </w:r>
          </w:p>
          <w:p w14:paraId="1CB80C1B">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8）对飞机起落、电台通讯、电视转播、雷达导航和重要天文、气象、地震观察以及军事设施等规定有影响的范围内；</w:t>
            </w:r>
          </w:p>
          <w:p w14:paraId="0794D8A4">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9）很严重的自重湿陷性黄土地段、厚度大的新近堆积黄土地段、高压缩性的饱和黄土等地址条件恶劣地区；</w:t>
            </w:r>
          </w:p>
          <w:p w14:paraId="6964FED6">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10）具有开采价值的矿藏区；</w:t>
            </w:r>
          </w:p>
          <w:p w14:paraId="78091B9B">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11）受海啸或湖涌危害的地区。</w:t>
            </w:r>
          </w:p>
        </w:tc>
        <w:tc>
          <w:tcPr>
            <w:tcW w:w="964" w:type="pct"/>
            <w:vAlign w:val="center"/>
          </w:tcPr>
          <w:p w14:paraId="232379BA">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《工业企业总平面设计规范》</w:t>
            </w:r>
          </w:p>
          <w:p w14:paraId="315EA6C5">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（GB50187-2012）</w:t>
            </w:r>
          </w:p>
          <w:p w14:paraId="1A7C42BB">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第3.0.14条</w:t>
            </w:r>
          </w:p>
        </w:tc>
        <w:tc>
          <w:tcPr>
            <w:tcW w:w="1023" w:type="pct"/>
            <w:vAlign w:val="center"/>
          </w:tcPr>
          <w:p w14:paraId="47E3E05D">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厂址没有位于所述区域内，符合要求</w:t>
            </w:r>
          </w:p>
        </w:tc>
        <w:tc>
          <w:tcPr>
            <w:tcW w:w="366" w:type="pct"/>
            <w:vAlign w:val="center"/>
          </w:tcPr>
          <w:p w14:paraId="5BAE44DE">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符合</w:t>
            </w:r>
          </w:p>
        </w:tc>
      </w:tr>
      <w:tr w14:paraId="4B34BA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56" w:type="pct"/>
            <w:vAlign w:val="center"/>
          </w:tcPr>
          <w:p w14:paraId="2FBBC270">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宋体" w:eastAsia="宋体" w:cs="Times New Roman"/>
                <w:kern w:val="28"/>
                <w:sz w:val="21"/>
                <w:szCs w:val="21"/>
                <w:lang w:val="en-US" w:eastAsia="zh-CN"/>
                <w14:ligatures w14:val="none"/>
              </w:rPr>
            </w:pPr>
            <w:r>
              <w:rPr>
                <w:rFonts w:hint="eastAsia" w:ascii="Times New Roman" w:hAnsi="宋体" w:eastAsia="宋体" w:cs="Times New Roman"/>
                <w:kern w:val="28"/>
                <w:sz w:val="21"/>
                <w:szCs w:val="21"/>
                <w:lang w:val="en-US" w:eastAsia="zh-CN"/>
                <w14:ligatures w14:val="none"/>
              </w:rPr>
              <w:t>10</w:t>
            </w:r>
          </w:p>
        </w:tc>
        <w:tc>
          <w:tcPr>
            <w:tcW w:w="2288" w:type="pct"/>
            <w:vAlign w:val="center"/>
          </w:tcPr>
          <w:p w14:paraId="5DA255B2">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总平面布置，应结合当地气象条件，使建筑物具有良好的朝向、采光和自然通风条件。高温、热加工、有特殊要求和人员较多的建筑物，应避免西晒。</w:t>
            </w:r>
          </w:p>
        </w:tc>
        <w:tc>
          <w:tcPr>
            <w:tcW w:w="964" w:type="pct"/>
            <w:vAlign w:val="center"/>
          </w:tcPr>
          <w:p w14:paraId="1253D146">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《工业企业总平面设计规范》（GB50187-2012）</w:t>
            </w:r>
          </w:p>
          <w:p w14:paraId="3058DEF5">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第5.1.6条</w:t>
            </w:r>
          </w:p>
        </w:tc>
        <w:tc>
          <w:tcPr>
            <w:tcW w:w="1023" w:type="pct"/>
            <w:vAlign w:val="center"/>
          </w:tcPr>
          <w:p w14:paraId="46B0DD4F">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工厂总平面按功能分区，集中布置，符合要求。</w:t>
            </w:r>
          </w:p>
        </w:tc>
        <w:tc>
          <w:tcPr>
            <w:tcW w:w="366" w:type="pct"/>
            <w:vAlign w:val="center"/>
          </w:tcPr>
          <w:p w14:paraId="58394428">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符合</w:t>
            </w:r>
          </w:p>
        </w:tc>
      </w:tr>
      <w:tr w14:paraId="4A8D62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56" w:type="pct"/>
            <w:vAlign w:val="center"/>
          </w:tcPr>
          <w:p w14:paraId="23B938EE">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宋体" w:eastAsia="宋体" w:cs="Times New Roman"/>
                <w:kern w:val="28"/>
                <w:sz w:val="21"/>
                <w:szCs w:val="21"/>
                <w:lang w:val="en-US" w:eastAsia="zh-CN"/>
                <w14:ligatures w14:val="none"/>
              </w:rPr>
            </w:pPr>
            <w:r>
              <w:rPr>
                <w:rFonts w:hint="eastAsia" w:ascii="Times New Roman" w:hAnsi="宋体" w:eastAsia="宋体" w:cs="Times New Roman"/>
                <w:kern w:val="28"/>
                <w:sz w:val="21"/>
                <w:szCs w:val="21"/>
                <w:lang w:val="en-US" w:eastAsia="zh-CN"/>
                <w14:ligatures w14:val="none"/>
              </w:rPr>
              <w:t>11</w:t>
            </w:r>
          </w:p>
        </w:tc>
        <w:tc>
          <w:tcPr>
            <w:tcW w:w="4229" w:type="dxa"/>
            <w:vAlign w:val="center"/>
          </w:tcPr>
          <w:p w14:paraId="6706F7DB">
            <w:pPr>
              <w:keepNext w:val="0"/>
              <w:keepLines w:val="0"/>
              <w:suppressLineNumbers w:val="0"/>
              <w:adjustRightInd w:val="0"/>
              <w:snapToGrid w:val="0"/>
              <w:spacing w:before="0" w:beforeAutospacing="0" w:after="0" w:afterAutospacing="0" w:line="240" w:lineRule="auto"/>
              <w:ind w:left="0" w:right="0"/>
              <w:jc w:val="both"/>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厂区出入口的位置和数量，应根据企业的生产规模、总体规划、厂区用地 面积及总平面布置等因素综合确定，并应符合下列要求：出入口的数量不宜少于2个；主要人流出入口宜与主要货流出入口分开设置，并应位于厂区主干道通往居住区或城镇的一侧；主要货流出入口应位于主要货流方向，应靠近运输繁忙的仓库、堆场，并应与外部运 输线路连接方便</w:t>
            </w:r>
          </w:p>
        </w:tc>
        <w:tc>
          <w:tcPr>
            <w:tcW w:w="1783" w:type="dxa"/>
            <w:vAlign w:val="center"/>
          </w:tcPr>
          <w:p w14:paraId="666B6930">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《工业企业总平面设计规范》（GB50187-2012）</w:t>
            </w:r>
          </w:p>
          <w:p w14:paraId="67BFDE56">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第5</w:t>
            </w:r>
            <w:r>
              <w:rPr>
                <w:rFonts w:hint="eastAsia" w:ascii="Times New Roman" w:hAnsi="宋体" w:eastAsia="宋体" w:cs="Times New Roman"/>
                <w:kern w:val="28"/>
                <w:sz w:val="21"/>
                <w:szCs w:val="21"/>
                <w:lang w:val="en-US" w:eastAsia="zh-CN"/>
                <w14:ligatures w14:val="none"/>
              </w:rPr>
              <w:t>.7.4</w:t>
            </w:r>
            <w:r>
              <w:rPr>
                <w:rFonts w:hint="eastAsia" w:ascii="Times New Roman" w:hAnsi="宋体" w:eastAsia="宋体" w:cs="Times New Roman"/>
                <w:kern w:val="28"/>
                <w:sz w:val="21"/>
                <w:szCs w:val="21"/>
                <w:lang w:eastAsia="zh-CN"/>
                <w14:ligatures w14:val="none"/>
              </w:rPr>
              <w:t>条</w:t>
            </w:r>
          </w:p>
        </w:tc>
        <w:tc>
          <w:tcPr>
            <w:tcW w:w="1892" w:type="dxa"/>
            <w:vAlign w:val="center"/>
          </w:tcPr>
          <w:p w14:paraId="3ACC1AC8">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厂区出入口的位和数量不少于两个，人流和物流分开设置</w:t>
            </w:r>
          </w:p>
        </w:tc>
        <w:tc>
          <w:tcPr>
            <w:tcW w:w="677" w:type="dxa"/>
            <w:vAlign w:val="center"/>
          </w:tcPr>
          <w:p w14:paraId="1774E9EC">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符合</w:t>
            </w:r>
          </w:p>
        </w:tc>
      </w:tr>
      <w:tr w14:paraId="00648E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56" w:type="pct"/>
            <w:vAlign w:val="center"/>
          </w:tcPr>
          <w:p w14:paraId="0F9F096D">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宋体" w:eastAsia="宋体" w:cs="Times New Roman"/>
                <w:kern w:val="28"/>
                <w:sz w:val="21"/>
                <w:szCs w:val="21"/>
                <w:lang w:val="en-US" w:eastAsia="zh-CN"/>
                <w14:ligatures w14:val="none"/>
              </w:rPr>
            </w:pPr>
            <w:r>
              <w:rPr>
                <w:rFonts w:hint="eastAsia" w:ascii="Times New Roman" w:hAnsi="宋体" w:eastAsia="宋体" w:cs="Times New Roman"/>
                <w:kern w:val="28"/>
                <w:sz w:val="21"/>
                <w:szCs w:val="21"/>
                <w:lang w:val="en-US" w:eastAsia="zh-CN"/>
                <w14:ligatures w14:val="none"/>
              </w:rPr>
              <w:t>12</w:t>
            </w:r>
          </w:p>
        </w:tc>
        <w:tc>
          <w:tcPr>
            <w:tcW w:w="2288" w:type="pct"/>
            <w:vAlign w:val="center"/>
          </w:tcPr>
          <w:p w14:paraId="580A9B98">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厂房内严禁设置员工宿舍。办公室、休息室等不应设在甲、乙类厂房内。</w:t>
            </w:r>
          </w:p>
        </w:tc>
        <w:tc>
          <w:tcPr>
            <w:tcW w:w="964" w:type="pct"/>
            <w:vAlign w:val="center"/>
          </w:tcPr>
          <w:p w14:paraId="29B55A4E">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《建筑设计防火规范（2018版）》</w:t>
            </w:r>
          </w:p>
          <w:p w14:paraId="62DA1878">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（GB50016-2014）</w:t>
            </w:r>
          </w:p>
          <w:p w14:paraId="677FDEA6">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第3.3.5条</w:t>
            </w:r>
          </w:p>
        </w:tc>
        <w:tc>
          <w:tcPr>
            <w:tcW w:w="1023" w:type="pct"/>
            <w:vAlign w:val="center"/>
          </w:tcPr>
          <w:p w14:paraId="7478551E">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厂房内未设置员工宿舍和办公室，符合要求。</w:t>
            </w:r>
          </w:p>
        </w:tc>
        <w:tc>
          <w:tcPr>
            <w:tcW w:w="366" w:type="pct"/>
            <w:vAlign w:val="center"/>
          </w:tcPr>
          <w:p w14:paraId="41382DBD">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r>
              <w:rPr>
                <w:rFonts w:hint="eastAsia" w:ascii="Times New Roman" w:hAnsi="宋体" w:eastAsia="宋体" w:cs="Times New Roman"/>
                <w:kern w:val="28"/>
                <w:sz w:val="21"/>
                <w:szCs w:val="21"/>
                <w:lang w:eastAsia="zh-CN"/>
                <w14:ligatures w14:val="none"/>
              </w:rPr>
              <w:t>符合</w:t>
            </w:r>
          </w:p>
        </w:tc>
      </w:tr>
      <w:tr w14:paraId="6CA93D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56" w:type="pct"/>
            <w:vAlign w:val="center"/>
          </w:tcPr>
          <w:p w14:paraId="30760E99">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宋体" w:eastAsia="宋体" w:cs="Times New Roman"/>
                <w:kern w:val="28"/>
                <w:sz w:val="21"/>
                <w:szCs w:val="21"/>
                <w:lang w:val="en-US" w:eastAsia="zh-CN"/>
                <w14:ligatures w14:val="none"/>
              </w:rPr>
            </w:pPr>
            <w:r>
              <w:rPr>
                <w:rFonts w:hint="eastAsia" w:ascii="Times New Roman" w:hAnsi="宋体" w:eastAsia="宋体" w:cs="Times New Roman"/>
                <w:kern w:val="28"/>
                <w:sz w:val="21"/>
                <w:szCs w:val="21"/>
                <w:lang w:val="en-US" w:eastAsia="zh-CN"/>
                <w14:ligatures w14:val="none"/>
              </w:rPr>
              <w:t>13</w:t>
            </w:r>
          </w:p>
        </w:tc>
        <w:tc>
          <w:tcPr>
            <w:tcW w:w="2288" w:type="pct"/>
            <w:vAlign w:val="center"/>
          </w:tcPr>
          <w:p w14:paraId="32789996">
            <w:pPr>
              <w:keepNext w:val="0"/>
              <w:keepLines w:val="0"/>
              <w:suppressLineNumbers w:val="0"/>
              <w:adjustRightInd w:val="0"/>
              <w:snapToGrid w:val="0"/>
              <w:spacing w:before="0" w:beforeAutospacing="0" w:after="0" w:afterAutospacing="0" w:line="240" w:lineRule="auto"/>
              <w:ind w:left="0" w:right="0"/>
              <w:jc w:val="both"/>
              <w:rPr>
                <w:rFonts w:hint="eastAsia" w:ascii="Times New Roman" w:hAnsi="宋体" w:eastAsia="宋体" w:cs="Times New Roman"/>
                <w:kern w:val="28"/>
                <w:sz w:val="21"/>
                <w:szCs w:val="21"/>
                <w:lang w:eastAsia="zh-CN"/>
                <w14:ligatures w14:val="none"/>
              </w:rPr>
            </w:pPr>
            <w:r>
              <w:rPr>
                <w:rFonts w:hint="eastAsia" w:ascii="Times New Roman" w:hAnsi="Times New Roman" w:eastAsia="宋体" w:cs="Times New Roman"/>
                <w:kern w:val="28"/>
                <w:sz w:val="21"/>
                <w:szCs w:val="21"/>
                <w14:ligatures w14:val="none"/>
              </w:rPr>
              <w:t>项目建（构）筑物与其他建（构）筑物之间的防火间距是否满足要求</w:t>
            </w:r>
          </w:p>
        </w:tc>
        <w:tc>
          <w:tcPr>
            <w:tcW w:w="964" w:type="pct"/>
            <w:vAlign w:val="center"/>
          </w:tcPr>
          <w:p w14:paraId="273C30C8">
            <w:pPr>
              <w:keepNext w:val="0"/>
              <w:keepLines w:val="0"/>
              <w:suppressLineNumbers w:val="0"/>
              <w:snapToGrid w:val="0"/>
              <w:spacing w:before="0" w:beforeAutospacing="0" w:after="0" w:afterAutospacing="0" w:line="240" w:lineRule="auto"/>
              <w:ind w:left="0" w:right="0"/>
              <w:jc w:val="center"/>
              <w:rPr>
                <w:rFonts w:hint="eastAsia" w:ascii="Times New Roman" w:hAnsi="Times New Roman" w:eastAsia="宋体" w:cs="Times New Roman"/>
                <w:sz w:val="21"/>
                <w:szCs w:val="21"/>
                <w:lang w:eastAsia="zh-CN"/>
                <w14:ligatures w14:val="none"/>
              </w:rPr>
            </w:pPr>
            <w:r>
              <w:rPr>
                <w:rFonts w:hint="eastAsia" w:ascii="Times New Roman" w:hAnsi="宋体" w:eastAsia="宋体" w:cs="Times New Roman"/>
                <w:kern w:val="28"/>
                <w:sz w:val="21"/>
                <w:szCs w:val="21"/>
                <w:lang w:eastAsia="zh-CN"/>
                <w14:ligatures w14:val="none"/>
              </w:rPr>
              <w:t>《建筑设计防火规范（2018版）》（</w:t>
            </w:r>
            <w:r>
              <w:rPr>
                <w:rFonts w:hint="eastAsia" w:ascii="Times New Roman" w:hAnsi="Times New Roman" w:eastAsia="宋体" w:cs="Times New Roman"/>
                <w:sz w:val="21"/>
                <w:szCs w:val="21"/>
                <w14:ligatures w14:val="none"/>
              </w:rPr>
              <w:t>GB50016-2014</w:t>
            </w:r>
            <w:r>
              <w:rPr>
                <w:rFonts w:hint="eastAsia" w:ascii="Times New Roman" w:hAnsi="Times New Roman" w:eastAsia="宋体" w:cs="Times New Roman"/>
                <w:sz w:val="21"/>
                <w:szCs w:val="21"/>
                <w:lang w:eastAsia="zh-CN"/>
                <w14:ligatures w14:val="none"/>
              </w:rPr>
              <w:t>）</w:t>
            </w:r>
          </w:p>
          <w:p w14:paraId="352EC6AB">
            <w:pPr>
              <w:keepNext w:val="0"/>
              <w:keepLines w:val="0"/>
              <w:suppressLineNumbers w:val="0"/>
              <w:snapToGrid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r>
              <w:rPr>
                <w:rFonts w:hint="eastAsia" w:ascii="Times New Roman" w:hAnsi="Times New Roman" w:eastAsia="宋体" w:cs="Times New Roman"/>
                <w:sz w:val="21"/>
                <w:szCs w:val="21"/>
                <w14:ligatures w14:val="none"/>
              </w:rPr>
              <w:t>第3.4.1</w:t>
            </w:r>
            <w:r>
              <w:rPr>
                <w:rFonts w:hint="eastAsia" w:ascii="Times New Roman" w:hAnsi="Times New Roman" w:eastAsia="宋体" w:cs="Times New Roman"/>
                <w:sz w:val="21"/>
                <w:szCs w:val="21"/>
                <w:lang w:val="en-US" w:eastAsia="zh-CN"/>
                <w14:ligatures w14:val="none"/>
              </w:rPr>
              <w:t>条</w:t>
            </w:r>
          </w:p>
        </w:tc>
        <w:tc>
          <w:tcPr>
            <w:tcW w:w="1023" w:type="pct"/>
            <w:vAlign w:val="center"/>
          </w:tcPr>
          <w:p w14:paraId="55EEEC46">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宋体" w:eastAsia="宋体" w:cs="Times New Roman"/>
                <w:kern w:val="28"/>
                <w:sz w:val="21"/>
                <w:szCs w:val="21"/>
                <w:lang w:val="en-US" w:eastAsia="zh-CN"/>
                <w14:ligatures w14:val="none"/>
              </w:rPr>
            </w:pPr>
            <w:r>
              <w:rPr>
                <w:rFonts w:hint="eastAsia" w:ascii="Times New Roman" w:hAnsi="Times New Roman" w:eastAsia="宋体" w:cs="Times New Roman"/>
                <w:bCs/>
                <w:sz w:val="21"/>
                <w:szCs w:val="21"/>
                <w14:ligatures w14:val="none"/>
              </w:rPr>
              <w:t>见表</w:t>
            </w:r>
            <w:r>
              <w:rPr>
                <w:rFonts w:hint="eastAsia" w:ascii="Times New Roman" w:hAnsi="Times New Roman" w:eastAsia="宋体" w:cs="Times New Roman"/>
                <w:sz w:val="21"/>
                <w14:ligatures w14:val="none"/>
              </w:rPr>
              <w:t>2.1-</w:t>
            </w:r>
            <w:r>
              <w:rPr>
                <w:rFonts w:hint="eastAsia" w:ascii="Times New Roman" w:hAnsi="Times New Roman" w:eastAsia="宋体" w:cs="Times New Roman"/>
                <w:sz w:val="21"/>
                <w:lang w:val="en-US" w:eastAsia="zh-CN"/>
                <w14:ligatures w14:val="none"/>
              </w:rPr>
              <w:t>2</w:t>
            </w:r>
          </w:p>
        </w:tc>
        <w:tc>
          <w:tcPr>
            <w:tcW w:w="366" w:type="pct"/>
            <w:vAlign w:val="center"/>
          </w:tcPr>
          <w:p w14:paraId="1337A191">
            <w:pPr>
              <w:keepNext w:val="0"/>
              <w:keepLines w:val="0"/>
              <w:suppressLineNumbers w:val="0"/>
              <w:spacing w:before="0" w:beforeAutospacing="0" w:after="0" w:afterAutospacing="0" w:line="240" w:lineRule="auto"/>
              <w:ind w:left="0" w:right="0"/>
              <w:jc w:val="center"/>
              <w:rPr>
                <w:rFonts w:hint="eastAsia" w:ascii="Times New Roman" w:hAnsi="宋体" w:eastAsia="宋体" w:cs="Times New Roman"/>
                <w:kern w:val="28"/>
                <w:sz w:val="21"/>
                <w:szCs w:val="21"/>
                <w:lang w:eastAsia="zh-CN"/>
                <w14:ligatures w14:val="none"/>
              </w:rPr>
            </w:pPr>
            <w:r>
              <w:rPr>
                <w:rFonts w:hint="default" w:ascii="Times New Roman" w:hAnsi="Times New Roman" w:eastAsia="宋体" w:cs="Times New Roman"/>
                <w:bCs/>
                <w:sz w:val="21"/>
                <w:szCs w:val="21"/>
                <w14:ligatures w14:val="none"/>
              </w:rPr>
              <w:t>符合</w:t>
            </w:r>
          </w:p>
        </w:tc>
      </w:tr>
    </w:tbl>
    <w:p w14:paraId="3C683CC4">
      <w:pPr>
        <w:keepNext w:val="0"/>
        <w:keepLines w:val="0"/>
        <w:pageBreakBefore w:val="0"/>
        <w:widowControl w:val="0"/>
        <w:kinsoku/>
        <w:wordWrap/>
        <w:overflowPunct/>
        <w:topLinePunct w:val="0"/>
        <w:autoSpaceDE/>
        <w:autoSpaceDN/>
        <w:bidi w:val="0"/>
        <w:adjustRightInd w:val="0"/>
        <w:snapToGrid w:val="0"/>
        <w:spacing w:before="157" w:beforeLines="50" w:after="0" w:line="360" w:lineRule="auto"/>
        <w:ind w:firstLine="560" w:firstLineChars="20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小结：通过对周边环境及平面布置进行安全评价，共检查</w:t>
      </w:r>
      <w:r>
        <w:rPr>
          <w:rFonts w:hint="eastAsia" w:ascii="Times New Roman" w:hAnsi="Times New Roman" w:eastAsia="宋体" w:cs="Times New Roman"/>
          <w:sz w:val="28"/>
          <w:szCs w:val="28"/>
          <w:lang w:val="en-US" w:eastAsia="zh-CN"/>
          <w14:ligatures w14:val="none"/>
        </w:rPr>
        <w:t>13</w:t>
      </w:r>
      <w:r>
        <w:rPr>
          <w:rFonts w:hint="eastAsia" w:ascii="Times New Roman" w:hAnsi="Times New Roman" w:eastAsia="宋体" w:cs="Times New Roman"/>
          <w:sz w:val="28"/>
          <w:szCs w:val="28"/>
          <w14:ligatures w14:val="none"/>
        </w:rPr>
        <w:t>项，均符合相关要求。</w:t>
      </w:r>
    </w:p>
    <w:p w14:paraId="60B3C9F3">
      <w:pPr>
        <w:adjustRightInd w:val="0"/>
        <w:snapToGrid w:val="0"/>
        <w:spacing w:before="312" w:beforeLines="100" w:after="312" w:afterLines="100" w:line="360" w:lineRule="auto"/>
        <w:jc w:val="center"/>
        <w:outlineLvl w:val="1"/>
        <w:rPr>
          <w:rFonts w:ascii="Times New Roman" w:hAnsi="Times New Roman" w:eastAsia="楷体" w:cs="黑体"/>
          <w:b/>
          <w:sz w:val="32"/>
          <w:szCs w:val="32"/>
          <w14:ligatures w14:val="none"/>
        </w:rPr>
      </w:pPr>
      <w:bookmarkStart w:id="194" w:name="_Toc20420"/>
      <w:r>
        <w:rPr>
          <w:rFonts w:hint="eastAsia" w:ascii="Times New Roman" w:hAnsi="Times New Roman" w:eastAsia="楷体" w:cs="黑体"/>
          <w:b/>
          <w:sz w:val="32"/>
          <w:szCs w:val="32"/>
          <w14:ligatures w14:val="none"/>
        </w:rPr>
        <w:t>5.3</w:t>
      </w:r>
      <w:r>
        <w:rPr>
          <w:rFonts w:hint="eastAsia" w:ascii="Times New Roman" w:hAnsi="Times New Roman" w:eastAsia="楷体" w:cs="黑体"/>
          <w:b/>
          <w:sz w:val="32"/>
          <w:szCs w:val="32"/>
          <w:lang w:val="en-US" w:eastAsia="zh-CN"/>
          <w14:ligatures w14:val="none"/>
        </w:rPr>
        <w:t>储存</w:t>
      </w:r>
      <w:r>
        <w:rPr>
          <w:rFonts w:hint="eastAsia" w:ascii="Times New Roman" w:hAnsi="Times New Roman" w:eastAsia="楷体" w:cs="黑体"/>
          <w:b/>
          <w:sz w:val="32"/>
          <w:szCs w:val="32"/>
          <w14:ligatures w14:val="none"/>
        </w:rPr>
        <w:t>单元</w:t>
      </w:r>
      <w:bookmarkEnd w:id="194"/>
    </w:p>
    <w:p w14:paraId="6C575EC5">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采用安全检查表法对</w:t>
      </w:r>
      <w:r>
        <w:rPr>
          <w:rFonts w:hint="eastAsia" w:ascii="Times New Roman" w:hAnsi="Times New Roman" w:eastAsia="宋体" w:cs="Times New Roman"/>
          <w:sz w:val="28"/>
          <w:szCs w:val="28"/>
          <w:lang w:val="en-US" w:eastAsia="zh-CN"/>
          <w14:ligatures w14:val="none"/>
        </w:rPr>
        <w:t>储存</w:t>
      </w:r>
      <w:r>
        <w:rPr>
          <w:rFonts w:hint="eastAsia" w:ascii="Times New Roman" w:hAnsi="Times New Roman" w:eastAsia="宋体" w:cs="Times New Roman"/>
          <w:sz w:val="28"/>
          <w:szCs w:val="28"/>
          <w14:ligatures w14:val="none"/>
        </w:rPr>
        <w:t>单元进行评价，见表5.3-1。</w:t>
      </w:r>
    </w:p>
    <w:p w14:paraId="6E6F8783">
      <w:pPr>
        <w:keepNext/>
        <w:adjustRightInd w:val="0"/>
        <w:snapToGrid w:val="0"/>
        <w:spacing w:before="156" w:beforeLines="50" w:after="156" w:afterLines="50" w:line="240" w:lineRule="auto"/>
        <w:jc w:val="center"/>
        <w:rPr>
          <w:rFonts w:hint="eastAsia" w:ascii="Times New Roman" w:hAnsi="Times New Roman" w:eastAsia="黑体" w:cs="Times New Roman"/>
          <w:sz w:val="24"/>
          <w:lang w:eastAsia="zh-CN"/>
          <w14:ligatures w14:val="none"/>
        </w:rPr>
      </w:pPr>
      <w:r>
        <w:rPr>
          <w:rFonts w:hint="eastAsia" w:ascii="Times New Roman" w:hAnsi="Times New Roman" w:eastAsia="黑体" w:cs="Times New Roman"/>
          <w:sz w:val="24"/>
          <w14:ligatures w14:val="none"/>
        </w:rPr>
        <w:t>表5.3-1  储存单元安全检查</w:t>
      </w:r>
      <w:r>
        <w:rPr>
          <w:rFonts w:hint="eastAsia" w:ascii="Times New Roman" w:hAnsi="Times New Roman" w:eastAsia="黑体" w:cs="Times New Roman"/>
          <w:sz w:val="24"/>
          <w:highlight w:val="none"/>
          <w14:ligatures w14:val="none"/>
        </w:rPr>
        <w:t>表</w:t>
      </w:r>
    </w:p>
    <w:tbl>
      <w:tblPr>
        <w:tblStyle w:val="13"/>
        <w:tblW w:w="924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604"/>
        <w:gridCol w:w="3490"/>
        <w:gridCol w:w="2509"/>
        <w:gridCol w:w="2054"/>
        <w:gridCol w:w="584"/>
      </w:tblGrid>
      <w:tr w14:paraId="220BB8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604" w:type="dxa"/>
            <w:vAlign w:val="center"/>
          </w:tcPr>
          <w:p w14:paraId="145C4415">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14:ligatures w14:val="none"/>
              </w:rPr>
            </w:pPr>
            <w:bookmarkStart w:id="195" w:name="_Toc237085414"/>
            <w:r>
              <w:rPr>
                <w:rFonts w:hint="default" w:ascii="Times New Roman" w:hAnsi="Times New Roman" w:eastAsia="宋体" w:cs="Times New Roman"/>
                <w:kern w:val="28"/>
                <w:sz w:val="21"/>
                <w:szCs w:val="21"/>
                <w14:ligatures w14:val="none"/>
              </w:rPr>
              <w:t>序号</w:t>
            </w:r>
          </w:p>
        </w:tc>
        <w:tc>
          <w:tcPr>
            <w:tcW w:w="3490" w:type="dxa"/>
            <w:vAlign w:val="center"/>
          </w:tcPr>
          <w:p w14:paraId="32AC9CFE">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检查</w:t>
            </w:r>
            <w:r>
              <w:rPr>
                <w:rFonts w:hint="default" w:ascii="Times New Roman" w:hAnsi="Times New Roman" w:eastAsia="宋体" w:cs="Times New Roman"/>
                <w:kern w:val="28"/>
                <w:sz w:val="21"/>
                <w:szCs w:val="21"/>
                <w14:ligatures w14:val="none"/>
              </w:rPr>
              <w:t>内容</w:t>
            </w:r>
          </w:p>
        </w:tc>
        <w:tc>
          <w:tcPr>
            <w:tcW w:w="2509" w:type="dxa"/>
            <w:vAlign w:val="center"/>
          </w:tcPr>
          <w:p w14:paraId="230F7B11">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检查依据</w:t>
            </w:r>
          </w:p>
        </w:tc>
        <w:tc>
          <w:tcPr>
            <w:tcW w:w="2054" w:type="dxa"/>
            <w:vAlign w:val="center"/>
          </w:tcPr>
          <w:p w14:paraId="23F0F6E5">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实际情况</w:t>
            </w:r>
          </w:p>
        </w:tc>
        <w:tc>
          <w:tcPr>
            <w:tcW w:w="584" w:type="dxa"/>
            <w:vAlign w:val="center"/>
          </w:tcPr>
          <w:p w14:paraId="6E3C801D">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结论</w:t>
            </w:r>
          </w:p>
        </w:tc>
      </w:tr>
      <w:tr w14:paraId="4464B0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604" w:type="dxa"/>
            <w:vAlign w:val="center"/>
          </w:tcPr>
          <w:p w14:paraId="610A0591">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1</w:t>
            </w:r>
          </w:p>
        </w:tc>
        <w:tc>
          <w:tcPr>
            <w:tcW w:w="3490" w:type="dxa"/>
            <w:vAlign w:val="center"/>
          </w:tcPr>
          <w:p w14:paraId="6F3CDD4C">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酸类宜选用固定顶储罐或卧罐</w:t>
            </w:r>
          </w:p>
        </w:tc>
        <w:tc>
          <w:tcPr>
            <w:tcW w:w="2509" w:type="dxa"/>
            <w:vAlign w:val="center"/>
          </w:tcPr>
          <w:p w14:paraId="3AEF39F3">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《石油化工储运系统罐区设计规范》</w:t>
            </w:r>
          </w:p>
          <w:p w14:paraId="1E4877A6">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（SH/T3007-2014）</w:t>
            </w:r>
          </w:p>
          <w:p w14:paraId="7C0C7A47">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第4.2.12条</w:t>
            </w:r>
          </w:p>
        </w:tc>
        <w:tc>
          <w:tcPr>
            <w:tcW w:w="2054" w:type="dxa"/>
            <w:vAlign w:val="center"/>
          </w:tcPr>
          <w:p w14:paraId="55634FF6">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盐酸储罐为固定顶储罐</w:t>
            </w:r>
          </w:p>
        </w:tc>
        <w:tc>
          <w:tcPr>
            <w:tcW w:w="584" w:type="dxa"/>
            <w:vAlign w:val="center"/>
          </w:tcPr>
          <w:p w14:paraId="25B672B2">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符合</w:t>
            </w:r>
          </w:p>
        </w:tc>
      </w:tr>
      <w:tr w14:paraId="207A7C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604" w:type="dxa"/>
            <w:vAlign w:val="center"/>
          </w:tcPr>
          <w:p w14:paraId="2EF0CE1A">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2</w:t>
            </w:r>
          </w:p>
        </w:tc>
        <w:tc>
          <w:tcPr>
            <w:tcW w:w="3490" w:type="dxa"/>
            <w:vAlign w:val="center"/>
          </w:tcPr>
          <w:p w14:paraId="36B04292">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人孔应设置在进出罐方便的位置，并应避开罐内附件，人孔中心宜高出罐底750mm。</w:t>
            </w:r>
          </w:p>
        </w:tc>
        <w:tc>
          <w:tcPr>
            <w:tcW w:w="2509" w:type="dxa"/>
            <w:vAlign w:val="center"/>
          </w:tcPr>
          <w:p w14:paraId="5F94D694">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《石油化工储运系统罐区设计规范》</w:t>
            </w:r>
          </w:p>
          <w:p w14:paraId="4A544F9E">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（SH/T3007-2014）</w:t>
            </w:r>
          </w:p>
          <w:p w14:paraId="17F3253A">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第</w:t>
            </w:r>
            <w:r>
              <w:rPr>
                <w:rFonts w:hint="eastAsia" w:ascii="Times New Roman" w:hAnsi="Times New Roman" w:eastAsia="宋体" w:cs="Times New Roman"/>
                <w:kern w:val="28"/>
                <w:sz w:val="21"/>
                <w:szCs w:val="21"/>
                <w:lang w:val="en-US" w:eastAsia="zh-CN"/>
                <w14:ligatures w14:val="none"/>
              </w:rPr>
              <w:t>5.2.6</w:t>
            </w:r>
            <w:r>
              <w:rPr>
                <w:rFonts w:hint="eastAsia" w:ascii="Times New Roman" w:hAnsi="Times New Roman" w:eastAsia="宋体" w:cs="Times New Roman"/>
                <w:kern w:val="28"/>
                <w:sz w:val="21"/>
                <w:szCs w:val="21"/>
                <w14:ligatures w14:val="none"/>
              </w:rPr>
              <w:t>条</w:t>
            </w:r>
          </w:p>
        </w:tc>
        <w:tc>
          <w:tcPr>
            <w:tcW w:w="2054" w:type="dxa"/>
            <w:vAlign w:val="center"/>
          </w:tcPr>
          <w:p w14:paraId="63F5BD1E">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14:ligatures w14:val="none"/>
              </w:rPr>
              <w:t>人孔设置在进出罐方便的位置，人孔中心高出罐底750mm。</w:t>
            </w:r>
          </w:p>
        </w:tc>
        <w:tc>
          <w:tcPr>
            <w:tcW w:w="584" w:type="dxa"/>
            <w:vAlign w:val="center"/>
          </w:tcPr>
          <w:p w14:paraId="06E63D52">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符合</w:t>
            </w:r>
          </w:p>
        </w:tc>
      </w:tr>
      <w:tr w14:paraId="39602F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604" w:type="dxa"/>
            <w:vAlign w:val="center"/>
          </w:tcPr>
          <w:p w14:paraId="3BD9D5A8">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3</w:t>
            </w:r>
          </w:p>
        </w:tc>
        <w:tc>
          <w:tcPr>
            <w:tcW w:w="3490" w:type="dxa"/>
            <w:vAlign w:val="center"/>
          </w:tcPr>
          <w:p w14:paraId="52D5972D">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梯子平台应设置便于操作及检修的位置。</w:t>
            </w:r>
          </w:p>
        </w:tc>
        <w:tc>
          <w:tcPr>
            <w:tcW w:w="2509" w:type="dxa"/>
            <w:vAlign w:val="center"/>
          </w:tcPr>
          <w:p w14:paraId="2BDD0A9F">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《石油化工储运系统罐区设计规范》</w:t>
            </w:r>
          </w:p>
          <w:p w14:paraId="46FA7584">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（SH/T3007-2014）</w:t>
            </w:r>
          </w:p>
          <w:p w14:paraId="72261DCB">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第</w:t>
            </w:r>
            <w:r>
              <w:rPr>
                <w:rFonts w:hint="eastAsia" w:ascii="Times New Roman" w:hAnsi="Times New Roman" w:eastAsia="宋体" w:cs="Times New Roman"/>
                <w:kern w:val="28"/>
                <w:sz w:val="21"/>
                <w:szCs w:val="21"/>
                <w:lang w:val="en-US" w:eastAsia="zh-CN"/>
                <w14:ligatures w14:val="none"/>
              </w:rPr>
              <w:t>5.2.9</w:t>
            </w:r>
            <w:r>
              <w:rPr>
                <w:rFonts w:hint="eastAsia" w:ascii="Times New Roman" w:hAnsi="Times New Roman" w:eastAsia="宋体" w:cs="Times New Roman"/>
                <w:kern w:val="28"/>
                <w:sz w:val="21"/>
                <w:szCs w:val="21"/>
                <w14:ligatures w14:val="none"/>
              </w:rPr>
              <w:t>条</w:t>
            </w:r>
          </w:p>
        </w:tc>
        <w:tc>
          <w:tcPr>
            <w:tcW w:w="2054" w:type="dxa"/>
            <w:vAlign w:val="center"/>
          </w:tcPr>
          <w:p w14:paraId="7C6C7026">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梯子平台设置</w:t>
            </w:r>
            <w:r>
              <w:rPr>
                <w:rFonts w:hint="eastAsia" w:ascii="Times New Roman" w:hAnsi="Times New Roman" w:eastAsia="宋体" w:cs="Times New Roman"/>
                <w:kern w:val="28"/>
                <w:sz w:val="21"/>
                <w:szCs w:val="21"/>
                <w:lang w:val="en-US" w:eastAsia="zh-CN"/>
                <w14:ligatures w14:val="none"/>
              </w:rPr>
              <w:t>在</w:t>
            </w:r>
            <w:r>
              <w:rPr>
                <w:rFonts w:hint="eastAsia" w:ascii="Times New Roman" w:hAnsi="Times New Roman" w:eastAsia="宋体" w:cs="Times New Roman"/>
                <w:kern w:val="28"/>
                <w:sz w:val="21"/>
                <w:szCs w:val="21"/>
                <w14:ligatures w14:val="none"/>
              </w:rPr>
              <w:t>便于操作及检修的位置。</w:t>
            </w:r>
          </w:p>
        </w:tc>
        <w:tc>
          <w:tcPr>
            <w:tcW w:w="584" w:type="dxa"/>
            <w:vAlign w:val="center"/>
          </w:tcPr>
          <w:p w14:paraId="288740B0">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符合</w:t>
            </w:r>
          </w:p>
        </w:tc>
      </w:tr>
      <w:bookmarkEnd w:id="195"/>
      <w:tr w14:paraId="2CC034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604" w:type="dxa"/>
            <w:vAlign w:val="center"/>
          </w:tcPr>
          <w:p w14:paraId="4E4E6FF7">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4</w:t>
            </w:r>
          </w:p>
        </w:tc>
        <w:tc>
          <w:tcPr>
            <w:tcW w:w="3490" w:type="dxa"/>
            <w:vAlign w:val="center"/>
          </w:tcPr>
          <w:p w14:paraId="322A4819">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Times New Roman" w:eastAsia="宋体" w:cs="Times New Roman"/>
                <w:kern w:val="28"/>
                <w:sz w:val="21"/>
                <w:szCs w:val="21"/>
                <w:lang w:eastAsia="zh-CN"/>
                <w14:ligatures w14:val="none"/>
              </w:rPr>
            </w:pPr>
            <w:r>
              <w:rPr>
                <w:rFonts w:hint="eastAsia" w:ascii="Times New Roman" w:hAnsi="Times New Roman" w:eastAsia="宋体" w:cs="Times New Roman"/>
                <w:kern w:val="28"/>
                <w:sz w:val="21"/>
                <w:szCs w:val="21"/>
                <w14:ligatures w14:val="none"/>
              </w:rPr>
              <w:t>具有化学灼伤危险的作业场所，应设计洗眼器、淋洗器等安全防护措施，淋洗器、洗眼器的服务半径应不大于 15m。</w:t>
            </w:r>
          </w:p>
        </w:tc>
        <w:tc>
          <w:tcPr>
            <w:tcW w:w="2509" w:type="dxa"/>
            <w:vAlign w:val="center"/>
          </w:tcPr>
          <w:p w14:paraId="6749A178">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HG20571-2014第</w:t>
            </w:r>
          </w:p>
          <w:p w14:paraId="1B31685F">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lang w:eastAsia="zh-CN"/>
                <w14:ligatures w14:val="none"/>
              </w:rPr>
            </w:pPr>
            <w:r>
              <w:rPr>
                <w:rFonts w:hint="eastAsia" w:ascii="Times New Roman" w:hAnsi="Times New Roman" w:eastAsia="宋体" w:cs="Times New Roman"/>
                <w:kern w:val="28"/>
                <w:sz w:val="21"/>
                <w:szCs w:val="21"/>
                <w14:ligatures w14:val="none"/>
              </w:rPr>
              <w:t>5.6.5条</w:t>
            </w:r>
          </w:p>
        </w:tc>
        <w:tc>
          <w:tcPr>
            <w:tcW w:w="2054" w:type="dxa"/>
            <w:vAlign w:val="center"/>
          </w:tcPr>
          <w:p w14:paraId="32E29E1F">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lang w:eastAsia="zh-CN"/>
                <w14:ligatures w14:val="none"/>
              </w:rPr>
            </w:pPr>
            <w:r>
              <w:rPr>
                <w:rFonts w:hint="eastAsia" w:ascii="Times New Roman" w:hAnsi="Times New Roman" w:eastAsia="宋体" w:cs="Times New Roman"/>
                <w:kern w:val="28"/>
                <w:sz w:val="21"/>
                <w:szCs w:val="21"/>
                <w:lang w:val="en-US" w:eastAsia="zh-CN"/>
                <w14:ligatures w14:val="none"/>
              </w:rPr>
              <w:t>盐酸储罐区</w:t>
            </w:r>
            <w:r>
              <w:rPr>
                <w:rFonts w:hint="eastAsia" w:ascii="Times New Roman" w:hAnsi="Times New Roman" w:eastAsia="宋体" w:cs="Times New Roman"/>
                <w:kern w:val="28"/>
                <w:sz w:val="21"/>
                <w:szCs w:val="21"/>
                <w14:ligatures w14:val="none"/>
              </w:rPr>
              <w:t>装置设有</w:t>
            </w:r>
            <w:r>
              <w:rPr>
                <w:rFonts w:hint="eastAsia" w:ascii="Times New Roman" w:hAnsi="Times New Roman" w:eastAsia="宋体" w:cs="Times New Roman"/>
                <w:kern w:val="28"/>
                <w:sz w:val="21"/>
                <w:szCs w:val="21"/>
                <w:lang w:val="en-US" w:eastAsia="zh-CN"/>
                <w14:ligatures w14:val="none"/>
              </w:rPr>
              <w:t>壁挂式</w:t>
            </w:r>
            <w:r>
              <w:rPr>
                <w:rFonts w:hint="eastAsia" w:ascii="Times New Roman" w:hAnsi="Times New Roman" w:eastAsia="宋体" w:cs="Times New Roman"/>
                <w:kern w:val="28"/>
                <w:sz w:val="21"/>
                <w:szCs w:val="21"/>
                <w14:ligatures w14:val="none"/>
              </w:rPr>
              <w:t>洗眼器，</w:t>
            </w:r>
            <w:r>
              <w:rPr>
                <w:rFonts w:hint="eastAsia" w:ascii="Times New Roman" w:hAnsi="Times New Roman" w:eastAsia="宋体" w:cs="Times New Roman"/>
                <w:kern w:val="28"/>
                <w:sz w:val="21"/>
                <w:szCs w:val="21"/>
                <w:lang w:val="en-US" w:eastAsia="zh-CN"/>
                <w14:ligatures w14:val="none"/>
              </w:rPr>
              <w:t>及移动式洗眼器，</w:t>
            </w:r>
            <w:r>
              <w:rPr>
                <w:rFonts w:hint="eastAsia" w:ascii="Times New Roman" w:hAnsi="Times New Roman" w:eastAsia="宋体" w:cs="Times New Roman"/>
                <w:kern w:val="28"/>
                <w:sz w:val="21"/>
                <w:szCs w:val="21"/>
                <w14:ligatures w14:val="none"/>
              </w:rPr>
              <w:t>洗眼器的服务半径不大于15m。</w:t>
            </w:r>
          </w:p>
        </w:tc>
        <w:tc>
          <w:tcPr>
            <w:tcW w:w="584" w:type="dxa"/>
            <w:vAlign w:val="center"/>
          </w:tcPr>
          <w:p w14:paraId="47F8A7CF">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lang w:eastAsia="zh-CN"/>
                <w14:ligatures w14:val="none"/>
              </w:rPr>
            </w:pPr>
            <w:r>
              <w:rPr>
                <w:rFonts w:hint="eastAsia" w:ascii="Times New Roman" w:hAnsi="Times New Roman" w:eastAsia="宋体" w:cs="Times New Roman"/>
                <w:kern w:val="28"/>
                <w:sz w:val="21"/>
                <w:szCs w:val="21"/>
                <w14:ligatures w14:val="none"/>
              </w:rPr>
              <w:t>符合</w:t>
            </w:r>
          </w:p>
        </w:tc>
      </w:tr>
      <w:tr w14:paraId="6A3AD1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604" w:type="dxa"/>
            <w:vAlign w:val="center"/>
          </w:tcPr>
          <w:p w14:paraId="64B61700">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5</w:t>
            </w:r>
          </w:p>
        </w:tc>
        <w:tc>
          <w:tcPr>
            <w:tcW w:w="3490" w:type="dxa"/>
            <w:vAlign w:val="center"/>
          </w:tcPr>
          <w:p w14:paraId="389D513D">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Times New Roman" w:eastAsia="宋体" w:cs="Times New Roman"/>
                <w:kern w:val="28"/>
                <w:sz w:val="21"/>
                <w:szCs w:val="21"/>
                <w:lang w:eastAsia="zh-CN"/>
                <w14:ligatures w14:val="none"/>
              </w:rPr>
            </w:pPr>
            <w:r>
              <w:rPr>
                <w:rFonts w:hint="eastAsia" w:ascii="Times New Roman" w:hAnsi="Times New Roman" w:eastAsia="宋体" w:cs="Times New Roman"/>
                <w:kern w:val="28"/>
                <w:sz w:val="21"/>
                <w:szCs w:val="21"/>
                <w14:ligatures w14:val="none"/>
              </w:rPr>
              <w:t>在不影响使用功能的情况下，生产设备可被人员接触到的部分及其零部件应设计成不带易伤人的角、利棱、凹凸不平的表面和较突出的部位。</w:t>
            </w:r>
          </w:p>
        </w:tc>
        <w:tc>
          <w:tcPr>
            <w:tcW w:w="2509" w:type="dxa"/>
            <w:vAlign w:val="center"/>
          </w:tcPr>
          <w:p w14:paraId="7FC5748A">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GB5083-1999</w:t>
            </w:r>
          </w:p>
          <w:p w14:paraId="7E818C64">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lang w:eastAsia="zh-CN"/>
                <w14:ligatures w14:val="none"/>
              </w:rPr>
            </w:pPr>
            <w:r>
              <w:rPr>
                <w:rFonts w:hint="eastAsia" w:ascii="Times New Roman" w:hAnsi="Times New Roman" w:eastAsia="宋体" w:cs="Times New Roman"/>
                <w:kern w:val="28"/>
                <w:sz w:val="21"/>
                <w:szCs w:val="21"/>
                <w14:ligatures w14:val="none"/>
              </w:rPr>
              <w:t>第5.4条</w:t>
            </w:r>
          </w:p>
        </w:tc>
        <w:tc>
          <w:tcPr>
            <w:tcW w:w="2054" w:type="dxa"/>
            <w:vAlign w:val="center"/>
          </w:tcPr>
          <w:p w14:paraId="75EAD463">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lang w:eastAsia="zh-CN"/>
                <w14:ligatures w14:val="none"/>
              </w:rPr>
            </w:pPr>
            <w:r>
              <w:rPr>
                <w:rFonts w:hint="eastAsia" w:ascii="Times New Roman" w:hAnsi="Times New Roman" w:eastAsia="宋体" w:cs="Times New Roman"/>
                <w:kern w:val="28"/>
                <w:sz w:val="21"/>
                <w:szCs w:val="21"/>
                <w14:ligatures w14:val="none"/>
              </w:rPr>
              <w:t>生产设备及零部件表面带棱角部位采用防护罩等</w:t>
            </w:r>
          </w:p>
        </w:tc>
        <w:tc>
          <w:tcPr>
            <w:tcW w:w="584" w:type="dxa"/>
            <w:vAlign w:val="center"/>
          </w:tcPr>
          <w:p w14:paraId="5D33A9EF">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lang w:eastAsia="zh-CN"/>
                <w14:ligatures w14:val="none"/>
              </w:rPr>
            </w:pPr>
            <w:r>
              <w:rPr>
                <w:rFonts w:hint="eastAsia" w:ascii="Times New Roman" w:hAnsi="Times New Roman" w:eastAsia="宋体" w:cs="Times New Roman"/>
                <w:kern w:val="28"/>
                <w:sz w:val="21"/>
                <w:szCs w:val="21"/>
                <w14:ligatures w14:val="none"/>
              </w:rPr>
              <w:t>符合</w:t>
            </w:r>
          </w:p>
        </w:tc>
      </w:tr>
      <w:tr w14:paraId="6B9414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604" w:type="dxa"/>
            <w:vAlign w:val="center"/>
          </w:tcPr>
          <w:p w14:paraId="6D875BC7">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6</w:t>
            </w:r>
          </w:p>
        </w:tc>
        <w:tc>
          <w:tcPr>
            <w:tcW w:w="3490" w:type="dxa"/>
            <w:vAlign w:val="center"/>
          </w:tcPr>
          <w:p w14:paraId="563C1B1C">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Times New Roman" w:eastAsia="宋体" w:cs="Times New Roman"/>
                <w:kern w:val="28"/>
                <w:sz w:val="21"/>
                <w:szCs w:val="21"/>
                <w:lang w:eastAsia="zh-CN"/>
                <w14:ligatures w14:val="none"/>
              </w:rPr>
            </w:pPr>
            <w:r>
              <w:rPr>
                <w:rFonts w:hint="eastAsia" w:ascii="Times New Roman" w:hAnsi="Times New Roman" w:eastAsia="宋体" w:cs="Times New Roman"/>
                <w:kern w:val="28"/>
                <w:sz w:val="21"/>
                <w:szCs w:val="21"/>
                <w14:ligatures w14:val="none"/>
              </w:rPr>
              <w:t>高速旋转零部件必须配置具有足够强度、刚度和合适形态、尺寸的防护罩。</w:t>
            </w:r>
          </w:p>
        </w:tc>
        <w:tc>
          <w:tcPr>
            <w:tcW w:w="2509" w:type="dxa"/>
            <w:vAlign w:val="center"/>
          </w:tcPr>
          <w:p w14:paraId="210EBE3E">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GB5083-1999</w:t>
            </w:r>
          </w:p>
          <w:p w14:paraId="492327DC">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lang w:eastAsia="zh-CN"/>
                <w14:ligatures w14:val="none"/>
              </w:rPr>
            </w:pPr>
            <w:r>
              <w:rPr>
                <w:rFonts w:hint="eastAsia" w:ascii="Times New Roman" w:hAnsi="Times New Roman" w:eastAsia="宋体" w:cs="Times New Roman"/>
                <w:kern w:val="28"/>
                <w:sz w:val="21"/>
                <w:szCs w:val="21"/>
                <w14:ligatures w14:val="none"/>
              </w:rPr>
              <w:t>第6.2.1条</w:t>
            </w:r>
          </w:p>
        </w:tc>
        <w:tc>
          <w:tcPr>
            <w:tcW w:w="2054" w:type="dxa"/>
            <w:vAlign w:val="center"/>
          </w:tcPr>
          <w:p w14:paraId="24561C68">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lang w:eastAsia="zh-CN"/>
                <w14:ligatures w14:val="none"/>
              </w:rPr>
            </w:pPr>
            <w:r>
              <w:rPr>
                <w:rFonts w:hint="eastAsia" w:ascii="Times New Roman" w:hAnsi="Times New Roman" w:eastAsia="宋体" w:cs="Times New Roman"/>
                <w:kern w:val="28"/>
                <w:sz w:val="21"/>
                <w:szCs w:val="21"/>
                <w14:ligatures w14:val="none"/>
              </w:rPr>
              <w:t>现场高速旋转的设备设置安全防护罩</w:t>
            </w:r>
          </w:p>
        </w:tc>
        <w:tc>
          <w:tcPr>
            <w:tcW w:w="584" w:type="dxa"/>
            <w:vAlign w:val="center"/>
          </w:tcPr>
          <w:p w14:paraId="1C41CCD8">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lang w:eastAsia="zh-CN"/>
                <w14:ligatures w14:val="none"/>
              </w:rPr>
            </w:pPr>
            <w:r>
              <w:rPr>
                <w:rFonts w:hint="eastAsia" w:ascii="Times New Roman" w:hAnsi="Times New Roman" w:eastAsia="宋体" w:cs="Times New Roman"/>
                <w:kern w:val="28"/>
                <w:sz w:val="21"/>
                <w:szCs w:val="21"/>
                <w14:ligatures w14:val="none"/>
              </w:rPr>
              <w:t>符合</w:t>
            </w:r>
          </w:p>
        </w:tc>
      </w:tr>
      <w:tr w14:paraId="211914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604" w:type="dxa"/>
            <w:vAlign w:val="center"/>
          </w:tcPr>
          <w:p w14:paraId="5090CA44">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7</w:t>
            </w:r>
          </w:p>
        </w:tc>
        <w:tc>
          <w:tcPr>
            <w:tcW w:w="3490" w:type="dxa"/>
            <w:vAlign w:val="center"/>
          </w:tcPr>
          <w:p w14:paraId="5DAC832B">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Times New Roman" w:eastAsia="宋体" w:cs="Times New Roman"/>
                <w:kern w:val="28"/>
                <w:sz w:val="21"/>
                <w:szCs w:val="21"/>
                <w:lang w:eastAsia="zh-CN"/>
                <w14:ligatures w14:val="none"/>
              </w:rPr>
            </w:pPr>
            <w:r>
              <w:rPr>
                <w:rFonts w:hint="eastAsia" w:ascii="Times New Roman" w:hAnsi="Times New Roman" w:eastAsia="宋体" w:cs="Times New Roman"/>
                <w:kern w:val="28"/>
                <w:sz w:val="21"/>
                <w:szCs w:val="21"/>
                <w14:ligatures w14:val="none"/>
              </w:rPr>
              <w:t>四氯化钛生产作业区域内必须设置冲洗装置、洗眼器。</w:t>
            </w:r>
          </w:p>
        </w:tc>
        <w:tc>
          <w:tcPr>
            <w:tcW w:w="2509" w:type="dxa"/>
            <w:vAlign w:val="center"/>
          </w:tcPr>
          <w:p w14:paraId="3BE80C35">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GB 51326-2018</w:t>
            </w:r>
          </w:p>
          <w:p w14:paraId="21B94179">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lang w:eastAsia="zh-CN"/>
                <w14:ligatures w14:val="none"/>
              </w:rPr>
            </w:pPr>
            <w:r>
              <w:rPr>
                <w:rFonts w:hint="eastAsia" w:ascii="Times New Roman" w:hAnsi="Times New Roman" w:eastAsia="宋体" w:cs="Times New Roman"/>
                <w:kern w:val="28"/>
                <w:sz w:val="21"/>
                <w:szCs w:val="21"/>
                <w14:ligatures w14:val="none"/>
              </w:rPr>
              <w:t>第5.1.11 条</w:t>
            </w:r>
          </w:p>
        </w:tc>
        <w:tc>
          <w:tcPr>
            <w:tcW w:w="2054" w:type="dxa"/>
            <w:vAlign w:val="center"/>
          </w:tcPr>
          <w:p w14:paraId="2A62EAC4">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lang w:eastAsia="zh-CN"/>
                <w14:ligatures w14:val="none"/>
              </w:rPr>
            </w:pPr>
            <w:r>
              <w:rPr>
                <w:rFonts w:hint="eastAsia" w:ascii="Times New Roman" w:hAnsi="Times New Roman" w:eastAsia="宋体" w:cs="Times New Roman"/>
                <w:kern w:val="28"/>
                <w:sz w:val="21"/>
                <w:szCs w:val="21"/>
                <w:lang w:val="en-US" w:eastAsia="zh-CN"/>
                <w14:ligatures w14:val="none"/>
              </w:rPr>
              <w:t>高硅四氯化钛储罐位于</w:t>
            </w:r>
            <w:r>
              <w:rPr>
                <w:rFonts w:hint="eastAsia" w:ascii="Times New Roman" w:hAnsi="Times New Roman" w:eastAsia="宋体" w:cs="Times New Roman"/>
                <w:kern w:val="28"/>
                <w:sz w:val="21"/>
                <w:szCs w:val="21"/>
                <w14:ligatures w14:val="none"/>
              </w:rPr>
              <w:t>精制车间</w:t>
            </w:r>
            <w:r>
              <w:rPr>
                <w:rFonts w:hint="eastAsia" w:ascii="Times New Roman" w:hAnsi="Times New Roman" w:eastAsia="宋体" w:cs="Times New Roman"/>
                <w:kern w:val="28"/>
                <w:sz w:val="21"/>
                <w:szCs w:val="21"/>
                <w:lang w:eastAsia="zh-CN"/>
                <w14:ligatures w14:val="none"/>
              </w:rPr>
              <w:t>，</w:t>
            </w:r>
            <w:r>
              <w:rPr>
                <w:rFonts w:hint="eastAsia" w:ascii="Times New Roman" w:hAnsi="Times New Roman" w:eastAsia="宋体" w:cs="Times New Roman"/>
                <w:kern w:val="28"/>
                <w:sz w:val="21"/>
                <w:szCs w:val="21"/>
                <w14:ligatures w14:val="none"/>
              </w:rPr>
              <w:t>设置冲洗装置、洗眼器。</w:t>
            </w:r>
          </w:p>
        </w:tc>
        <w:tc>
          <w:tcPr>
            <w:tcW w:w="584" w:type="dxa"/>
            <w:vAlign w:val="center"/>
          </w:tcPr>
          <w:p w14:paraId="355D0F54">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lang w:eastAsia="zh-CN"/>
                <w14:ligatures w14:val="none"/>
              </w:rPr>
            </w:pPr>
            <w:r>
              <w:rPr>
                <w:rFonts w:hint="eastAsia" w:ascii="Times New Roman" w:hAnsi="Times New Roman" w:eastAsia="宋体" w:cs="Times New Roman"/>
                <w:kern w:val="28"/>
                <w:sz w:val="21"/>
                <w:szCs w:val="21"/>
                <w14:ligatures w14:val="none"/>
              </w:rPr>
              <w:t>符合</w:t>
            </w:r>
          </w:p>
        </w:tc>
      </w:tr>
      <w:tr w14:paraId="4DEE36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84" w:hRule="atLeast"/>
          <w:jc w:val="center"/>
        </w:trPr>
        <w:tc>
          <w:tcPr>
            <w:tcW w:w="604" w:type="dxa"/>
            <w:shd w:val="clear" w:color="auto" w:fill="auto"/>
            <w:vAlign w:val="center"/>
          </w:tcPr>
          <w:p w14:paraId="6A8C8EB4">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8</w:t>
            </w:r>
          </w:p>
        </w:tc>
        <w:tc>
          <w:tcPr>
            <w:tcW w:w="3490" w:type="dxa"/>
            <w:shd w:val="clear" w:color="auto" w:fill="auto"/>
            <w:vAlign w:val="center"/>
          </w:tcPr>
          <w:p w14:paraId="08DE41DC">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14:ligatures w14:val="none"/>
              </w:rPr>
              <w:t>在正常工作或维修时，为防止异物进入或防止其运行对人员可能造成危险的零部件，应设有保护装置。起重机上外露的、有可能伤人的运动零部件，如开式齿轮、联轴器、传动轴、 链轮、链条、传动带、皮带轮等，均应装设防护罩/栏。</w:t>
            </w:r>
          </w:p>
        </w:tc>
        <w:tc>
          <w:tcPr>
            <w:tcW w:w="2509" w:type="dxa"/>
            <w:shd w:val="clear" w:color="auto" w:fill="auto"/>
            <w:vAlign w:val="center"/>
          </w:tcPr>
          <w:p w14:paraId="1014346A">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GB/T6067.1-2010</w:t>
            </w:r>
          </w:p>
          <w:p w14:paraId="637745CC">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14:ligatures w14:val="none"/>
              </w:rPr>
              <w:t>第9.6.7条</w:t>
            </w:r>
          </w:p>
        </w:tc>
        <w:tc>
          <w:tcPr>
            <w:tcW w:w="2054" w:type="dxa"/>
            <w:shd w:val="clear" w:color="auto" w:fill="auto"/>
            <w:vAlign w:val="center"/>
          </w:tcPr>
          <w:p w14:paraId="729D6A95">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14:ligatures w14:val="none"/>
              </w:rPr>
              <w:t>为防止异物进入或防止其运行对人员可能造成危险的零部件，设 有保护装置</w:t>
            </w:r>
          </w:p>
        </w:tc>
        <w:tc>
          <w:tcPr>
            <w:tcW w:w="584" w:type="dxa"/>
            <w:shd w:val="clear" w:color="auto" w:fill="auto"/>
            <w:vAlign w:val="center"/>
          </w:tcPr>
          <w:p w14:paraId="5295EBE1">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14:ligatures w14:val="none"/>
              </w:rPr>
              <w:t>符合</w:t>
            </w:r>
          </w:p>
        </w:tc>
      </w:tr>
      <w:tr w14:paraId="795040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604" w:type="dxa"/>
            <w:vAlign w:val="center"/>
          </w:tcPr>
          <w:p w14:paraId="183340EF">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9</w:t>
            </w:r>
          </w:p>
        </w:tc>
        <w:tc>
          <w:tcPr>
            <w:tcW w:w="3490" w:type="dxa"/>
            <w:vAlign w:val="center"/>
          </w:tcPr>
          <w:p w14:paraId="2A0615C1">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管线综合布置应与工业企业总平面布置、竖向设计和绿化布置相结合，统一规划。管线之间、管线与建筑物、构筑物、道路、铁路等之间在平面竖向上，应相互协调、紧凑合理、节约集约用地、有利厂容用地。</w:t>
            </w:r>
          </w:p>
        </w:tc>
        <w:tc>
          <w:tcPr>
            <w:tcW w:w="2509" w:type="dxa"/>
            <w:vAlign w:val="center"/>
          </w:tcPr>
          <w:p w14:paraId="60C0B933">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《工业企业总平面设计规范》</w:t>
            </w:r>
          </w:p>
          <w:p w14:paraId="3005952E">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（GB 50187-2012）</w:t>
            </w:r>
          </w:p>
          <w:p w14:paraId="17E83471">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第8.1.1条</w:t>
            </w:r>
          </w:p>
        </w:tc>
        <w:tc>
          <w:tcPr>
            <w:tcW w:w="2054" w:type="dxa"/>
            <w:vAlign w:val="center"/>
          </w:tcPr>
          <w:p w14:paraId="2849E2AA">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管线布置符合要求</w:t>
            </w:r>
          </w:p>
        </w:tc>
        <w:tc>
          <w:tcPr>
            <w:tcW w:w="584" w:type="dxa"/>
            <w:vAlign w:val="center"/>
          </w:tcPr>
          <w:p w14:paraId="1C4E7B72">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符合</w:t>
            </w:r>
          </w:p>
        </w:tc>
      </w:tr>
      <w:tr w14:paraId="40C998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604" w:type="dxa"/>
            <w:vAlign w:val="center"/>
          </w:tcPr>
          <w:p w14:paraId="1ED2D5F1">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10</w:t>
            </w:r>
          </w:p>
        </w:tc>
        <w:tc>
          <w:tcPr>
            <w:tcW w:w="3490" w:type="dxa"/>
            <w:vAlign w:val="center"/>
          </w:tcPr>
          <w:p w14:paraId="5D546803">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管线综合布置，应在满足生产、安全、检修的条件下节约集约用地。当条件允许、经技术经济比较合理时，应采用共架、共沟布置。</w:t>
            </w:r>
          </w:p>
        </w:tc>
        <w:tc>
          <w:tcPr>
            <w:tcW w:w="2509" w:type="dxa"/>
            <w:vAlign w:val="center"/>
          </w:tcPr>
          <w:p w14:paraId="1EF35C50">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《石油化工金属管道布置设计规范》</w:t>
            </w:r>
          </w:p>
          <w:p w14:paraId="68786CC6">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（SH 3012-2011）</w:t>
            </w:r>
          </w:p>
          <w:p w14:paraId="2599DD83">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第</w:t>
            </w:r>
            <w:r>
              <w:rPr>
                <w:rFonts w:hint="eastAsia" w:ascii="Times New Roman" w:hAnsi="Times New Roman" w:eastAsia="宋体" w:cs="Times New Roman"/>
                <w:kern w:val="28"/>
                <w:sz w:val="21"/>
                <w:szCs w:val="21"/>
                <w:lang w:val="en-US" w:eastAsia="zh-CN"/>
                <w14:ligatures w14:val="none"/>
              </w:rPr>
              <w:t>8.1.3</w:t>
            </w:r>
            <w:r>
              <w:rPr>
                <w:rFonts w:hint="eastAsia" w:ascii="Times New Roman" w:hAnsi="Times New Roman" w:eastAsia="宋体" w:cs="Times New Roman"/>
                <w:kern w:val="28"/>
                <w:sz w:val="21"/>
                <w:szCs w:val="21"/>
                <w14:ligatures w14:val="none"/>
              </w:rPr>
              <w:t>条</w:t>
            </w:r>
          </w:p>
        </w:tc>
        <w:tc>
          <w:tcPr>
            <w:tcW w:w="2054" w:type="dxa"/>
            <w:vAlign w:val="center"/>
          </w:tcPr>
          <w:p w14:paraId="3E350272">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满足生产、安全、检修的条件下节约集约用地</w:t>
            </w:r>
          </w:p>
        </w:tc>
        <w:tc>
          <w:tcPr>
            <w:tcW w:w="584" w:type="dxa"/>
            <w:vAlign w:val="center"/>
          </w:tcPr>
          <w:p w14:paraId="108F0B23">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符合</w:t>
            </w:r>
          </w:p>
        </w:tc>
      </w:tr>
      <w:tr w14:paraId="734C8C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604" w:type="dxa"/>
            <w:vAlign w:val="center"/>
          </w:tcPr>
          <w:p w14:paraId="11140937">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11</w:t>
            </w:r>
          </w:p>
        </w:tc>
        <w:tc>
          <w:tcPr>
            <w:tcW w:w="3490" w:type="dxa"/>
            <w:vAlign w:val="center"/>
          </w:tcPr>
          <w:p w14:paraId="60633162">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腐蚀性介质的管道布置应避免由于阀门及易发生泄漏的管道附件造成对人身和设备的危害，易发生泄漏部位不应布置在人行道或机泵上方，否则应设防护。</w:t>
            </w:r>
          </w:p>
        </w:tc>
        <w:tc>
          <w:tcPr>
            <w:tcW w:w="2509" w:type="dxa"/>
            <w:vAlign w:val="center"/>
          </w:tcPr>
          <w:p w14:paraId="7ED0A0A3">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《石油化工企业设计防火标准（2018版）》（GB50160-2008）</w:t>
            </w:r>
          </w:p>
          <w:p w14:paraId="11E64CFF">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第</w:t>
            </w:r>
            <w:r>
              <w:rPr>
                <w:rFonts w:hint="eastAsia" w:ascii="Times New Roman" w:hAnsi="Times New Roman" w:eastAsia="宋体" w:cs="Times New Roman"/>
                <w:kern w:val="28"/>
                <w:sz w:val="21"/>
                <w:szCs w:val="21"/>
                <w:lang w:val="en-US" w:eastAsia="zh-CN"/>
                <w14:ligatures w14:val="none"/>
              </w:rPr>
              <w:t>3.1.22</w:t>
            </w:r>
            <w:r>
              <w:rPr>
                <w:rFonts w:hint="eastAsia" w:ascii="Times New Roman" w:hAnsi="Times New Roman" w:eastAsia="宋体" w:cs="Times New Roman"/>
                <w:kern w:val="28"/>
                <w:sz w:val="21"/>
                <w:szCs w:val="21"/>
                <w14:ligatures w14:val="none"/>
              </w:rPr>
              <w:t>条</w:t>
            </w:r>
          </w:p>
        </w:tc>
        <w:tc>
          <w:tcPr>
            <w:tcW w:w="2054" w:type="dxa"/>
            <w:vAlign w:val="center"/>
          </w:tcPr>
          <w:p w14:paraId="5E1D638D">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盐酸管道的布置符合要求</w:t>
            </w:r>
          </w:p>
        </w:tc>
        <w:tc>
          <w:tcPr>
            <w:tcW w:w="584" w:type="dxa"/>
            <w:vAlign w:val="center"/>
          </w:tcPr>
          <w:p w14:paraId="479B8C8C">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符合</w:t>
            </w:r>
          </w:p>
        </w:tc>
      </w:tr>
      <w:tr w14:paraId="6698C6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604" w:type="dxa"/>
            <w:vAlign w:val="center"/>
          </w:tcPr>
          <w:p w14:paraId="060CDD9A">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12</w:t>
            </w:r>
          </w:p>
        </w:tc>
        <w:tc>
          <w:tcPr>
            <w:tcW w:w="3490" w:type="dxa"/>
            <w:vAlign w:val="center"/>
          </w:tcPr>
          <w:p w14:paraId="3E2EEA45">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管道布置宜符合下列规定：腐蚀性介质管道宜布置在下层，但腐蚀性介质管道不应布置在电动机的正上方</w:t>
            </w:r>
          </w:p>
        </w:tc>
        <w:tc>
          <w:tcPr>
            <w:tcW w:w="2509" w:type="dxa"/>
            <w:vAlign w:val="center"/>
          </w:tcPr>
          <w:p w14:paraId="47F52C48">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《石油化工金属管道布置设计规范》</w:t>
            </w:r>
          </w:p>
          <w:p w14:paraId="473EC397">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（SH 3012-2011）</w:t>
            </w:r>
          </w:p>
          <w:p w14:paraId="2DB44B6C">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第4.2.1条</w:t>
            </w:r>
          </w:p>
        </w:tc>
        <w:tc>
          <w:tcPr>
            <w:tcW w:w="2054" w:type="dxa"/>
            <w:vAlign w:val="center"/>
          </w:tcPr>
          <w:p w14:paraId="77A4FE99">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盐酸管道布置符合要求。</w:t>
            </w:r>
          </w:p>
        </w:tc>
        <w:tc>
          <w:tcPr>
            <w:tcW w:w="584" w:type="dxa"/>
            <w:vAlign w:val="center"/>
          </w:tcPr>
          <w:p w14:paraId="54BB67A4">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符合</w:t>
            </w:r>
          </w:p>
        </w:tc>
      </w:tr>
      <w:tr w14:paraId="46614C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604" w:type="dxa"/>
            <w:vAlign w:val="center"/>
          </w:tcPr>
          <w:p w14:paraId="6ABDB0BD">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13</w:t>
            </w:r>
          </w:p>
        </w:tc>
        <w:tc>
          <w:tcPr>
            <w:tcW w:w="3490" w:type="dxa"/>
            <w:vAlign w:val="center"/>
          </w:tcPr>
          <w:p w14:paraId="1F02A7ED">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强腐蚀性介质的管道和设备上的阀门不应布置在人的头部高度范围</w:t>
            </w:r>
          </w:p>
        </w:tc>
        <w:tc>
          <w:tcPr>
            <w:tcW w:w="2509" w:type="dxa"/>
            <w:vAlign w:val="center"/>
          </w:tcPr>
          <w:p w14:paraId="46400B99">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《石油化工金属管道布置设计规范》</w:t>
            </w:r>
          </w:p>
          <w:p w14:paraId="1BD6B0E9">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（SH 3012-2011）</w:t>
            </w:r>
          </w:p>
          <w:p w14:paraId="1EB42DB0">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第10.1.4条</w:t>
            </w:r>
          </w:p>
        </w:tc>
        <w:tc>
          <w:tcPr>
            <w:tcW w:w="2054" w:type="dxa"/>
            <w:vAlign w:val="center"/>
          </w:tcPr>
          <w:p w14:paraId="31CF3839">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盐酸管道和设备上的阀门未设置在人的头部高度范围。</w:t>
            </w:r>
          </w:p>
        </w:tc>
        <w:tc>
          <w:tcPr>
            <w:tcW w:w="584" w:type="dxa"/>
            <w:vAlign w:val="center"/>
          </w:tcPr>
          <w:p w14:paraId="7AB6EDE7">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符合</w:t>
            </w:r>
          </w:p>
        </w:tc>
      </w:tr>
      <w:tr w14:paraId="4A9FC0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604" w:type="dxa"/>
            <w:vAlign w:val="center"/>
          </w:tcPr>
          <w:p w14:paraId="17A0B51E">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14</w:t>
            </w:r>
          </w:p>
        </w:tc>
        <w:tc>
          <w:tcPr>
            <w:tcW w:w="3490" w:type="dxa"/>
            <w:vAlign w:val="center"/>
          </w:tcPr>
          <w:p w14:paraId="4BEB6C9C">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腐蚀环境中使用的风机、泵等成套设备，其配套电动机和现场控制设备应依据腐蚀环境类别选用相应的防腐型电动机和防腐型控制设备。</w:t>
            </w:r>
          </w:p>
        </w:tc>
        <w:tc>
          <w:tcPr>
            <w:tcW w:w="2509" w:type="dxa"/>
            <w:vAlign w:val="center"/>
          </w:tcPr>
          <w:p w14:paraId="5010EE2B">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《化工企业腐蚀环境电力设计规程》</w:t>
            </w:r>
          </w:p>
          <w:p w14:paraId="0ED8292C">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（HG/T 20666-1999）</w:t>
            </w:r>
          </w:p>
          <w:p w14:paraId="70A8D482">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第5.0.5条</w:t>
            </w:r>
          </w:p>
        </w:tc>
        <w:tc>
          <w:tcPr>
            <w:tcW w:w="2054" w:type="dxa"/>
            <w:vAlign w:val="center"/>
          </w:tcPr>
          <w:p w14:paraId="1E4BAE54">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盐酸输送泵等设备选用</w:t>
            </w:r>
            <w:r>
              <w:rPr>
                <w:rFonts w:hint="eastAsia" w:ascii="Times New Roman" w:hAnsi="Times New Roman" w:eastAsia="宋体" w:cs="Times New Roman"/>
                <w:kern w:val="28"/>
                <w:sz w:val="21"/>
                <w:szCs w:val="21"/>
                <w:highlight w:val="none"/>
                <w:lang w:val="en-US" w:eastAsia="zh-CN"/>
                <w14:ligatures w14:val="none"/>
              </w:rPr>
              <w:t>防腐型设备</w:t>
            </w:r>
          </w:p>
        </w:tc>
        <w:tc>
          <w:tcPr>
            <w:tcW w:w="584" w:type="dxa"/>
            <w:vAlign w:val="center"/>
          </w:tcPr>
          <w:p w14:paraId="27C9EE33">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符合</w:t>
            </w:r>
          </w:p>
        </w:tc>
      </w:tr>
      <w:tr w14:paraId="2D3CDF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604" w:type="dxa"/>
            <w:vAlign w:val="center"/>
          </w:tcPr>
          <w:p w14:paraId="180B1808">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15</w:t>
            </w:r>
          </w:p>
        </w:tc>
        <w:tc>
          <w:tcPr>
            <w:tcW w:w="3490" w:type="dxa"/>
            <w:vAlign w:val="center"/>
          </w:tcPr>
          <w:p w14:paraId="7981350A">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酸类库区及其装卸设施应布置在易受腐蚀的生产设施或仓储设施的全年最小频率风向的上风侧，宜位于厂区边缘且地势较低处，并应在厂区地下水流向的下游地段。</w:t>
            </w:r>
          </w:p>
        </w:tc>
        <w:tc>
          <w:tcPr>
            <w:tcW w:w="2509" w:type="dxa"/>
            <w:vAlign w:val="center"/>
          </w:tcPr>
          <w:p w14:paraId="393C6314">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《工业企业总平面设计规范》</w:t>
            </w:r>
          </w:p>
          <w:p w14:paraId="08251A05">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（GB 50187-2012）</w:t>
            </w:r>
          </w:p>
          <w:p w14:paraId="016FD9AA">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第5.6.7条，</w:t>
            </w:r>
          </w:p>
        </w:tc>
        <w:tc>
          <w:tcPr>
            <w:tcW w:w="2054" w:type="dxa"/>
            <w:vAlign w:val="center"/>
          </w:tcPr>
          <w:p w14:paraId="5F284FA8">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盐酸储罐区以及装卸设施的布置符合要求</w:t>
            </w:r>
          </w:p>
        </w:tc>
        <w:tc>
          <w:tcPr>
            <w:tcW w:w="584" w:type="dxa"/>
            <w:vAlign w:val="center"/>
          </w:tcPr>
          <w:p w14:paraId="599EA91A">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符合</w:t>
            </w:r>
          </w:p>
        </w:tc>
      </w:tr>
      <w:tr w14:paraId="0FA0D2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604" w:type="dxa"/>
            <w:vAlign w:val="center"/>
          </w:tcPr>
          <w:p w14:paraId="593D9F0D">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16</w:t>
            </w:r>
          </w:p>
        </w:tc>
        <w:tc>
          <w:tcPr>
            <w:tcW w:w="3490" w:type="dxa"/>
            <w:vAlign w:val="center"/>
          </w:tcPr>
          <w:p w14:paraId="548B077B">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输送酸等腐蚀性介质时，泵的材质宜选用合金钢。</w:t>
            </w:r>
          </w:p>
        </w:tc>
        <w:tc>
          <w:tcPr>
            <w:tcW w:w="2509" w:type="dxa"/>
            <w:vAlign w:val="center"/>
          </w:tcPr>
          <w:p w14:paraId="3376F459">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《石油化工储运系统泵区设计规范》</w:t>
            </w:r>
          </w:p>
          <w:p w14:paraId="461DEA25">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（SH/T 3014-2012）</w:t>
            </w:r>
          </w:p>
          <w:p w14:paraId="26609532">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第5.6.2条</w:t>
            </w:r>
          </w:p>
        </w:tc>
        <w:tc>
          <w:tcPr>
            <w:tcW w:w="2054" w:type="dxa"/>
            <w:vAlign w:val="center"/>
          </w:tcPr>
          <w:p w14:paraId="67D4B74B">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输送盐酸的泵材质为FSB型氟塑料合金。</w:t>
            </w:r>
          </w:p>
        </w:tc>
        <w:tc>
          <w:tcPr>
            <w:tcW w:w="584" w:type="dxa"/>
            <w:vAlign w:val="center"/>
          </w:tcPr>
          <w:p w14:paraId="7A9034D2">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符合</w:t>
            </w:r>
          </w:p>
        </w:tc>
      </w:tr>
      <w:tr w14:paraId="5C731D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604" w:type="dxa"/>
            <w:vAlign w:val="center"/>
          </w:tcPr>
          <w:p w14:paraId="3C3A0C8E">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17</w:t>
            </w:r>
          </w:p>
        </w:tc>
        <w:tc>
          <w:tcPr>
            <w:tcW w:w="3490" w:type="dxa"/>
            <w:vAlign w:val="center"/>
          </w:tcPr>
          <w:p w14:paraId="34C130A5">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泵机组的布置应满足操作和检修的要求</w:t>
            </w:r>
          </w:p>
        </w:tc>
        <w:tc>
          <w:tcPr>
            <w:tcW w:w="2509" w:type="dxa"/>
            <w:vAlign w:val="center"/>
          </w:tcPr>
          <w:p w14:paraId="32E0D467">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《石油化工储运系统泵区设计规范》</w:t>
            </w:r>
          </w:p>
          <w:p w14:paraId="2100F1CC">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（SH/T 3014-2012）</w:t>
            </w:r>
          </w:p>
          <w:p w14:paraId="3DEDA9B4">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第7.1.1条</w:t>
            </w:r>
          </w:p>
        </w:tc>
        <w:tc>
          <w:tcPr>
            <w:tcW w:w="2054" w:type="dxa"/>
            <w:vAlign w:val="center"/>
          </w:tcPr>
          <w:p w14:paraId="45751EE0">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泵组的布置满足操作和检维修。</w:t>
            </w:r>
          </w:p>
        </w:tc>
        <w:tc>
          <w:tcPr>
            <w:tcW w:w="584" w:type="dxa"/>
            <w:vAlign w:val="center"/>
          </w:tcPr>
          <w:p w14:paraId="611A2EB3">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符合</w:t>
            </w:r>
          </w:p>
        </w:tc>
      </w:tr>
      <w:tr w14:paraId="15C817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604" w:type="dxa"/>
            <w:vAlign w:val="center"/>
          </w:tcPr>
          <w:p w14:paraId="58E4C935">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18</w:t>
            </w:r>
          </w:p>
        </w:tc>
        <w:tc>
          <w:tcPr>
            <w:tcW w:w="3490" w:type="dxa"/>
            <w:vAlign w:val="center"/>
          </w:tcPr>
          <w:p w14:paraId="5DCE55F8">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泵出口应设压力表，泵进口宜设压力表。</w:t>
            </w:r>
          </w:p>
        </w:tc>
        <w:tc>
          <w:tcPr>
            <w:tcW w:w="2509" w:type="dxa"/>
            <w:vAlign w:val="center"/>
          </w:tcPr>
          <w:p w14:paraId="20AFFE70">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《石油化工储运系统泵区设计规范》</w:t>
            </w:r>
          </w:p>
          <w:p w14:paraId="619BE40E">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（SH/T 3014-2012）</w:t>
            </w:r>
          </w:p>
          <w:p w14:paraId="46D8006F">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第8.1.1条</w:t>
            </w:r>
          </w:p>
        </w:tc>
        <w:tc>
          <w:tcPr>
            <w:tcW w:w="2054" w:type="dxa"/>
            <w:vAlign w:val="center"/>
          </w:tcPr>
          <w:p w14:paraId="5E390233">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泵进出口设置压力表</w:t>
            </w:r>
          </w:p>
        </w:tc>
        <w:tc>
          <w:tcPr>
            <w:tcW w:w="584" w:type="dxa"/>
            <w:vAlign w:val="center"/>
          </w:tcPr>
          <w:p w14:paraId="37A95343">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符合</w:t>
            </w:r>
          </w:p>
        </w:tc>
      </w:tr>
      <w:tr w14:paraId="01CD37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604" w:type="dxa"/>
            <w:vAlign w:val="center"/>
          </w:tcPr>
          <w:p w14:paraId="37C4C4AF">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19</w:t>
            </w:r>
          </w:p>
        </w:tc>
        <w:tc>
          <w:tcPr>
            <w:tcW w:w="3490" w:type="dxa"/>
            <w:vAlign w:val="center"/>
          </w:tcPr>
          <w:p w14:paraId="57C91892">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储存酸等腐蚀性介质的储罐组内的地面应做防腐蚀处理。</w:t>
            </w:r>
          </w:p>
        </w:tc>
        <w:tc>
          <w:tcPr>
            <w:tcW w:w="2509" w:type="dxa"/>
            <w:vAlign w:val="center"/>
          </w:tcPr>
          <w:p w14:paraId="65975B4A">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《储罐区防火堤设计规范》（GB 50351-2014）</w:t>
            </w:r>
          </w:p>
          <w:p w14:paraId="01B7FAD5">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第3.3.5条</w:t>
            </w:r>
          </w:p>
        </w:tc>
        <w:tc>
          <w:tcPr>
            <w:tcW w:w="2054" w:type="dxa"/>
            <w:vAlign w:val="center"/>
          </w:tcPr>
          <w:p w14:paraId="12645C0D">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盐酸、次氯酸钠储罐组地面做防腐蚀处理</w:t>
            </w:r>
          </w:p>
        </w:tc>
        <w:tc>
          <w:tcPr>
            <w:tcW w:w="584" w:type="dxa"/>
            <w:vAlign w:val="center"/>
          </w:tcPr>
          <w:p w14:paraId="6606C4A4">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符合</w:t>
            </w:r>
          </w:p>
        </w:tc>
      </w:tr>
      <w:tr w14:paraId="78C400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604" w:type="dxa"/>
            <w:vAlign w:val="center"/>
          </w:tcPr>
          <w:p w14:paraId="1348B1A1">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20</w:t>
            </w:r>
          </w:p>
        </w:tc>
        <w:tc>
          <w:tcPr>
            <w:tcW w:w="3490" w:type="dxa"/>
            <w:vAlign w:val="center"/>
          </w:tcPr>
          <w:p w14:paraId="77E2599A">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储存酸等腐蚀性介质的储罐组，防火堤堤身内侧应做防腐蚀处理。</w:t>
            </w:r>
          </w:p>
        </w:tc>
        <w:tc>
          <w:tcPr>
            <w:tcW w:w="2509" w:type="dxa"/>
            <w:vAlign w:val="center"/>
          </w:tcPr>
          <w:p w14:paraId="42E13175">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《储罐区防火堤设计规范》（GB 50351-2014）</w:t>
            </w:r>
          </w:p>
          <w:p w14:paraId="55CB69D0">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第</w:t>
            </w:r>
            <w:r>
              <w:rPr>
                <w:rFonts w:hint="eastAsia" w:ascii="Times New Roman" w:hAnsi="Times New Roman" w:eastAsia="宋体" w:cs="Times New Roman"/>
                <w:kern w:val="28"/>
                <w:sz w:val="21"/>
                <w:szCs w:val="21"/>
                <w:lang w:val="en-US" w:eastAsia="zh-CN"/>
                <w14:ligatures w14:val="none"/>
              </w:rPr>
              <w:t>4.2.2</w:t>
            </w:r>
            <w:r>
              <w:rPr>
                <w:rFonts w:hint="eastAsia" w:ascii="Times New Roman" w:hAnsi="Times New Roman" w:eastAsia="宋体" w:cs="Times New Roman"/>
                <w:kern w:val="28"/>
                <w:sz w:val="21"/>
                <w:szCs w:val="21"/>
                <w14:ligatures w14:val="none"/>
              </w:rPr>
              <w:t>条</w:t>
            </w:r>
          </w:p>
        </w:tc>
        <w:tc>
          <w:tcPr>
            <w:tcW w:w="2054" w:type="dxa"/>
            <w:vAlign w:val="center"/>
          </w:tcPr>
          <w:p w14:paraId="4545DEC2">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盐酸、次氯酸钠储罐组防火堤堤身做防腐蚀处理</w:t>
            </w:r>
          </w:p>
        </w:tc>
        <w:tc>
          <w:tcPr>
            <w:tcW w:w="584" w:type="dxa"/>
            <w:vAlign w:val="center"/>
          </w:tcPr>
          <w:p w14:paraId="2CF22685">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符合</w:t>
            </w:r>
          </w:p>
        </w:tc>
      </w:tr>
      <w:tr w14:paraId="5976E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604" w:type="dxa"/>
            <w:vAlign w:val="center"/>
          </w:tcPr>
          <w:p w14:paraId="01AC23D2">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21</w:t>
            </w:r>
          </w:p>
        </w:tc>
        <w:tc>
          <w:tcPr>
            <w:tcW w:w="3490" w:type="dxa"/>
            <w:vAlign w:val="center"/>
          </w:tcPr>
          <w:p w14:paraId="48D1AD4D">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防火堤、防护墙内场地宜设置排水明沟。</w:t>
            </w:r>
          </w:p>
        </w:tc>
        <w:tc>
          <w:tcPr>
            <w:tcW w:w="2509" w:type="dxa"/>
            <w:vAlign w:val="center"/>
          </w:tcPr>
          <w:p w14:paraId="584AA6A2">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《储罐区防火堤设计规范》（GB 50351-2014）</w:t>
            </w:r>
          </w:p>
          <w:p w14:paraId="6F93A27C">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第3.1.5条</w:t>
            </w:r>
          </w:p>
        </w:tc>
        <w:tc>
          <w:tcPr>
            <w:tcW w:w="2054" w:type="dxa"/>
            <w:vAlign w:val="center"/>
          </w:tcPr>
          <w:p w14:paraId="08190D19">
            <w:pPr>
              <w:keepNext w:val="0"/>
              <w:keepLines w:val="0"/>
              <w:suppressLineNumbers w:val="0"/>
              <w:adjustRightInd w:val="0"/>
              <w:snapToGrid w:val="0"/>
              <w:spacing w:before="0" w:beforeAutospacing="0" w:after="0" w:afterAutospacing="0" w:line="240" w:lineRule="auto"/>
              <w:ind w:left="0" w:leftChars="0" w:right="0" w:rightChars="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次氯酸钠储罐防护墙内设置排水明沟。</w:t>
            </w:r>
          </w:p>
        </w:tc>
        <w:tc>
          <w:tcPr>
            <w:tcW w:w="584" w:type="dxa"/>
            <w:vAlign w:val="center"/>
          </w:tcPr>
          <w:p w14:paraId="6DB8A94A">
            <w:pPr>
              <w:keepNext w:val="0"/>
              <w:keepLines w:val="0"/>
              <w:suppressLineNumbers w:val="0"/>
              <w:adjustRightInd w:val="0"/>
              <w:snapToGrid w:val="0"/>
              <w:spacing w:before="0" w:beforeAutospacing="0" w:after="0" w:afterAutospacing="0" w:line="240" w:lineRule="auto"/>
              <w:ind w:left="0" w:leftChars="0" w:right="0" w:rightChars="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符合</w:t>
            </w:r>
          </w:p>
        </w:tc>
      </w:tr>
      <w:tr w14:paraId="03E077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604" w:type="dxa"/>
            <w:vAlign w:val="center"/>
          </w:tcPr>
          <w:p w14:paraId="2C212F6F">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22</w:t>
            </w:r>
          </w:p>
        </w:tc>
        <w:tc>
          <w:tcPr>
            <w:tcW w:w="3490" w:type="dxa"/>
            <w:vAlign w:val="center"/>
          </w:tcPr>
          <w:p w14:paraId="5D4EA959">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盐酸储罐及具有腐蚀性、强氧化性液体的储罐应设置安全围堰,围堰的有效容积应容纳最大一个储罐的容量,围堰内应做防腐处理</w:t>
            </w:r>
            <w:r>
              <w:rPr>
                <w:rFonts w:hint="eastAsia" w:ascii="Times New Roman" w:hAnsi="Times New Roman" w:eastAsia="宋体" w:cs="Times New Roman"/>
                <w:kern w:val="28"/>
                <w:sz w:val="21"/>
                <w:szCs w:val="21"/>
                <w:lang w:eastAsia="zh-CN"/>
                <w14:ligatures w14:val="none"/>
              </w:rPr>
              <w:t>；</w:t>
            </w:r>
            <w:r>
              <w:rPr>
                <w:rFonts w:hint="eastAsia" w:ascii="Times New Roman" w:hAnsi="Times New Roman" w:eastAsia="宋体" w:cs="Times New Roman"/>
                <w:kern w:val="28"/>
                <w:sz w:val="21"/>
                <w:szCs w:val="21"/>
                <w14:ligatures w14:val="none"/>
              </w:rPr>
              <w:t>盐酸储罐应设置防护型液位计</w:t>
            </w:r>
          </w:p>
        </w:tc>
        <w:tc>
          <w:tcPr>
            <w:tcW w:w="2509" w:type="dxa"/>
            <w:vAlign w:val="center"/>
          </w:tcPr>
          <w:p w14:paraId="6BA444F8">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《化学工业循环冷却水系统设计规范》</w:t>
            </w:r>
          </w:p>
          <w:p w14:paraId="62D6FF95">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（GB 50</w:t>
            </w:r>
            <w:r>
              <w:rPr>
                <w:rFonts w:hint="eastAsia" w:ascii="Times New Roman" w:hAnsi="Times New Roman" w:eastAsia="宋体" w:cs="Times New Roman"/>
                <w:kern w:val="28"/>
                <w:sz w:val="21"/>
                <w:szCs w:val="21"/>
                <w:lang w:val="en-US" w:eastAsia="zh-CN"/>
                <w14:ligatures w14:val="none"/>
              </w:rPr>
              <w:t>648</w:t>
            </w:r>
            <w:r>
              <w:rPr>
                <w:rFonts w:hint="eastAsia" w:ascii="Times New Roman" w:hAnsi="Times New Roman" w:eastAsia="宋体" w:cs="Times New Roman"/>
                <w:kern w:val="28"/>
                <w:sz w:val="21"/>
                <w:szCs w:val="21"/>
                <w14:ligatures w14:val="none"/>
              </w:rPr>
              <w:t>-201</w:t>
            </w:r>
            <w:r>
              <w:rPr>
                <w:rFonts w:hint="eastAsia" w:ascii="Times New Roman" w:hAnsi="Times New Roman" w:eastAsia="宋体" w:cs="Times New Roman"/>
                <w:kern w:val="28"/>
                <w:sz w:val="21"/>
                <w:szCs w:val="21"/>
                <w:lang w:val="en-US" w:eastAsia="zh-CN"/>
                <w14:ligatures w14:val="none"/>
              </w:rPr>
              <w:t>1</w:t>
            </w:r>
            <w:r>
              <w:rPr>
                <w:rFonts w:hint="eastAsia" w:ascii="Times New Roman" w:hAnsi="Times New Roman" w:eastAsia="宋体" w:cs="Times New Roman"/>
                <w:kern w:val="28"/>
                <w:sz w:val="21"/>
                <w:szCs w:val="21"/>
                <w14:ligatures w14:val="none"/>
              </w:rPr>
              <w:t>）</w:t>
            </w:r>
          </w:p>
          <w:p w14:paraId="6CFADE92">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第</w:t>
            </w:r>
            <w:r>
              <w:rPr>
                <w:rFonts w:hint="eastAsia" w:ascii="Times New Roman" w:hAnsi="Times New Roman" w:eastAsia="宋体" w:cs="Times New Roman"/>
                <w:kern w:val="28"/>
                <w:sz w:val="21"/>
                <w:szCs w:val="21"/>
                <w:lang w:val="en-US" w:eastAsia="zh-CN"/>
                <w14:ligatures w14:val="none"/>
              </w:rPr>
              <w:t>11.2.4</w:t>
            </w:r>
            <w:r>
              <w:rPr>
                <w:rFonts w:hint="eastAsia" w:ascii="Times New Roman" w:hAnsi="Times New Roman" w:eastAsia="宋体" w:cs="Times New Roman"/>
                <w:kern w:val="28"/>
                <w:sz w:val="21"/>
                <w:szCs w:val="21"/>
                <w14:ligatures w14:val="none"/>
              </w:rPr>
              <w:t>条</w:t>
            </w:r>
          </w:p>
        </w:tc>
        <w:tc>
          <w:tcPr>
            <w:tcW w:w="2054" w:type="dxa"/>
            <w:vAlign w:val="center"/>
          </w:tcPr>
          <w:p w14:paraId="2B30EA4D">
            <w:pPr>
              <w:keepNext w:val="0"/>
              <w:keepLines w:val="0"/>
              <w:suppressLineNumbers w:val="0"/>
              <w:adjustRightInd w:val="0"/>
              <w:snapToGrid w:val="0"/>
              <w:spacing w:before="0" w:beforeAutospacing="0" w:after="0" w:afterAutospacing="0" w:line="240" w:lineRule="auto"/>
              <w:ind w:left="0" w:leftChars="0" w:right="0" w:rightChars="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盐酸及次氯酸钠储罐设置安全围堰，且盐酸的围堰容积为</w:t>
            </w:r>
            <w:r>
              <w:rPr>
                <w:rFonts w:hint="eastAsia" w:ascii="Times New Roman" w:hAnsi="Times New Roman" w:eastAsia="宋体" w:cs="Times New Roman"/>
                <w:kern w:val="28"/>
                <w:sz w:val="21"/>
                <w:szCs w:val="21"/>
                <w:highlight w:val="none"/>
                <w:lang w:val="en-US" w:eastAsia="zh-CN"/>
                <w14:ligatures w14:val="none"/>
              </w:rPr>
              <w:t>216m</w:t>
            </w:r>
            <w:r>
              <w:rPr>
                <w:rFonts w:hint="eastAsia" w:ascii="Times New Roman" w:hAnsi="Times New Roman" w:eastAsia="宋体" w:cs="Times New Roman"/>
                <w:kern w:val="28"/>
                <w:sz w:val="21"/>
                <w:szCs w:val="21"/>
                <w:highlight w:val="none"/>
                <w:vertAlign w:val="superscript"/>
                <w:lang w:val="en-US" w:eastAsia="zh-CN"/>
                <w14:ligatures w14:val="none"/>
              </w:rPr>
              <w:t>3</w:t>
            </w:r>
            <w:r>
              <w:rPr>
                <w:rFonts w:hint="eastAsia" w:ascii="Times New Roman" w:hAnsi="Times New Roman" w:eastAsia="宋体" w:cs="Times New Roman"/>
                <w:kern w:val="28"/>
                <w:sz w:val="21"/>
                <w:szCs w:val="21"/>
                <w:lang w:val="en-US" w:eastAsia="zh-CN"/>
                <w14:ligatures w14:val="none"/>
              </w:rPr>
              <w:t>可以容纳最大储罐的容量；次氯酸钠储罐的围堰容积</w:t>
            </w:r>
            <w:r>
              <w:rPr>
                <w:rFonts w:hint="eastAsia" w:ascii="Times New Roman" w:hAnsi="Times New Roman" w:eastAsia="宋体" w:cs="Times New Roman"/>
                <w:kern w:val="28"/>
                <w:sz w:val="21"/>
                <w:szCs w:val="21"/>
                <w:highlight w:val="none"/>
                <w:lang w:val="en-US" w:eastAsia="zh-CN"/>
                <w14:ligatures w14:val="none"/>
              </w:rPr>
              <w:t>为430m</w:t>
            </w:r>
            <w:r>
              <w:rPr>
                <w:rFonts w:hint="eastAsia" w:ascii="Times New Roman" w:hAnsi="Times New Roman" w:eastAsia="宋体" w:cs="Times New Roman"/>
                <w:kern w:val="28"/>
                <w:sz w:val="21"/>
                <w:szCs w:val="21"/>
                <w:highlight w:val="none"/>
                <w:vertAlign w:val="superscript"/>
                <w:lang w:val="en-US" w:eastAsia="zh-CN"/>
                <w14:ligatures w14:val="none"/>
              </w:rPr>
              <w:t>3</w:t>
            </w:r>
            <w:r>
              <w:rPr>
                <w:rFonts w:hint="eastAsia" w:ascii="Times New Roman" w:hAnsi="Times New Roman" w:eastAsia="宋体" w:cs="Times New Roman"/>
                <w:kern w:val="28"/>
                <w:sz w:val="21"/>
                <w:szCs w:val="21"/>
                <w:highlight w:val="none"/>
                <w:lang w:val="en-US" w:eastAsia="zh-CN"/>
                <w14:ligatures w14:val="none"/>
              </w:rPr>
              <w:t>，可</w:t>
            </w:r>
            <w:r>
              <w:rPr>
                <w:rFonts w:hint="eastAsia" w:ascii="Times New Roman" w:hAnsi="Times New Roman" w:eastAsia="宋体" w:cs="Times New Roman"/>
                <w:kern w:val="28"/>
                <w:sz w:val="21"/>
                <w:szCs w:val="21"/>
                <w:lang w:val="en-US" w:eastAsia="zh-CN"/>
                <w14:ligatures w14:val="none"/>
              </w:rPr>
              <w:t>以容纳最大储罐的容量，且围堰内做防腐蚀处理；盐酸储罐设置液位计。</w:t>
            </w:r>
          </w:p>
        </w:tc>
        <w:tc>
          <w:tcPr>
            <w:tcW w:w="584" w:type="dxa"/>
            <w:vAlign w:val="center"/>
          </w:tcPr>
          <w:p w14:paraId="1E75354E">
            <w:pPr>
              <w:keepNext w:val="0"/>
              <w:keepLines w:val="0"/>
              <w:suppressLineNumbers w:val="0"/>
              <w:adjustRightInd w:val="0"/>
              <w:snapToGrid w:val="0"/>
              <w:spacing w:before="0" w:beforeAutospacing="0" w:after="0" w:afterAutospacing="0" w:line="240" w:lineRule="auto"/>
              <w:ind w:left="0" w:leftChars="0" w:right="0" w:rightChars="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符合</w:t>
            </w:r>
          </w:p>
        </w:tc>
      </w:tr>
      <w:tr w14:paraId="204517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604" w:type="dxa"/>
            <w:vAlign w:val="center"/>
          </w:tcPr>
          <w:p w14:paraId="193A97E7">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23</w:t>
            </w:r>
          </w:p>
        </w:tc>
        <w:tc>
          <w:tcPr>
            <w:tcW w:w="3490" w:type="dxa"/>
            <w:vAlign w:val="center"/>
          </w:tcPr>
          <w:p w14:paraId="544C473B">
            <w:pPr>
              <w:keepNext w:val="0"/>
              <w:keepLines w:val="0"/>
              <w:suppressLineNumbers w:val="0"/>
              <w:adjustRightInd w:val="0"/>
              <w:snapToGrid w:val="0"/>
              <w:spacing w:before="0" w:beforeAutospacing="0" w:after="0" w:afterAutospacing="0" w:line="240" w:lineRule="auto"/>
              <w:ind w:left="0" w:right="0"/>
              <w:jc w:val="left"/>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工业管道内物质的流向用箭头表示</w:t>
            </w:r>
          </w:p>
        </w:tc>
        <w:tc>
          <w:tcPr>
            <w:tcW w:w="2509" w:type="dxa"/>
            <w:vAlign w:val="center"/>
          </w:tcPr>
          <w:p w14:paraId="1750B153">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《工业管道的基本识别色、识别符号和安全标识》</w:t>
            </w:r>
          </w:p>
          <w:p w14:paraId="375AA283">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（GB 7231-2003）</w:t>
            </w:r>
          </w:p>
          <w:p w14:paraId="358FC53E">
            <w:pPr>
              <w:keepNext w:val="0"/>
              <w:keepLines w:val="0"/>
              <w:suppressLineNumbers w:val="0"/>
              <w:adjustRightInd w:val="0"/>
              <w:snapToGrid w:val="0"/>
              <w:spacing w:before="0" w:beforeAutospacing="0" w:after="0" w:afterAutospacing="0" w:line="240" w:lineRule="auto"/>
              <w:ind w:left="0" w:leftChars="0" w:right="0" w:rightChars="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第5.2条</w:t>
            </w:r>
          </w:p>
        </w:tc>
        <w:tc>
          <w:tcPr>
            <w:tcW w:w="2054" w:type="dxa"/>
            <w:vAlign w:val="center"/>
          </w:tcPr>
          <w:p w14:paraId="4C677F9A">
            <w:pPr>
              <w:keepNext w:val="0"/>
              <w:keepLines w:val="0"/>
              <w:suppressLineNumbers w:val="0"/>
              <w:adjustRightInd w:val="0"/>
              <w:snapToGrid w:val="0"/>
              <w:spacing w:before="0" w:beforeAutospacing="0" w:after="0" w:afterAutospacing="0" w:line="240" w:lineRule="auto"/>
              <w:ind w:left="0" w:leftChars="0" w:right="0" w:rightChars="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管道设有流向标识</w:t>
            </w:r>
          </w:p>
        </w:tc>
        <w:tc>
          <w:tcPr>
            <w:tcW w:w="584" w:type="dxa"/>
            <w:vAlign w:val="center"/>
          </w:tcPr>
          <w:p w14:paraId="4F69E81B">
            <w:pPr>
              <w:keepNext w:val="0"/>
              <w:keepLines w:val="0"/>
              <w:suppressLineNumbers w:val="0"/>
              <w:adjustRightInd w:val="0"/>
              <w:snapToGrid w:val="0"/>
              <w:spacing w:before="0" w:beforeAutospacing="0" w:after="0" w:afterAutospacing="0" w:line="240" w:lineRule="auto"/>
              <w:ind w:left="0" w:leftChars="0" w:right="0" w:rightChars="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符合</w:t>
            </w:r>
          </w:p>
        </w:tc>
      </w:tr>
      <w:tr w14:paraId="1E87C7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604" w:type="dxa"/>
            <w:vAlign w:val="center"/>
          </w:tcPr>
          <w:p w14:paraId="66B8F207">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24</w:t>
            </w:r>
          </w:p>
        </w:tc>
        <w:tc>
          <w:tcPr>
            <w:tcW w:w="3490" w:type="dxa"/>
            <w:vAlign w:val="center"/>
          </w:tcPr>
          <w:p w14:paraId="594B2FFC">
            <w:pPr>
              <w:keepNext w:val="0"/>
              <w:keepLines w:val="0"/>
              <w:suppressLineNumbers w:val="0"/>
              <w:adjustRightInd w:val="0"/>
              <w:snapToGrid w:val="0"/>
              <w:spacing w:before="0" w:beforeAutospacing="0" w:after="0" w:afterAutospacing="0" w:line="240" w:lineRule="auto"/>
              <w:ind w:left="0" w:right="0"/>
              <w:jc w:val="left"/>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安全警示标志应设置在作业场所的出入口、外墙壁或反应容器、管道旁等醒目位置。</w:t>
            </w:r>
          </w:p>
        </w:tc>
        <w:tc>
          <w:tcPr>
            <w:tcW w:w="2509" w:type="dxa"/>
            <w:vAlign w:val="center"/>
          </w:tcPr>
          <w:p w14:paraId="437B2C11">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《化学品作业场所安全警示标志规范》（AQ3047-2013）</w:t>
            </w:r>
          </w:p>
          <w:p w14:paraId="56D7E9E0">
            <w:pPr>
              <w:keepNext w:val="0"/>
              <w:keepLines w:val="0"/>
              <w:suppressLineNumbers w:val="0"/>
              <w:adjustRightInd w:val="0"/>
              <w:snapToGrid w:val="0"/>
              <w:spacing w:before="0" w:beforeAutospacing="0" w:after="0" w:afterAutospacing="0" w:line="240" w:lineRule="auto"/>
              <w:ind w:left="0" w:leftChars="0" w:right="0" w:rightChars="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第5.1条</w:t>
            </w:r>
          </w:p>
        </w:tc>
        <w:tc>
          <w:tcPr>
            <w:tcW w:w="2054" w:type="dxa"/>
            <w:vAlign w:val="center"/>
          </w:tcPr>
          <w:p w14:paraId="0F282206">
            <w:pPr>
              <w:keepNext w:val="0"/>
              <w:keepLines w:val="0"/>
              <w:suppressLineNumbers w:val="0"/>
              <w:adjustRightInd w:val="0"/>
              <w:snapToGrid w:val="0"/>
              <w:spacing w:before="0" w:beforeAutospacing="0" w:after="0" w:afterAutospacing="0" w:line="240" w:lineRule="auto"/>
              <w:ind w:left="0" w:leftChars="0" w:right="0" w:rightChars="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在次氯酸钠、盐酸、高硅四氯化钛罐区设置安全警示标识，且符合要求。</w:t>
            </w:r>
          </w:p>
        </w:tc>
        <w:tc>
          <w:tcPr>
            <w:tcW w:w="584" w:type="dxa"/>
            <w:vAlign w:val="center"/>
          </w:tcPr>
          <w:p w14:paraId="45C7A39F">
            <w:pPr>
              <w:keepNext w:val="0"/>
              <w:keepLines w:val="0"/>
              <w:suppressLineNumbers w:val="0"/>
              <w:adjustRightInd w:val="0"/>
              <w:snapToGrid w:val="0"/>
              <w:spacing w:before="0" w:beforeAutospacing="0" w:after="0" w:afterAutospacing="0" w:line="240" w:lineRule="auto"/>
              <w:ind w:left="0" w:leftChars="0" w:right="0" w:rightChars="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符合</w:t>
            </w:r>
          </w:p>
        </w:tc>
      </w:tr>
    </w:tbl>
    <w:p w14:paraId="2155EE91">
      <w:pPr>
        <w:keepNext w:val="0"/>
        <w:keepLines w:val="0"/>
        <w:pageBreakBefore w:val="0"/>
        <w:widowControl w:val="0"/>
        <w:kinsoku/>
        <w:wordWrap/>
        <w:overflowPunct/>
        <w:topLinePunct w:val="0"/>
        <w:autoSpaceDE/>
        <w:autoSpaceDN/>
        <w:bidi w:val="0"/>
        <w:adjustRightInd w:val="0"/>
        <w:snapToGrid w:val="0"/>
        <w:spacing w:before="157" w:beforeLines="50" w:after="0" w:line="360" w:lineRule="auto"/>
        <w:ind w:firstLine="560" w:firstLineChars="200"/>
        <w:jc w:val="both"/>
        <w:textAlignment w:val="auto"/>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小结：通过对储存单元</w:t>
      </w:r>
      <w:r>
        <w:rPr>
          <w:rFonts w:hint="eastAsia" w:ascii="Times New Roman" w:hAnsi="Times New Roman" w:eastAsia="宋体" w:cs="Times New Roman"/>
          <w:sz w:val="28"/>
          <w:szCs w:val="28"/>
          <w:highlight w:val="none"/>
          <w14:ligatures w14:val="none"/>
        </w:rPr>
        <w:t>进行</w:t>
      </w:r>
      <w:r>
        <w:rPr>
          <w:rFonts w:hint="eastAsia" w:ascii="Times New Roman" w:hAnsi="Times New Roman" w:eastAsia="宋体" w:cs="Times New Roman"/>
          <w:sz w:val="28"/>
          <w:szCs w:val="28"/>
          <w:highlight w:val="none"/>
          <w:lang w:val="en-US" w:eastAsia="zh-CN"/>
          <w14:ligatures w14:val="none"/>
        </w:rPr>
        <w:t>检查</w:t>
      </w:r>
      <w:r>
        <w:rPr>
          <w:rFonts w:hint="eastAsia" w:ascii="Times New Roman" w:hAnsi="Times New Roman" w:eastAsia="宋体" w:cs="Times New Roman"/>
          <w:sz w:val="28"/>
          <w:szCs w:val="28"/>
          <w:highlight w:val="none"/>
          <w14:ligatures w14:val="none"/>
        </w:rPr>
        <w:t>，共检查</w:t>
      </w:r>
      <w:r>
        <w:rPr>
          <w:rFonts w:hint="eastAsia" w:ascii="Times New Roman" w:hAnsi="Times New Roman" w:eastAsia="宋体" w:cs="Times New Roman"/>
          <w:sz w:val="28"/>
          <w:szCs w:val="28"/>
          <w:highlight w:val="none"/>
          <w:lang w:val="en-US" w:eastAsia="zh-CN"/>
          <w14:ligatures w14:val="none"/>
        </w:rPr>
        <w:t>24</w:t>
      </w:r>
      <w:r>
        <w:rPr>
          <w:rFonts w:hint="eastAsia" w:ascii="Times New Roman" w:hAnsi="Times New Roman" w:eastAsia="宋体" w:cs="Times New Roman"/>
          <w:sz w:val="28"/>
          <w:szCs w:val="28"/>
          <w:highlight w:val="none"/>
          <w14:ligatures w14:val="none"/>
        </w:rPr>
        <w:t>项，</w:t>
      </w:r>
      <w:r>
        <w:rPr>
          <w:rFonts w:hint="eastAsia" w:ascii="Times New Roman" w:hAnsi="Times New Roman" w:eastAsia="宋体" w:cs="Times New Roman"/>
          <w:sz w:val="28"/>
          <w:szCs w:val="28"/>
          <w:highlight w:val="none"/>
          <w:lang w:val="en-US" w:eastAsia="zh-CN"/>
          <w14:ligatures w14:val="none"/>
        </w:rPr>
        <w:t>均</w:t>
      </w:r>
      <w:r>
        <w:rPr>
          <w:rFonts w:hint="eastAsia" w:ascii="Times New Roman" w:hAnsi="Times New Roman" w:eastAsia="宋体" w:cs="Times New Roman"/>
          <w:sz w:val="28"/>
          <w:szCs w:val="28"/>
          <w:highlight w:val="none"/>
          <w14:ligatures w14:val="none"/>
        </w:rPr>
        <w:t>符合相关</w:t>
      </w:r>
      <w:r>
        <w:rPr>
          <w:rFonts w:hint="eastAsia" w:ascii="Times New Roman" w:hAnsi="Times New Roman" w:eastAsia="宋体" w:cs="Times New Roman"/>
          <w:sz w:val="28"/>
          <w:szCs w:val="28"/>
          <w14:ligatures w14:val="none"/>
        </w:rPr>
        <w:t>要求。</w:t>
      </w:r>
    </w:p>
    <w:p w14:paraId="7F146B15">
      <w:pPr>
        <w:keepNext/>
        <w:adjustRightInd w:val="0"/>
        <w:snapToGrid w:val="0"/>
        <w:spacing w:before="312" w:beforeLines="100" w:after="312" w:afterLines="100" w:line="360" w:lineRule="auto"/>
        <w:jc w:val="center"/>
        <w:outlineLvl w:val="1"/>
        <w:rPr>
          <w:rFonts w:ascii="Times New Roman" w:hAnsi="Times New Roman" w:eastAsia="楷体" w:cs="黑体"/>
          <w:b/>
          <w:sz w:val="32"/>
          <w:szCs w:val="32"/>
          <w14:ligatures w14:val="none"/>
        </w:rPr>
      </w:pPr>
      <w:bookmarkStart w:id="196" w:name="_Toc20952"/>
      <w:r>
        <w:rPr>
          <w:rFonts w:hint="eastAsia" w:ascii="Times New Roman" w:hAnsi="Times New Roman" w:eastAsia="楷体" w:cs="黑体"/>
          <w:b/>
          <w:sz w:val="32"/>
          <w:szCs w:val="32"/>
          <w14:ligatures w14:val="none"/>
        </w:rPr>
        <w:t>5.4公辅工程单元</w:t>
      </w:r>
      <w:bookmarkEnd w:id="196"/>
    </w:p>
    <w:p w14:paraId="4D5CF4F2">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采用安全检查表法对</w:t>
      </w:r>
      <w:r>
        <w:rPr>
          <w:rFonts w:hint="eastAsia" w:ascii="Times New Roman" w:hAnsi="Times New Roman" w:eastAsia="宋体" w:cs="Times New Roman"/>
          <w:sz w:val="28"/>
          <w:szCs w:val="28"/>
          <w:lang w:eastAsia="zh-CN"/>
          <w14:ligatures w14:val="none"/>
        </w:rPr>
        <w:t>朝阳金达钛业股份有限公司</w:t>
      </w:r>
      <w:r>
        <w:rPr>
          <w:rFonts w:hint="eastAsia" w:ascii="Times New Roman" w:hAnsi="Times New Roman" w:eastAsia="宋体" w:cs="Times New Roman"/>
          <w:sz w:val="28"/>
          <w:szCs w:val="28"/>
          <w14:ligatures w14:val="none"/>
        </w:rPr>
        <w:t>公辅工程情况进行评价分析，见表5.4-1。</w:t>
      </w:r>
    </w:p>
    <w:p w14:paraId="02AB8F28">
      <w:pPr>
        <w:keepNext/>
        <w:adjustRightInd w:val="0"/>
        <w:snapToGrid w:val="0"/>
        <w:spacing w:before="156" w:beforeLines="50" w:after="156" w:afterLines="50" w:line="240" w:lineRule="auto"/>
        <w:jc w:val="center"/>
        <w:rPr>
          <w:rFonts w:ascii="Times New Roman" w:hAnsi="Times New Roman" w:eastAsia="黑体" w:cs="Times New Roman"/>
          <w:sz w:val="24"/>
          <w14:ligatures w14:val="none"/>
        </w:rPr>
      </w:pPr>
      <w:r>
        <w:rPr>
          <w:rFonts w:hint="eastAsia" w:ascii="Times New Roman" w:hAnsi="Times New Roman" w:eastAsia="黑体" w:cs="Times New Roman"/>
          <w:sz w:val="24"/>
          <w14:ligatures w14:val="none"/>
        </w:rPr>
        <w:t>表5.4-1  公辅工程单元安全检查表</w:t>
      </w:r>
    </w:p>
    <w:tbl>
      <w:tblPr>
        <w:tblStyle w:val="13"/>
        <w:tblW w:w="92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676"/>
        <w:gridCol w:w="3412"/>
        <w:gridCol w:w="1894"/>
        <w:gridCol w:w="2630"/>
        <w:gridCol w:w="628"/>
      </w:tblGrid>
      <w:tr w14:paraId="2BD2A5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tblHeader/>
          <w:jc w:val="center"/>
        </w:trPr>
        <w:tc>
          <w:tcPr>
            <w:tcW w:w="676" w:type="dxa"/>
            <w:vAlign w:val="center"/>
          </w:tcPr>
          <w:p w14:paraId="3002777B">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14:ligatures w14:val="none"/>
              </w:rPr>
            </w:pPr>
            <w:r>
              <w:rPr>
                <w:rFonts w:hint="default" w:ascii="Times New Roman" w:hAnsi="Times New Roman" w:eastAsia="宋体" w:cs="Times New Roman"/>
                <w:kern w:val="28"/>
                <w:sz w:val="21"/>
                <w:szCs w:val="21"/>
                <w14:ligatures w14:val="none"/>
              </w:rPr>
              <w:t>序号</w:t>
            </w:r>
          </w:p>
        </w:tc>
        <w:tc>
          <w:tcPr>
            <w:tcW w:w="3412" w:type="dxa"/>
            <w:vAlign w:val="center"/>
          </w:tcPr>
          <w:p w14:paraId="69AE88B1">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检查</w:t>
            </w:r>
            <w:r>
              <w:rPr>
                <w:rFonts w:hint="default" w:ascii="Times New Roman" w:hAnsi="Times New Roman" w:eastAsia="宋体" w:cs="Times New Roman"/>
                <w:kern w:val="28"/>
                <w:sz w:val="21"/>
                <w:szCs w:val="21"/>
                <w14:ligatures w14:val="none"/>
              </w:rPr>
              <w:t>内容</w:t>
            </w:r>
          </w:p>
        </w:tc>
        <w:tc>
          <w:tcPr>
            <w:tcW w:w="1894" w:type="dxa"/>
            <w:vAlign w:val="center"/>
          </w:tcPr>
          <w:p w14:paraId="67BED46D">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检查依据</w:t>
            </w:r>
          </w:p>
        </w:tc>
        <w:tc>
          <w:tcPr>
            <w:tcW w:w="2630" w:type="dxa"/>
            <w:vAlign w:val="center"/>
          </w:tcPr>
          <w:p w14:paraId="1EE8498B">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实际情况</w:t>
            </w:r>
          </w:p>
        </w:tc>
        <w:tc>
          <w:tcPr>
            <w:tcW w:w="628" w:type="dxa"/>
            <w:vAlign w:val="center"/>
          </w:tcPr>
          <w:p w14:paraId="505A1B35">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结论</w:t>
            </w:r>
          </w:p>
        </w:tc>
      </w:tr>
      <w:tr w14:paraId="5410ED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676" w:type="dxa"/>
            <w:vAlign w:val="center"/>
          </w:tcPr>
          <w:p w14:paraId="4B26289A">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一</w:t>
            </w:r>
          </w:p>
        </w:tc>
        <w:tc>
          <w:tcPr>
            <w:tcW w:w="8564" w:type="dxa"/>
            <w:gridSpan w:val="4"/>
            <w:vAlign w:val="center"/>
          </w:tcPr>
          <w:p w14:paraId="11F08AFE">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电气和仪表</w:t>
            </w:r>
          </w:p>
        </w:tc>
      </w:tr>
      <w:tr w14:paraId="523978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676" w:type="dxa"/>
            <w:vAlign w:val="center"/>
          </w:tcPr>
          <w:p w14:paraId="6734FA83">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1</w:t>
            </w:r>
          </w:p>
        </w:tc>
        <w:tc>
          <w:tcPr>
            <w:tcW w:w="3412" w:type="dxa"/>
            <w:vAlign w:val="center"/>
          </w:tcPr>
          <w:p w14:paraId="31EC39E9">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14:ligatures w14:val="none"/>
              </w:rPr>
              <w:t>配电线路应装设短路保护和过负荷保护。</w:t>
            </w:r>
          </w:p>
        </w:tc>
        <w:tc>
          <w:tcPr>
            <w:tcW w:w="1894" w:type="dxa"/>
            <w:vAlign w:val="center"/>
          </w:tcPr>
          <w:p w14:paraId="44E300D8">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 xml:space="preserve">GB50054-2011 </w:t>
            </w:r>
          </w:p>
          <w:p w14:paraId="5F46E88F">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14:ligatures w14:val="none"/>
              </w:rPr>
              <w:t>第 6.1.1 条</w:t>
            </w:r>
          </w:p>
        </w:tc>
        <w:tc>
          <w:tcPr>
            <w:tcW w:w="2630" w:type="dxa"/>
            <w:vAlign w:val="center"/>
          </w:tcPr>
          <w:p w14:paraId="395F4496">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14:ligatures w14:val="none"/>
              </w:rPr>
              <w:t>该企业配电线路装设了短路保护和过负荷保护</w:t>
            </w:r>
          </w:p>
        </w:tc>
        <w:tc>
          <w:tcPr>
            <w:tcW w:w="628" w:type="dxa"/>
            <w:vAlign w:val="center"/>
          </w:tcPr>
          <w:p w14:paraId="6A1A2928">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14:ligatures w14:val="none"/>
              </w:rPr>
              <w:t>符合</w:t>
            </w:r>
          </w:p>
        </w:tc>
      </w:tr>
      <w:tr w14:paraId="251887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676" w:type="dxa"/>
            <w:vAlign w:val="center"/>
          </w:tcPr>
          <w:p w14:paraId="6CAF4A3A">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2</w:t>
            </w:r>
          </w:p>
        </w:tc>
        <w:tc>
          <w:tcPr>
            <w:tcW w:w="3412" w:type="dxa"/>
            <w:vAlign w:val="center"/>
          </w:tcPr>
          <w:p w14:paraId="6A3B3E91">
            <w:pPr>
              <w:keepNext w:val="0"/>
              <w:keepLines w:val="0"/>
              <w:suppressLineNumbers w:val="0"/>
              <w:adjustRightInd w:val="0"/>
              <w:snapToGrid w:val="0"/>
              <w:spacing w:before="0" w:beforeAutospacing="0" w:after="0" w:afterAutospacing="0" w:line="240" w:lineRule="auto"/>
              <w:ind w:left="0" w:right="0"/>
              <w:jc w:val="both"/>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变压器室、配电室、电容器室的门应向外开启。相邻配 电室之间有门时，应采用不燃材料制作的双向弹簧门。</w:t>
            </w:r>
          </w:p>
        </w:tc>
        <w:tc>
          <w:tcPr>
            <w:tcW w:w="1894" w:type="dxa"/>
            <w:vAlign w:val="center"/>
          </w:tcPr>
          <w:p w14:paraId="1BFC003F">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p>
          <w:p w14:paraId="1356D898">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 xml:space="preserve">GB50053-2013 </w:t>
            </w:r>
          </w:p>
          <w:p w14:paraId="12F1F7CC">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第 6.2.2 条</w:t>
            </w:r>
          </w:p>
        </w:tc>
        <w:tc>
          <w:tcPr>
            <w:tcW w:w="2630" w:type="dxa"/>
            <w:vAlign w:val="center"/>
          </w:tcPr>
          <w:p w14:paraId="69F46835">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该企业变压器室、配电室的门均向外开启</w:t>
            </w:r>
          </w:p>
        </w:tc>
        <w:tc>
          <w:tcPr>
            <w:tcW w:w="628" w:type="dxa"/>
            <w:vAlign w:val="center"/>
          </w:tcPr>
          <w:p w14:paraId="22D33D4F">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符合</w:t>
            </w:r>
          </w:p>
        </w:tc>
      </w:tr>
      <w:tr w14:paraId="021F6A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676" w:type="dxa"/>
            <w:vAlign w:val="center"/>
          </w:tcPr>
          <w:p w14:paraId="562C4D22">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3</w:t>
            </w:r>
          </w:p>
        </w:tc>
        <w:tc>
          <w:tcPr>
            <w:tcW w:w="3412" w:type="dxa"/>
            <w:vAlign w:val="center"/>
          </w:tcPr>
          <w:p w14:paraId="233F0279">
            <w:pPr>
              <w:keepNext w:val="0"/>
              <w:keepLines w:val="0"/>
              <w:suppressLineNumbers w:val="0"/>
              <w:adjustRightInd w:val="0"/>
              <w:snapToGrid w:val="0"/>
              <w:spacing w:before="0" w:beforeAutospacing="0" w:after="0" w:afterAutospacing="0" w:line="240" w:lineRule="auto"/>
              <w:ind w:left="0" w:right="0"/>
              <w:jc w:val="both"/>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配电室应设置防止雨、雪和蛇、鼠类小动物从采光窗、通风窗、门、电缆沟等进入室内的设施。</w:t>
            </w:r>
          </w:p>
        </w:tc>
        <w:tc>
          <w:tcPr>
            <w:tcW w:w="1894" w:type="dxa"/>
            <w:vAlign w:val="center"/>
          </w:tcPr>
          <w:p w14:paraId="733981D7">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GB50053-2013</w:t>
            </w:r>
          </w:p>
          <w:p w14:paraId="4CF40B05">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第 6.2.4 条</w:t>
            </w:r>
          </w:p>
        </w:tc>
        <w:tc>
          <w:tcPr>
            <w:tcW w:w="2630" w:type="dxa"/>
            <w:vAlign w:val="center"/>
          </w:tcPr>
          <w:p w14:paraId="478BE800">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该企业配电室设置防止雨、雪和蛇、鼠类小动物从采光窗、通风窗、门、电缆沟等进入室内的设施</w:t>
            </w:r>
          </w:p>
        </w:tc>
        <w:tc>
          <w:tcPr>
            <w:tcW w:w="628" w:type="dxa"/>
            <w:vAlign w:val="center"/>
          </w:tcPr>
          <w:p w14:paraId="6D474E0D">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符合</w:t>
            </w:r>
          </w:p>
        </w:tc>
      </w:tr>
      <w:tr w14:paraId="1207A4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676" w:type="dxa"/>
            <w:vAlign w:val="center"/>
          </w:tcPr>
          <w:p w14:paraId="1D4C95AC">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4</w:t>
            </w:r>
          </w:p>
        </w:tc>
        <w:tc>
          <w:tcPr>
            <w:tcW w:w="3412" w:type="dxa"/>
            <w:vAlign w:val="center"/>
          </w:tcPr>
          <w:p w14:paraId="06869479">
            <w:pPr>
              <w:keepNext w:val="0"/>
              <w:keepLines w:val="0"/>
              <w:suppressLineNumbers w:val="0"/>
              <w:adjustRightInd w:val="0"/>
              <w:snapToGrid w:val="0"/>
              <w:spacing w:before="0" w:beforeAutospacing="0" w:after="0" w:afterAutospacing="0" w:line="240" w:lineRule="auto"/>
              <w:ind w:left="0" w:right="0"/>
              <w:jc w:val="both"/>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配电所，变电所电缆夹层、电缆沟和电缆室，应采取防水、排水措施。位于室外地坪下电缆进、出口和电缆保护管也应采取防水措施。</w:t>
            </w:r>
          </w:p>
        </w:tc>
        <w:tc>
          <w:tcPr>
            <w:tcW w:w="1894" w:type="dxa"/>
            <w:vAlign w:val="center"/>
          </w:tcPr>
          <w:p w14:paraId="762708EB">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 xml:space="preserve">GB50053-2013 </w:t>
            </w:r>
          </w:p>
          <w:p w14:paraId="037E1996">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第 6.2.9 条</w:t>
            </w:r>
          </w:p>
        </w:tc>
        <w:tc>
          <w:tcPr>
            <w:tcW w:w="2630" w:type="dxa"/>
            <w:vAlign w:val="center"/>
          </w:tcPr>
          <w:p w14:paraId="364204BF">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该企业配电室电缆夹层、电缆沟和电缆室，采取了防水、排水措施</w:t>
            </w:r>
          </w:p>
        </w:tc>
        <w:tc>
          <w:tcPr>
            <w:tcW w:w="628" w:type="dxa"/>
            <w:vAlign w:val="center"/>
          </w:tcPr>
          <w:p w14:paraId="7AC87C31">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符合</w:t>
            </w:r>
          </w:p>
        </w:tc>
      </w:tr>
      <w:tr w14:paraId="02BB65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676" w:type="dxa"/>
            <w:vAlign w:val="center"/>
          </w:tcPr>
          <w:p w14:paraId="3D993997">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5</w:t>
            </w:r>
          </w:p>
        </w:tc>
        <w:tc>
          <w:tcPr>
            <w:tcW w:w="3412" w:type="dxa"/>
            <w:vAlign w:val="center"/>
          </w:tcPr>
          <w:p w14:paraId="55CFC655">
            <w:pPr>
              <w:keepNext w:val="0"/>
              <w:keepLines w:val="0"/>
              <w:suppressLineNumbers w:val="0"/>
              <w:adjustRightInd w:val="0"/>
              <w:snapToGrid w:val="0"/>
              <w:spacing w:before="0" w:beforeAutospacing="0" w:after="0" w:afterAutospacing="0" w:line="240" w:lineRule="auto"/>
              <w:ind w:left="0" w:right="0"/>
              <w:jc w:val="both"/>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电缆从室外进入室内的入 口处、电缆竖井的出入口处 与电缆竖井的出入口处，以 及控制室与电缆层之间，应 采取防止电缆火灾蔓延的 阻燃及分隔措施。</w:t>
            </w:r>
          </w:p>
        </w:tc>
        <w:tc>
          <w:tcPr>
            <w:tcW w:w="1894" w:type="dxa"/>
            <w:vAlign w:val="center"/>
          </w:tcPr>
          <w:p w14:paraId="499BA9CC">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 xml:space="preserve">GB 50059-2011 </w:t>
            </w:r>
          </w:p>
          <w:p w14:paraId="69E71D9F">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第 5.0.6 条</w:t>
            </w:r>
          </w:p>
        </w:tc>
        <w:tc>
          <w:tcPr>
            <w:tcW w:w="2630" w:type="dxa"/>
            <w:vAlign w:val="center"/>
          </w:tcPr>
          <w:p w14:paraId="52E77855">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设有防火封堵。</w:t>
            </w:r>
          </w:p>
        </w:tc>
        <w:tc>
          <w:tcPr>
            <w:tcW w:w="628" w:type="dxa"/>
            <w:vAlign w:val="center"/>
          </w:tcPr>
          <w:p w14:paraId="4AC9BD3D">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符合</w:t>
            </w:r>
          </w:p>
        </w:tc>
      </w:tr>
      <w:tr w14:paraId="5A4C11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676" w:type="dxa"/>
            <w:vAlign w:val="center"/>
          </w:tcPr>
          <w:p w14:paraId="2EEEFADE">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6</w:t>
            </w:r>
          </w:p>
        </w:tc>
        <w:tc>
          <w:tcPr>
            <w:tcW w:w="3412" w:type="dxa"/>
            <w:vAlign w:val="center"/>
          </w:tcPr>
          <w:p w14:paraId="48062E4A">
            <w:pPr>
              <w:keepNext w:val="0"/>
              <w:keepLines w:val="0"/>
              <w:suppressLineNumbers w:val="0"/>
              <w:adjustRightInd w:val="0"/>
              <w:snapToGrid w:val="0"/>
              <w:spacing w:before="0" w:beforeAutospacing="0" w:after="0" w:afterAutospacing="0" w:line="240" w:lineRule="auto"/>
              <w:ind w:left="0" w:right="0"/>
              <w:jc w:val="both"/>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配电装置室的门应设置向外开启的防火门，并应装弹簧锁，严禁采用门闩；相邻配电装置室之间有门时，应 能双向开启。</w:t>
            </w:r>
          </w:p>
        </w:tc>
        <w:tc>
          <w:tcPr>
            <w:tcW w:w="1894" w:type="dxa"/>
            <w:vAlign w:val="center"/>
          </w:tcPr>
          <w:p w14:paraId="17A89487">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GB 50060-2008</w:t>
            </w:r>
          </w:p>
          <w:p w14:paraId="253F2A14">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 xml:space="preserve"> 第 7.1.4 条</w:t>
            </w:r>
          </w:p>
        </w:tc>
        <w:tc>
          <w:tcPr>
            <w:tcW w:w="2630" w:type="dxa"/>
            <w:vAlign w:val="center"/>
          </w:tcPr>
          <w:p w14:paraId="2945A1C3">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配电装置室的门为向外开启的防火门。</w:t>
            </w:r>
          </w:p>
        </w:tc>
        <w:tc>
          <w:tcPr>
            <w:tcW w:w="628" w:type="dxa"/>
            <w:vAlign w:val="center"/>
          </w:tcPr>
          <w:p w14:paraId="6A61D438">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符合</w:t>
            </w:r>
          </w:p>
        </w:tc>
      </w:tr>
      <w:tr w14:paraId="24BE2B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676" w:type="dxa"/>
            <w:shd w:val="clear" w:color="auto" w:fill="auto"/>
            <w:vAlign w:val="center"/>
          </w:tcPr>
          <w:p w14:paraId="72B8F408">
            <w:pPr>
              <w:keepNext w:val="0"/>
              <w:keepLines w:val="0"/>
              <w:suppressLineNumbers w:val="0"/>
              <w:adjustRightInd w:val="0"/>
              <w:snapToGrid w:val="0"/>
              <w:spacing w:before="0" w:beforeAutospacing="0" w:after="0" w:afterAutospacing="0" w:line="240" w:lineRule="auto"/>
              <w:ind w:left="0" w:leftChars="0" w:right="0" w:rightChars="0"/>
              <w:jc w:val="center"/>
              <w:rPr>
                <w:rFonts w:hint="default" w:ascii="Times New Roman" w:hAnsi="Times New Roman" w:eastAsia="宋体" w:cs="Times New Roman"/>
                <w:kern w:val="28"/>
                <w:sz w:val="21"/>
                <w:szCs w:val="21"/>
                <w:lang w:val="en-US" w:eastAsia="zh-CN" w:bidi="ar-SA"/>
                <w14:ligatures w14:val="none"/>
              </w:rPr>
            </w:pPr>
            <w:r>
              <w:rPr>
                <w:rFonts w:hint="eastAsia" w:ascii="Times New Roman" w:hAnsi="Times New Roman" w:eastAsia="宋体" w:cs="Times New Roman"/>
                <w:kern w:val="28"/>
                <w:sz w:val="21"/>
                <w:szCs w:val="21"/>
                <w:lang w:val="en-US" w:eastAsia="zh-CN" w:bidi="ar-SA"/>
                <w14:ligatures w14:val="none"/>
              </w:rPr>
              <w:t>7</w:t>
            </w:r>
          </w:p>
        </w:tc>
        <w:tc>
          <w:tcPr>
            <w:tcW w:w="3412" w:type="dxa"/>
            <w:shd w:val="clear" w:color="auto" w:fill="auto"/>
            <w:vAlign w:val="center"/>
          </w:tcPr>
          <w:p w14:paraId="5E683B45">
            <w:pPr>
              <w:keepNext w:val="0"/>
              <w:keepLines w:val="0"/>
              <w:suppressLineNumbers w:val="0"/>
              <w:adjustRightInd w:val="0"/>
              <w:snapToGrid w:val="0"/>
              <w:spacing w:before="0" w:beforeAutospacing="0" w:after="0" w:afterAutospacing="0" w:line="240" w:lineRule="auto"/>
              <w:ind w:left="0" w:leftChars="0" w:right="0" w:rightChars="0"/>
              <w:jc w:val="both"/>
              <w:rPr>
                <w:rFonts w:hint="eastAsia" w:ascii="Times New Roman" w:hAnsi="Times New Roman" w:eastAsia="宋体" w:cs="Times New Roman"/>
                <w:kern w:val="28"/>
                <w:sz w:val="21"/>
                <w:szCs w:val="21"/>
                <w:lang w:val="en-US" w:eastAsia="zh-CN" w:bidi="ar-SA"/>
                <w14:ligatures w14:val="none"/>
              </w:rPr>
            </w:pPr>
            <w:r>
              <w:rPr>
                <w:rFonts w:hint="eastAsia" w:ascii="Times New Roman" w:hAnsi="Times New Roman" w:eastAsia="宋体" w:cs="Times New Roman"/>
                <w:kern w:val="28"/>
                <w:sz w:val="21"/>
                <w:szCs w:val="21"/>
                <w14:ligatures w14:val="none"/>
              </w:rPr>
              <w:t>配电装置屋内通道应保证畅通无阻，不得设立门槛，不应有与配电装置无关的 管道通过。</w:t>
            </w:r>
          </w:p>
        </w:tc>
        <w:tc>
          <w:tcPr>
            <w:tcW w:w="1894" w:type="dxa"/>
            <w:shd w:val="clear" w:color="auto" w:fill="auto"/>
            <w:vAlign w:val="center"/>
          </w:tcPr>
          <w:p w14:paraId="5BD40511">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p>
          <w:p w14:paraId="66D6BEFC">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GB 50060-2008</w:t>
            </w:r>
          </w:p>
          <w:p w14:paraId="2ACCDCDE">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Times New Roman" w:hAnsi="Times New Roman" w:eastAsia="宋体" w:cs="Times New Roman"/>
                <w:kern w:val="28"/>
                <w:sz w:val="21"/>
                <w:szCs w:val="21"/>
                <w:lang w:val="en-US" w:eastAsia="zh-CN" w:bidi="ar-SA"/>
                <w14:ligatures w14:val="none"/>
              </w:rPr>
            </w:pPr>
            <w:r>
              <w:rPr>
                <w:rFonts w:hint="eastAsia" w:ascii="Times New Roman" w:hAnsi="Times New Roman" w:eastAsia="宋体" w:cs="Times New Roman"/>
                <w:kern w:val="28"/>
                <w:sz w:val="21"/>
                <w:szCs w:val="21"/>
                <w14:ligatures w14:val="none"/>
              </w:rPr>
              <w:t>第 7.1.9 条</w:t>
            </w:r>
          </w:p>
        </w:tc>
        <w:tc>
          <w:tcPr>
            <w:tcW w:w="2630" w:type="dxa"/>
            <w:shd w:val="clear" w:color="auto" w:fill="auto"/>
            <w:vAlign w:val="center"/>
          </w:tcPr>
          <w:p w14:paraId="236A0D8F">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Times New Roman" w:hAnsi="Times New Roman" w:eastAsia="宋体" w:cs="Times New Roman"/>
                <w:kern w:val="28"/>
                <w:sz w:val="21"/>
                <w:szCs w:val="21"/>
                <w:lang w:val="en-US" w:eastAsia="zh-CN" w:bidi="ar-SA"/>
                <w14:ligatures w14:val="none"/>
              </w:rPr>
            </w:pPr>
            <w:r>
              <w:rPr>
                <w:rFonts w:hint="eastAsia" w:ascii="Times New Roman" w:hAnsi="Times New Roman" w:eastAsia="宋体" w:cs="Times New Roman"/>
                <w:kern w:val="28"/>
                <w:sz w:val="21"/>
                <w:szCs w:val="21"/>
                <w14:ligatures w14:val="none"/>
              </w:rPr>
              <w:t>配电装置屋内通道畅通。</w:t>
            </w:r>
          </w:p>
        </w:tc>
        <w:tc>
          <w:tcPr>
            <w:tcW w:w="628" w:type="dxa"/>
            <w:shd w:val="clear" w:color="auto" w:fill="auto"/>
            <w:vAlign w:val="center"/>
          </w:tcPr>
          <w:p w14:paraId="4E683E9A">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Times New Roman" w:hAnsi="Times New Roman" w:eastAsia="宋体" w:cs="Times New Roman"/>
                <w:kern w:val="28"/>
                <w:sz w:val="21"/>
                <w:szCs w:val="21"/>
                <w:lang w:val="en-US" w:eastAsia="zh-CN" w:bidi="ar-SA"/>
                <w14:ligatures w14:val="none"/>
              </w:rPr>
            </w:pPr>
            <w:r>
              <w:rPr>
                <w:rFonts w:hint="eastAsia" w:ascii="Times New Roman" w:hAnsi="Times New Roman" w:eastAsia="宋体" w:cs="Times New Roman"/>
                <w:kern w:val="28"/>
                <w:sz w:val="21"/>
                <w:szCs w:val="21"/>
                <w14:ligatures w14:val="none"/>
              </w:rPr>
              <w:t>符合</w:t>
            </w:r>
          </w:p>
        </w:tc>
      </w:tr>
      <w:tr w14:paraId="00613D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676" w:type="dxa"/>
            <w:vAlign w:val="center"/>
          </w:tcPr>
          <w:p w14:paraId="3C3FB16D">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8</w:t>
            </w:r>
          </w:p>
        </w:tc>
        <w:tc>
          <w:tcPr>
            <w:tcW w:w="3412" w:type="dxa"/>
            <w:vAlign w:val="center"/>
          </w:tcPr>
          <w:p w14:paraId="3BAA133C">
            <w:pPr>
              <w:keepNext w:val="0"/>
              <w:keepLines w:val="0"/>
              <w:suppressLineNumbers w:val="0"/>
              <w:adjustRightInd w:val="0"/>
              <w:snapToGrid w:val="0"/>
              <w:spacing w:before="0" w:beforeAutospacing="0" w:after="0" w:afterAutospacing="0" w:line="240" w:lineRule="auto"/>
              <w:ind w:left="0" w:right="0"/>
              <w:jc w:val="both"/>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固定设备（容器、机泵等）的外壳，应进行静电接地。</w:t>
            </w:r>
          </w:p>
        </w:tc>
        <w:tc>
          <w:tcPr>
            <w:tcW w:w="1894" w:type="dxa"/>
            <w:vAlign w:val="center"/>
          </w:tcPr>
          <w:p w14:paraId="52D3CEAF">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SH/T 3097-2017</w:t>
            </w:r>
          </w:p>
          <w:p w14:paraId="5212A142">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第 5.1.1 条</w:t>
            </w:r>
          </w:p>
        </w:tc>
        <w:tc>
          <w:tcPr>
            <w:tcW w:w="2630" w:type="dxa"/>
            <w:vAlign w:val="center"/>
          </w:tcPr>
          <w:p w14:paraId="5B6425A1">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14:ligatures w14:val="none"/>
              </w:rPr>
              <w:t>该企业现场生产设备外壳进行了</w:t>
            </w:r>
            <w:r>
              <w:rPr>
                <w:rFonts w:hint="eastAsia" w:ascii="Times New Roman" w:hAnsi="Times New Roman" w:eastAsia="宋体" w:cs="Times New Roman"/>
                <w:kern w:val="28"/>
                <w:sz w:val="21"/>
                <w:szCs w:val="21"/>
                <w:lang w:val="en-US" w:eastAsia="zh-CN"/>
                <w14:ligatures w14:val="none"/>
              </w:rPr>
              <w:t>静电接地</w:t>
            </w:r>
          </w:p>
        </w:tc>
        <w:tc>
          <w:tcPr>
            <w:tcW w:w="628" w:type="dxa"/>
            <w:vAlign w:val="center"/>
          </w:tcPr>
          <w:p w14:paraId="1C3A1B1C">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符合</w:t>
            </w:r>
          </w:p>
        </w:tc>
      </w:tr>
      <w:tr w14:paraId="6FCFF4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676" w:type="dxa"/>
            <w:vAlign w:val="center"/>
          </w:tcPr>
          <w:p w14:paraId="6C553244">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9</w:t>
            </w:r>
          </w:p>
        </w:tc>
        <w:tc>
          <w:tcPr>
            <w:tcW w:w="3412" w:type="dxa"/>
            <w:vAlign w:val="center"/>
          </w:tcPr>
          <w:p w14:paraId="56BDBE05">
            <w:pPr>
              <w:keepNext w:val="0"/>
              <w:keepLines w:val="0"/>
              <w:suppressLineNumbers w:val="0"/>
              <w:adjustRightInd w:val="0"/>
              <w:snapToGrid w:val="0"/>
              <w:spacing w:before="0" w:beforeAutospacing="0" w:after="0" w:afterAutospacing="0" w:line="240" w:lineRule="auto"/>
              <w:ind w:left="0" w:right="0"/>
              <w:jc w:val="both"/>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安装DCS、PLC、SIS等设备的控制室、机柜室、过程 控制计算机的机房，应考虑防静电接地。这些室内的导 静电地面、活动地板工作台 等应进行防静电接地。</w:t>
            </w:r>
          </w:p>
        </w:tc>
        <w:tc>
          <w:tcPr>
            <w:tcW w:w="1894" w:type="dxa"/>
            <w:vAlign w:val="center"/>
          </w:tcPr>
          <w:p w14:paraId="0B819D2B">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p>
          <w:p w14:paraId="30E0D6C7">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p>
          <w:p w14:paraId="4681FCED">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 xml:space="preserve">SHT3081-2019 </w:t>
            </w:r>
          </w:p>
          <w:p w14:paraId="63C6D5FE">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第 2.4.1 条</w:t>
            </w:r>
          </w:p>
        </w:tc>
        <w:tc>
          <w:tcPr>
            <w:tcW w:w="2630" w:type="dxa"/>
            <w:vAlign w:val="center"/>
          </w:tcPr>
          <w:p w14:paraId="0A11FBD5">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p>
          <w:p w14:paraId="43579FE5">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控制室、机柜室的机房，均设置防静电接地</w:t>
            </w:r>
          </w:p>
        </w:tc>
        <w:tc>
          <w:tcPr>
            <w:tcW w:w="628" w:type="dxa"/>
            <w:vAlign w:val="center"/>
          </w:tcPr>
          <w:p w14:paraId="48A624F5">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符合</w:t>
            </w:r>
          </w:p>
        </w:tc>
      </w:tr>
      <w:tr w14:paraId="7FCDBE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676" w:type="dxa"/>
            <w:vAlign w:val="center"/>
          </w:tcPr>
          <w:p w14:paraId="1E8B6CC3">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10</w:t>
            </w:r>
          </w:p>
        </w:tc>
        <w:tc>
          <w:tcPr>
            <w:tcW w:w="3412" w:type="dxa"/>
            <w:vAlign w:val="center"/>
          </w:tcPr>
          <w:p w14:paraId="1EF95FE5">
            <w:pPr>
              <w:keepNext w:val="0"/>
              <w:keepLines w:val="0"/>
              <w:suppressLineNumbers w:val="0"/>
              <w:adjustRightInd w:val="0"/>
              <w:snapToGrid w:val="0"/>
              <w:spacing w:before="0" w:beforeAutospacing="0" w:after="0" w:afterAutospacing="0" w:line="240" w:lineRule="auto"/>
              <w:ind w:left="0" w:right="0"/>
              <w:jc w:val="both"/>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电气装置的下列金属部分，均应接地或接零：①电机、变压器、电器、携带式或移动式用电器具等的金属底座和外壳；②电气设备的传动装置；③屋内外配电装置的金属或钢筋混凝土构架以及靠近带电部分的金属遮拦和金属门；④配电、控制、保护用的屏（柜、箱）及操作台等金属框架和底座。</w:t>
            </w:r>
          </w:p>
        </w:tc>
        <w:tc>
          <w:tcPr>
            <w:tcW w:w="1894" w:type="dxa"/>
            <w:vAlign w:val="center"/>
          </w:tcPr>
          <w:p w14:paraId="0BE5C4EF">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《电气装置安装工程接地装置施工及验收规范》（GB50169-2016）</w:t>
            </w:r>
          </w:p>
          <w:p w14:paraId="32312DF6">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第3.1.1条</w:t>
            </w:r>
          </w:p>
        </w:tc>
        <w:tc>
          <w:tcPr>
            <w:tcW w:w="2630" w:type="dxa"/>
            <w:vAlign w:val="center"/>
          </w:tcPr>
          <w:p w14:paraId="2E976E2D">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电气装置均接地</w:t>
            </w:r>
          </w:p>
        </w:tc>
        <w:tc>
          <w:tcPr>
            <w:tcW w:w="628" w:type="dxa"/>
            <w:vAlign w:val="center"/>
          </w:tcPr>
          <w:p w14:paraId="56EE6ECF">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符合</w:t>
            </w:r>
          </w:p>
        </w:tc>
      </w:tr>
      <w:tr w14:paraId="638766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85" w:hRule="atLeast"/>
          <w:jc w:val="center"/>
        </w:trPr>
        <w:tc>
          <w:tcPr>
            <w:tcW w:w="676" w:type="dxa"/>
            <w:vAlign w:val="center"/>
          </w:tcPr>
          <w:p w14:paraId="552FD231">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11</w:t>
            </w:r>
          </w:p>
        </w:tc>
        <w:tc>
          <w:tcPr>
            <w:tcW w:w="3412" w:type="dxa"/>
            <w:vAlign w:val="center"/>
          </w:tcPr>
          <w:p w14:paraId="7BC7DD7B">
            <w:pPr>
              <w:keepNext w:val="0"/>
              <w:keepLines w:val="0"/>
              <w:suppressLineNumbers w:val="0"/>
              <w:adjustRightInd w:val="0"/>
              <w:snapToGrid w:val="0"/>
              <w:spacing w:before="0" w:beforeAutospacing="0" w:after="0" w:afterAutospacing="0" w:line="240" w:lineRule="auto"/>
              <w:ind w:left="0" w:right="0"/>
              <w:jc w:val="both"/>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工艺装置内建（构）筑物是否采取了防雷措施</w:t>
            </w:r>
          </w:p>
        </w:tc>
        <w:tc>
          <w:tcPr>
            <w:tcW w:w="1894" w:type="dxa"/>
            <w:vAlign w:val="center"/>
          </w:tcPr>
          <w:p w14:paraId="6A9AF6C1">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《防雷减灾 管理办法》</w:t>
            </w:r>
          </w:p>
          <w:p w14:paraId="417F4EF0">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 xml:space="preserve"> 第十一条</w:t>
            </w:r>
          </w:p>
        </w:tc>
        <w:tc>
          <w:tcPr>
            <w:tcW w:w="2630" w:type="dxa"/>
            <w:vAlign w:val="center"/>
          </w:tcPr>
          <w:p w14:paraId="2B74D677">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安装了避雷带</w:t>
            </w:r>
          </w:p>
        </w:tc>
        <w:tc>
          <w:tcPr>
            <w:tcW w:w="628" w:type="dxa"/>
            <w:vAlign w:val="center"/>
          </w:tcPr>
          <w:p w14:paraId="708ECE59">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符合</w:t>
            </w:r>
          </w:p>
        </w:tc>
      </w:tr>
      <w:tr w14:paraId="555FD2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676" w:type="dxa"/>
            <w:vAlign w:val="center"/>
          </w:tcPr>
          <w:p w14:paraId="7F101F9E">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12</w:t>
            </w:r>
          </w:p>
        </w:tc>
        <w:tc>
          <w:tcPr>
            <w:tcW w:w="3412" w:type="dxa"/>
            <w:vAlign w:val="center"/>
          </w:tcPr>
          <w:p w14:paraId="5A0DF90F">
            <w:pPr>
              <w:keepNext w:val="0"/>
              <w:keepLines w:val="0"/>
              <w:suppressLineNumbers w:val="0"/>
              <w:adjustRightInd w:val="0"/>
              <w:snapToGrid w:val="0"/>
              <w:spacing w:before="0" w:beforeAutospacing="0" w:after="0" w:afterAutospacing="0" w:line="240" w:lineRule="auto"/>
              <w:ind w:left="0" w:right="0"/>
              <w:jc w:val="both"/>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防雷防静电设施应请有资质的单位定期检测</w:t>
            </w:r>
          </w:p>
        </w:tc>
        <w:tc>
          <w:tcPr>
            <w:tcW w:w="1894" w:type="dxa"/>
            <w:vAlign w:val="center"/>
          </w:tcPr>
          <w:p w14:paraId="1FC887A4">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 xml:space="preserve">《防雷减灾 管理办法》 </w:t>
            </w:r>
          </w:p>
          <w:p w14:paraId="0E0DE800">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第十五条</w:t>
            </w:r>
          </w:p>
        </w:tc>
        <w:tc>
          <w:tcPr>
            <w:tcW w:w="2630" w:type="dxa"/>
            <w:vAlign w:val="center"/>
          </w:tcPr>
          <w:p w14:paraId="77590C3D">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委托辽宁雷电防护工程有限责任公司</w:t>
            </w:r>
            <w:r>
              <w:rPr>
                <w:rFonts w:hint="eastAsia" w:ascii="Times New Roman" w:hAnsi="Times New Roman" w:eastAsia="宋体" w:cs="Times New Roman"/>
                <w:kern w:val="28"/>
                <w:sz w:val="21"/>
                <w:szCs w:val="21"/>
                <w:lang w:val="en-US" w:eastAsia="zh-CN"/>
                <w14:ligatures w14:val="none"/>
              </w:rPr>
              <w:t>进行检测</w:t>
            </w:r>
            <w:r>
              <w:rPr>
                <w:rFonts w:hint="eastAsia" w:ascii="Times New Roman" w:hAnsi="Times New Roman" w:eastAsia="宋体" w:cs="Times New Roman"/>
                <w:kern w:val="28"/>
                <w:sz w:val="21"/>
                <w:szCs w:val="21"/>
                <w14:ligatures w14:val="none"/>
              </w:rPr>
              <w:t>，取得检测合格报告</w:t>
            </w:r>
          </w:p>
        </w:tc>
        <w:tc>
          <w:tcPr>
            <w:tcW w:w="628" w:type="dxa"/>
            <w:vAlign w:val="center"/>
          </w:tcPr>
          <w:p w14:paraId="007FD4AD">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符合</w:t>
            </w:r>
          </w:p>
        </w:tc>
      </w:tr>
      <w:tr w14:paraId="59F1F3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676" w:type="dxa"/>
            <w:vAlign w:val="center"/>
          </w:tcPr>
          <w:p w14:paraId="7AFAB6CA">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13</w:t>
            </w:r>
          </w:p>
        </w:tc>
        <w:tc>
          <w:tcPr>
            <w:tcW w:w="3412" w:type="dxa"/>
            <w:vAlign w:val="center"/>
          </w:tcPr>
          <w:p w14:paraId="7F436980">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kern w:val="28"/>
                <w:sz w:val="21"/>
                <w:szCs w:val="21"/>
                <w14:ligatures w14:val="none"/>
              </w:rPr>
            </w:pPr>
            <w:r>
              <w:rPr>
                <w:rFonts w:hint="default" w:ascii="Times New Roman" w:hAnsi="Times New Roman" w:eastAsia="宋体" w:cs="Times New Roman"/>
                <w:kern w:val="28"/>
                <w:sz w:val="21"/>
                <w:szCs w:val="21"/>
                <w14:ligatures w14:val="none"/>
              </w:rPr>
              <w:t>在有人的一般场所，有危险电位的裸带电体应加遮护或置于人的伸臂范围以外。</w:t>
            </w:r>
          </w:p>
        </w:tc>
        <w:tc>
          <w:tcPr>
            <w:tcW w:w="1894" w:type="dxa"/>
            <w:vAlign w:val="center"/>
          </w:tcPr>
          <w:p w14:paraId="58335919">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GB50054-2011</w:t>
            </w:r>
          </w:p>
          <w:p w14:paraId="44EDE8D3">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第3.2.1</w:t>
            </w:r>
            <w:r>
              <w:rPr>
                <w:rFonts w:hint="default" w:ascii="Times New Roman" w:hAnsi="Times New Roman" w:eastAsia="宋体" w:cs="Times New Roman"/>
                <w:kern w:val="28"/>
                <w:sz w:val="21"/>
                <w:szCs w:val="21"/>
                <w14:ligatures w14:val="none"/>
              </w:rPr>
              <w:t>条</w:t>
            </w:r>
          </w:p>
        </w:tc>
        <w:tc>
          <w:tcPr>
            <w:tcW w:w="2630" w:type="dxa"/>
            <w:vAlign w:val="center"/>
          </w:tcPr>
          <w:p w14:paraId="7609D133">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lang w:eastAsia="zh-CN"/>
                <w14:ligatures w14:val="none"/>
              </w:rPr>
            </w:pPr>
            <w:r>
              <w:rPr>
                <w:rFonts w:hint="eastAsia" w:ascii="Times New Roman" w:hAnsi="Times New Roman" w:eastAsia="宋体" w:cs="Times New Roman"/>
                <w:kern w:val="28"/>
                <w:sz w:val="21"/>
                <w:szCs w:val="21"/>
                <w14:ligatures w14:val="none"/>
              </w:rPr>
              <w:t>有危险</w:t>
            </w:r>
            <w:r>
              <w:rPr>
                <w:rFonts w:hint="default" w:ascii="Times New Roman" w:hAnsi="Times New Roman" w:eastAsia="宋体" w:cs="Times New Roman"/>
                <w:kern w:val="28"/>
                <w:sz w:val="21"/>
                <w:szCs w:val="21"/>
                <w14:ligatures w14:val="none"/>
              </w:rPr>
              <w:t>电位的裸带电体加遮护</w:t>
            </w:r>
            <w:r>
              <w:rPr>
                <w:rFonts w:hint="eastAsia" w:ascii="Times New Roman" w:hAnsi="Times New Roman" w:eastAsia="宋体" w:cs="Times New Roman"/>
                <w:kern w:val="28"/>
                <w:sz w:val="21"/>
                <w:szCs w:val="21"/>
                <w:lang w:eastAsia="zh-CN"/>
                <w14:ligatures w14:val="none"/>
              </w:rPr>
              <w:t>。</w:t>
            </w:r>
          </w:p>
        </w:tc>
        <w:tc>
          <w:tcPr>
            <w:tcW w:w="628" w:type="dxa"/>
            <w:vAlign w:val="center"/>
          </w:tcPr>
          <w:p w14:paraId="71AB769A">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14:ligatures w14:val="none"/>
              </w:rPr>
            </w:pPr>
            <w:r>
              <w:rPr>
                <w:rFonts w:hint="default" w:ascii="Times New Roman" w:hAnsi="Times New Roman" w:eastAsia="宋体" w:cs="Times New Roman"/>
                <w:kern w:val="28"/>
                <w:sz w:val="21"/>
                <w:szCs w:val="21"/>
                <w14:ligatures w14:val="none"/>
              </w:rPr>
              <w:t>符合</w:t>
            </w:r>
          </w:p>
        </w:tc>
      </w:tr>
      <w:tr w14:paraId="4FB1A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676" w:type="dxa"/>
            <w:vAlign w:val="center"/>
          </w:tcPr>
          <w:p w14:paraId="32172B3A">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14</w:t>
            </w:r>
          </w:p>
        </w:tc>
        <w:tc>
          <w:tcPr>
            <w:tcW w:w="3412" w:type="dxa"/>
            <w:vAlign w:val="center"/>
          </w:tcPr>
          <w:p w14:paraId="3DE20C9D">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kern w:val="28"/>
                <w:sz w:val="21"/>
                <w:szCs w:val="21"/>
                <w14:ligatures w14:val="none"/>
              </w:rPr>
            </w:pPr>
            <w:r>
              <w:rPr>
                <w:rFonts w:hint="default" w:ascii="Times New Roman" w:hAnsi="Times New Roman" w:eastAsia="宋体" w:cs="Times New Roman"/>
                <w:kern w:val="28"/>
                <w:sz w:val="21"/>
                <w:szCs w:val="21"/>
                <w14:ligatures w14:val="none"/>
              </w:rPr>
              <w:t>配电线路应装设短路保护、过负载保护和接地故障保护，作用于切断供电电源或发出报警信号。</w:t>
            </w:r>
          </w:p>
        </w:tc>
        <w:tc>
          <w:tcPr>
            <w:tcW w:w="1894" w:type="dxa"/>
            <w:vAlign w:val="center"/>
          </w:tcPr>
          <w:p w14:paraId="240AB3E3">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GB50054-2011</w:t>
            </w:r>
          </w:p>
          <w:p w14:paraId="49A3BE91">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第4.1.1</w:t>
            </w:r>
            <w:r>
              <w:rPr>
                <w:rFonts w:hint="default" w:ascii="Times New Roman" w:hAnsi="Times New Roman" w:eastAsia="宋体" w:cs="Times New Roman"/>
                <w:kern w:val="28"/>
                <w:sz w:val="21"/>
                <w:szCs w:val="21"/>
                <w14:ligatures w14:val="none"/>
              </w:rPr>
              <w:t>条</w:t>
            </w:r>
          </w:p>
        </w:tc>
        <w:tc>
          <w:tcPr>
            <w:tcW w:w="2630" w:type="dxa"/>
            <w:vAlign w:val="center"/>
          </w:tcPr>
          <w:p w14:paraId="29D295DF">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lang w:eastAsia="zh-CN"/>
                <w14:ligatures w14:val="none"/>
              </w:rPr>
            </w:pPr>
            <w:r>
              <w:rPr>
                <w:rFonts w:hint="eastAsia" w:ascii="Times New Roman" w:hAnsi="Times New Roman" w:eastAsia="宋体" w:cs="Times New Roman"/>
                <w:kern w:val="28"/>
                <w:sz w:val="21"/>
                <w:szCs w:val="21"/>
                <w14:ligatures w14:val="none"/>
              </w:rPr>
              <w:t>配电线路设有</w:t>
            </w:r>
            <w:r>
              <w:rPr>
                <w:rFonts w:hint="default" w:ascii="Times New Roman" w:hAnsi="Times New Roman" w:eastAsia="宋体" w:cs="Times New Roman"/>
                <w:kern w:val="28"/>
                <w:sz w:val="21"/>
                <w:szCs w:val="21"/>
                <w14:ligatures w14:val="none"/>
              </w:rPr>
              <w:t>短路保护</w:t>
            </w:r>
            <w:r>
              <w:rPr>
                <w:rFonts w:hint="eastAsia" w:ascii="Times New Roman" w:hAnsi="Times New Roman" w:eastAsia="宋体" w:cs="Times New Roman"/>
                <w:kern w:val="28"/>
                <w:sz w:val="21"/>
                <w:szCs w:val="21"/>
                <w14:ligatures w14:val="none"/>
              </w:rPr>
              <w:t>，</w:t>
            </w:r>
            <w:r>
              <w:rPr>
                <w:rFonts w:hint="default" w:ascii="Times New Roman" w:hAnsi="Times New Roman" w:eastAsia="宋体" w:cs="Times New Roman"/>
                <w:kern w:val="28"/>
                <w:sz w:val="21"/>
                <w:szCs w:val="21"/>
                <w14:ligatures w14:val="none"/>
              </w:rPr>
              <w:t>过负载保护和接地故障保护</w:t>
            </w:r>
            <w:r>
              <w:rPr>
                <w:rFonts w:hint="eastAsia" w:ascii="Times New Roman" w:hAnsi="Times New Roman" w:eastAsia="宋体" w:cs="Times New Roman"/>
                <w:kern w:val="28"/>
                <w:sz w:val="21"/>
                <w:szCs w:val="21"/>
                <w:lang w:eastAsia="zh-CN"/>
                <w14:ligatures w14:val="none"/>
              </w:rPr>
              <w:t>。</w:t>
            </w:r>
          </w:p>
        </w:tc>
        <w:tc>
          <w:tcPr>
            <w:tcW w:w="628" w:type="dxa"/>
            <w:vAlign w:val="center"/>
          </w:tcPr>
          <w:p w14:paraId="0ECC53A6">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14:ligatures w14:val="none"/>
              </w:rPr>
            </w:pPr>
            <w:r>
              <w:rPr>
                <w:rFonts w:hint="default" w:ascii="Times New Roman" w:hAnsi="Times New Roman" w:eastAsia="宋体" w:cs="Times New Roman"/>
                <w:kern w:val="28"/>
                <w:sz w:val="21"/>
                <w:szCs w:val="21"/>
                <w14:ligatures w14:val="none"/>
              </w:rPr>
              <w:t>符合</w:t>
            </w:r>
          </w:p>
        </w:tc>
      </w:tr>
      <w:tr w14:paraId="4495B8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676" w:type="dxa"/>
            <w:vAlign w:val="center"/>
          </w:tcPr>
          <w:p w14:paraId="40DC4A61">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15</w:t>
            </w:r>
          </w:p>
        </w:tc>
        <w:tc>
          <w:tcPr>
            <w:tcW w:w="3412" w:type="dxa"/>
            <w:vAlign w:val="center"/>
          </w:tcPr>
          <w:p w14:paraId="6BDD1ABC">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kern w:val="28"/>
                <w:sz w:val="21"/>
                <w:szCs w:val="21"/>
                <w14:ligatures w14:val="none"/>
              </w:rPr>
            </w:pPr>
            <w:r>
              <w:rPr>
                <w:rFonts w:hint="default" w:ascii="Times New Roman" w:hAnsi="Times New Roman" w:eastAsia="宋体" w:cs="Times New Roman"/>
                <w:kern w:val="28"/>
                <w:sz w:val="21"/>
                <w:szCs w:val="21"/>
                <w14:ligatures w14:val="none"/>
              </w:rPr>
              <w:t>容量大于100m</w:t>
            </w:r>
            <w:r>
              <w:rPr>
                <w:rFonts w:hint="default" w:ascii="Times New Roman" w:hAnsi="Times New Roman" w:eastAsia="宋体" w:cs="Times New Roman"/>
                <w:kern w:val="28"/>
                <w:sz w:val="21"/>
                <w:szCs w:val="21"/>
                <w:vertAlign w:val="superscript"/>
                <w14:ligatures w14:val="none"/>
              </w:rPr>
              <w:t>3</w:t>
            </w:r>
            <w:r>
              <w:rPr>
                <w:rFonts w:hint="default" w:ascii="Times New Roman" w:hAnsi="Times New Roman" w:eastAsia="宋体" w:cs="Times New Roman"/>
                <w:kern w:val="28"/>
                <w:sz w:val="21"/>
                <w:szCs w:val="21"/>
                <w14:ligatures w14:val="none"/>
              </w:rPr>
              <w:t>的储罐应设液位连续测量远传仪表。</w:t>
            </w:r>
          </w:p>
        </w:tc>
        <w:tc>
          <w:tcPr>
            <w:tcW w:w="1894" w:type="dxa"/>
            <w:vAlign w:val="center"/>
          </w:tcPr>
          <w:p w14:paraId="170788CF">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《石油化工储运系统罐区设计规范》（SH/T 3007-2014）第5.4.1条</w:t>
            </w:r>
          </w:p>
        </w:tc>
        <w:tc>
          <w:tcPr>
            <w:tcW w:w="2630" w:type="dxa"/>
            <w:vAlign w:val="center"/>
          </w:tcPr>
          <w:p w14:paraId="26327066">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盐酸、次氯酸钠、高硅四氯化钛储罐均设置液位远传</w:t>
            </w:r>
          </w:p>
        </w:tc>
        <w:tc>
          <w:tcPr>
            <w:tcW w:w="628" w:type="dxa"/>
            <w:vAlign w:val="center"/>
          </w:tcPr>
          <w:p w14:paraId="7F956015">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符合</w:t>
            </w:r>
          </w:p>
        </w:tc>
      </w:tr>
      <w:tr w14:paraId="010305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676" w:type="dxa"/>
            <w:vAlign w:val="center"/>
          </w:tcPr>
          <w:p w14:paraId="25FB1CA8">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16</w:t>
            </w:r>
          </w:p>
        </w:tc>
        <w:tc>
          <w:tcPr>
            <w:tcW w:w="3412" w:type="dxa"/>
            <w:vAlign w:val="center"/>
          </w:tcPr>
          <w:p w14:paraId="7314D41E">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kern w:val="28"/>
                <w:sz w:val="21"/>
                <w:szCs w:val="21"/>
                <w14:ligatures w14:val="none"/>
              </w:rPr>
            </w:pPr>
            <w:r>
              <w:rPr>
                <w:rFonts w:hint="default" w:ascii="Times New Roman" w:hAnsi="Times New Roman" w:eastAsia="宋体" w:cs="Times New Roman"/>
                <w:kern w:val="28"/>
                <w:sz w:val="21"/>
                <w:szCs w:val="21"/>
                <w14:ligatures w14:val="none"/>
              </w:rPr>
              <w:t>当仪表或仪表元件安装在罐顶时，宜布置在罐顶梯子平台附近。</w:t>
            </w:r>
          </w:p>
        </w:tc>
        <w:tc>
          <w:tcPr>
            <w:tcW w:w="1894" w:type="dxa"/>
            <w:vAlign w:val="center"/>
          </w:tcPr>
          <w:p w14:paraId="084E4BDF">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《石油化工储运系统罐区设计规范》（SH/T 3007-2014）第5.4.10条</w:t>
            </w:r>
          </w:p>
        </w:tc>
        <w:tc>
          <w:tcPr>
            <w:tcW w:w="2630" w:type="dxa"/>
            <w:vAlign w:val="center"/>
          </w:tcPr>
          <w:p w14:paraId="227A91BD">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盐酸罐区仪表安装在罐顶且布置在罐顶平台附近</w:t>
            </w:r>
          </w:p>
        </w:tc>
        <w:tc>
          <w:tcPr>
            <w:tcW w:w="628" w:type="dxa"/>
            <w:vAlign w:val="center"/>
          </w:tcPr>
          <w:p w14:paraId="76BA9E12">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符合</w:t>
            </w:r>
          </w:p>
        </w:tc>
      </w:tr>
      <w:tr w14:paraId="79A40C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676" w:type="dxa"/>
            <w:vAlign w:val="center"/>
          </w:tcPr>
          <w:p w14:paraId="0FE3E727">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17</w:t>
            </w:r>
          </w:p>
        </w:tc>
        <w:tc>
          <w:tcPr>
            <w:tcW w:w="3412" w:type="dxa"/>
            <w:vAlign w:val="center"/>
          </w:tcPr>
          <w:p w14:paraId="128838CA">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kern w:val="28"/>
                <w:sz w:val="21"/>
                <w:szCs w:val="21"/>
                <w14:ligatures w14:val="none"/>
              </w:rPr>
            </w:pPr>
            <w:r>
              <w:rPr>
                <w:rFonts w:hint="default" w:ascii="Times New Roman" w:hAnsi="Times New Roman" w:eastAsia="宋体" w:cs="Times New Roman"/>
                <w:kern w:val="28"/>
                <w:sz w:val="21"/>
                <w:szCs w:val="21"/>
                <w14:ligatures w14:val="none"/>
              </w:rPr>
              <w:t>摄像机采用的防护装置应与监视目标所处的环境相协调。</w:t>
            </w:r>
          </w:p>
        </w:tc>
        <w:tc>
          <w:tcPr>
            <w:tcW w:w="1894" w:type="dxa"/>
            <w:vAlign w:val="center"/>
          </w:tcPr>
          <w:p w14:paraId="6E24612E">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《工业电视系统工程设计标准》（GB/T 50115-2019）</w:t>
            </w:r>
          </w:p>
          <w:p w14:paraId="128BE4C2">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第5.3.1条</w:t>
            </w:r>
          </w:p>
        </w:tc>
        <w:tc>
          <w:tcPr>
            <w:tcW w:w="2630" w:type="dxa"/>
            <w:vAlign w:val="center"/>
          </w:tcPr>
          <w:p w14:paraId="66CD338B">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摄像机采用的防护装置与</w:t>
            </w:r>
            <w:r>
              <w:rPr>
                <w:rFonts w:hint="default" w:ascii="Times New Roman" w:hAnsi="Times New Roman" w:eastAsia="宋体" w:cs="Times New Roman"/>
                <w:kern w:val="28"/>
                <w:sz w:val="21"/>
                <w:szCs w:val="21"/>
                <w14:ligatures w14:val="none"/>
              </w:rPr>
              <w:t>监视目标所处的环境相协调。</w:t>
            </w:r>
          </w:p>
        </w:tc>
        <w:tc>
          <w:tcPr>
            <w:tcW w:w="628" w:type="dxa"/>
            <w:vAlign w:val="center"/>
          </w:tcPr>
          <w:p w14:paraId="187EEE74">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符合</w:t>
            </w:r>
          </w:p>
        </w:tc>
      </w:tr>
      <w:tr w14:paraId="41E493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676" w:type="dxa"/>
            <w:vAlign w:val="center"/>
          </w:tcPr>
          <w:p w14:paraId="023B6D0D">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18</w:t>
            </w:r>
          </w:p>
        </w:tc>
        <w:tc>
          <w:tcPr>
            <w:tcW w:w="3412" w:type="dxa"/>
            <w:vAlign w:val="center"/>
          </w:tcPr>
          <w:p w14:paraId="04E321CB">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kern w:val="28"/>
                <w:sz w:val="21"/>
                <w:szCs w:val="21"/>
                <w14:ligatures w14:val="none"/>
              </w:rPr>
            </w:pPr>
            <w:r>
              <w:rPr>
                <w:rFonts w:hint="default" w:ascii="Times New Roman" w:hAnsi="Times New Roman" w:eastAsia="宋体" w:cs="Times New Roman"/>
                <w:kern w:val="28"/>
                <w:sz w:val="21"/>
                <w:szCs w:val="21"/>
                <w14:ligatures w14:val="none"/>
              </w:rPr>
              <w:t>系统供电除应符合现行国家标准《安全防范工程技术规范》GB 50348的相关规定外，还应符合以下规定：①摄像机供电宜由监控中心统一供电或由监控中心控制的电源供电；②异地的本地供电，摄像机和视频切换控制设备的供电宜为同相电源，或采取措施以保证图像同步；③电源供电方式应采用TN-S制式。</w:t>
            </w:r>
          </w:p>
        </w:tc>
        <w:tc>
          <w:tcPr>
            <w:tcW w:w="1894" w:type="dxa"/>
            <w:vAlign w:val="center"/>
          </w:tcPr>
          <w:p w14:paraId="39BDDD5A">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《视频安防监控系统工程设计规范》（GB 50395-2007）第8.0.1条</w:t>
            </w:r>
          </w:p>
        </w:tc>
        <w:tc>
          <w:tcPr>
            <w:tcW w:w="2630" w:type="dxa"/>
            <w:vAlign w:val="center"/>
          </w:tcPr>
          <w:p w14:paraId="377A3C50">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摄像头供电方式符合要求</w:t>
            </w:r>
          </w:p>
        </w:tc>
        <w:tc>
          <w:tcPr>
            <w:tcW w:w="628" w:type="dxa"/>
            <w:vAlign w:val="center"/>
          </w:tcPr>
          <w:p w14:paraId="1F3BA2A9">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符合</w:t>
            </w:r>
          </w:p>
        </w:tc>
      </w:tr>
      <w:tr w14:paraId="0C254A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676" w:type="dxa"/>
            <w:vAlign w:val="center"/>
          </w:tcPr>
          <w:p w14:paraId="3E538A06">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二</w:t>
            </w:r>
          </w:p>
        </w:tc>
        <w:tc>
          <w:tcPr>
            <w:tcW w:w="8564" w:type="dxa"/>
            <w:gridSpan w:val="4"/>
            <w:vAlign w:val="center"/>
          </w:tcPr>
          <w:p w14:paraId="25E2E2D8">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消防</w:t>
            </w:r>
          </w:p>
        </w:tc>
      </w:tr>
      <w:tr w14:paraId="67EAE6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676" w:type="dxa"/>
            <w:vAlign w:val="center"/>
          </w:tcPr>
          <w:p w14:paraId="0D97409A">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1</w:t>
            </w:r>
          </w:p>
        </w:tc>
        <w:tc>
          <w:tcPr>
            <w:tcW w:w="3412" w:type="dxa"/>
            <w:vAlign w:val="center"/>
          </w:tcPr>
          <w:p w14:paraId="493616D8">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灭火器应设置在位置明显和便于取用的地点，且不影 响安全疏散</w:t>
            </w:r>
          </w:p>
        </w:tc>
        <w:tc>
          <w:tcPr>
            <w:tcW w:w="1894" w:type="dxa"/>
            <w:vAlign w:val="center"/>
          </w:tcPr>
          <w:p w14:paraId="78A98E4F">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GB 50140-2005 第 5.1.1 条</w:t>
            </w:r>
          </w:p>
        </w:tc>
        <w:tc>
          <w:tcPr>
            <w:tcW w:w="2630" w:type="dxa"/>
            <w:vAlign w:val="center"/>
          </w:tcPr>
          <w:p w14:paraId="314F3152">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灭火器设置位置 明显且便于取用</w:t>
            </w:r>
          </w:p>
        </w:tc>
        <w:tc>
          <w:tcPr>
            <w:tcW w:w="628" w:type="dxa"/>
            <w:vAlign w:val="center"/>
          </w:tcPr>
          <w:p w14:paraId="783565D5">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p>
          <w:p w14:paraId="07D777A6">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符合</w:t>
            </w:r>
          </w:p>
        </w:tc>
      </w:tr>
      <w:tr w14:paraId="3FFF10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676" w:type="dxa"/>
            <w:vAlign w:val="center"/>
          </w:tcPr>
          <w:p w14:paraId="398CDEA2">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2</w:t>
            </w:r>
          </w:p>
        </w:tc>
        <w:tc>
          <w:tcPr>
            <w:tcW w:w="3412" w:type="dxa"/>
            <w:vAlign w:val="center"/>
          </w:tcPr>
          <w:p w14:paraId="0AF01E3D">
            <w:pPr>
              <w:keepNext w:val="0"/>
              <w:keepLines w:val="0"/>
              <w:suppressLineNumbers w:val="0"/>
              <w:adjustRightInd w:val="0"/>
              <w:snapToGrid w:val="0"/>
              <w:spacing w:before="0" w:beforeAutospacing="0" w:after="0" w:afterAutospacing="0" w:line="240" w:lineRule="auto"/>
              <w:ind w:left="0" w:right="0"/>
              <w:jc w:val="both"/>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灭火器设置点的位置和数 量应根据灭火器的最大保 护距离确定，并应保证最不利点至少在 1 具灭火器的 保护范围内。一个计算单元 内灭火器数量不应少于 2 具，每个配置点的灭火器数 量不宜多于5具</w:t>
            </w:r>
          </w:p>
        </w:tc>
        <w:tc>
          <w:tcPr>
            <w:tcW w:w="1894" w:type="dxa"/>
            <w:vAlign w:val="center"/>
          </w:tcPr>
          <w:p w14:paraId="6866386B">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GB 50140-2005 第 7.1.3 条</w:t>
            </w:r>
          </w:p>
        </w:tc>
        <w:tc>
          <w:tcPr>
            <w:tcW w:w="2630" w:type="dxa"/>
            <w:vAlign w:val="center"/>
          </w:tcPr>
          <w:p w14:paraId="6C4E1C2B">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14:ligatures w14:val="none"/>
              </w:rPr>
            </w:pPr>
            <w:r>
              <w:rPr>
                <w:rFonts w:hint="eastAsia" w:ascii="Times New Roman" w:hAnsi="Times New Roman" w:eastAsia="宋体" w:cs="Times New Roman"/>
                <w:kern w:val="28"/>
                <w:sz w:val="21"/>
                <w:szCs w:val="21"/>
                <w14:ligatures w14:val="none"/>
              </w:rPr>
              <w:t>各危险点灭火器的配置符合要求</w:t>
            </w:r>
          </w:p>
        </w:tc>
        <w:tc>
          <w:tcPr>
            <w:tcW w:w="628" w:type="dxa"/>
            <w:vAlign w:val="center"/>
          </w:tcPr>
          <w:p w14:paraId="33C15D97">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符合</w:t>
            </w:r>
          </w:p>
        </w:tc>
      </w:tr>
      <w:tr w14:paraId="57BBF9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676" w:type="dxa"/>
            <w:vAlign w:val="center"/>
          </w:tcPr>
          <w:p w14:paraId="18FC6C1C">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三</w:t>
            </w:r>
          </w:p>
        </w:tc>
        <w:tc>
          <w:tcPr>
            <w:tcW w:w="8564" w:type="dxa"/>
            <w:gridSpan w:val="4"/>
            <w:vAlign w:val="center"/>
          </w:tcPr>
          <w:p w14:paraId="3BC8B581">
            <w:pPr>
              <w:keepNext w:val="0"/>
              <w:keepLines w:val="0"/>
              <w:suppressLineNumbers w:val="0"/>
              <w:adjustRightInd w:val="0"/>
              <w:snapToGrid w:val="0"/>
              <w:spacing w:before="0" w:beforeAutospacing="0" w:after="0" w:afterAutospacing="0" w:line="240" w:lineRule="auto"/>
              <w:ind w:left="0" w:right="0"/>
              <w:jc w:val="both"/>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lang w:val="en-US" w:eastAsia="zh-CN"/>
                <w14:ligatures w14:val="none"/>
              </w:rPr>
              <w:t>个体防护</w:t>
            </w:r>
          </w:p>
        </w:tc>
      </w:tr>
      <w:tr w14:paraId="658C27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676" w:type="dxa"/>
            <w:vAlign w:val="center"/>
          </w:tcPr>
          <w:p w14:paraId="2B88DAFC">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1</w:t>
            </w:r>
          </w:p>
        </w:tc>
        <w:tc>
          <w:tcPr>
            <w:tcW w:w="3412" w:type="dxa"/>
            <w:vAlign w:val="center"/>
          </w:tcPr>
          <w:p w14:paraId="718A012D">
            <w:pPr>
              <w:keepNext w:val="0"/>
              <w:keepLines w:val="0"/>
              <w:suppressLineNumbers w:val="0"/>
              <w:adjustRightInd w:val="0"/>
              <w:snapToGrid w:val="0"/>
              <w:spacing w:before="0" w:beforeAutospacing="0" w:after="0" w:afterAutospacing="0" w:line="240" w:lineRule="auto"/>
              <w:ind w:left="0" w:right="0"/>
              <w:jc w:val="both"/>
              <w:rPr>
                <w:rFonts w:hint="eastAsia"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应在库区设置洗眼器等应急处置设施。</w:t>
            </w:r>
          </w:p>
        </w:tc>
        <w:tc>
          <w:tcPr>
            <w:tcW w:w="1894" w:type="dxa"/>
            <w:vAlign w:val="center"/>
          </w:tcPr>
          <w:p w14:paraId="4392433C">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《腐蚀性商品储存养护技术条件》（GB 17915-2013）</w:t>
            </w:r>
          </w:p>
          <w:p w14:paraId="368D3B0F">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第4.3.3条</w:t>
            </w:r>
          </w:p>
        </w:tc>
        <w:tc>
          <w:tcPr>
            <w:tcW w:w="2630" w:type="dxa"/>
            <w:vAlign w:val="center"/>
          </w:tcPr>
          <w:p w14:paraId="0B29FE3C">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盐酸储罐区设置洗眼器</w:t>
            </w:r>
          </w:p>
        </w:tc>
        <w:tc>
          <w:tcPr>
            <w:tcW w:w="628" w:type="dxa"/>
            <w:vAlign w:val="center"/>
          </w:tcPr>
          <w:p w14:paraId="6F98D51B">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符合</w:t>
            </w:r>
          </w:p>
        </w:tc>
      </w:tr>
      <w:tr w14:paraId="373916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676" w:type="dxa"/>
            <w:vAlign w:val="center"/>
          </w:tcPr>
          <w:p w14:paraId="1AAB5273">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2</w:t>
            </w:r>
          </w:p>
        </w:tc>
        <w:tc>
          <w:tcPr>
            <w:tcW w:w="3412" w:type="dxa"/>
            <w:vAlign w:val="center"/>
          </w:tcPr>
          <w:p w14:paraId="4E0E69C4">
            <w:pPr>
              <w:keepNext w:val="0"/>
              <w:keepLines w:val="0"/>
              <w:suppressLineNumbers w:val="0"/>
              <w:adjustRightInd w:val="0"/>
              <w:snapToGrid w:val="0"/>
              <w:spacing w:before="0" w:beforeAutospacing="0" w:after="0" w:afterAutospacing="0" w:line="240" w:lineRule="auto"/>
              <w:ind w:left="0" w:right="0"/>
              <w:jc w:val="both"/>
              <w:rPr>
                <w:rFonts w:hint="eastAsia"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用人单位应根据辨识的作业场所危害因素和危害评估结果，选择相适应的个体防护装备，结合本标准表1第6项，生产或使用盐酸作业应当配备YM-04职业眼部防护面具、SF-03化学品手套、ZB-02防化学品鞋、FZ-07化学防护服。</w:t>
            </w:r>
          </w:p>
        </w:tc>
        <w:tc>
          <w:tcPr>
            <w:tcW w:w="1894" w:type="dxa"/>
            <w:vAlign w:val="center"/>
          </w:tcPr>
          <w:p w14:paraId="07F68C46">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《个体防护装备配备规范 第2部分 石油、化工、天然气》（GB 39800.2-2020）第6.1条</w:t>
            </w:r>
          </w:p>
        </w:tc>
        <w:tc>
          <w:tcPr>
            <w:tcW w:w="2630" w:type="dxa"/>
            <w:vAlign w:val="center"/>
          </w:tcPr>
          <w:p w14:paraId="219E3BD1">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配备个体防护装备</w:t>
            </w:r>
          </w:p>
        </w:tc>
        <w:tc>
          <w:tcPr>
            <w:tcW w:w="628" w:type="dxa"/>
            <w:vAlign w:val="center"/>
          </w:tcPr>
          <w:p w14:paraId="2549C049">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符合</w:t>
            </w:r>
          </w:p>
        </w:tc>
      </w:tr>
      <w:tr w14:paraId="579948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676" w:type="dxa"/>
            <w:vAlign w:val="center"/>
          </w:tcPr>
          <w:p w14:paraId="4FE80BF7">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3</w:t>
            </w:r>
          </w:p>
        </w:tc>
        <w:tc>
          <w:tcPr>
            <w:tcW w:w="3412" w:type="dxa"/>
            <w:vAlign w:val="center"/>
          </w:tcPr>
          <w:p w14:paraId="7B25AD66">
            <w:pPr>
              <w:keepNext w:val="0"/>
              <w:keepLines w:val="0"/>
              <w:suppressLineNumbers w:val="0"/>
              <w:adjustRightInd w:val="0"/>
              <w:snapToGrid w:val="0"/>
              <w:spacing w:before="0" w:beforeAutospacing="0" w:after="0" w:afterAutospacing="0" w:line="240" w:lineRule="auto"/>
              <w:ind w:left="0" w:right="0"/>
              <w:jc w:val="both"/>
              <w:rPr>
                <w:rFonts w:hint="eastAsia"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考虑到冲洗液有结冰的可能，应选择带防冻保护（如：自排空装置、防冻保护阀）的应急设备，或对设备进行适当的保温处理。</w:t>
            </w:r>
          </w:p>
        </w:tc>
        <w:tc>
          <w:tcPr>
            <w:tcW w:w="1894" w:type="dxa"/>
            <w:vAlign w:val="center"/>
          </w:tcPr>
          <w:p w14:paraId="3AB1C247">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《眼面部防护 应急喷淋和洗眼设备 第2部分：使用指南》（GB/T 38144.2-2019）</w:t>
            </w:r>
          </w:p>
          <w:p w14:paraId="1A4446BB">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第4.2.2条</w:t>
            </w:r>
          </w:p>
        </w:tc>
        <w:tc>
          <w:tcPr>
            <w:tcW w:w="2630" w:type="dxa"/>
            <w:vAlign w:val="center"/>
          </w:tcPr>
          <w:p w14:paraId="45F18618">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进行适当的保温处理或用移动式洗眼器</w:t>
            </w:r>
          </w:p>
        </w:tc>
        <w:tc>
          <w:tcPr>
            <w:tcW w:w="628" w:type="dxa"/>
            <w:vAlign w:val="center"/>
          </w:tcPr>
          <w:p w14:paraId="5A99924D">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符合</w:t>
            </w:r>
          </w:p>
        </w:tc>
      </w:tr>
      <w:tr w14:paraId="2B351F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676" w:type="dxa"/>
            <w:vAlign w:val="center"/>
          </w:tcPr>
          <w:p w14:paraId="02797682">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4</w:t>
            </w:r>
          </w:p>
        </w:tc>
        <w:tc>
          <w:tcPr>
            <w:tcW w:w="3412" w:type="dxa"/>
            <w:vAlign w:val="center"/>
          </w:tcPr>
          <w:p w14:paraId="5E98524D">
            <w:pPr>
              <w:keepNext w:val="0"/>
              <w:keepLines w:val="0"/>
              <w:suppressLineNumbers w:val="0"/>
              <w:adjustRightInd w:val="0"/>
              <w:snapToGrid w:val="0"/>
              <w:spacing w:before="0" w:beforeAutospacing="0" w:after="0" w:afterAutospacing="0" w:line="240" w:lineRule="auto"/>
              <w:ind w:left="0" w:right="0"/>
              <w:jc w:val="both"/>
              <w:rPr>
                <w:rFonts w:hint="eastAsia"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洗眼设备宜安装在作业人员10s内能够到达的区域内，并与可能发生危险的区域处于同一平面上，同时需考虑在前往设备的路线中避免障碍物的阻挡。需考虑受害人员的身体状况和情绪（在视觉损伤时，有一定程度的痛苦和恐慌）以及现场人员援助的可能性。一般情况下，人以正常步速行走时，10s平均可以走15m。</w:t>
            </w:r>
          </w:p>
        </w:tc>
        <w:tc>
          <w:tcPr>
            <w:tcW w:w="1894" w:type="dxa"/>
            <w:vAlign w:val="center"/>
          </w:tcPr>
          <w:p w14:paraId="2199625C">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《眼面部防护 应急喷淋和洗眼设备 第2部分：使用指南》（GB/T 38144.2-2019）</w:t>
            </w:r>
          </w:p>
          <w:p w14:paraId="09EEBA49">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第5.2.1条</w:t>
            </w:r>
          </w:p>
        </w:tc>
        <w:tc>
          <w:tcPr>
            <w:tcW w:w="2630" w:type="dxa"/>
            <w:vAlign w:val="center"/>
          </w:tcPr>
          <w:p w14:paraId="42CFDA65">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洗眼设备的安装位置符合要求</w:t>
            </w:r>
          </w:p>
        </w:tc>
        <w:tc>
          <w:tcPr>
            <w:tcW w:w="628" w:type="dxa"/>
            <w:vAlign w:val="center"/>
          </w:tcPr>
          <w:p w14:paraId="209C8D4C">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符合</w:t>
            </w:r>
          </w:p>
        </w:tc>
      </w:tr>
    </w:tbl>
    <w:p w14:paraId="070EB427">
      <w:pPr>
        <w:keepNext w:val="0"/>
        <w:keepLines w:val="0"/>
        <w:pageBreakBefore w:val="0"/>
        <w:widowControl w:val="0"/>
        <w:kinsoku/>
        <w:wordWrap/>
        <w:overflowPunct/>
        <w:topLinePunct w:val="0"/>
        <w:autoSpaceDE/>
        <w:autoSpaceDN/>
        <w:bidi w:val="0"/>
        <w:adjustRightInd w:val="0"/>
        <w:snapToGrid w:val="0"/>
        <w:spacing w:before="157" w:beforeLines="50" w:after="0" w:line="360" w:lineRule="auto"/>
        <w:ind w:firstLine="560" w:firstLineChars="200"/>
        <w:jc w:val="both"/>
        <w:textAlignment w:val="auto"/>
        <w:rPr>
          <w:rFonts w:ascii="Times New Roman" w:hAnsi="Times New Roman" w:eastAsia="宋体" w:cs="Times New Roman"/>
          <w:sz w:val="28"/>
          <w:szCs w:val="28"/>
          <w:highlight w:val="none"/>
          <w14:ligatures w14:val="none"/>
        </w:rPr>
      </w:pPr>
      <w:r>
        <w:rPr>
          <w:rFonts w:hint="eastAsia" w:ascii="Times New Roman" w:hAnsi="Times New Roman" w:eastAsia="宋体" w:cs="Times New Roman"/>
          <w:sz w:val="28"/>
          <w:szCs w:val="28"/>
          <w14:ligatures w14:val="none"/>
        </w:rPr>
        <w:t>小结</w:t>
      </w:r>
      <w:r>
        <w:rPr>
          <w:rFonts w:hint="eastAsia" w:ascii="Times New Roman" w:hAnsi="Times New Roman" w:eastAsia="宋体" w:cs="Times New Roman"/>
          <w:sz w:val="28"/>
          <w:szCs w:val="28"/>
          <w:highlight w:val="none"/>
          <w14:ligatures w14:val="none"/>
        </w:rPr>
        <w:t>：通过对公辅工程进行安全评价，共检查</w:t>
      </w:r>
      <w:r>
        <w:rPr>
          <w:rFonts w:hint="eastAsia" w:ascii="Times New Roman" w:hAnsi="Times New Roman" w:eastAsia="宋体" w:cs="Times New Roman"/>
          <w:sz w:val="28"/>
          <w:szCs w:val="28"/>
          <w:highlight w:val="none"/>
          <w:lang w:val="en-US" w:eastAsia="zh-CN"/>
          <w14:ligatures w14:val="none"/>
        </w:rPr>
        <w:t>24</w:t>
      </w:r>
      <w:r>
        <w:rPr>
          <w:rFonts w:hint="eastAsia" w:ascii="Times New Roman" w:hAnsi="Times New Roman" w:eastAsia="宋体" w:cs="Times New Roman"/>
          <w:sz w:val="28"/>
          <w:szCs w:val="28"/>
          <w:highlight w:val="none"/>
          <w14:ligatures w14:val="none"/>
        </w:rPr>
        <w:t>项，检查内容均符合相关要求。</w:t>
      </w:r>
    </w:p>
    <w:p w14:paraId="5A21F856">
      <w:pPr>
        <w:adjustRightInd w:val="0"/>
        <w:snapToGrid w:val="0"/>
        <w:spacing w:before="312" w:beforeLines="100" w:after="312" w:afterLines="100" w:line="360" w:lineRule="auto"/>
        <w:jc w:val="center"/>
        <w:outlineLvl w:val="1"/>
        <w:rPr>
          <w:rFonts w:ascii="Times New Roman" w:hAnsi="Times New Roman" w:eastAsia="楷体" w:cs="黑体"/>
          <w:b/>
          <w:sz w:val="32"/>
          <w:szCs w:val="32"/>
          <w14:ligatures w14:val="none"/>
        </w:rPr>
      </w:pPr>
      <w:bookmarkStart w:id="197" w:name="_Toc18099"/>
      <w:r>
        <w:rPr>
          <w:rFonts w:hint="eastAsia" w:ascii="Times New Roman" w:hAnsi="Times New Roman" w:eastAsia="楷体" w:cs="黑体"/>
          <w:b/>
          <w:sz w:val="32"/>
          <w:szCs w:val="32"/>
          <w14:ligatures w14:val="none"/>
        </w:rPr>
        <w:t>5.5重大生产安全事故隐患单元</w:t>
      </w:r>
      <w:bookmarkEnd w:id="197"/>
    </w:p>
    <w:p w14:paraId="6440CF9C">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采用安全检查表法对</w:t>
      </w:r>
      <w:r>
        <w:rPr>
          <w:rFonts w:hint="eastAsia" w:ascii="Times New Roman" w:hAnsi="Times New Roman" w:eastAsia="宋体" w:cs="Times New Roman"/>
          <w:sz w:val="28"/>
          <w:szCs w:val="28"/>
          <w:lang w:eastAsia="zh-CN"/>
          <w14:ligatures w14:val="none"/>
        </w:rPr>
        <w:t>朝阳金达钛业股份有限公司</w:t>
      </w:r>
      <w:r>
        <w:rPr>
          <w:rFonts w:hint="eastAsia" w:ascii="Times New Roman" w:hAnsi="Times New Roman" w:eastAsia="宋体" w:cs="Times New Roman"/>
          <w:sz w:val="28"/>
          <w:szCs w:val="28"/>
          <w14:ligatures w14:val="none"/>
        </w:rPr>
        <w:t>重大生产安全事故隐患情况进行评价分析，见表5.5-1。</w:t>
      </w:r>
    </w:p>
    <w:p w14:paraId="6DE5F5C1">
      <w:pPr>
        <w:keepNext/>
        <w:adjustRightInd w:val="0"/>
        <w:snapToGrid w:val="0"/>
        <w:spacing w:before="156" w:beforeLines="50" w:after="156" w:afterLines="50" w:line="240" w:lineRule="auto"/>
        <w:jc w:val="center"/>
        <w:rPr>
          <w:rFonts w:ascii="Times New Roman" w:hAnsi="Times New Roman" w:eastAsia="黑体" w:cs="Times New Roman"/>
          <w:sz w:val="24"/>
          <w14:ligatures w14:val="none"/>
        </w:rPr>
      </w:pPr>
      <w:r>
        <w:rPr>
          <w:rFonts w:hint="eastAsia" w:ascii="Times New Roman" w:hAnsi="Times New Roman" w:eastAsia="黑体" w:cs="Times New Roman"/>
          <w:sz w:val="24"/>
          <w14:ligatures w14:val="none"/>
        </w:rPr>
        <w:t>表5.5-1  重大生产安全事故隐患单元安全检查表</w:t>
      </w:r>
    </w:p>
    <w:tbl>
      <w:tblPr>
        <w:tblStyle w:val="1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1"/>
        <w:gridCol w:w="3486"/>
        <w:gridCol w:w="2324"/>
        <w:gridCol w:w="2179"/>
        <w:gridCol w:w="690"/>
      </w:tblGrid>
      <w:tr w14:paraId="705B44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384" w:type="pct"/>
            <w:vAlign w:val="center"/>
          </w:tcPr>
          <w:p w14:paraId="06C0D34A">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序号</w:t>
            </w:r>
          </w:p>
        </w:tc>
        <w:tc>
          <w:tcPr>
            <w:tcW w:w="1854" w:type="pct"/>
            <w:vAlign w:val="center"/>
          </w:tcPr>
          <w:p w14:paraId="2E767388">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检查内容</w:t>
            </w:r>
          </w:p>
        </w:tc>
        <w:tc>
          <w:tcPr>
            <w:tcW w:w="1236" w:type="pct"/>
            <w:vAlign w:val="center"/>
          </w:tcPr>
          <w:p w14:paraId="113B0459">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检查依据</w:t>
            </w:r>
          </w:p>
        </w:tc>
        <w:tc>
          <w:tcPr>
            <w:tcW w:w="1159" w:type="pct"/>
            <w:vAlign w:val="center"/>
          </w:tcPr>
          <w:p w14:paraId="202278F1">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检查记录</w:t>
            </w:r>
          </w:p>
        </w:tc>
        <w:tc>
          <w:tcPr>
            <w:tcW w:w="367" w:type="pct"/>
            <w:vAlign w:val="center"/>
          </w:tcPr>
          <w:p w14:paraId="65866846">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结论</w:t>
            </w:r>
          </w:p>
        </w:tc>
      </w:tr>
      <w:tr w14:paraId="31C0F6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4" w:type="pct"/>
            <w:vAlign w:val="center"/>
          </w:tcPr>
          <w:p w14:paraId="78600B76">
            <w:pPr>
              <w:keepNext w:val="0"/>
              <w:keepLines w:val="0"/>
              <w:numPr>
                <w:ilvl w:val="0"/>
                <w:numId w:val="17"/>
              </w:numPr>
              <w:suppressLineNumbers w:val="0"/>
              <w:adjustRightInd w:val="0"/>
              <w:snapToGrid w:val="0"/>
              <w:spacing w:before="0" w:beforeAutospacing="0" w:after="0" w:afterAutospacing="0" w:line="240" w:lineRule="auto"/>
              <w:ind w:right="0"/>
              <w:jc w:val="center"/>
              <w:rPr>
                <w:rFonts w:hint="default" w:ascii="Times New Roman" w:hAnsi="Times New Roman" w:eastAsia="宋体" w:cs="Times New Roman"/>
                <w:bCs/>
                <w:sz w:val="21"/>
                <w:szCs w:val="21"/>
                <w14:ligatures w14:val="none"/>
              </w:rPr>
            </w:pPr>
          </w:p>
        </w:tc>
        <w:tc>
          <w:tcPr>
            <w:tcW w:w="1854" w:type="pct"/>
            <w:vAlign w:val="center"/>
          </w:tcPr>
          <w:p w14:paraId="17A49EC9">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危险化学品生产、经营单位主要负责人和安全生产管理人员未依法经考核合格</w:t>
            </w:r>
          </w:p>
        </w:tc>
        <w:tc>
          <w:tcPr>
            <w:tcW w:w="1236" w:type="pct"/>
            <w:vAlign w:val="center"/>
          </w:tcPr>
          <w:p w14:paraId="66305A52">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《化工和危险化学品生产经营单位重大生产安全事故隐患判定标准（试行）》第一条</w:t>
            </w:r>
          </w:p>
        </w:tc>
        <w:tc>
          <w:tcPr>
            <w:tcW w:w="1159" w:type="pct"/>
            <w:vAlign w:val="center"/>
          </w:tcPr>
          <w:p w14:paraId="6805DA1F">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主要负责人和安全生产管理人员考核合格</w:t>
            </w:r>
          </w:p>
        </w:tc>
        <w:tc>
          <w:tcPr>
            <w:tcW w:w="367" w:type="pct"/>
            <w:vAlign w:val="center"/>
          </w:tcPr>
          <w:p w14:paraId="438DCB67">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符合</w:t>
            </w:r>
          </w:p>
        </w:tc>
      </w:tr>
      <w:tr w14:paraId="65F4AA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4" w:type="pct"/>
            <w:vAlign w:val="center"/>
          </w:tcPr>
          <w:p w14:paraId="52C5FBE9">
            <w:pPr>
              <w:keepNext w:val="0"/>
              <w:keepLines w:val="0"/>
              <w:numPr>
                <w:ilvl w:val="0"/>
                <w:numId w:val="17"/>
              </w:numPr>
              <w:suppressLineNumbers w:val="0"/>
              <w:adjustRightInd w:val="0"/>
              <w:snapToGrid w:val="0"/>
              <w:spacing w:before="0" w:beforeAutospacing="0" w:after="0" w:afterAutospacing="0" w:line="240" w:lineRule="auto"/>
              <w:ind w:right="0"/>
              <w:jc w:val="center"/>
              <w:rPr>
                <w:rFonts w:hint="default" w:ascii="Times New Roman" w:hAnsi="Times New Roman" w:eastAsia="宋体" w:cs="Times New Roman"/>
                <w:bCs/>
                <w:sz w:val="21"/>
                <w:szCs w:val="21"/>
                <w14:ligatures w14:val="none"/>
              </w:rPr>
            </w:pPr>
          </w:p>
        </w:tc>
        <w:tc>
          <w:tcPr>
            <w:tcW w:w="1854" w:type="pct"/>
            <w:vAlign w:val="center"/>
          </w:tcPr>
          <w:p w14:paraId="105DF848">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特种作业人员未持证上岗</w:t>
            </w:r>
          </w:p>
        </w:tc>
        <w:tc>
          <w:tcPr>
            <w:tcW w:w="1236" w:type="pct"/>
            <w:vAlign w:val="center"/>
          </w:tcPr>
          <w:p w14:paraId="3FB4E02F">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《化工和危险化学品生产经营单位重大生产安全事故隐患判定标准（试行）》第二条</w:t>
            </w:r>
          </w:p>
        </w:tc>
        <w:tc>
          <w:tcPr>
            <w:tcW w:w="1159" w:type="pct"/>
            <w:vAlign w:val="center"/>
          </w:tcPr>
          <w:p w14:paraId="19095147">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特种作业人员</w:t>
            </w:r>
            <w:r>
              <w:rPr>
                <w:rFonts w:hint="eastAsia" w:ascii="Times New Roman" w:hAnsi="Times New Roman" w:eastAsia="宋体" w:cs="Times New Roman"/>
                <w:bCs/>
                <w:sz w:val="21"/>
                <w:szCs w:val="21"/>
                <w:lang w:eastAsia="zh-CN"/>
                <w14:ligatures w14:val="none"/>
              </w:rPr>
              <w:t>（</w:t>
            </w:r>
            <w:r>
              <w:rPr>
                <w:rFonts w:hint="eastAsia" w:ascii="Times New Roman" w:hAnsi="Times New Roman" w:eastAsia="宋体" w:cs="Times New Roman"/>
                <w:bCs/>
                <w:sz w:val="21"/>
                <w:szCs w:val="21"/>
                <w:lang w:val="en-US" w:eastAsia="zh-CN"/>
                <w14:ligatures w14:val="none"/>
              </w:rPr>
              <w:t>电工</w:t>
            </w:r>
            <w:r>
              <w:rPr>
                <w:rFonts w:hint="eastAsia" w:ascii="Times New Roman" w:hAnsi="Times New Roman" w:eastAsia="宋体" w:cs="Times New Roman"/>
                <w:bCs/>
                <w:sz w:val="21"/>
                <w:szCs w:val="21"/>
                <w:lang w:eastAsia="zh-CN"/>
                <w14:ligatures w14:val="none"/>
              </w:rPr>
              <w:t>）</w:t>
            </w:r>
            <w:r>
              <w:rPr>
                <w:rFonts w:hint="default" w:ascii="Times New Roman" w:hAnsi="Times New Roman" w:eastAsia="宋体" w:cs="Times New Roman"/>
                <w:bCs/>
                <w:sz w:val="21"/>
                <w:szCs w:val="21"/>
                <w14:ligatures w14:val="none"/>
              </w:rPr>
              <w:t>持证上岗</w:t>
            </w:r>
          </w:p>
        </w:tc>
        <w:tc>
          <w:tcPr>
            <w:tcW w:w="367" w:type="pct"/>
            <w:vAlign w:val="center"/>
          </w:tcPr>
          <w:p w14:paraId="157FE158">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符合</w:t>
            </w:r>
          </w:p>
        </w:tc>
      </w:tr>
      <w:tr w14:paraId="3B2610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4" w:type="pct"/>
            <w:vAlign w:val="center"/>
          </w:tcPr>
          <w:p w14:paraId="764015A0">
            <w:pPr>
              <w:keepNext w:val="0"/>
              <w:keepLines w:val="0"/>
              <w:numPr>
                <w:ilvl w:val="0"/>
                <w:numId w:val="17"/>
              </w:numPr>
              <w:suppressLineNumbers w:val="0"/>
              <w:adjustRightInd w:val="0"/>
              <w:snapToGrid w:val="0"/>
              <w:spacing w:before="0" w:beforeAutospacing="0" w:after="0" w:afterAutospacing="0" w:line="240" w:lineRule="auto"/>
              <w:ind w:right="0"/>
              <w:jc w:val="center"/>
              <w:rPr>
                <w:rFonts w:hint="default" w:ascii="Times New Roman" w:hAnsi="Times New Roman" w:eastAsia="宋体" w:cs="Times New Roman"/>
                <w:bCs/>
                <w:sz w:val="21"/>
                <w:szCs w:val="21"/>
                <w14:ligatures w14:val="none"/>
              </w:rPr>
            </w:pPr>
          </w:p>
        </w:tc>
        <w:tc>
          <w:tcPr>
            <w:tcW w:w="1854" w:type="pct"/>
            <w:vAlign w:val="center"/>
          </w:tcPr>
          <w:p w14:paraId="138A87A0">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涉及</w:t>
            </w:r>
            <w:r>
              <w:rPr>
                <w:rFonts w:hint="eastAsia" w:ascii="Times New Roman" w:hAnsi="Times New Roman" w:eastAsia="宋体" w:cs="Times New Roman"/>
                <w:bCs/>
                <w:sz w:val="21"/>
                <w:szCs w:val="21"/>
                <w14:ligatures w14:val="none"/>
              </w:rPr>
              <w:t>“</w:t>
            </w:r>
            <w:r>
              <w:rPr>
                <w:rFonts w:hint="default" w:ascii="Times New Roman" w:hAnsi="Times New Roman" w:eastAsia="宋体" w:cs="Times New Roman"/>
                <w:bCs/>
                <w:sz w:val="21"/>
                <w:szCs w:val="21"/>
                <w14:ligatures w14:val="none"/>
              </w:rPr>
              <w:t>两重点一重大</w:t>
            </w:r>
            <w:r>
              <w:rPr>
                <w:rFonts w:hint="eastAsia" w:ascii="Times New Roman" w:hAnsi="Times New Roman" w:eastAsia="宋体" w:cs="Times New Roman"/>
                <w:bCs/>
                <w:sz w:val="21"/>
                <w:szCs w:val="21"/>
                <w14:ligatures w14:val="none"/>
              </w:rPr>
              <w:t>”</w:t>
            </w:r>
            <w:r>
              <w:rPr>
                <w:rFonts w:hint="default" w:ascii="Times New Roman" w:hAnsi="Times New Roman" w:eastAsia="宋体" w:cs="Times New Roman"/>
                <w:bCs/>
                <w:sz w:val="21"/>
                <w:szCs w:val="21"/>
                <w14:ligatures w14:val="none"/>
              </w:rPr>
              <w:t>的生产装置、储存设施外部安全防护距离是否符合国家标准要求</w:t>
            </w:r>
          </w:p>
        </w:tc>
        <w:tc>
          <w:tcPr>
            <w:tcW w:w="1236" w:type="pct"/>
            <w:vAlign w:val="center"/>
          </w:tcPr>
          <w:p w14:paraId="7E3EA83A">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《化工和危险化学品生产经营单位重大生产安全事故隐患判定标准（试行）》第三条</w:t>
            </w:r>
          </w:p>
        </w:tc>
        <w:tc>
          <w:tcPr>
            <w:tcW w:w="1159" w:type="pct"/>
            <w:vAlign w:val="center"/>
          </w:tcPr>
          <w:p w14:paraId="44C8B560">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lang w:val="en-US" w:eastAsia="zh-CN"/>
                <w14:ligatures w14:val="none"/>
              </w:rPr>
              <w:t>符合要求</w:t>
            </w:r>
          </w:p>
        </w:tc>
        <w:tc>
          <w:tcPr>
            <w:tcW w:w="367" w:type="pct"/>
            <w:vAlign w:val="center"/>
          </w:tcPr>
          <w:p w14:paraId="62E30AE6">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bCs/>
                <w:sz w:val="21"/>
                <w:szCs w:val="21"/>
                <w:lang w:eastAsia="zh-CN"/>
                <w14:ligatures w14:val="none"/>
              </w:rPr>
            </w:pPr>
            <w:r>
              <w:rPr>
                <w:rFonts w:hint="eastAsia" w:ascii="Times New Roman" w:hAnsi="Times New Roman" w:eastAsia="宋体" w:cs="Times New Roman"/>
                <w:bCs/>
                <w:sz w:val="21"/>
                <w:szCs w:val="21"/>
                <w:lang w:val="en-US" w:eastAsia="zh-CN"/>
                <w14:ligatures w14:val="none"/>
              </w:rPr>
              <w:t>符合</w:t>
            </w:r>
          </w:p>
        </w:tc>
      </w:tr>
      <w:tr w14:paraId="58C8EF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4" w:type="pct"/>
            <w:vAlign w:val="center"/>
          </w:tcPr>
          <w:p w14:paraId="3E4FA951">
            <w:pPr>
              <w:keepNext w:val="0"/>
              <w:keepLines w:val="0"/>
              <w:numPr>
                <w:ilvl w:val="0"/>
                <w:numId w:val="17"/>
              </w:numPr>
              <w:suppressLineNumbers w:val="0"/>
              <w:adjustRightInd w:val="0"/>
              <w:snapToGrid w:val="0"/>
              <w:spacing w:before="0" w:beforeAutospacing="0" w:after="0" w:afterAutospacing="0" w:line="240" w:lineRule="auto"/>
              <w:ind w:right="0"/>
              <w:jc w:val="center"/>
              <w:rPr>
                <w:rFonts w:hint="default" w:ascii="Times New Roman" w:hAnsi="Times New Roman" w:eastAsia="宋体" w:cs="Times New Roman"/>
                <w:bCs/>
                <w:sz w:val="21"/>
                <w:szCs w:val="21"/>
                <w14:ligatures w14:val="none"/>
              </w:rPr>
            </w:pPr>
          </w:p>
        </w:tc>
        <w:tc>
          <w:tcPr>
            <w:tcW w:w="1854" w:type="pct"/>
            <w:vAlign w:val="center"/>
          </w:tcPr>
          <w:p w14:paraId="111F4BDD">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涉及重点监管危险化工工艺的装置未实现自动化控制，系统未实现紧急停车功能，装备的自动化控制系统、紧急停车系统未投入使用</w:t>
            </w:r>
          </w:p>
        </w:tc>
        <w:tc>
          <w:tcPr>
            <w:tcW w:w="1236" w:type="pct"/>
            <w:vAlign w:val="center"/>
          </w:tcPr>
          <w:p w14:paraId="482718A0">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《化工和危险化学品生产经营单位重大生产安全事故隐患判定标准（试行）》第四条</w:t>
            </w:r>
          </w:p>
        </w:tc>
        <w:tc>
          <w:tcPr>
            <w:tcW w:w="1159" w:type="pct"/>
            <w:vAlign w:val="center"/>
          </w:tcPr>
          <w:p w14:paraId="1EE88CB7">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lang w:val="en-US" w:eastAsia="zh-CN"/>
                <w14:ligatures w14:val="none"/>
              </w:rPr>
              <w:t>本次评价范围</w:t>
            </w:r>
            <w:r>
              <w:rPr>
                <w:rFonts w:hint="default" w:ascii="Times New Roman" w:hAnsi="Times New Roman" w:eastAsia="宋体" w:cs="Times New Roman"/>
                <w:bCs/>
                <w:sz w:val="21"/>
                <w:szCs w:val="21"/>
                <w14:ligatures w14:val="none"/>
              </w:rPr>
              <w:t>未涉及重点监管危险工艺</w:t>
            </w:r>
          </w:p>
        </w:tc>
        <w:tc>
          <w:tcPr>
            <w:tcW w:w="367" w:type="pct"/>
            <w:vAlign w:val="center"/>
          </w:tcPr>
          <w:p w14:paraId="5A6B131C">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无关</w:t>
            </w:r>
          </w:p>
        </w:tc>
      </w:tr>
      <w:tr w14:paraId="170DC7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4" w:type="pct"/>
            <w:vAlign w:val="center"/>
          </w:tcPr>
          <w:p w14:paraId="2FA11174">
            <w:pPr>
              <w:keepNext w:val="0"/>
              <w:keepLines w:val="0"/>
              <w:numPr>
                <w:ilvl w:val="0"/>
                <w:numId w:val="17"/>
              </w:numPr>
              <w:suppressLineNumbers w:val="0"/>
              <w:adjustRightInd w:val="0"/>
              <w:snapToGrid w:val="0"/>
              <w:spacing w:before="0" w:beforeAutospacing="0" w:after="0" w:afterAutospacing="0" w:line="240" w:lineRule="auto"/>
              <w:ind w:right="0"/>
              <w:jc w:val="center"/>
              <w:rPr>
                <w:rFonts w:hint="default" w:ascii="Times New Roman" w:hAnsi="Times New Roman" w:eastAsia="宋体" w:cs="Times New Roman"/>
                <w:bCs/>
                <w:sz w:val="21"/>
                <w:szCs w:val="21"/>
                <w14:ligatures w14:val="none"/>
              </w:rPr>
            </w:pPr>
          </w:p>
        </w:tc>
        <w:tc>
          <w:tcPr>
            <w:tcW w:w="1854" w:type="pct"/>
            <w:vAlign w:val="center"/>
          </w:tcPr>
          <w:p w14:paraId="51275E0A">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构成一级、二级重大危险源的危险化学品罐区未实现紧急切断功能；涉及毒性气体、液化气体、剧毒液体的一级、二级重大危险源的危险化学品罐区未配备独立的安全仪表系统</w:t>
            </w:r>
          </w:p>
        </w:tc>
        <w:tc>
          <w:tcPr>
            <w:tcW w:w="1236" w:type="pct"/>
            <w:vAlign w:val="center"/>
          </w:tcPr>
          <w:p w14:paraId="19E60CB1">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《化工和危险化学品生产经营单位重大生产安全事故隐患判定标准（试行）》第五条</w:t>
            </w:r>
          </w:p>
        </w:tc>
        <w:tc>
          <w:tcPr>
            <w:tcW w:w="1159" w:type="pct"/>
            <w:vAlign w:val="center"/>
          </w:tcPr>
          <w:p w14:paraId="29819ACC">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lang w:val="en-US" w:eastAsia="zh-CN"/>
                <w14:ligatures w14:val="none"/>
              </w:rPr>
              <w:t>本次评价范围</w:t>
            </w:r>
            <w:r>
              <w:rPr>
                <w:rFonts w:hint="default" w:ascii="Times New Roman" w:hAnsi="Times New Roman" w:eastAsia="宋体" w:cs="Times New Roman"/>
                <w:bCs/>
                <w:sz w:val="21"/>
                <w:szCs w:val="21"/>
                <w14:ligatures w14:val="none"/>
              </w:rPr>
              <w:t>未构成危险化学品重大危险源</w:t>
            </w:r>
          </w:p>
        </w:tc>
        <w:tc>
          <w:tcPr>
            <w:tcW w:w="367" w:type="pct"/>
            <w:vAlign w:val="center"/>
          </w:tcPr>
          <w:p w14:paraId="6C1C5C4C">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无关</w:t>
            </w:r>
          </w:p>
        </w:tc>
      </w:tr>
      <w:tr w14:paraId="4051D6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4" w:type="pct"/>
            <w:vAlign w:val="center"/>
          </w:tcPr>
          <w:p w14:paraId="06B69E13">
            <w:pPr>
              <w:keepNext w:val="0"/>
              <w:keepLines w:val="0"/>
              <w:numPr>
                <w:ilvl w:val="0"/>
                <w:numId w:val="17"/>
              </w:numPr>
              <w:suppressLineNumbers w:val="0"/>
              <w:adjustRightInd w:val="0"/>
              <w:snapToGrid w:val="0"/>
              <w:spacing w:before="0" w:beforeAutospacing="0" w:after="0" w:afterAutospacing="0" w:line="240" w:lineRule="auto"/>
              <w:ind w:right="0"/>
              <w:jc w:val="center"/>
              <w:rPr>
                <w:rFonts w:hint="default" w:ascii="Times New Roman" w:hAnsi="Times New Roman" w:eastAsia="宋体" w:cs="Times New Roman"/>
                <w:bCs/>
                <w:sz w:val="21"/>
                <w:szCs w:val="21"/>
                <w14:ligatures w14:val="none"/>
              </w:rPr>
            </w:pPr>
          </w:p>
        </w:tc>
        <w:tc>
          <w:tcPr>
            <w:tcW w:w="1854" w:type="pct"/>
            <w:vAlign w:val="center"/>
          </w:tcPr>
          <w:p w14:paraId="26DB04E3">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全压力式液化烃储罐未按国家标准设置注水措施</w:t>
            </w:r>
          </w:p>
        </w:tc>
        <w:tc>
          <w:tcPr>
            <w:tcW w:w="1236" w:type="pct"/>
            <w:vAlign w:val="center"/>
          </w:tcPr>
          <w:p w14:paraId="6A690307">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《化工和危险化学品生产经营单位重大生产安全事故隐患判定标准（试行）》第六条</w:t>
            </w:r>
          </w:p>
        </w:tc>
        <w:tc>
          <w:tcPr>
            <w:tcW w:w="1159" w:type="pct"/>
            <w:vAlign w:val="center"/>
          </w:tcPr>
          <w:p w14:paraId="59A622B2">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lang w:val="en-US" w:eastAsia="zh-CN"/>
                <w14:ligatures w14:val="none"/>
              </w:rPr>
              <w:t>本次评价范围未涉及</w:t>
            </w:r>
            <w:r>
              <w:rPr>
                <w:rFonts w:hint="default" w:ascii="Times New Roman" w:hAnsi="Times New Roman" w:eastAsia="宋体" w:cs="Times New Roman"/>
                <w:bCs/>
                <w:sz w:val="21"/>
                <w:szCs w:val="21"/>
                <w14:ligatures w14:val="none"/>
              </w:rPr>
              <w:t>全压力式液化烃储罐</w:t>
            </w:r>
          </w:p>
        </w:tc>
        <w:tc>
          <w:tcPr>
            <w:tcW w:w="367" w:type="pct"/>
            <w:vAlign w:val="center"/>
          </w:tcPr>
          <w:p w14:paraId="558DE9DE">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无关</w:t>
            </w:r>
          </w:p>
        </w:tc>
      </w:tr>
      <w:tr w14:paraId="4E31E8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4" w:type="pct"/>
            <w:vAlign w:val="center"/>
          </w:tcPr>
          <w:p w14:paraId="1E99C37F">
            <w:pPr>
              <w:keepNext w:val="0"/>
              <w:keepLines w:val="0"/>
              <w:numPr>
                <w:ilvl w:val="0"/>
                <w:numId w:val="17"/>
              </w:numPr>
              <w:suppressLineNumbers w:val="0"/>
              <w:adjustRightInd w:val="0"/>
              <w:snapToGrid w:val="0"/>
              <w:spacing w:before="0" w:beforeAutospacing="0" w:after="0" w:afterAutospacing="0" w:line="240" w:lineRule="auto"/>
              <w:ind w:right="0"/>
              <w:jc w:val="center"/>
              <w:rPr>
                <w:rFonts w:hint="default" w:ascii="Times New Roman" w:hAnsi="Times New Roman" w:eastAsia="宋体" w:cs="Times New Roman"/>
                <w:bCs/>
                <w:sz w:val="21"/>
                <w:szCs w:val="21"/>
                <w14:ligatures w14:val="none"/>
              </w:rPr>
            </w:pPr>
          </w:p>
        </w:tc>
        <w:tc>
          <w:tcPr>
            <w:tcW w:w="1854" w:type="pct"/>
            <w:vAlign w:val="center"/>
          </w:tcPr>
          <w:p w14:paraId="0BED8F78">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液化烃、液氨、液氯等易燃易爆、有毒有害液化气体的充装未使用万向管道充装系统</w:t>
            </w:r>
          </w:p>
        </w:tc>
        <w:tc>
          <w:tcPr>
            <w:tcW w:w="1236" w:type="pct"/>
            <w:vAlign w:val="center"/>
          </w:tcPr>
          <w:p w14:paraId="3702D687">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《化工和危险化学品生产经营单位重大生产安全事故隐患判定标准（试行）》第七条</w:t>
            </w:r>
          </w:p>
        </w:tc>
        <w:tc>
          <w:tcPr>
            <w:tcW w:w="1159" w:type="pct"/>
            <w:vAlign w:val="center"/>
          </w:tcPr>
          <w:p w14:paraId="02ECC207">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lang w:val="en-US" w:eastAsia="zh-CN"/>
                <w14:ligatures w14:val="none"/>
              </w:rPr>
              <w:t>本次评价范围</w:t>
            </w:r>
            <w:r>
              <w:rPr>
                <w:rFonts w:hint="default" w:ascii="Times New Roman" w:hAnsi="Times New Roman" w:eastAsia="宋体" w:cs="Times New Roman"/>
                <w:bCs/>
                <w:sz w:val="21"/>
                <w:szCs w:val="21"/>
                <w14:ligatures w14:val="none"/>
              </w:rPr>
              <w:t>未涉及液化烃、液氨、液氯等易燃易爆、有毒有害液化气体的充装</w:t>
            </w:r>
          </w:p>
        </w:tc>
        <w:tc>
          <w:tcPr>
            <w:tcW w:w="367" w:type="pct"/>
            <w:vAlign w:val="center"/>
          </w:tcPr>
          <w:p w14:paraId="4FDC36DF">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无关</w:t>
            </w:r>
          </w:p>
        </w:tc>
      </w:tr>
      <w:tr w14:paraId="3B77D2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4" w:type="pct"/>
            <w:vAlign w:val="center"/>
          </w:tcPr>
          <w:p w14:paraId="6BC18364">
            <w:pPr>
              <w:keepNext w:val="0"/>
              <w:keepLines w:val="0"/>
              <w:numPr>
                <w:ilvl w:val="0"/>
                <w:numId w:val="17"/>
              </w:numPr>
              <w:suppressLineNumbers w:val="0"/>
              <w:adjustRightInd w:val="0"/>
              <w:snapToGrid w:val="0"/>
              <w:spacing w:before="0" w:beforeAutospacing="0" w:after="0" w:afterAutospacing="0" w:line="240" w:lineRule="auto"/>
              <w:ind w:right="0"/>
              <w:jc w:val="center"/>
              <w:rPr>
                <w:rFonts w:hint="default" w:ascii="Times New Roman" w:hAnsi="Times New Roman" w:eastAsia="宋体" w:cs="Times New Roman"/>
                <w:bCs/>
                <w:sz w:val="21"/>
                <w:szCs w:val="21"/>
                <w14:ligatures w14:val="none"/>
              </w:rPr>
            </w:pPr>
          </w:p>
        </w:tc>
        <w:tc>
          <w:tcPr>
            <w:tcW w:w="1854" w:type="pct"/>
            <w:vAlign w:val="center"/>
          </w:tcPr>
          <w:p w14:paraId="79DA957A">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光气、氯气等剧毒气体及硫化氢气体管道穿越除厂区</w:t>
            </w:r>
            <w:r>
              <w:rPr>
                <w:rFonts w:hint="eastAsia" w:ascii="Times New Roman" w:hAnsi="Times New Roman" w:eastAsia="宋体" w:cs="Times New Roman"/>
                <w:bCs/>
                <w:sz w:val="21"/>
                <w:szCs w:val="21"/>
                <w14:ligatures w14:val="none"/>
              </w:rPr>
              <w:t>（</w:t>
            </w:r>
            <w:r>
              <w:rPr>
                <w:rFonts w:hint="default" w:ascii="Times New Roman" w:hAnsi="Times New Roman" w:eastAsia="宋体" w:cs="Times New Roman"/>
                <w:bCs/>
                <w:sz w:val="21"/>
                <w:szCs w:val="21"/>
                <w14:ligatures w14:val="none"/>
              </w:rPr>
              <w:t>包括化工园区、工业园区）外的公共区域</w:t>
            </w:r>
          </w:p>
        </w:tc>
        <w:tc>
          <w:tcPr>
            <w:tcW w:w="1236" w:type="pct"/>
            <w:vAlign w:val="center"/>
          </w:tcPr>
          <w:p w14:paraId="200B126B">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《化工和危险化学品生产经营单位重大生产安全事故隐患判定标准（试行）》第八条</w:t>
            </w:r>
          </w:p>
        </w:tc>
        <w:tc>
          <w:tcPr>
            <w:tcW w:w="1159" w:type="pct"/>
            <w:vAlign w:val="center"/>
          </w:tcPr>
          <w:p w14:paraId="63CE5D0C">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lang w:val="en-US" w:eastAsia="zh-CN"/>
                <w14:ligatures w14:val="none"/>
              </w:rPr>
              <w:t>本次评价范围未涉及</w:t>
            </w:r>
            <w:r>
              <w:rPr>
                <w:rFonts w:hint="default" w:ascii="Times New Roman" w:hAnsi="Times New Roman" w:eastAsia="宋体" w:cs="Times New Roman"/>
                <w:bCs/>
                <w:sz w:val="21"/>
                <w:szCs w:val="21"/>
                <w14:ligatures w14:val="none"/>
              </w:rPr>
              <w:t>剧毒气体存在的管道，且未穿越公共区域</w:t>
            </w:r>
          </w:p>
        </w:tc>
        <w:tc>
          <w:tcPr>
            <w:tcW w:w="367" w:type="pct"/>
            <w:vAlign w:val="center"/>
          </w:tcPr>
          <w:p w14:paraId="7ED48ED1">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无关</w:t>
            </w:r>
          </w:p>
        </w:tc>
      </w:tr>
      <w:tr w14:paraId="176888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4" w:type="pct"/>
            <w:vAlign w:val="center"/>
          </w:tcPr>
          <w:p w14:paraId="7ED810C6">
            <w:pPr>
              <w:keepNext w:val="0"/>
              <w:keepLines w:val="0"/>
              <w:numPr>
                <w:ilvl w:val="0"/>
                <w:numId w:val="17"/>
              </w:numPr>
              <w:suppressLineNumbers w:val="0"/>
              <w:adjustRightInd w:val="0"/>
              <w:snapToGrid w:val="0"/>
              <w:spacing w:before="0" w:beforeAutospacing="0" w:after="0" w:afterAutospacing="0" w:line="240" w:lineRule="auto"/>
              <w:ind w:right="0"/>
              <w:jc w:val="center"/>
              <w:rPr>
                <w:rFonts w:hint="default" w:ascii="Times New Roman" w:hAnsi="Times New Roman" w:eastAsia="宋体" w:cs="Times New Roman"/>
                <w:bCs/>
                <w:sz w:val="21"/>
                <w:szCs w:val="21"/>
                <w14:ligatures w14:val="none"/>
              </w:rPr>
            </w:pPr>
          </w:p>
        </w:tc>
        <w:tc>
          <w:tcPr>
            <w:tcW w:w="1854" w:type="pct"/>
            <w:vAlign w:val="center"/>
          </w:tcPr>
          <w:p w14:paraId="4208752A">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地区架空电力线路穿越生产区且不符合国家标准要求</w:t>
            </w:r>
          </w:p>
        </w:tc>
        <w:tc>
          <w:tcPr>
            <w:tcW w:w="1236" w:type="pct"/>
            <w:vAlign w:val="center"/>
          </w:tcPr>
          <w:p w14:paraId="569DB78B">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《化工和危险化学品生产经营单位重大生产安全事故隐患判定标准（试行）》第九条</w:t>
            </w:r>
          </w:p>
        </w:tc>
        <w:tc>
          <w:tcPr>
            <w:tcW w:w="1159" w:type="pct"/>
            <w:vAlign w:val="center"/>
          </w:tcPr>
          <w:p w14:paraId="7B9738EB">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地区架空电力线路未穿越本企业生产区</w:t>
            </w:r>
          </w:p>
        </w:tc>
        <w:tc>
          <w:tcPr>
            <w:tcW w:w="367" w:type="pct"/>
            <w:vAlign w:val="center"/>
          </w:tcPr>
          <w:p w14:paraId="736F7F03">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符合</w:t>
            </w:r>
          </w:p>
        </w:tc>
      </w:tr>
      <w:tr w14:paraId="7A6029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4" w:type="pct"/>
            <w:vAlign w:val="center"/>
          </w:tcPr>
          <w:p w14:paraId="20552446">
            <w:pPr>
              <w:keepNext w:val="0"/>
              <w:keepLines w:val="0"/>
              <w:numPr>
                <w:ilvl w:val="0"/>
                <w:numId w:val="17"/>
              </w:numPr>
              <w:suppressLineNumbers w:val="0"/>
              <w:adjustRightInd w:val="0"/>
              <w:snapToGrid w:val="0"/>
              <w:spacing w:before="0" w:beforeAutospacing="0" w:after="0" w:afterAutospacing="0" w:line="240" w:lineRule="auto"/>
              <w:ind w:right="0"/>
              <w:jc w:val="center"/>
              <w:rPr>
                <w:rFonts w:hint="default" w:ascii="Times New Roman" w:hAnsi="Times New Roman" w:eastAsia="宋体" w:cs="Times New Roman"/>
                <w:bCs/>
                <w:color w:val="000000" w:themeColor="text1"/>
                <w:sz w:val="21"/>
                <w:szCs w:val="21"/>
                <w14:textFill>
                  <w14:solidFill>
                    <w14:schemeClr w14:val="tx1"/>
                  </w14:solidFill>
                </w14:textFill>
                <w14:ligatures w14:val="none"/>
              </w:rPr>
            </w:pPr>
          </w:p>
        </w:tc>
        <w:tc>
          <w:tcPr>
            <w:tcW w:w="1854" w:type="pct"/>
            <w:vAlign w:val="center"/>
          </w:tcPr>
          <w:p w14:paraId="7D5D584F">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color w:val="000000" w:themeColor="text1"/>
                <w:sz w:val="21"/>
                <w:szCs w:val="21"/>
                <w14:textFill>
                  <w14:solidFill>
                    <w14:schemeClr w14:val="tx1"/>
                  </w14:solidFill>
                </w14:textFill>
                <w14:ligatures w14:val="none"/>
              </w:rPr>
            </w:pPr>
            <w:r>
              <w:rPr>
                <w:rFonts w:hint="default" w:ascii="Times New Roman" w:hAnsi="Times New Roman" w:eastAsia="宋体" w:cs="Times New Roman"/>
                <w:bCs/>
                <w:color w:val="000000" w:themeColor="text1"/>
                <w:sz w:val="21"/>
                <w:szCs w:val="21"/>
                <w14:textFill>
                  <w14:solidFill>
                    <w14:schemeClr w14:val="tx1"/>
                  </w14:solidFill>
                </w14:textFill>
                <w14:ligatures w14:val="none"/>
              </w:rPr>
              <w:t>在役化工装置未经正规设计且未进行安全设计诊断</w:t>
            </w:r>
          </w:p>
        </w:tc>
        <w:tc>
          <w:tcPr>
            <w:tcW w:w="1236" w:type="pct"/>
            <w:vAlign w:val="center"/>
          </w:tcPr>
          <w:p w14:paraId="74334210">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color w:val="000000" w:themeColor="text1"/>
                <w:sz w:val="21"/>
                <w:szCs w:val="21"/>
                <w14:textFill>
                  <w14:solidFill>
                    <w14:schemeClr w14:val="tx1"/>
                  </w14:solidFill>
                </w14:textFill>
                <w14:ligatures w14:val="none"/>
              </w:rPr>
            </w:pPr>
            <w:r>
              <w:rPr>
                <w:rFonts w:hint="default" w:ascii="Times New Roman" w:hAnsi="Times New Roman" w:eastAsia="宋体" w:cs="Times New Roman"/>
                <w:bCs/>
                <w:color w:val="000000" w:themeColor="text1"/>
                <w:sz w:val="21"/>
                <w:szCs w:val="21"/>
                <w14:textFill>
                  <w14:solidFill>
                    <w14:schemeClr w14:val="tx1"/>
                  </w14:solidFill>
                </w14:textFill>
                <w14:ligatures w14:val="none"/>
              </w:rPr>
              <w:t>《化工和危险化学品生产经营单位重大生产安全事故隐患判定标准（试行）》第十条</w:t>
            </w:r>
          </w:p>
        </w:tc>
        <w:tc>
          <w:tcPr>
            <w:tcW w:w="2179" w:type="dxa"/>
            <w:vAlign w:val="center"/>
          </w:tcPr>
          <w:p w14:paraId="6D7A5CE7">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bCs/>
                <w:color w:val="000000" w:themeColor="text1"/>
                <w:sz w:val="21"/>
                <w:szCs w:val="21"/>
                <w:lang w:val="en-US" w:eastAsia="zh-CN"/>
                <w14:textFill>
                  <w14:solidFill>
                    <w14:schemeClr w14:val="tx1"/>
                  </w14:solidFill>
                </w14:textFill>
                <w14:ligatures w14:val="none"/>
              </w:rPr>
            </w:pPr>
            <w:r>
              <w:rPr>
                <w:rFonts w:hint="eastAsia" w:ascii="Times New Roman" w:hAnsi="Times New Roman" w:eastAsia="宋体" w:cs="Times New Roman"/>
                <w:bCs/>
                <w:color w:val="000000" w:themeColor="text1"/>
                <w:sz w:val="21"/>
                <w:szCs w:val="21"/>
                <w14:textFill>
                  <w14:solidFill>
                    <w14:schemeClr w14:val="tx1"/>
                  </w14:solidFill>
                </w14:textFill>
                <w14:ligatures w14:val="none"/>
              </w:rPr>
              <w:t>在役化工装置经正规设计</w:t>
            </w:r>
          </w:p>
        </w:tc>
        <w:tc>
          <w:tcPr>
            <w:tcW w:w="367" w:type="pct"/>
            <w:vAlign w:val="center"/>
          </w:tcPr>
          <w:p w14:paraId="0A4B0088">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bCs/>
                <w:color w:val="000000" w:themeColor="text1"/>
                <w:sz w:val="21"/>
                <w:szCs w:val="21"/>
                <w14:textFill>
                  <w14:solidFill>
                    <w14:schemeClr w14:val="tx1"/>
                  </w14:solidFill>
                </w14:textFill>
                <w14:ligatures w14:val="none"/>
              </w:rPr>
            </w:pPr>
            <w:r>
              <w:rPr>
                <w:rFonts w:hint="default" w:ascii="Times New Roman" w:hAnsi="Times New Roman" w:eastAsia="宋体" w:cs="Times New Roman"/>
                <w:bCs/>
                <w:color w:val="000000" w:themeColor="text1"/>
                <w:sz w:val="21"/>
                <w:szCs w:val="21"/>
                <w14:textFill>
                  <w14:solidFill>
                    <w14:schemeClr w14:val="tx1"/>
                  </w14:solidFill>
                </w14:textFill>
                <w14:ligatures w14:val="none"/>
              </w:rPr>
              <w:t>符合</w:t>
            </w:r>
          </w:p>
        </w:tc>
      </w:tr>
      <w:tr w14:paraId="1BBC84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4" w:type="pct"/>
            <w:vAlign w:val="center"/>
          </w:tcPr>
          <w:p w14:paraId="56275014">
            <w:pPr>
              <w:keepNext w:val="0"/>
              <w:keepLines w:val="0"/>
              <w:numPr>
                <w:ilvl w:val="0"/>
                <w:numId w:val="17"/>
              </w:numPr>
              <w:suppressLineNumbers w:val="0"/>
              <w:adjustRightInd w:val="0"/>
              <w:snapToGrid w:val="0"/>
              <w:spacing w:before="0" w:beforeAutospacing="0" w:after="0" w:afterAutospacing="0" w:line="240" w:lineRule="auto"/>
              <w:ind w:right="0"/>
              <w:jc w:val="center"/>
              <w:rPr>
                <w:rFonts w:hint="default" w:ascii="Times New Roman" w:hAnsi="Times New Roman" w:eastAsia="宋体" w:cs="Times New Roman"/>
                <w:bCs/>
                <w:sz w:val="21"/>
                <w:szCs w:val="21"/>
                <w14:ligatures w14:val="none"/>
              </w:rPr>
            </w:pPr>
          </w:p>
        </w:tc>
        <w:tc>
          <w:tcPr>
            <w:tcW w:w="1854" w:type="pct"/>
            <w:vAlign w:val="center"/>
          </w:tcPr>
          <w:p w14:paraId="3D37F64B">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使用淘汰落后安全技术工艺、设备目录列出的工艺、设备</w:t>
            </w:r>
          </w:p>
        </w:tc>
        <w:tc>
          <w:tcPr>
            <w:tcW w:w="1236" w:type="pct"/>
            <w:vAlign w:val="center"/>
          </w:tcPr>
          <w:p w14:paraId="61378BAF">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《化工和危险化学品生产经营单位重大生产安全事故隐患判定标准（试行）》第十一条</w:t>
            </w:r>
          </w:p>
        </w:tc>
        <w:tc>
          <w:tcPr>
            <w:tcW w:w="1159" w:type="pct"/>
            <w:vAlign w:val="center"/>
          </w:tcPr>
          <w:p w14:paraId="2AF69689">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未使用淘汰落后安全技术工艺、设备目录列出的工艺、设备</w:t>
            </w:r>
          </w:p>
        </w:tc>
        <w:tc>
          <w:tcPr>
            <w:tcW w:w="367" w:type="pct"/>
            <w:vAlign w:val="center"/>
          </w:tcPr>
          <w:p w14:paraId="50F9D711">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符合</w:t>
            </w:r>
          </w:p>
        </w:tc>
      </w:tr>
      <w:tr w14:paraId="162653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4" w:type="pct"/>
            <w:vAlign w:val="center"/>
          </w:tcPr>
          <w:p w14:paraId="2A2422D3">
            <w:pPr>
              <w:keepNext w:val="0"/>
              <w:keepLines w:val="0"/>
              <w:numPr>
                <w:ilvl w:val="0"/>
                <w:numId w:val="17"/>
              </w:numPr>
              <w:suppressLineNumbers w:val="0"/>
              <w:adjustRightInd w:val="0"/>
              <w:snapToGrid w:val="0"/>
              <w:spacing w:before="0" w:beforeAutospacing="0" w:after="0" w:afterAutospacing="0" w:line="240" w:lineRule="auto"/>
              <w:ind w:right="0"/>
              <w:jc w:val="center"/>
              <w:rPr>
                <w:rFonts w:hint="default" w:ascii="Times New Roman" w:hAnsi="Times New Roman" w:eastAsia="宋体" w:cs="Times New Roman"/>
                <w:bCs/>
                <w:sz w:val="21"/>
                <w:szCs w:val="21"/>
                <w14:ligatures w14:val="none"/>
              </w:rPr>
            </w:pPr>
          </w:p>
        </w:tc>
        <w:tc>
          <w:tcPr>
            <w:tcW w:w="1854" w:type="pct"/>
            <w:vAlign w:val="center"/>
          </w:tcPr>
          <w:p w14:paraId="4758C288">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涉及可燃和有毒有害气体泄漏的场所未按国家标准设置检测报警装置，爆炸危险场所未按国家标准安装使用防爆电气设备</w:t>
            </w:r>
          </w:p>
        </w:tc>
        <w:tc>
          <w:tcPr>
            <w:tcW w:w="1236" w:type="pct"/>
            <w:vAlign w:val="center"/>
          </w:tcPr>
          <w:p w14:paraId="7775A7F7">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《化工和危险化学品生产经营单位重大生产安全事故隐患判定标准（试行）》第十二条</w:t>
            </w:r>
          </w:p>
        </w:tc>
        <w:tc>
          <w:tcPr>
            <w:tcW w:w="1159" w:type="pct"/>
            <w:vAlign w:val="center"/>
          </w:tcPr>
          <w:p w14:paraId="77B9B094">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不涉及可燃、有毒有害气体</w:t>
            </w:r>
          </w:p>
        </w:tc>
        <w:tc>
          <w:tcPr>
            <w:tcW w:w="367" w:type="pct"/>
            <w:vAlign w:val="center"/>
          </w:tcPr>
          <w:p w14:paraId="29B815BA">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无关</w:t>
            </w:r>
          </w:p>
        </w:tc>
      </w:tr>
      <w:tr w14:paraId="0AEBF5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4" w:type="pct"/>
            <w:vAlign w:val="center"/>
          </w:tcPr>
          <w:p w14:paraId="574D8C7D">
            <w:pPr>
              <w:keepNext w:val="0"/>
              <w:keepLines w:val="0"/>
              <w:numPr>
                <w:ilvl w:val="0"/>
                <w:numId w:val="17"/>
              </w:numPr>
              <w:suppressLineNumbers w:val="0"/>
              <w:adjustRightInd w:val="0"/>
              <w:snapToGrid w:val="0"/>
              <w:spacing w:before="0" w:beforeAutospacing="0" w:after="0" w:afterAutospacing="0" w:line="240" w:lineRule="auto"/>
              <w:ind w:right="0"/>
              <w:jc w:val="center"/>
              <w:rPr>
                <w:rFonts w:hint="default" w:ascii="Times New Roman" w:hAnsi="Times New Roman" w:eastAsia="宋体" w:cs="Times New Roman"/>
                <w:bCs/>
                <w:sz w:val="21"/>
                <w:szCs w:val="21"/>
                <w14:ligatures w14:val="none"/>
              </w:rPr>
            </w:pPr>
          </w:p>
        </w:tc>
        <w:tc>
          <w:tcPr>
            <w:tcW w:w="1854" w:type="pct"/>
            <w:vAlign w:val="center"/>
          </w:tcPr>
          <w:p w14:paraId="55138507">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控制室或机柜间面向具有火灾、爆炸危险性装置一侧不满足国家标准关于防火防爆的要求</w:t>
            </w:r>
          </w:p>
        </w:tc>
        <w:tc>
          <w:tcPr>
            <w:tcW w:w="1236" w:type="pct"/>
            <w:vAlign w:val="center"/>
          </w:tcPr>
          <w:p w14:paraId="05A29D5E">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《化工和危险化学品生产经营单位重大生产安全事故隐患判定标准（试行）》第十三条</w:t>
            </w:r>
          </w:p>
        </w:tc>
        <w:tc>
          <w:tcPr>
            <w:tcW w:w="1159" w:type="pct"/>
            <w:vAlign w:val="center"/>
          </w:tcPr>
          <w:p w14:paraId="4A7BCCA1">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lang w:val="en-US" w:eastAsia="zh-CN"/>
                <w14:ligatures w14:val="none"/>
              </w:rPr>
              <w:t>符合要求</w:t>
            </w:r>
          </w:p>
        </w:tc>
        <w:tc>
          <w:tcPr>
            <w:tcW w:w="367" w:type="pct"/>
            <w:vAlign w:val="center"/>
          </w:tcPr>
          <w:p w14:paraId="0A662026">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符合</w:t>
            </w:r>
          </w:p>
        </w:tc>
      </w:tr>
      <w:tr w14:paraId="36487D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4" w:type="pct"/>
            <w:vAlign w:val="center"/>
          </w:tcPr>
          <w:p w14:paraId="192C4882">
            <w:pPr>
              <w:keepNext w:val="0"/>
              <w:keepLines w:val="0"/>
              <w:numPr>
                <w:ilvl w:val="0"/>
                <w:numId w:val="17"/>
              </w:numPr>
              <w:suppressLineNumbers w:val="0"/>
              <w:adjustRightInd w:val="0"/>
              <w:snapToGrid w:val="0"/>
              <w:spacing w:before="0" w:beforeAutospacing="0" w:after="0" w:afterAutospacing="0" w:line="240" w:lineRule="auto"/>
              <w:ind w:right="0"/>
              <w:jc w:val="center"/>
              <w:rPr>
                <w:rFonts w:hint="default" w:ascii="Times New Roman" w:hAnsi="Times New Roman" w:eastAsia="宋体" w:cs="Times New Roman"/>
                <w:bCs/>
                <w:sz w:val="21"/>
                <w:szCs w:val="21"/>
                <w14:ligatures w14:val="none"/>
              </w:rPr>
            </w:pPr>
          </w:p>
        </w:tc>
        <w:tc>
          <w:tcPr>
            <w:tcW w:w="1854" w:type="pct"/>
            <w:vAlign w:val="center"/>
          </w:tcPr>
          <w:p w14:paraId="52E655CD">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化工生产装置未按国家标准要求设置双重电源供电，自动化控制系统未设置不间断电源</w:t>
            </w:r>
          </w:p>
        </w:tc>
        <w:tc>
          <w:tcPr>
            <w:tcW w:w="1236" w:type="pct"/>
            <w:vAlign w:val="center"/>
          </w:tcPr>
          <w:p w14:paraId="3C396B39">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《化工和危险化学品生产经营单位重大生产安全事故隐患判定标准（试行）》第十四条</w:t>
            </w:r>
          </w:p>
        </w:tc>
        <w:tc>
          <w:tcPr>
            <w:tcW w:w="1159" w:type="pct"/>
            <w:vAlign w:val="center"/>
          </w:tcPr>
          <w:p w14:paraId="214EBDF9">
            <w:pPr>
              <w:keepNext w:val="0"/>
              <w:keepLines w:val="0"/>
              <w:suppressLineNumbers w:val="0"/>
              <w:spacing w:before="0" w:beforeAutospacing="0" w:after="0" w:afterAutospacing="0" w:line="240" w:lineRule="auto"/>
              <w:ind w:left="0" w:right="0"/>
              <w:rPr>
                <w:rFonts w:hint="default" w:ascii="Times New Roman" w:hAnsi="Times New Roman" w:eastAsia="宋体" w:cs="Times New Roman"/>
                <w:sz w:val="21"/>
                <w14:ligatures w14:val="none"/>
              </w:rPr>
            </w:pPr>
            <w:r>
              <w:rPr>
                <w:rFonts w:hint="default" w:ascii="Times New Roman" w:hAnsi="Times New Roman" w:eastAsia="宋体" w:cs="Times New Roman"/>
                <w:sz w:val="21"/>
                <w14:ligatures w14:val="none"/>
              </w:rPr>
              <w:t>不属于化工生产装置</w:t>
            </w:r>
          </w:p>
        </w:tc>
        <w:tc>
          <w:tcPr>
            <w:tcW w:w="367" w:type="pct"/>
            <w:vAlign w:val="center"/>
          </w:tcPr>
          <w:p w14:paraId="64DABB18">
            <w:pPr>
              <w:keepNext w:val="0"/>
              <w:keepLines w:val="0"/>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bCs/>
                <w:sz w:val="21"/>
                <w:szCs w:val="21"/>
                <w:lang w:eastAsia="zh-CN"/>
                <w14:ligatures w14:val="none"/>
              </w:rPr>
            </w:pPr>
            <w:r>
              <w:rPr>
                <w:rFonts w:hint="eastAsia" w:ascii="Times New Roman" w:hAnsi="Times New Roman" w:eastAsia="宋体" w:cs="Times New Roman"/>
                <w:bCs/>
                <w:sz w:val="21"/>
                <w:szCs w:val="21"/>
                <w:highlight w:val="none"/>
                <w:lang w:val="en-US" w:eastAsia="zh-CN"/>
                <w14:ligatures w14:val="none"/>
              </w:rPr>
              <w:t>无关</w:t>
            </w:r>
          </w:p>
        </w:tc>
      </w:tr>
      <w:tr w14:paraId="482E52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4" w:type="pct"/>
            <w:vAlign w:val="center"/>
          </w:tcPr>
          <w:p w14:paraId="15F26D29">
            <w:pPr>
              <w:keepNext w:val="0"/>
              <w:keepLines w:val="0"/>
              <w:numPr>
                <w:ilvl w:val="0"/>
                <w:numId w:val="17"/>
              </w:numPr>
              <w:suppressLineNumbers w:val="0"/>
              <w:adjustRightInd w:val="0"/>
              <w:snapToGrid w:val="0"/>
              <w:spacing w:before="0" w:beforeAutospacing="0" w:after="0" w:afterAutospacing="0" w:line="240" w:lineRule="auto"/>
              <w:ind w:right="0"/>
              <w:jc w:val="center"/>
              <w:rPr>
                <w:rFonts w:hint="default" w:ascii="Times New Roman" w:hAnsi="Times New Roman" w:eastAsia="宋体" w:cs="Times New Roman"/>
                <w:bCs/>
                <w:sz w:val="21"/>
                <w:szCs w:val="21"/>
                <w14:ligatures w14:val="none"/>
              </w:rPr>
            </w:pPr>
          </w:p>
        </w:tc>
        <w:tc>
          <w:tcPr>
            <w:tcW w:w="1854" w:type="pct"/>
            <w:vAlign w:val="center"/>
          </w:tcPr>
          <w:p w14:paraId="10528707">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安全阀、爆破片等安全附件未正常投用</w:t>
            </w:r>
          </w:p>
        </w:tc>
        <w:tc>
          <w:tcPr>
            <w:tcW w:w="1236" w:type="pct"/>
            <w:vAlign w:val="center"/>
          </w:tcPr>
          <w:p w14:paraId="5E3337F8">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《化工和危险化学品生产经营单位重大生产安全事故隐患判定标准（试行）》第十五条</w:t>
            </w:r>
          </w:p>
        </w:tc>
        <w:tc>
          <w:tcPr>
            <w:tcW w:w="1159" w:type="pct"/>
            <w:vAlign w:val="center"/>
          </w:tcPr>
          <w:p w14:paraId="6DF715C9">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lang w:val="en-US" w:eastAsia="zh-CN"/>
                <w14:ligatures w14:val="none"/>
              </w:rPr>
              <w:t>安全阀等</w:t>
            </w:r>
            <w:r>
              <w:rPr>
                <w:rFonts w:hint="eastAsia" w:ascii="Times New Roman" w:hAnsi="Times New Roman" w:eastAsia="宋体" w:cs="Times New Roman"/>
                <w:bCs/>
                <w:sz w:val="21"/>
                <w:szCs w:val="21"/>
                <w14:ligatures w14:val="none"/>
              </w:rPr>
              <w:t>安全附件正常使用</w:t>
            </w:r>
          </w:p>
        </w:tc>
        <w:tc>
          <w:tcPr>
            <w:tcW w:w="367" w:type="pct"/>
            <w:vAlign w:val="center"/>
          </w:tcPr>
          <w:p w14:paraId="3B0BA10D">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符合</w:t>
            </w:r>
          </w:p>
        </w:tc>
      </w:tr>
      <w:tr w14:paraId="0D2E67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4" w:type="pct"/>
            <w:vAlign w:val="center"/>
          </w:tcPr>
          <w:p w14:paraId="34165BFC">
            <w:pPr>
              <w:keepNext w:val="0"/>
              <w:keepLines w:val="0"/>
              <w:numPr>
                <w:ilvl w:val="0"/>
                <w:numId w:val="17"/>
              </w:numPr>
              <w:suppressLineNumbers w:val="0"/>
              <w:adjustRightInd w:val="0"/>
              <w:snapToGrid w:val="0"/>
              <w:spacing w:before="0" w:beforeAutospacing="0" w:after="0" w:afterAutospacing="0" w:line="240" w:lineRule="auto"/>
              <w:ind w:right="0"/>
              <w:jc w:val="center"/>
              <w:rPr>
                <w:rFonts w:hint="default" w:ascii="Times New Roman" w:hAnsi="Times New Roman" w:eastAsia="宋体" w:cs="Times New Roman"/>
                <w:bCs/>
                <w:sz w:val="21"/>
                <w:szCs w:val="21"/>
                <w14:ligatures w14:val="none"/>
              </w:rPr>
            </w:pPr>
          </w:p>
        </w:tc>
        <w:tc>
          <w:tcPr>
            <w:tcW w:w="1854" w:type="pct"/>
            <w:vAlign w:val="center"/>
          </w:tcPr>
          <w:p w14:paraId="58D39A41">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未建立与岗位相匹配的全员安全生产责任制或者未制定实施生产安全事故隐患排查治理制度</w:t>
            </w:r>
          </w:p>
        </w:tc>
        <w:tc>
          <w:tcPr>
            <w:tcW w:w="1236" w:type="pct"/>
            <w:vAlign w:val="center"/>
          </w:tcPr>
          <w:p w14:paraId="1154493A">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《化工和危险化学品生产经营单位重大生产安全事故隐患判定标准（试行）》第十六条</w:t>
            </w:r>
          </w:p>
        </w:tc>
        <w:tc>
          <w:tcPr>
            <w:tcW w:w="1159" w:type="pct"/>
            <w:vAlign w:val="center"/>
          </w:tcPr>
          <w:p w14:paraId="698A014C">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已经建立与岗位相匹配的全员安全生产责任制；并制定实施生产安全事故隐患排查治理制度</w:t>
            </w:r>
          </w:p>
        </w:tc>
        <w:tc>
          <w:tcPr>
            <w:tcW w:w="367" w:type="pct"/>
            <w:vAlign w:val="center"/>
          </w:tcPr>
          <w:p w14:paraId="6E60A888">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符合</w:t>
            </w:r>
          </w:p>
        </w:tc>
      </w:tr>
      <w:tr w14:paraId="3894F5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4" w:type="pct"/>
            <w:vAlign w:val="center"/>
          </w:tcPr>
          <w:p w14:paraId="48377BC3">
            <w:pPr>
              <w:keepNext w:val="0"/>
              <w:keepLines w:val="0"/>
              <w:numPr>
                <w:ilvl w:val="0"/>
                <w:numId w:val="17"/>
              </w:numPr>
              <w:suppressLineNumbers w:val="0"/>
              <w:adjustRightInd w:val="0"/>
              <w:snapToGrid w:val="0"/>
              <w:spacing w:before="0" w:beforeAutospacing="0" w:after="0" w:afterAutospacing="0" w:line="240" w:lineRule="auto"/>
              <w:ind w:right="0"/>
              <w:jc w:val="center"/>
              <w:rPr>
                <w:rFonts w:hint="default" w:ascii="Times New Roman" w:hAnsi="Times New Roman" w:eastAsia="宋体" w:cs="Times New Roman"/>
                <w:bCs/>
                <w:sz w:val="21"/>
                <w:szCs w:val="21"/>
                <w14:ligatures w14:val="none"/>
              </w:rPr>
            </w:pPr>
          </w:p>
        </w:tc>
        <w:tc>
          <w:tcPr>
            <w:tcW w:w="1854" w:type="pct"/>
            <w:vAlign w:val="center"/>
          </w:tcPr>
          <w:p w14:paraId="1393BDB6">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未制定操作规程和工艺控制指标</w:t>
            </w:r>
          </w:p>
        </w:tc>
        <w:tc>
          <w:tcPr>
            <w:tcW w:w="1236" w:type="pct"/>
            <w:vAlign w:val="center"/>
          </w:tcPr>
          <w:p w14:paraId="0C55D933">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《化工和危险化学品生产经营单位重大生产安全事故隐患判定标准（试行）》第十七条</w:t>
            </w:r>
          </w:p>
        </w:tc>
        <w:tc>
          <w:tcPr>
            <w:tcW w:w="1159" w:type="pct"/>
            <w:vAlign w:val="center"/>
          </w:tcPr>
          <w:p w14:paraId="547A310C">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制定操作规程和工艺控制指标</w:t>
            </w:r>
          </w:p>
        </w:tc>
        <w:tc>
          <w:tcPr>
            <w:tcW w:w="367" w:type="pct"/>
            <w:vAlign w:val="center"/>
          </w:tcPr>
          <w:p w14:paraId="6EB88A0D">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符合</w:t>
            </w:r>
          </w:p>
        </w:tc>
      </w:tr>
      <w:tr w14:paraId="052DB0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4" w:type="pct"/>
            <w:vAlign w:val="center"/>
          </w:tcPr>
          <w:p w14:paraId="45A4CFA5">
            <w:pPr>
              <w:keepNext w:val="0"/>
              <w:keepLines w:val="0"/>
              <w:numPr>
                <w:ilvl w:val="0"/>
                <w:numId w:val="17"/>
              </w:numPr>
              <w:suppressLineNumbers w:val="0"/>
              <w:adjustRightInd w:val="0"/>
              <w:snapToGrid w:val="0"/>
              <w:spacing w:before="0" w:beforeAutospacing="0" w:after="0" w:afterAutospacing="0" w:line="240" w:lineRule="auto"/>
              <w:ind w:right="0"/>
              <w:jc w:val="center"/>
              <w:rPr>
                <w:rFonts w:hint="default" w:ascii="Times New Roman" w:hAnsi="Times New Roman" w:eastAsia="宋体" w:cs="Times New Roman"/>
                <w:bCs/>
                <w:sz w:val="21"/>
                <w:szCs w:val="21"/>
                <w14:ligatures w14:val="none"/>
              </w:rPr>
            </w:pPr>
          </w:p>
        </w:tc>
        <w:tc>
          <w:tcPr>
            <w:tcW w:w="1854" w:type="pct"/>
            <w:vAlign w:val="center"/>
          </w:tcPr>
          <w:p w14:paraId="5EBEC14F">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未按照国家标准制定动火、进入受限空间等特殊作业管理制度，或者制度未有效执行</w:t>
            </w:r>
          </w:p>
        </w:tc>
        <w:tc>
          <w:tcPr>
            <w:tcW w:w="1236" w:type="pct"/>
            <w:vAlign w:val="center"/>
          </w:tcPr>
          <w:p w14:paraId="5531A60B">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《化工和危险化学品生产经营单位重大生产安全事故隐患判定标准（试行）》第十八条</w:t>
            </w:r>
          </w:p>
        </w:tc>
        <w:tc>
          <w:tcPr>
            <w:tcW w:w="1159" w:type="pct"/>
            <w:vAlign w:val="center"/>
          </w:tcPr>
          <w:p w14:paraId="6CBBC7FD">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已经制定动火、进入受限空间等特殊作业管理制度，并有效执行</w:t>
            </w:r>
          </w:p>
        </w:tc>
        <w:tc>
          <w:tcPr>
            <w:tcW w:w="367" w:type="pct"/>
            <w:vAlign w:val="center"/>
          </w:tcPr>
          <w:p w14:paraId="7AF431F6">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符合</w:t>
            </w:r>
          </w:p>
        </w:tc>
      </w:tr>
      <w:tr w14:paraId="2B3E92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4" w:type="pct"/>
            <w:vAlign w:val="center"/>
          </w:tcPr>
          <w:p w14:paraId="44E12A2E">
            <w:pPr>
              <w:keepNext w:val="0"/>
              <w:keepLines w:val="0"/>
              <w:numPr>
                <w:ilvl w:val="0"/>
                <w:numId w:val="17"/>
              </w:numPr>
              <w:suppressLineNumbers w:val="0"/>
              <w:adjustRightInd w:val="0"/>
              <w:snapToGrid w:val="0"/>
              <w:spacing w:before="0" w:beforeAutospacing="0" w:after="0" w:afterAutospacing="0" w:line="240" w:lineRule="auto"/>
              <w:ind w:right="0"/>
              <w:jc w:val="center"/>
              <w:rPr>
                <w:rFonts w:hint="default" w:ascii="Times New Roman" w:hAnsi="Times New Roman" w:eastAsia="宋体" w:cs="Times New Roman"/>
                <w:bCs/>
                <w:sz w:val="21"/>
                <w:szCs w:val="21"/>
                <w14:ligatures w14:val="none"/>
              </w:rPr>
            </w:pPr>
          </w:p>
        </w:tc>
        <w:tc>
          <w:tcPr>
            <w:tcW w:w="1854" w:type="pct"/>
            <w:vAlign w:val="center"/>
          </w:tcPr>
          <w:p w14:paraId="0D1C0E6A">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新开发的危险化学品生产工艺未经小试、中试、工业化试验直接进行工业化生产；国内首次使用的化工工艺未经过省级人民政府有关部门组织的安全可靠性论证；新建装置未制定试生产方案投料开车；精细化工企业未按规范性文件要求开展反应安全风险评估</w:t>
            </w:r>
          </w:p>
        </w:tc>
        <w:tc>
          <w:tcPr>
            <w:tcW w:w="1236" w:type="pct"/>
            <w:vAlign w:val="center"/>
          </w:tcPr>
          <w:p w14:paraId="72C52013">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《化工和危险化学品生产经营单位重大生产安全事故隐患判定标准（试行）》第十九条</w:t>
            </w:r>
          </w:p>
        </w:tc>
        <w:tc>
          <w:tcPr>
            <w:tcW w:w="1159" w:type="pct"/>
            <w:vAlign w:val="center"/>
          </w:tcPr>
          <w:p w14:paraId="0F6C5D3C">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未涉及上述事项</w:t>
            </w:r>
          </w:p>
        </w:tc>
        <w:tc>
          <w:tcPr>
            <w:tcW w:w="367" w:type="pct"/>
            <w:vAlign w:val="center"/>
          </w:tcPr>
          <w:p w14:paraId="4B4182AA">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无关</w:t>
            </w:r>
          </w:p>
        </w:tc>
      </w:tr>
      <w:tr w14:paraId="73FC17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4" w:type="pct"/>
            <w:vAlign w:val="center"/>
          </w:tcPr>
          <w:p w14:paraId="1A8B8F97">
            <w:pPr>
              <w:keepNext w:val="0"/>
              <w:keepLines w:val="0"/>
              <w:numPr>
                <w:ilvl w:val="0"/>
                <w:numId w:val="17"/>
              </w:numPr>
              <w:suppressLineNumbers w:val="0"/>
              <w:adjustRightInd w:val="0"/>
              <w:snapToGrid w:val="0"/>
              <w:spacing w:before="0" w:beforeAutospacing="0" w:after="0" w:afterAutospacing="0" w:line="240" w:lineRule="auto"/>
              <w:ind w:right="0"/>
              <w:jc w:val="center"/>
              <w:rPr>
                <w:rFonts w:hint="default" w:ascii="Times New Roman" w:hAnsi="Times New Roman" w:eastAsia="宋体" w:cs="Times New Roman"/>
                <w:bCs/>
                <w:sz w:val="21"/>
                <w:szCs w:val="21"/>
                <w14:ligatures w14:val="none"/>
              </w:rPr>
            </w:pPr>
          </w:p>
        </w:tc>
        <w:tc>
          <w:tcPr>
            <w:tcW w:w="1854" w:type="pct"/>
            <w:vAlign w:val="center"/>
          </w:tcPr>
          <w:p w14:paraId="771065AD">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未按国家标准分区分类储存危险化学品，超量、超品种储存危险化学品，相互禁配物质混放混存</w:t>
            </w:r>
          </w:p>
        </w:tc>
        <w:tc>
          <w:tcPr>
            <w:tcW w:w="1236" w:type="pct"/>
            <w:vAlign w:val="center"/>
          </w:tcPr>
          <w:p w14:paraId="592CE06D">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《化工和危险化学品生产经营单位重大生产安全事故隐患判定标准（试行）》第二十条</w:t>
            </w:r>
          </w:p>
        </w:tc>
        <w:tc>
          <w:tcPr>
            <w:tcW w:w="1159" w:type="pct"/>
            <w:vAlign w:val="center"/>
          </w:tcPr>
          <w:p w14:paraId="29AA9402">
            <w:pPr>
              <w:keepNext w:val="0"/>
              <w:keepLines w:val="0"/>
              <w:suppressLineNumbers w:val="0"/>
              <w:adjustRightInd w:val="0"/>
              <w:snapToGrid w:val="0"/>
              <w:spacing w:before="0" w:beforeAutospacing="0" w:after="0" w:afterAutospacing="0" w:line="240" w:lineRule="auto"/>
              <w:ind w:left="0" w:right="0"/>
              <w:jc w:val="both"/>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按国家标准分区分类储存危险化学品，未超量、超品种存放，无禁配物质混存情况</w:t>
            </w:r>
          </w:p>
        </w:tc>
        <w:tc>
          <w:tcPr>
            <w:tcW w:w="367" w:type="pct"/>
            <w:vAlign w:val="center"/>
          </w:tcPr>
          <w:p w14:paraId="0FFCE579">
            <w:pPr>
              <w:keepNext w:val="0"/>
              <w:keepLines w:val="0"/>
              <w:suppressLineNumbers w:val="0"/>
              <w:adjustRightInd w:val="0"/>
              <w:snapToGrid w:val="0"/>
              <w:spacing w:before="0" w:beforeAutospacing="0" w:after="0" w:afterAutospacing="0" w:line="240" w:lineRule="auto"/>
              <w:ind w:left="0" w:right="0"/>
              <w:jc w:val="center"/>
              <w:rPr>
                <w:rFonts w:hint="default" w:ascii="Times New Roman" w:hAnsi="Times New Roman" w:eastAsia="宋体" w:cs="Times New Roman"/>
                <w:bCs/>
                <w:sz w:val="21"/>
                <w:szCs w:val="21"/>
                <w14:ligatures w14:val="none"/>
              </w:rPr>
            </w:pPr>
            <w:r>
              <w:rPr>
                <w:rFonts w:hint="default" w:ascii="Times New Roman" w:hAnsi="Times New Roman" w:eastAsia="宋体" w:cs="Times New Roman"/>
                <w:bCs/>
                <w:sz w:val="21"/>
                <w:szCs w:val="21"/>
                <w14:ligatures w14:val="none"/>
              </w:rPr>
              <w:t xml:space="preserve">符合 </w:t>
            </w:r>
          </w:p>
        </w:tc>
      </w:tr>
    </w:tbl>
    <w:p w14:paraId="07D0AC10">
      <w:pPr>
        <w:keepNext w:val="0"/>
        <w:keepLines w:val="0"/>
        <w:pageBreakBefore w:val="0"/>
        <w:widowControl w:val="0"/>
        <w:kinsoku/>
        <w:wordWrap/>
        <w:overflowPunct/>
        <w:topLinePunct w:val="0"/>
        <w:autoSpaceDE/>
        <w:autoSpaceDN/>
        <w:bidi w:val="0"/>
        <w:adjustRightInd w:val="0"/>
        <w:snapToGrid w:val="0"/>
        <w:spacing w:before="157" w:beforeLines="50" w:after="0" w:line="360" w:lineRule="auto"/>
        <w:ind w:firstLine="560" w:firstLineChars="20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小结：通过对重大生产安全事故隐患单元进行安全评价，共检查20项，</w:t>
      </w:r>
      <w:r>
        <w:rPr>
          <w:rFonts w:hint="eastAsia" w:ascii="Times New Roman" w:hAnsi="Times New Roman" w:eastAsia="宋体" w:cs="Times New Roman"/>
          <w:sz w:val="28"/>
          <w:szCs w:val="28"/>
          <w:lang w:val="en-US" w:eastAsia="zh-CN"/>
          <w14:ligatures w14:val="none"/>
        </w:rPr>
        <w:t>其中8项为无关项，12项为符合项</w:t>
      </w:r>
      <w:r>
        <w:rPr>
          <w:rFonts w:hint="eastAsia" w:ascii="Times New Roman" w:hAnsi="Times New Roman" w:eastAsia="宋体" w:cs="Times New Roman"/>
          <w:sz w:val="28"/>
          <w:szCs w:val="28"/>
          <w14:ligatures w14:val="none"/>
        </w:rPr>
        <w:t>。</w:t>
      </w:r>
      <w:r>
        <w:rPr>
          <w:rFonts w:ascii="Times New Roman" w:hAnsi="Times New Roman" w:eastAsia="宋体" w:cs="Times New Roman"/>
          <w:sz w:val="28"/>
          <w:szCs w:val="28"/>
          <w14:ligatures w14:val="none"/>
        </w:rPr>
        <w:br w:type="page"/>
      </w:r>
    </w:p>
    <w:p w14:paraId="06CBF7C6">
      <w:pPr>
        <w:tabs>
          <w:tab w:val="left" w:pos="2460"/>
          <w:tab w:val="center" w:pos="4592"/>
        </w:tabs>
        <w:adjustRightInd w:val="0"/>
        <w:snapToGrid w:val="0"/>
        <w:spacing w:before="468" w:beforeLines="150" w:after="468" w:afterLines="150" w:line="360" w:lineRule="auto"/>
        <w:jc w:val="center"/>
        <w:outlineLvl w:val="0"/>
        <w:rPr>
          <w:rFonts w:ascii="Times New Roman" w:hAnsi="Times New Roman" w:eastAsia="黑体" w:cs="黑体"/>
          <w:b/>
          <w:kern w:val="44"/>
          <w:sz w:val="32"/>
          <w:szCs w:val="44"/>
          <w14:ligatures w14:val="none"/>
        </w:rPr>
      </w:pPr>
      <w:bookmarkStart w:id="198" w:name="_Toc24206"/>
      <w:r>
        <w:rPr>
          <w:rFonts w:hint="eastAsia" w:ascii="Times New Roman" w:hAnsi="Times New Roman" w:eastAsia="黑体" w:cs="黑体"/>
          <w:b/>
          <w:kern w:val="44"/>
          <w:sz w:val="32"/>
          <w:szCs w:val="44"/>
          <w14:ligatures w14:val="none"/>
        </w:rPr>
        <w:t>6安全对策措施</w:t>
      </w:r>
      <w:bookmarkEnd w:id="198"/>
    </w:p>
    <w:p w14:paraId="7785602D">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安全管理是企业运行的必需投入，在安全生产中有举足轻重的地位。据事故统计，几乎所有的事故都与安全管理不当有关。因此，切实加强安全管理工作是预防事故发生的最有效途径。</w:t>
      </w:r>
    </w:p>
    <w:p w14:paraId="52C78E37">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要全面贯彻“安全发展”的重要指导原则和“安全第一、预防为主、综合管理”的安全生产方针，把安全生产工作纳入企业的发展战略和长远规划当中，同步规划、同步实施、同步考核、同步推进。</w:t>
      </w:r>
    </w:p>
    <w:p w14:paraId="4CA7B529">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从</w:t>
      </w:r>
      <w:r>
        <w:rPr>
          <w:rFonts w:hint="eastAsia" w:ascii="Times New Roman" w:hAnsi="Times New Roman" w:eastAsia="宋体" w:cs="Times New Roman"/>
          <w:sz w:val="28"/>
          <w:szCs w:val="28"/>
          <w:lang w:eastAsia="zh-CN"/>
          <w14:ligatures w14:val="none"/>
        </w:rPr>
        <w:t>朝阳金达钛业股份有限公司</w:t>
      </w:r>
      <w:r>
        <w:rPr>
          <w:rFonts w:hint="eastAsia" w:ascii="Times New Roman" w:hAnsi="Times New Roman" w:eastAsia="宋体" w:cs="Times New Roman"/>
          <w:sz w:val="28"/>
          <w:szCs w:val="28"/>
          <w14:ligatures w14:val="none"/>
        </w:rPr>
        <w:t>的基本情况来看，其经营现状基本具备了安全保障条件。依照国家有关法律、法规和技术标准，为更好贯彻“安全第一、预防为主、综合治理”的安全生产方针，确保长期、安全、稳定运转，预防意外事故发生，下面从完善安全经营条件和切实强化安全管理的角度提出如下安全对策措施。</w:t>
      </w:r>
    </w:p>
    <w:p w14:paraId="58DDD649">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（1）保障安全资金投入</w:t>
      </w:r>
    </w:p>
    <w:p w14:paraId="51729A0A">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中华人民共和国安全生产法》第二十三条规定：生产经营单位应当具备的安全生产条件所必需的资金投入，由生产经营单位的决策机构、主要负责人或者个人经营的投资人予以保证，并对由于安全生产所必需的资金投入不足导致的后果承担责任。</w:t>
      </w:r>
    </w:p>
    <w:p w14:paraId="348C6493">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lang w:eastAsia="zh-CN"/>
          <w14:ligatures w14:val="none"/>
        </w:rPr>
        <w:t>朝阳金达钛业股份有限公司</w:t>
      </w:r>
      <w:r>
        <w:rPr>
          <w:rFonts w:hint="eastAsia" w:ascii="Times New Roman" w:hAnsi="Times New Roman" w:eastAsia="宋体" w:cs="Times New Roman"/>
          <w:sz w:val="28"/>
          <w:szCs w:val="28"/>
          <w14:ligatures w14:val="none"/>
        </w:rPr>
        <w:t>在日常管理过程中应安排安全投入，用于进行安全管理方面的技术改造，增添安全设施和防护设备以及个体防护用品；根据经营、储存特点，适应事故应急预案措施的需要，配备必要的训练、急救、抢险的设备、设施。</w:t>
      </w:r>
    </w:p>
    <w:p w14:paraId="08FB274F">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（2）推广标准化安全管理</w:t>
      </w:r>
    </w:p>
    <w:p w14:paraId="261FB540">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建议积极推广标准化安全管理，不断完善安全管理体系。运用安全系统工程的方法，实施安全目标控制，实现全面安全管理，有效杜绝“三违”作业，营造良好的安全氛围，将“要我安全”转变为“我要安全”，把安全管理纳入安全良性循环的轨道。</w:t>
      </w:r>
    </w:p>
    <w:p w14:paraId="297930E4">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（3）加强人员的安全教育</w:t>
      </w:r>
    </w:p>
    <w:p w14:paraId="29557019">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应当对从业人员进行安全生产教育和培训，保证从业人员具备必要的安全生产知识，熟悉有关的安全生产规章制度和安全操作规程，掌握本岗位的安全操作技能，掌握本岗位危险、危害知识和应急处理能力；有预防火灾、爆炸等事故和职业危害的知识和能力，在紧急情况下能采取正确的应急方法和果断措施，尽可能避免事故的发生和减少事故造成的损失。未经安全生产教育和培训合格的从业人员，不得上岗作业。只有严格按照有关规定从事经营销售，才能保证单位安全运营，要加强对新员工的安全教育、专业培训和考核，并经考试合格后，方可上岗。</w:t>
      </w:r>
    </w:p>
    <w:p w14:paraId="4DBA3DAE">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（4）重视危险化学品的安全技术说明</w:t>
      </w:r>
    </w:p>
    <w:p w14:paraId="1F9609DF">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lang w:eastAsia="zh-CN"/>
          <w14:ligatures w14:val="none"/>
        </w:rPr>
        <w:t>朝阳金达钛业股份有限公司</w:t>
      </w:r>
      <w:r>
        <w:rPr>
          <w:rFonts w:hint="eastAsia" w:ascii="Times New Roman" w:hAnsi="Times New Roman" w:eastAsia="宋体" w:cs="Times New Roman"/>
          <w:sz w:val="28"/>
          <w:szCs w:val="28"/>
          <w14:ligatures w14:val="none"/>
        </w:rPr>
        <w:t>经营的危险化学品的危险性并不是人人皆知。因此，在经营过程中应注意向生产厂家索要销售化学产品安全技术说明书和安全标签，并向使用单位和用户提供，以便提醒用户注意该产品的危险、危害程度，避免在使用过程中出现中毒等重大事故。</w:t>
      </w:r>
    </w:p>
    <w:p w14:paraId="5A0579E4">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w:t>
      </w:r>
      <w:r>
        <w:rPr>
          <w:rFonts w:hint="eastAsia" w:ascii="Times New Roman" w:hAnsi="Times New Roman" w:eastAsia="宋体" w:cs="Times New Roman"/>
          <w:sz w:val="28"/>
          <w:szCs w:val="28"/>
          <w:lang w:val="en-US" w:eastAsia="zh-CN"/>
          <w14:ligatures w14:val="none"/>
        </w:rPr>
        <w:t>5</w:t>
      </w:r>
      <w:r>
        <w:rPr>
          <w:rFonts w:hint="eastAsia" w:ascii="Times New Roman" w:hAnsi="Times New Roman" w:eastAsia="宋体" w:cs="Times New Roman"/>
          <w:sz w:val="28"/>
          <w:szCs w:val="28"/>
          <w14:ligatures w14:val="none"/>
        </w:rPr>
        <w:t>）加强危险化学品销售环节的安全管理</w:t>
      </w:r>
    </w:p>
    <w:p w14:paraId="1F21FD6A">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lang w:eastAsia="zh-CN"/>
          <w14:ligatures w14:val="none"/>
        </w:rPr>
        <w:t>朝阳金达钛业股份有限公司</w:t>
      </w:r>
      <w:r>
        <w:rPr>
          <w:rFonts w:hint="eastAsia" w:ascii="Times New Roman" w:hAnsi="Times New Roman" w:eastAsia="宋体" w:cs="Times New Roman"/>
          <w:sz w:val="28"/>
          <w:szCs w:val="28"/>
          <w14:ligatures w14:val="none"/>
        </w:rPr>
        <w:t>的办公场所并不具有储存危险化学品的条件。因此，严禁在经营办公场所存储任何危险化学品。要强化批发业务的日常安全管理工作，及时消除不安全隐患，杜绝“三违”，确保经营工作安全平稳运行。</w:t>
      </w:r>
    </w:p>
    <w:p w14:paraId="7603A053">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w:t>
      </w:r>
      <w:r>
        <w:rPr>
          <w:rFonts w:hint="eastAsia" w:ascii="Times New Roman" w:hAnsi="Times New Roman" w:eastAsia="宋体" w:cs="Times New Roman"/>
          <w:sz w:val="28"/>
          <w:szCs w:val="28"/>
          <w:lang w:val="en-US" w:eastAsia="zh-CN"/>
          <w14:ligatures w14:val="none"/>
        </w:rPr>
        <w:t>6</w:t>
      </w:r>
      <w:r>
        <w:rPr>
          <w:rFonts w:hint="eastAsia" w:ascii="Times New Roman" w:hAnsi="Times New Roman" w:eastAsia="宋体" w:cs="Times New Roman"/>
          <w:sz w:val="28"/>
          <w:szCs w:val="28"/>
          <w14:ligatures w14:val="none"/>
        </w:rPr>
        <w:t>）加强档案管理</w:t>
      </w:r>
    </w:p>
    <w:p w14:paraId="042A81AC">
      <w:pPr>
        <w:adjustRightInd w:val="0"/>
        <w:snapToGrid w:val="0"/>
        <w:spacing w:after="0" w:line="360" w:lineRule="auto"/>
        <w:ind w:firstLine="560" w:firstLineChars="200"/>
        <w:jc w:val="both"/>
        <w:rPr>
          <w:rFonts w:hint="eastAsia" w:ascii="Times New Roman" w:hAnsi="Times New Roman" w:eastAsia="宋体" w:cs="Times New Roman"/>
          <w:sz w:val="28"/>
          <w:szCs w:val="28"/>
          <w:lang w:eastAsia="zh-CN"/>
          <w14:ligatures w14:val="none"/>
        </w:rPr>
      </w:pPr>
      <w:r>
        <w:rPr>
          <w:rFonts w:hint="eastAsia" w:ascii="Times New Roman" w:hAnsi="Times New Roman" w:eastAsia="宋体" w:cs="Times New Roman"/>
          <w:sz w:val="28"/>
          <w:szCs w:val="28"/>
          <w14:ligatures w14:val="none"/>
        </w:rPr>
        <w:t>建立经营危险化学品的化学品安全技术说明书档案。在危险化学品生产企业有新的危害特性公告以及修订安全技术说明书等资料时，及时予以调整</w:t>
      </w:r>
      <w:r>
        <w:rPr>
          <w:rFonts w:hint="eastAsia" w:ascii="Times New Roman" w:hAnsi="Times New Roman" w:eastAsia="宋体" w:cs="Times New Roman"/>
          <w:sz w:val="28"/>
          <w:szCs w:val="28"/>
          <w:lang w:eastAsia="zh-CN"/>
          <w14:ligatures w14:val="none"/>
        </w:rPr>
        <w:t>。</w:t>
      </w:r>
    </w:p>
    <w:p w14:paraId="6DBD5E27">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w:t>
      </w:r>
      <w:r>
        <w:rPr>
          <w:rFonts w:hint="eastAsia" w:ascii="Times New Roman" w:hAnsi="Times New Roman" w:eastAsia="宋体" w:cs="Times New Roman"/>
          <w:sz w:val="28"/>
          <w:szCs w:val="28"/>
          <w:lang w:val="en-US" w:eastAsia="zh-CN"/>
          <w14:ligatures w14:val="none"/>
        </w:rPr>
        <w:t>7</w:t>
      </w:r>
      <w:r>
        <w:rPr>
          <w:rFonts w:hint="eastAsia" w:ascii="Times New Roman" w:hAnsi="Times New Roman" w:eastAsia="宋体" w:cs="Times New Roman"/>
          <w:sz w:val="28"/>
          <w:szCs w:val="28"/>
          <w14:ligatures w14:val="none"/>
        </w:rPr>
        <w:t>）实施监督和日常检查</w:t>
      </w:r>
    </w:p>
    <w:p w14:paraId="14D1E0A0">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应加强监督检查和日常管理工作，确保安全教育和培训能正常有效地进行，确保安全投入的有效实施，确保安全技术措施和管理措施能有效落实，及时消除生产安全事故隐患。</w:t>
      </w:r>
    </w:p>
    <w:p w14:paraId="2882DEBE">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w:t>
      </w:r>
      <w:r>
        <w:rPr>
          <w:rFonts w:hint="eastAsia" w:ascii="Times New Roman" w:hAnsi="Times New Roman" w:eastAsia="宋体" w:cs="Times New Roman"/>
          <w:sz w:val="28"/>
          <w:szCs w:val="28"/>
          <w:lang w:val="en-US" w:eastAsia="zh-CN"/>
          <w14:ligatures w14:val="none"/>
        </w:rPr>
        <w:t>8</w:t>
      </w:r>
      <w:r>
        <w:rPr>
          <w:rFonts w:hint="eastAsia" w:ascii="Times New Roman" w:hAnsi="Times New Roman" w:eastAsia="宋体" w:cs="Times New Roman"/>
          <w:sz w:val="28"/>
          <w:szCs w:val="28"/>
          <w14:ligatures w14:val="none"/>
        </w:rPr>
        <w:t>）危险化学品经营</w:t>
      </w:r>
    </w:p>
    <w:p w14:paraId="3FA7D62C">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应严格遵守《危险化学品经营许可证管理办法》（国家安全生产监督管理总局令第55号，2015年7月1日实施）中要求，在经营许可证有效期满3个月前，向</w:t>
      </w:r>
      <w:r>
        <w:rPr>
          <w:rFonts w:hint="eastAsia" w:ascii="Times New Roman" w:hAnsi="Times New Roman" w:eastAsia="宋体" w:cs="Times New Roman"/>
          <w:sz w:val="28"/>
          <w:szCs w:val="28"/>
          <w:lang w:val="en-US" w:eastAsia="zh-CN"/>
          <w14:ligatures w14:val="none"/>
        </w:rPr>
        <w:t>朝阳市应急管理局</w:t>
      </w:r>
      <w:r>
        <w:rPr>
          <w:rFonts w:hint="eastAsia" w:ascii="Times New Roman" w:hAnsi="Times New Roman" w:eastAsia="宋体" w:cs="Times New Roman"/>
          <w:sz w:val="28"/>
          <w:szCs w:val="28"/>
          <w14:ligatures w14:val="none"/>
        </w:rPr>
        <w:t>提出经营许可证的延期申请，并提交延期申请书及相关申请文件、资料。</w:t>
      </w:r>
    </w:p>
    <w:p w14:paraId="46CCF975">
      <w:pPr>
        <w:rPr>
          <w:rFonts w:ascii="Times New Roman" w:hAnsi="Times New Roman" w:eastAsia="宋体" w:cs="Times New Roman"/>
          <w:sz w:val="28"/>
          <w:szCs w:val="28"/>
          <w:highlight w:val="yellow"/>
          <w14:ligatures w14:val="none"/>
        </w:rPr>
      </w:pPr>
      <w:r>
        <w:rPr>
          <w:rFonts w:ascii="Times New Roman" w:hAnsi="Times New Roman" w:eastAsia="宋体" w:cs="Times New Roman"/>
          <w:sz w:val="28"/>
          <w:szCs w:val="28"/>
          <w:highlight w:val="yellow"/>
          <w14:ligatures w14:val="none"/>
        </w:rPr>
        <w:br w:type="page"/>
      </w:r>
    </w:p>
    <w:p w14:paraId="7C8A2012">
      <w:pPr>
        <w:tabs>
          <w:tab w:val="left" w:pos="2460"/>
          <w:tab w:val="center" w:pos="4592"/>
        </w:tabs>
        <w:adjustRightInd w:val="0"/>
        <w:snapToGrid w:val="0"/>
        <w:spacing w:before="468" w:beforeLines="150" w:after="468" w:afterLines="150" w:line="360" w:lineRule="auto"/>
        <w:jc w:val="center"/>
        <w:outlineLvl w:val="0"/>
        <w:rPr>
          <w:rFonts w:ascii="Times New Roman" w:hAnsi="Times New Roman" w:eastAsia="黑体" w:cs="黑体"/>
          <w:b/>
          <w:kern w:val="44"/>
          <w:sz w:val="32"/>
          <w:szCs w:val="44"/>
          <w14:ligatures w14:val="none"/>
        </w:rPr>
      </w:pPr>
      <w:bookmarkStart w:id="199" w:name="_Toc15479"/>
      <w:r>
        <w:rPr>
          <w:rFonts w:hint="eastAsia" w:ascii="Times New Roman" w:hAnsi="Times New Roman" w:eastAsia="黑体" w:cs="黑体"/>
          <w:b/>
          <w:kern w:val="44"/>
          <w:sz w:val="32"/>
          <w:szCs w:val="44"/>
          <w14:ligatures w14:val="none"/>
        </w:rPr>
        <w:t>7评价结论</w:t>
      </w:r>
      <w:bookmarkEnd w:id="199"/>
    </w:p>
    <w:p w14:paraId="59FD5FDA">
      <w:pPr>
        <w:adjustRightInd w:val="0"/>
        <w:snapToGrid w:val="0"/>
        <w:spacing w:before="312" w:beforeLines="100" w:after="312" w:afterLines="100" w:line="360" w:lineRule="auto"/>
        <w:jc w:val="center"/>
        <w:outlineLvl w:val="1"/>
        <w:rPr>
          <w:rFonts w:ascii="Times New Roman" w:hAnsi="Times New Roman" w:eastAsia="楷体" w:cs="黑体"/>
          <w:b/>
          <w:sz w:val="32"/>
          <w:szCs w:val="32"/>
          <w14:ligatures w14:val="none"/>
        </w:rPr>
      </w:pPr>
      <w:bookmarkStart w:id="200" w:name="_Toc15947"/>
      <w:r>
        <w:rPr>
          <w:rFonts w:hint="eastAsia" w:ascii="Times New Roman" w:hAnsi="Times New Roman" w:eastAsia="楷体" w:cs="黑体"/>
          <w:b/>
          <w:sz w:val="32"/>
          <w:szCs w:val="32"/>
          <w14:ligatures w14:val="none"/>
        </w:rPr>
        <w:t>7.1主要危险有害因素评价结果</w:t>
      </w:r>
      <w:bookmarkEnd w:id="200"/>
    </w:p>
    <w:p w14:paraId="334882F5">
      <w:pPr>
        <w:numPr>
          <w:ilvl w:val="0"/>
          <w:numId w:val="18"/>
        </w:numPr>
        <w:adjustRightInd w:val="0"/>
        <w:snapToGrid w:val="0"/>
        <w:spacing w:after="0" w:line="360" w:lineRule="auto"/>
        <w:ind w:firstLine="560" w:firstLineChars="20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依据《企业职工伤亡事故分类》、《生产过程危险和有害因素分类与代码》和《职业病危害因素分类目录》，</w:t>
      </w:r>
      <w:r>
        <w:rPr>
          <w:rFonts w:hint="eastAsia" w:ascii="Times New Roman" w:hAnsi="Times New Roman" w:eastAsia="宋体" w:cs="Times New Roman"/>
          <w:sz w:val="28"/>
          <w:szCs w:val="28"/>
          <w:lang w:eastAsia="zh-CN"/>
          <w14:ligatures w14:val="none"/>
        </w:rPr>
        <w:t>朝阳金达钛业股份有限公司</w:t>
      </w:r>
      <w:r>
        <w:rPr>
          <w:rFonts w:hint="eastAsia" w:ascii="Times New Roman" w:hAnsi="Times New Roman" w:eastAsia="宋体" w:cs="Times New Roman"/>
          <w:sz w:val="28"/>
          <w:szCs w:val="28"/>
          <w:lang w:val="en-US" w:eastAsia="zh-CN"/>
          <w14:ligatures w14:val="none"/>
        </w:rPr>
        <w:t>储存、</w:t>
      </w:r>
      <w:r>
        <w:rPr>
          <w:rFonts w:hint="eastAsia" w:ascii="Times New Roman" w:hAnsi="Times New Roman" w:eastAsia="宋体" w:cs="Times New Roman"/>
          <w:sz w:val="28"/>
          <w:szCs w:val="28"/>
          <w14:ligatures w14:val="none"/>
        </w:rPr>
        <w:t>经营过程中的危险、有害因素分为：</w:t>
      </w:r>
      <w:r>
        <w:rPr>
          <w:rFonts w:hint="eastAsia" w:ascii="Times New Roman" w:hAnsi="Times New Roman" w:eastAsia="宋体" w:cs="Times New Roman"/>
          <w:sz w:val="28"/>
          <w:szCs w:val="28"/>
          <w:lang w:val="en-US" w:eastAsia="zh-CN"/>
          <w14:ligatures w14:val="none"/>
        </w:rPr>
        <w:t>灼烫、</w:t>
      </w:r>
      <w:r>
        <w:rPr>
          <w:rFonts w:hint="eastAsia" w:ascii="Times New Roman" w:hAnsi="Times New Roman" w:eastAsia="宋体" w:cs="Times New Roman"/>
          <w:sz w:val="28"/>
          <w:szCs w:val="28"/>
          <w14:ligatures w14:val="none"/>
        </w:rPr>
        <w:t>中毒和窒息、触电、机械伤害、高处坠落、物体打击、噪声</w:t>
      </w:r>
      <w:r>
        <w:rPr>
          <w:rFonts w:hint="eastAsia" w:ascii="Times New Roman" w:hAnsi="Times New Roman" w:eastAsia="宋体" w:cs="Times New Roman"/>
          <w:sz w:val="28"/>
          <w:szCs w:val="28"/>
          <w:lang w:val="en-US" w:eastAsia="zh-CN"/>
          <w14:ligatures w14:val="none"/>
        </w:rPr>
        <w:t>及</w:t>
      </w:r>
      <w:r>
        <w:rPr>
          <w:rFonts w:hint="eastAsia" w:ascii="Times New Roman" w:hAnsi="Times New Roman" w:eastAsia="宋体" w:cs="Times New Roman"/>
          <w:sz w:val="28"/>
          <w:szCs w:val="28"/>
          <w14:ligatures w14:val="none"/>
        </w:rPr>
        <w:t>振动等</w:t>
      </w:r>
      <w:r>
        <w:rPr>
          <w:rFonts w:hint="eastAsia" w:ascii="Times New Roman" w:hAnsi="Times New Roman" w:eastAsia="宋体" w:cs="Times New Roman"/>
          <w:sz w:val="28"/>
          <w:szCs w:val="28"/>
          <w:lang w:eastAsia="zh-CN"/>
          <w14:ligatures w14:val="none"/>
        </w:rPr>
        <w:t>。</w:t>
      </w:r>
    </w:p>
    <w:p w14:paraId="57BAECA9">
      <w:pPr>
        <w:numPr>
          <w:ilvl w:val="0"/>
          <w:numId w:val="18"/>
        </w:num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lang w:eastAsia="zh-CN"/>
          <w14:ligatures w14:val="none"/>
        </w:rPr>
        <w:t>朝阳金达钛业股份有限公司</w:t>
      </w:r>
      <w:r>
        <w:rPr>
          <w:rFonts w:hint="eastAsia" w:ascii="Times New Roman" w:hAnsi="Times New Roman" w:eastAsia="宋体" w:cs="Times New Roman"/>
          <w:sz w:val="28"/>
          <w:szCs w:val="28"/>
          <w14:ligatures w14:val="none"/>
        </w:rPr>
        <w:t>不构成危险化学品重大危险源。</w:t>
      </w:r>
    </w:p>
    <w:p w14:paraId="40502614">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（3）根据《国家安全监管总局关于公布首批重点监管的危险化学品目录的通知》（安监总管三[2011]95号）、《国家安全监管总局关于公布第二批重点监管危险化学品名录的通知》（安监总管三[2013]12号），</w:t>
      </w:r>
      <w:r>
        <w:rPr>
          <w:rFonts w:hint="eastAsia" w:ascii="Times New Roman" w:hAnsi="Times New Roman" w:eastAsia="宋体" w:cs="Times New Roman"/>
          <w:sz w:val="28"/>
          <w:szCs w:val="28"/>
          <w:lang w:eastAsia="zh-CN"/>
          <w14:ligatures w14:val="none"/>
        </w:rPr>
        <w:t>朝阳金达钛业股份有限公司有储存装置经营的四氯化钛为重点监管的危险化学品。</w:t>
      </w:r>
    </w:p>
    <w:p w14:paraId="19BB27CC">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4）根据《国家安全监管总局关于公布首批重点监管的危险化工工艺目录的通知》（安监总管三[2009]116号）、《国家安全监管总局关于公布第二批重点监管、危险化工工艺目录和调整首批重点监管、危险化工工艺中部分典型工艺的通知》（安监总管三[2013]3号），</w:t>
      </w:r>
      <w:r>
        <w:rPr>
          <w:rFonts w:hint="eastAsia" w:ascii="Times New Roman" w:hAnsi="Times New Roman" w:eastAsia="宋体" w:cs="Times New Roman"/>
          <w:sz w:val="28"/>
          <w:szCs w:val="28"/>
          <w:lang w:val="en-US" w:eastAsia="zh-CN"/>
          <w14:ligatures w14:val="none"/>
        </w:rPr>
        <w:t>该项目</w:t>
      </w:r>
      <w:r>
        <w:rPr>
          <w:rFonts w:hint="eastAsia" w:ascii="Times New Roman" w:hAnsi="Times New Roman" w:eastAsia="宋体" w:cs="Times New Roman"/>
          <w:sz w:val="28"/>
          <w:szCs w:val="28"/>
          <w14:ligatures w14:val="none"/>
        </w:rPr>
        <w:t>储存</w:t>
      </w:r>
      <w:r>
        <w:rPr>
          <w:rFonts w:hint="eastAsia" w:ascii="Times New Roman" w:hAnsi="Times New Roman" w:eastAsia="宋体" w:cs="Times New Roman"/>
          <w:sz w:val="28"/>
          <w:szCs w:val="28"/>
          <w:lang w:val="en-US" w:eastAsia="zh-CN"/>
          <w14:ligatures w14:val="none"/>
        </w:rPr>
        <w:t>和</w:t>
      </w:r>
      <w:r>
        <w:rPr>
          <w:rFonts w:hint="eastAsia" w:ascii="Times New Roman" w:hAnsi="Times New Roman" w:eastAsia="宋体" w:cs="Times New Roman"/>
          <w:sz w:val="28"/>
          <w:szCs w:val="28"/>
          <w14:ligatures w14:val="none"/>
        </w:rPr>
        <w:t>经营</w:t>
      </w:r>
      <w:r>
        <w:rPr>
          <w:rFonts w:hint="eastAsia" w:ascii="Times New Roman" w:hAnsi="Times New Roman" w:eastAsia="宋体" w:cs="Times New Roman"/>
          <w:sz w:val="28"/>
          <w:szCs w:val="28"/>
          <w:lang w:val="en-US" w:eastAsia="zh-CN"/>
          <w14:ligatures w14:val="none"/>
        </w:rPr>
        <w:t>过程中</w:t>
      </w:r>
      <w:r>
        <w:rPr>
          <w:rFonts w:hint="eastAsia" w:ascii="Times New Roman" w:hAnsi="Times New Roman" w:eastAsia="宋体" w:cs="Times New Roman"/>
          <w:sz w:val="28"/>
          <w:szCs w:val="28"/>
          <w14:ligatures w14:val="none"/>
        </w:rPr>
        <w:t>不涉及危险化工工艺。</w:t>
      </w:r>
    </w:p>
    <w:p w14:paraId="3BF28245">
      <w:pPr>
        <w:adjustRightInd w:val="0"/>
        <w:snapToGrid w:val="0"/>
        <w:spacing w:before="312" w:beforeLines="100" w:after="312" w:afterLines="100" w:line="360" w:lineRule="auto"/>
        <w:jc w:val="center"/>
        <w:outlineLvl w:val="1"/>
        <w:rPr>
          <w:rFonts w:ascii="Times New Roman" w:hAnsi="Times New Roman" w:eastAsia="楷体" w:cs="黑体"/>
          <w:b/>
          <w:sz w:val="32"/>
          <w:szCs w:val="32"/>
          <w14:ligatures w14:val="none"/>
        </w:rPr>
      </w:pPr>
      <w:bookmarkStart w:id="201" w:name="_Toc29330"/>
      <w:r>
        <w:rPr>
          <w:rFonts w:hint="eastAsia" w:ascii="Times New Roman" w:hAnsi="Times New Roman" w:eastAsia="楷体" w:cs="黑体"/>
          <w:b/>
          <w:sz w:val="32"/>
          <w:szCs w:val="32"/>
          <w14:ligatures w14:val="none"/>
        </w:rPr>
        <w:t>7.2定性定量分析结果</w:t>
      </w:r>
      <w:bookmarkEnd w:id="201"/>
    </w:p>
    <w:p w14:paraId="617C5DA4">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通过现场检查，采用安全检查表评价，</w:t>
      </w:r>
      <w:r>
        <w:rPr>
          <w:rFonts w:hint="eastAsia" w:ascii="Times New Roman" w:hAnsi="Times New Roman" w:eastAsia="宋体" w:cs="Times New Roman"/>
          <w:sz w:val="28"/>
          <w:szCs w:val="28"/>
          <w:lang w:eastAsia="zh-CN"/>
          <w14:ligatures w14:val="none"/>
        </w:rPr>
        <w:t>朝阳金达钛业股份有限公司</w:t>
      </w:r>
      <w:r>
        <w:rPr>
          <w:rFonts w:hint="eastAsia" w:ascii="Times New Roman" w:hAnsi="Times New Roman" w:eastAsia="宋体" w:cs="Times New Roman"/>
          <w:sz w:val="28"/>
          <w:szCs w:val="28"/>
          <w14:ligatures w14:val="none"/>
        </w:rPr>
        <w:t>现有基本经营条件、安全管理条件符合《危险化学品经营许可证管理办法》、《辽宁省危险化学品经营许可证颁发管理施细则》等行政法规、部门规章；企业周边环境</w:t>
      </w:r>
      <w:r>
        <w:rPr>
          <w:rFonts w:hint="eastAsia" w:ascii="Times New Roman" w:hAnsi="Times New Roman" w:eastAsia="宋体" w:cs="Times New Roman"/>
          <w:sz w:val="28"/>
          <w:szCs w:val="28"/>
          <w:lang w:val="en-US" w:eastAsia="zh-CN"/>
          <w14:ligatures w14:val="none"/>
        </w:rPr>
        <w:t>及</w:t>
      </w:r>
      <w:r>
        <w:rPr>
          <w:rFonts w:hint="eastAsia" w:ascii="Times New Roman" w:hAnsi="Times New Roman" w:eastAsia="宋体" w:cs="Times New Roman"/>
          <w:sz w:val="28"/>
          <w:szCs w:val="28"/>
          <w14:ligatures w14:val="none"/>
        </w:rPr>
        <w:t>平面</w:t>
      </w:r>
      <w:r>
        <w:rPr>
          <w:rFonts w:hint="eastAsia" w:ascii="Times New Roman" w:hAnsi="Times New Roman" w:eastAsia="宋体" w:cs="Times New Roman"/>
          <w:sz w:val="28"/>
          <w:szCs w:val="28"/>
          <w:lang w:val="en-US" w:eastAsia="zh-CN"/>
          <w14:ligatures w14:val="none"/>
        </w:rPr>
        <w:t>布置</w:t>
      </w:r>
      <w:r>
        <w:rPr>
          <w:rFonts w:hint="eastAsia" w:ascii="Times New Roman" w:hAnsi="Times New Roman" w:eastAsia="宋体" w:cs="Times New Roman"/>
          <w:sz w:val="28"/>
          <w:szCs w:val="28"/>
          <w14:ligatures w14:val="none"/>
        </w:rPr>
        <w:t>、储存设施及公辅工程情况均满足《建筑设计防火规范（2018年版）》（GB50016-2014）、《工业企业总平面设计规范》（GB50187-2012）等标准规范。</w:t>
      </w:r>
    </w:p>
    <w:p w14:paraId="26951E3E">
      <w:pPr>
        <w:adjustRightInd w:val="0"/>
        <w:snapToGrid w:val="0"/>
        <w:spacing w:before="312" w:beforeLines="100" w:after="312" w:afterLines="100" w:line="360" w:lineRule="auto"/>
        <w:jc w:val="center"/>
        <w:outlineLvl w:val="1"/>
        <w:rPr>
          <w:rFonts w:ascii="Times New Roman" w:hAnsi="Times New Roman" w:eastAsia="楷体" w:cs="黑体"/>
          <w:b/>
          <w:sz w:val="32"/>
          <w:szCs w:val="32"/>
          <w14:ligatures w14:val="none"/>
        </w:rPr>
      </w:pPr>
      <w:bookmarkStart w:id="202" w:name="_Toc27812"/>
      <w:r>
        <w:rPr>
          <w:rFonts w:hint="eastAsia" w:ascii="Times New Roman" w:hAnsi="Times New Roman" w:eastAsia="楷体" w:cs="黑体"/>
          <w:b/>
          <w:sz w:val="32"/>
          <w:szCs w:val="32"/>
          <w14:ligatures w14:val="none"/>
        </w:rPr>
        <w:t>7.3评价结论</w:t>
      </w:r>
      <w:bookmarkEnd w:id="202"/>
    </w:p>
    <w:p w14:paraId="41B605CB">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根据对</w:t>
      </w:r>
      <w:r>
        <w:rPr>
          <w:rFonts w:hint="eastAsia" w:ascii="Times New Roman" w:hAnsi="Times New Roman" w:eastAsia="宋体" w:cs="Times New Roman"/>
          <w:sz w:val="28"/>
          <w:szCs w:val="28"/>
          <w:lang w:eastAsia="zh-CN"/>
          <w14:ligatures w14:val="none"/>
        </w:rPr>
        <w:t>朝阳金达钛业股份有限公司</w:t>
      </w:r>
      <w:r>
        <w:rPr>
          <w:rFonts w:hint="eastAsia" w:ascii="Times New Roman" w:hAnsi="Times New Roman" w:eastAsia="宋体" w:cs="Times New Roman"/>
          <w:sz w:val="28"/>
          <w:szCs w:val="28"/>
          <w14:ligatures w14:val="none"/>
        </w:rPr>
        <w:t>的安全作业条件等进行的综合评价，认为该企业</w:t>
      </w:r>
      <w:r>
        <w:rPr>
          <w:rFonts w:hint="eastAsia" w:ascii="Times New Roman" w:hAnsi="Times New Roman" w:eastAsia="宋体" w:cs="Times New Roman"/>
          <w:sz w:val="28"/>
          <w:szCs w:val="28"/>
          <w:lang w:val="en-US" w:eastAsia="zh-CN"/>
          <w14:ligatures w14:val="none"/>
        </w:rPr>
        <w:t>储存</w:t>
      </w:r>
      <w:r>
        <w:rPr>
          <w:rFonts w:hint="eastAsia" w:ascii="Times New Roman" w:hAnsi="Times New Roman" w:eastAsia="宋体" w:cs="Times New Roman"/>
          <w:sz w:val="28"/>
          <w:szCs w:val="28"/>
          <w14:ligatures w14:val="none"/>
        </w:rPr>
        <w:t>设施符合相关标准的规定，从业人员具备相应的知识和能力。只要该单位保证安全管理机构的有效性，进一步加强日常安全管理工作，严格贯彻执行经营、销售等方面的各种安全规章制度，健全各项安全管理组织制度，就能够有效地对经营过程实现有效的安全监控，从而保证企业安全经营保障条件的落实和实施。</w:t>
      </w:r>
    </w:p>
    <w:p w14:paraId="0ABB1791">
      <w:pPr>
        <w:adjustRightInd w:val="0"/>
        <w:snapToGrid w:val="0"/>
        <w:spacing w:after="0" w:line="360" w:lineRule="auto"/>
        <w:ind w:firstLine="560" w:firstLineChars="20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经评价，</w:t>
      </w:r>
      <w:r>
        <w:rPr>
          <w:rFonts w:hint="eastAsia" w:ascii="Times New Roman" w:hAnsi="Times New Roman" w:eastAsia="宋体" w:cs="Times New Roman"/>
          <w:sz w:val="28"/>
          <w:szCs w:val="28"/>
          <w:lang w:eastAsia="zh-CN"/>
          <w14:ligatures w14:val="none"/>
        </w:rPr>
        <w:t>朝阳金达钛业股份有限公司整体符合</w:t>
      </w:r>
      <w:r>
        <w:rPr>
          <w:rFonts w:hint="eastAsia" w:ascii="Times New Roman" w:hAnsi="Times New Roman" w:eastAsia="宋体" w:cs="Times New Roman"/>
          <w:sz w:val="28"/>
          <w:szCs w:val="28"/>
          <w:lang w:val="en-US" w:eastAsia="zh-CN"/>
          <w14:ligatures w14:val="none"/>
        </w:rPr>
        <w:t>盐酸、次氯酸钠（含有效氯＞5%）、高硅四氯化钛储存经营；硫酸无储存经营的</w:t>
      </w:r>
      <w:r>
        <w:rPr>
          <w:rFonts w:hint="eastAsia" w:ascii="Times New Roman" w:hAnsi="Times New Roman" w:eastAsia="宋体" w:cs="Times New Roman"/>
          <w:sz w:val="28"/>
          <w:szCs w:val="28"/>
          <w14:ligatures w14:val="none"/>
        </w:rPr>
        <w:t>要求。</w:t>
      </w:r>
    </w:p>
    <w:p w14:paraId="7F090B58">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ascii="Times New Roman" w:hAnsi="Times New Roman" w:eastAsia="宋体" w:cs="Times New Roman"/>
          <w:sz w:val="28"/>
          <w:szCs w:val="28"/>
          <w14:ligatures w14:val="none"/>
        </w:rPr>
        <w:br w:type="page"/>
      </w:r>
    </w:p>
    <w:p w14:paraId="4D13BFC4">
      <w:pPr>
        <w:tabs>
          <w:tab w:val="left" w:pos="2460"/>
          <w:tab w:val="center" w:pos="4592"/>
        </w:tabs>
        <w:adjustRightInd w:val="0"/>
        <w:snapToGrid w:val="0"/>
        <w:spacing w:before="468" w:beforeLines="150" w:after="468" w:afterLines="150" w:line="360" w:lineRule="auto"/>
        <w:jc w:val="center"/>
        <w:outlineLvl w:val="0"/>
        <w:rPr>
          <w:rFonts w:ascii="Times New Roman" w:hAnsi="Times New Roman" w:eastAsia="黑体" w:cs="黑体"/>
          <w:b/>
          <w:kern w:val="44"/>
          <w:sz w:val="32"/>
          <w:szCs w:val="44"/>
          <w14:ligatures w14:val="none"/>
        </w:rPr>
      </w:pPr>
      <w:bookmarkStart w:id="203" w:name="_Toc11565"/>
      <w:r>
        <w:rPr>
          <w:rFonts w:hint="eastAsia" w:ascii="Times New Roman" w:hAnsi="Times New Roman" w:eastAsia="黑体" w:cs="黑体"/>
          <w:b/>
          <w:kern w:val="44"/>
          <w:sz w:val="32"/>
          <w:szCs w:val="44"/>
          <w14:ligatures w14:val="none"/>
        </w:rPr>
        <w:t>附件</w:t>
      </w:r>
      <w:bookmarkEnd w:id="203"/>
    </w:p>
    <w:p w14:paraId="09B09381">
      <w:pPr>
        <w:pStyle w:val="20"/>
        <w:numPr>
          <w:ilvl w:val="0"/>
          <w:numId w:val="19"/>
        </w:numPr>
        <w:adjustRightInd w:val="0"/>
        <w:snapToGrid w:val="0"/>
        <w:spacing w:after="0" w:line="360" w:lineRule="auto"/>
        <w:ind w:left="0" w:firstLine="56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营业执照</w:t>
      </w:r>
    </w:p>
    <w:p w14:paraId="1D4DAA1F">
      <w:pPr>
        <w:pStyle w:val="20"/>
        <w:numPr>
          <w:ilvl w:val="0"/>
          <w:numId w:val="19"/>
        </w:numPr>
        <w:adjustRightInd w:val="0"/>
        <w:snapToGrid w:val="0"/>
        <w:spacing w:after="0" w:line="360" w:lineRule="auto"/>
        <w:ind w:left="0" w:firstLine="56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lang w:val="en-US" w:eastAsia="zh-CN"/>
          <w14:ligatures w14:val="none"/>
        </w:rPr>
        <w:t>不动产权证明</w:t>
      </w:r>
    </w:p>
    <w:p w14:paraId="4599C044">
      <w:pPr>
        <w:pStyle w:val="20"/>
        <w:numPr>
          <w:ilvl w:val="0"/>
          <w:numId w:val="19"/>
        </w:numPr>
        <w:adjustRightInd w:val="0"/>
        <w:snapToGrid w:val="0"/>
        <w:spacing w:after="0" w:line="360" w:lineRule="auto"/>
        <w:ind w:left="0" w:firstLine="56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建设工程消防验收意见书</w:t>
      </w:r>
    </w:p>
    <w:p w14:paraId="41EFE715">
      <w:pPr>
        <w:pStyle w:val="20"/>
        <w:numPr>
          <w:ilvl w:val="0"/>
          <w:numId w:val="19"/>
        </w:numPr>
        <w:adjustRightInd w:val="0"/>
        <w:snapToGrid w:val="0"/>
        <w:spacing w:after="0" w:line="360" w:lineRule="auto"/>
        <w:ind w:left="0" w:firstLine="56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危险化学品经营许可证</w:t>
      </w:r>
    </w:p>
    <w:p w14:paraId="1D31B0F5">
      <w:pPr>
        <w:pStyle w:val="20"/>
        <w:numPr>
          <w:ilvl w:val="0"/>
          <w:numId w:val="19"/>
        </w:numPr>
        <w:adjustRightInd w:val="0"/>
        <w:snapToGrid w:val="0"/>
        <w:spacing w:after="0" w:line="360" w:lineRule="auto"/>
        <w:ind w:left="0" w:firstLine="56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lang w:val="en-US" w:eastAsia="zh-CN"/>
          <w14:ligatures w14:val="none"/>
        </w:rPr>
        <w:t>安全管理机构成立的通知</w:t>
      </w:r>
    </w:p>
    <w:p w14:paraId="44DF84F7">
      <w:pPr>
        <w:pStyle w:val="20"/>
        <w:numPr>
          <w:ilvl w:val="0"/>
          <w:numId w:val="19"/>
        </w:numPr>
        <w:adjustRightInd w:val="0"/>
        <w:snapToGrid w:val="0"/>
        <w:spacing w:after="0" w:line="360" w:lineRule="auto"/>
        <w:ind w:left="0" w:firstLine="56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主要负责人和安全管理人员任命文件</w:t>
      </w:r>
    </w:p>
    <w:p w14:paraId="0DF69AD2">
      <w:pPr>
        <w:pStyle w:val="20"/>
        <w:numPr>
          <w:ilvl w:val="0"/>
          <w:numId w:val="19"/>
        </w:numPr>
        <w:adjustRightInd w:val="0"/>
        <w:snapToGrid w:val="0"/>
        <w:spacing w:after="0" w:line="360" w:lineRule="auto"/>
        <w:ind w:left="0" w:firstLine="56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主要负责人和安全管理人员资格证</w:t>
      </w:r>
    </w:p>
    <w:p w14:paraId="68C544F0">
      <w:pPr>
        <w:pStyle w:val="20"/>
        <w:numPr>
          <w:ilvl w:val="0"/>
          <w:numId w:val="19"/>
        </w:numPr>
        <w:adjustRightInd w:val="0"/>
        <w:snapToGrid w:val="0"/>
        <w:spacing w:after="0" w:line="360" w:lineRule="auto"/>
        <w:ind w:left="0" w:firstLine="560"/>
        <w:jc w:val="both"/>
        <w:rPr>
          <w:rFonts w:ascii="Times New Roman" w:hAnsi="Times New Roman" w:eastAsia="宋体" w:cs="Times New Roman"/>
          <w:sz w:val="28"/>
          <w:szCs w:val="28"/>
          <w:highlight w:val="none"/>
          <w14:ligatures w14:val="none"/>
        </w:rPr>
      </w:pPr>
      <w:r>
        <w:rPr>
          <w:rFonts w:hint="eastAsia" w:ascii="Times New Roman" w:hAnsi="Times New Roman" w:eastAsia="宋体" w:cs="Times New Roman"/>
          <w:sz w:val="28"/>
          <w:szCs w:val="28"/>
          <w:highlight w:val="none"/>
          <w:lang w:val="en-US" w:eastAsia="zh-CN"/>
          <w14:ligatures w14:val="none"/>
        </w:rPr>
        <w:t>电工证</w:t>
      </w:r>
    </w:p>
    <w:p w14:paraId="45B0954A">
      <w:pPr>
        <w:pStyle w:val="20"/>
        <w:numPr>
          <w:ilvl w:val="0"/>
          <w:numId w:val="19"/>
        </w:numPr>
        <w:adjustRightInd w:val="0"/>
        <w:snapToGrid w:val="0"/>
        <w:spacing w:after="0" w:line="360" w:lineRule="auto"/>
        <w:ind w:left="0" w:firstLine="560"/>
        <w:jc w:val="both"/>
        <w:rPr>
          <w:rFonts w:ascii="Times New Roman" w:hAnsi="Times New Roman" w:eastAsia="宋体" w:cs="Times New Roman"/>
          <w:sz w:val="28"/>
          <w:szCs w:val="28"/>
          <w:highlight w:val="none"/>
          <w14:ligatures w14:val="none"/>
        </w:rPr>
      </w:pPr>
      <w:r>
        <w:rPr>
          <w:rFonts w:hint="eastAsia" w:ascii="Times New Roman" w:hAnsi="Times New Roman" w:eastAsia="宋体" w:cs="Times New Roman"/>
          <w:sz w:val="28"/>
          <w:szCs w:val="28"/>
          <w:highlight w:val="none"/>
          <w:lang w:val="en-US" w:eastAsia="zh-CN"/>
          <w14:ligatures w14:val="none"/>
        </w:rPr>
        <w:t>注册安全工程师证</w:t>
      </w:r>
    </w:p>
    <w:p w14:paraId="75109D73">
      <w:pPr>
        <w:pStyle w:val="20"/>
        <w:numPr>
          <w:ilvl w:val="0"/>
          <w:numId w:val="19"/>
        </w:numPr>
        <w:adjustRightInd w:val="0"/>
        <w:snapToGrid w:val="0"/>
        <w:spacing w:after="0" w:line="360" w:lineRule="auto"/>
        <w:ind w:left="0" w:firstLine="56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雷电防护装置检测报告</w:t>
      </w:r>
    </w:p>
    <w:p w14:paraId="08DC251E">
      <w:pPr>
        <w:pStyle w:val="20"/>
        <w:numPr>
          <w:ilvl w:val="0"/>
          <w:numId w:val="19"/>
        </w:numPr>
        <w:adjustRightInd w:val="0"/>
        <w:snapToGrid w:val="0"/>
        <w:spacing w:after="0" w:line="360" w:lineRule="auto"/>
        <w:ind w:left="0" w:firstLine="560"/>
        <w:jc w:val="both"/>
        <w:rPr>
          <w:rFonts w:ascii="Times New Roman" w:hAnsi="Times New Roman" w:eastAsia="宋体" w:cs="Times New Roman"/>
          <w:sz w:val="28"/>
          <w:szCs w:val="28"/>
          <w:highlight w:val="none"/>
          <w14:ligatures w14:val="none"/>
        </w:rPr>
      </w:pPr>
      <w:r>
        <w:rPr>
          <w:rFonts w:hint="eastAsia" w:ascii="Times New Roman" w:hAnsi="Times New Roman" w:eastAsia="宋体" w:cs="Times New Roman"/>
          <w:sz w:val="28"/>
          <w:szCs w:val="28"/>
          <w:highlight w:val="none"/>
          <w14:ligatures w14:val="none"/>
        </w:rPr>
        <w:t>压力表检测报告及台账</w:t>
      </w:r>
    </w:p>
    <w:p w14:paraId="133B7F35">
      <w:pPr>
        <w:pStyle w:val="20"/>
        <w:numPr>
          <w:ilvl w:val="0"/>
          <w:numId w:val="19"/>
        </w:numPr>
        <w:adjustRightInd w:val="0"/>
        <w:snapToGrid w:val="0"/>
        <w:spacing w:after="0" w:line="360" w:lineRule="auto"/>
        <w:ind w:left="0" w:firstLine="56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安全生产责任制、管理制度、操作规程清单</w:t>
      </w:r>
    </w:p>
    <w:p w14:paraId="2AC1BE63">
      <w:pPr>
        <w:pStyle w:val="20"/>
        <w:numPr>
          <w:ilvl w:val="0"/>
          <w:numId w:val="19"/>
        </w:numPr>
        <w:adjustRightInd w:val="0"/>
        <w:snapToGrid w:val="0"/>
        <w:spacing w:after="0" w:line="360" w:lineRule="auto"/>
        <w:ind w:left="0" w:firstLine="56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lang w:val="en-US" w:eastAsia="zh-CN"/>
          <w14:ligatures w14:val="none"/>
        </w:rPr>
        <w:t>应急预案备案登记表</w:t>
      </w:r>
    </w:p>
    <w:p w14:paraId="4EF19081">
      <w:pPr>
        <w:pStyle w:val="20"/>
        <w:numPr>
          <w:ilvl w:val="0"/>
          <w:numId w:val="19"/>
        </w:numPr>
        <w:adjustRightInd w:val="0"/>
        <w:snapToGrid w:val="0"/>
        <w:spacing w:after="0" w:line="360" w:lineRule="auto"/>
        <w:ind w:left="0" w:firstLine="560"/>
        <w:jc w:val="both"/>
        <w:rPr>
          <w:rFonts w:ascii="Times New Roman" w:hAnsi="Times New Roman" w:eastAsia="宋体" w:cs="Times New Roman"/>
          <w:sz w:val="28"/>
          <w:szCs w:val="28"/>
          <w:highlight w:val="none"/>
          <w14:ligatures w14:val="none"/>
        </w:rPr>
      </w:pPr>
      <w:r>
        <w:rPr>
          <w:rFonts w:hint="eastAsia" w:ascii="Times New Roman" w:hAnsi="Times New Roman" w:eastAsia="宋体" w:cs="Times New Roman"/>
          <w:sz w:val="28"/>
          <w:szCs w:val="28"/>
          <w:highlight w:val="none"/>
          <w14:ligatures w14:val="none"/>
        </w:rPr>
        <w:t>应急物资配备清单</w:t>
      </w:r>
    </w:p>
    <w:p w14:paraId="20C2B3C6">
      <w:pPr>
        <w:pStyle w:val="20"/>
        <w:numPr>
          <w:ilvl w:val="0"/>
          <w:numId w:val="19"/>
        </w:numPr>
        <w:adjustRightInd w:val="0"/>
        <w:snapToGrid w:val="0"/>
        <w:spacing w:after="0" w:line="360" w:lineRule="auto"/>
        <w:ind w:left="0" w:firstLine="560"/>
        <w:jc w:val="both"/>
        <w:rPr>
          <w:rFonts w:ascii="Times New Roman" w:hAnsi="Times New Roman" w:eastAsia="宋体" w:cs="Times New Roman"/>
          <w:sz w:val="28"/>
          <w:szCs w:val="28"/>
          <w:highlight w:val="none"/>
          <w14:ligatures w14:val="none"/>
        </w:rPr>
      </w:pPr>
      <w:r>
        <w:rPr>
          <w:rFonts w:hint="eastAsia" w:ascii="Times New Roman" w:hAnsi="Times New Roman" w:eastAsia="宋体" w:cs="Times New Roman"/>
          <w:sz w:val="28"/>
          <w:szCs w:val="28"/>
          <w:highlight w:val="none"/>
          <w:lang w:val="en-US" w:eastAsia="zh-CN"/>
          <w14:ligatures w14:val="none"/>
        </w:rPr>
        <w:t>应急演练记录及照片</w:t>
      </w:r>
    </w:p>
    <w:p w14:paraId="1AAF13BD">
      <w:pPr>
        <w:pStyle w:val="20"/>
        <w:numPr>
          <w:ilvl w:val="0"/>
          <w:numId w:val="19"/>
        </w:numPr>
        <w:adjustRightInd w:val="0"/>
        <w:snapToGrid w:val="0"/>
        <w:spacing w:after="0" w:line="360" w:lineRule="auto"/>
        <w:ind w:left="0" w:firstLine="560"/>
        <w:jc w:val="both"/>
        <w:rPr>
          <w:rFonts w:ascii="Times New Roman" w:hAnsi="Times New Roman" w:eastAsia="宋体" w:cs="Times New Roman"/>
          <w:sz w:val="28"/>
          <w:szCs w:val="28"/>
          <w:highlight w:val="none"/>
          <w14:ligatures w14:val="none"/>
        </w:rPr>
      </w:pPr>
      <w:r>
        <w:rPr>
          <w:rFonts w:hint="eastAsia" w:ascii="Times New Roman" w:hAnsi="Times New Roman" w:eastAsia="宋体" w:cs="Times New Roman"/>
          <w:sz w:val="28"/>
          <w:szCs w:val="28"/>
          <w:highlight w:val="none"/>
          <w14:ligatures w14:val="none"/>
        </w:rPr>
        <w:t>工伤保险</w:t>
      </w:r>
    </w:p>
    <w:p w14:paraId="11C7A5EC">
      <w:pPr>
        <w:pStyle w:val="20"/>
        <w:numPr>
          <w:ilvl w:val="0"/>
          <w:numId w:val="19"/>
        </w:numPr>
        <w:adjustRightInd w:val="0"/>
        <w:snapToGrid w:val="0"/>
        <w:spacing w:after="0" w:line="360" w:lineRule="auto"/>
        <w:ind w:left="0" w:firstLine="560"/>
        <w:jc w:val="both"/>
        <w:rPr>
          <w:rFonts w:ascii="Times New Roman" w:hAnsi="Times New Roman" w:eastAsia="宋体" w:cs="Times New Roman"/>
          <w:sz w:val="28"/>
          <w:szCs w:val="28"/>
          <w:highlight w:val="none"/>
          <w14:ligatures w14:val="none"/>
        </w:rPr>
      </w:pPr>
      <w:r>
        <w:rPr>
          <w:rFonts w:hint="eastAsia" w:ascii="Times New Roman" w:hAnsi="Times New Roman" w:eastAsia="宋体" w:cs="Times New Roman"/>
          <w:sz w:val="28"/>
          <w:szCs w:val="28"/>
          <w:highlight w:val="none"/>
          <w14:ligatures w14:val="none"/>
        </w:rPr>
        <w:t>安全生产责任险</w:t>
      </w:r>
    </w:p>
    <w:p w14:paraId="73ABB064">
      <w:pPr>
        <w:pStyle w:val="20"/>
        <w:numPr>
          <w:ilvl w:val="0"/>
          <w:numId w:val="19"/>
        </w:numPr>
        <w:adjustRightInd w:val="0"/>
        <w:snapToGrid w:val="0"/>
        <w:spacing w:after="0" w:line="360" w:lineRule="auto"/>
        <w:ind w:left="0" w:firstLine="560"/>
        <w:jc w:val="both"/>
        <w:rPr>
          <w:rFonts w:ascii="Times New Roman" w:hAnsi="Times New Roman" w:eastAsia="宋体" w:cs="Times New Roman"/>
          <w:sz w:val="28"/>
          <w:szCs w:val="28"/>
          <w:highlight w:val="none"/>
          <w14:ligatures w14:val="none"/>
        </w:rPr>
      </w:pPr>
      <w:r>
        <w:rPr>
          <w:rFonts w:hint="eastAsia" w:ascii="Times New Roman" w:hAnsi="Times New Roman" w:eastAsia="宋体" w:cs="Times New Roman"/>
          <w:sz w:val="28"/>
          <w:szCs w:val="28"/>
          <w:highlight w:val="none"/>
          <w:lang w:val="en-US" w:eastAsia="zh-CN"/>
          <w14:ligatures w14:val="none"/>
        </w:rPr>
        <w:t>总平面布置图</w:t>
      </w:r>
    </w:p>
    <w:p w14:paraId="56274153">
      <w:pPr>
        <w:pStyle w:val="20"/>
        <w:numPr>
          <w:ilvl w:val="0"/>
          <w:numId w:val="19"/>
        </w:numPr>
        <w:adjustRightInd w:val="0"/>
        <w:snapToGrid w:val="0"/>
        <w:spacing w:after="0" w:line="360" w:lineRule="auto"/>
        <w:ind w:left="0" w:firstLine="560"/>
        <w:jc w:val="both"/>
        <w:rPr>
          <w:rFonts w:ascii="Times New Roman" w:hAnsi="Times New Roman" w:eastAsia="宋体" w:cs="Times New Roman"/>
          <w:sz w:val="28"/>
          <w:szCs w:val="28"/>
          <w:highlight w:val="none"/>
          <w14:ligatures w14:val="none"/>
        </w:rPr>
      </w:pPr>
      <w:r>
        <w:rPr>
          <w:rFonts w:hint="eastAsia" w:ascii="Times New Roman" w:hAnsi="Times New Roman" w:eastAsia="宋体" w:cs="Times New Roman"/>
          <w:sz w:val="28"/>
          <w:szCs w:val="28"/>
          <w:highlight w:val="none"/>
          <w:lang w:val="en-US" w:eastAsia="zh-CN"/>
          <w14:ligatures w14:val="none"/>
        </w:rPr>
        <w:t>评审意见</w:t>
      </w:r>
    </w:p>
    <w:p w14:paraId="0AB25643">
      <w:pPr>
        <w:pStyle w:val="20"/>
        <w:numPr>
          <w:ilvl w:val="0"/>
          <w:numId w:val="19"/>
        </w:numPr>
        <w:adjustRightInd w:val="0"/>
        <w:snapToGrid w:val="0"/>
        <w:spacing w:after="0" w:line="360" w:lineRule="auto"/>
        <w:ind w:left="0" w:firstLine="560"/>
        <w:jc w:val="both"/>
        <w:rPr>
          <w:rFonts w:ascii="Times New Roman" w:hAnsi="Times New Roman" w:eastAsia="宋体" w:cs="Times New Roman"/>
          <w:sz w:val="28"/>
          <w:szCs w:val="28"/>
          <w:highlight w:val="none"/>
          <w14:ligatures w14:val="none"/>
        </w:rPr>
      </w:pPr>
      <w:r>
        <w:rPr>
          <w:rFonts w:hint="eastAsia" w:ascii="Times New Roman" w:hAnsi="Times New Roman" w:eastAsia="宋体" w:cs="Times New Roman"/>
          <w:sz w:val="28"/>
          <w:szCs w:val="28"/>
          <w:highlight w:val="none"/>
          <w:lang w:val="en-US" w:eastAsia="zh-CN"/>
          <w14:ligatures w14:val="none"/>
        </w:rPr>
        <w:t>报告修改说明</w:t>
      </w:r>
    </w:p>
    <w:p w14:paraId="6E18B37F">
      <w:pPr>
        <w:pStyle w:val="20"/>
        <w:numPr>
          <w:ilvl w:val="0"/>
          <w:numId w:val="0"/>
        </w:numPr>
        <w:adjustRightInd w:val="0"/>
        <w:snapToGrid w:val="0"/>
        <w:spacing w:after="0" w:line="360" w:lineRule="auto"/>
        <w:jc w:val="both"/>
        <w:rPr>
          <w:rFonts w:ascii="Times New Roman" w:hAnsi="Times New Roman" w:eastAsia="宋体" w:cs="Times New Roman"/>
          <w:sz w:val="28"/>
          <w:szCs w:val="28"/>
          <w14:ligatures w14:val="none"/>
        </w:rPr>
      </w:pPr>
    </w:p>
    <w:sectPr>
      <w:pgSz w:w="11906" w:h="16838"/>
      <w:pgMar w:top="1418" w:right="1134" w:bottom="1134" w:left="1588" w:header="851" w:footer="992" w:gutter="0"/>
      <w:pgBorders>
        <w:top w:val="none" w:sz="0" w:space="0"/>
        <w:left w:val="none" w:sz="0" w:space="0"/>
        <w:bottom w:val="none" w:sz="0" w:space="0"/>
        <w:right w:val="none" w:sz="0" w:space="0"/>
      </w:pgBorders>
      <w:pgNumType w:fmt="decimal"/>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F"/>
    <w:family w:val="auto"/>
    <w:pitch w:val="default"/>
    <w:sig w:usb0="E0002EFF" w:usb1="C000785B" w:usb2="00000009" w:usb3="00000000" w:csb0="400001FF" w:csb1="FFFF0000"/>
  </w:font>
  <w:font w:name="宋体">
    <w:panose1 w:val="02010600030101010101"/>
    <w:charset w:val="E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楷体">
    <w:panose1 w:val="02010609060101010101"/>
    <w:charset w:val="86"/>
    <w:family w:val="modern"/>
    <w:pitch w:val="default"/>
    <w:sig w:usb0="800002BF" w:usb1="38CF7CFA" w:usb2="00000016" w:usb3="00000000" w:csb0="00040001" w:csb1="00000000"/>
  </w:font>
  <w:font w:name="Cambria Math">
    <w:panose1 w:val="02040503050406030204"/>
    <w:charset w:val="00"/>
    <w:family w:val="roman"/>
    <w:pitch w:val="default"/>
    <w:sig w:usb0="E00006FF" w:usb1="420024FF" w:usb2="02000000" w:usb3="00000000" w:csb0="2000019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642B9F">
    <w:pPr>
      <w:pStyle w:val="7"/>
      <w:pBdr>
        <w:top w:val="single" w:color="auto" w:sz="4" w:space="1"/>
      </w:pBdr>
      <w:spacing w:after="0"/>
      <w:rPr>
        <w:rFonts w:ascii="Times New Roman" w:hAnsi="Times New Roman" w:eastAsia="楷体"/>
        <w:sz w:val="21"/>
      </w:rPr>
    </w:pPr>
    <w:r>
      <w:rPr>
        <w:sz w:val="21"/>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53" name="文本框 5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345FA2B">
                          <w:pPr>
                            <w:pStyle w:val="7"/>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2AA3M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9d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L2AA3MzAgAAYwQAAA4AAAAAAAAAAQAgAAAAHwEAAGRycy9lMm9Eb2MueG1sUEsF&#10;BgAAAAAGAAYAWQEAAMQFAAAAAA==&#10;">
              <v:fill on="f" focussize="0,0"/>
              <v:stroke on="f" weight="0.5pt"/>
              <v:imagedata o:title=""/>
              <o:lock v:ext="edit" aspectratio="f"/>
              <v:textbox inset="0mm,0mm,0mm,0mm" style="mso-fit-shape-to-text:t;">
                <w:txbxContent>
                  <w:p w14:paraId="3345FA2B">
                    <w:pPr>
                      <w:pStyle w:val="7"/>
                    </w:pPr>
                    <w:r>
                      <w:fldChar w:fldCharType="begin"/>
                    </w:r>
                    <w:r>
                      <w:instrText xml:space="preserve"> PAGE  \* MERGEFORMAT </w:instrText>
                    </w:r>
                    <w:r>
                      <w:fldChar w:fldCharType="separate"/>
                    </w:r>
                    <w:r>
                      <w:t>1</w:t>
                    </w:r>
                    <w:r>
                      <w:fldChar w:fldCharType="end"/>
                    </w:r>
                  </w:p>
                </w:txbxContent>
              </v:textbox>
            </v:shape>
          </w:pict>
        </mc:Fallback>
      </mc:AlternateContent>
    </w:r>
    <w:r>
      <w:rPr>
        <w:rFonts w:ascii="Times New Roman" w:hAnsi="Times New Roman" w:eastAsia="楷体" w:cs="Times New Roman"/>
        <w:sz w:val="21"/>
        <w:szCs w:val="24"/>
        <w14:ligatures w14:val="none"/>
      </w:rPr>
      <w:drawing>
        <wp:inline distT="0" distB="0" distL="0" distR="0">
          <wp:extent cx="361950" cy="133350"/>
          <wp:effectExtent l="0" t="0" r="0" b="0"/>
          <wp:docPr id="829315484" name="图片 3"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9315484" name="图片 3" descr="2"/>
                  <pic:cNvPicPr>
                    <a:picLocks noChangeAspect="1" noChangeArrowheads="1"/>
                  </pic:cNvPicPr>
                </pic:nvPicPr>
                <pic:blipFill>
                  <a:blip r:embed="rId1">
                    <a:extLst>
                      <a:ext uri="{28A0092B-C50C-407E-A947-70E740481C1C}">
                        <a14:useLocalDpi xmlns:a14="http://schemas.microsoft.com/office/drawing/2010/main" val="0"/>
                      </a:ext>
                    </a:extLst>
                  </a:blip>
                  <a:srcRect t="9578" b="16475"/>
                  <a:stretch>
                    <a:fillRect/>
                  </a:stretch>
                </pic:blipFill>
                <pic:spPr>
                  <a:xfrm>
                    <a:off x="0" y="0"/>
                    <a:ext cx="361950" cy="133350"/>
                  </a:xfrm>
                  <a:prstGeom prst="rect">
                    <a:avLst/>
                  </a:prstGeom>
                  <a:noFill/>
                  <a:ln>
                    <a:noFill/>
                  </a:ln>
                </pic:spPr>
              </pic:pic>
            </a:graphicData>
          </a:graphic>
        </wp:inline>
      </w:drawing>
    </w:r>
    <w:r>
      <w:rPr>
        <w:rFonts w:hint="eastAsia" w:ascii="Times New Roman" w:hAnsi="Times New Roman" w:eastAsia="楷体"/>
        <w:sz w:val="21"/>
      </w:rPr>
      <w:t>辽宁诺诚安全科技有限公司</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4C4E88">
    <w:pPr>
      <w:pStyle w:val="8"/>
      <w:pBdr>
        <w:bottom w:val="single" w:color="auto" w:sz="4" w:space="1"/>
      </w:pBdr>
      <w:rPr>
        <w:rFonts w:hint="eastAsia" w:ascii="楷体" w:hAnsi="楷体" w:eastAsia="楷体"/>
        <w:sz w:val="21"/>
        <w:szCs w:val="21"/>
      </w:rPr>
    </w:pPr>
    <w:r>
      <w:rPr>
        <w:rFonts w:hint="eastAsia" w:ascii="楷体" w:hAnsi="楷体" w:eastAsia="楷体"/>
        <w:sz w:val="21"/>
        <w:szCs w:val="21"/>
      </w:rPr>
      <w:t>朝阳金达钛业股份有限公司经营危险化学品安全评价报告</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6983785"/>
    <w:multiLevelType w:val="singleLevel"/>
    <w:tmpl w:val="96983785"/>
    <w:lvl w:ilvl="0" w:tentative="0">
      <w:start w:val="1"/>
      <w:numFmt w:val="decimal"/>
      <w:suff w:val="nothing"/>
      <w:lvlText w:val="（%1）"/>
      <w:lvlJc w:val="left"/>
    </w:lvl>
  </w:abstractNum>
  <w:abstractNum w:abstractNumId="1">
    <w:nsid w:val="BA0AF63E"/>
    <w:multiLevelType w:val="multilevel"/>
    <w:tmpl w:val="BA0AF63E"/>
    <w:lvl w:ilvl="0" w:tentative="0">
      <w:start w:val="1"/>
      <w:numFmt w:val="decimal"/>
      <w:suff w:val="nothing"/>
      <w:lvlText w:val="%1."/>
      <w:lvlJc w:val="left"/>
      <w:pPr>
        <w:ind w:left="420" w:hanging="420"/>
      </w:pPr>
      <w:rPr>
        <w:rFonts w:hint="eastAsia"/>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
    <w:nsid w:val="E40BD339"/>
    <w:multiLevelType w:val="multilevel"/>
    <w:tmpl w:val="E40BD339"/>
    <w:lvl w:ilvl="0" w:tentative="0">
      <w:start w:val="1"/>
      <w:numFmt w:val="decimal"/>
      <w:suff w:val="nothing"/>
      <w:lvlText w:val="%1."/>
      <w:lvlJc w:val="left"/>
      <w:pPr>
        <w:ind w:left="420" w:hanging="420"/>
      </w:pPr>
      <w:rPr>
        <w:rFonts w:hint="eastAsia"/>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3">
    <w:nsid w:val="F45309E8"/>
    <w:multiLevelType w:val="singleLevel"/>
    <w:tmpl w:val="F45309E8"/>
    <w:lvl w:ilvl="0" w:tentative="0">
      <w:start w:val="1"/>
      <w:numFmt w:val="decimal"/>
      <w:suff w:val="nothing"/>
      <w:lvlText w:val="（%1）"/>
      <w:lvlJc w:val="left"/>
    </w:lvl>
  </w:abstractNum>
  <w:abstractNum w:abstractNumId="4">
    <w:nsid w:val="014BA838"/>
    <w:multiLevelType w:val="multilevel"/>
    <w:tmpl w:val="014BA838"/>
    <w:lvl w:ilvl="0" w:tentative="0">
      <w:start w:val="1"/>
      <w:numFmt w:val="decimal"/>
      <w:suff w:val="nothing"/>
      <w:lvlText w:val="%1."/>
      <w:lvlJc w:val="left"/>
      <w:pPr>
        <w:ind w:left="420" w:hanging="420"/>
      </w:pPr>
      <w:rPr>
        <w:rFonts w:hint="eastAsia"/>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5">
    <w:nsid w:val="09BC1E18"/>
    <w:multiLevelType w:val="multilevel"/>
    <w:tmpl w:val="09BC1E18"/>
    <w:lvl w:ilvl="0" w:tentative="0">
      <w:start w:val="1"/>
      <w:numFmt w:val="decimal"/>
      <w:suff w:val="nothing"/>
      <w:lvlText w:val="%1"/>
      <w:lvlJc w:val="left"/>
      <w:pPr>
        <w:ind w:left="1425" w:hanging="440"/>
      </w:pPr>
      <w:rPr>
        <w:rFonts w:hint="default"/>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6">
    <w:nsid w:val="196A1C14"/>
    <w:multiLevelType w:val="multilevel"/>
    <w:tmpl w:val="196A1C14"/>
    <w:lvl w:ilvl="0" w:tentative="0">
      <w:start w:val="1"/>
      <w:numFmt w:val="decimal"/>
      <w:suff w:val="nothing"/>
      <w:lvlText w:val="（%1）"/>
      <w:lvlJc w:val="left"/>
      <w:pPr>
        <w:ind w:left="1000" w:hanging="440"/>
      </w:pPr>
      <w:rPr>
        <w:rFonts w:hint="eastAsia"/>
      </w:rPr>
    </w:lvl>
    <w:lvl w:ilvl="1" w:tentative="0">
      <w:start w:val="1"/>
      <w:numFmt w:val="lowerLetter"/>
      <w:lvlText w:val="%2)"/>
      <w:lvlJc w:val="left"/>
      <w:pPr>
        <w:ind w:left="1440" w:hanging="440"/>
      </w:pPr>
    </w:lvl>
    <w:lvl w:ilvl="2" w:tentative="0">
      <w:start w:val="1"/>
      <w:numFmt w:val="lowerRoman"/>
      <w:lvlText w:val="%3."/>
      <w:lvlJc w:val="right"/>
      <w:pPr>
        <w:ind w:left="1880" w:hanging="440"/>
      </w:pPr>
    </w:lvl>
    <w:lvl w:ilvl="3" w:tentative="0">
      <w:start w:val="1"/>
      <w:numFmt w:val="decimal"/>
      <w:lvlText w:val="%4."/>
      <w:lvlJc w:val="left"/>
      <w:pPr>
        <w:ind w:left="2320" w:hanging="440"/>
      </w:pPr>
    </w:lvl>
    <w:lvl w:ilvl="4" w:tentative="0">
      <w:start w:val="1"/>
      <w:numFmt w:val="lowerLetter"/>
      <w:lvlText w:val="%5)"/>
      <w:lvlJc w:val="left"/>
      <w:pPr>
        <w:ind w:left="2760" w:hanging="440"/>
      </w:pPr>
    </w:lvl>
    <w:lvl w:ilvl="5" w:tentative="0">
      <w:start w:val="1"/>
      <w:numFmt w:val="lowerRoman"/>
      <w:lvlText w:val="%6."/>
      <w:lvlJc w:val="right"/>
      <w:pPr>
        <w:ind w:left="3200" w:hanging="440"/>
      </w:pPr>
    </w:lvl>
    <w:lvl w:ilvl="6" w:tentative="0">
      <w:start w:val="1"/>
      <w:numFmt w:val="decimal"/>
      <w:lvlText w:val="%7."/>
      <w:lvlJc w:val="left"/>
      <w:pPr>
        <w:ind w:left="3640" w:hanging="440"/>
      </w:pPr>
    </w:lvl>
    <w:lvl w:ilvl="7" w:tentative="0">
      <w:start w:val="1"/>
      <w:numFmt w:val="lowerLetter"/>
      <w:lvlText w:val="%8)"/>
      <w:lvlJc w:val="left"/>
      <w:pPr>
        <w:ind w:left="4080" w:hanging="440"/>
      </w:pPr>
    </w:lvl>
    <w:lvl w:ilvl="8" w:tentative="0">
      <w:start w:val="1"/>
      <w:numFmt w:val="lowerRoman"/>
      <w:lvlText w:val="%9."/>
      <w:lvlJc w:val="right"/>
      <w:pPr>
        <w:ind w:left="4520" w:hanging="440"/>
      </w:pPr>
    </w:lvl>
  </w:abstractNum>
  <w:abstractNum w:abstractNumId="7">
    <w:nsid w:val="1A8DC6EB"/>
    <w:multiLevelType w:val="multilevel"/>
    <w:tmpl w:val="1A8DC6EB"/>
    <w:lvl w:ilvl="0" w:tentative="0">
      <w:start w:val="1"/>
      <w:numFmt w:val="decimal"/>
      <w:suff w:val="nothing"/>
      <w:lvlText w:val="（%1）"/>
      <w:lvlJc w:val="left"/>
      <w:pPr>
        <w:ind w:left="43" w:firstLine="561"/>
      </w:pPr>
      <w:rPr>
        <w:rFonts w:hint="default"/>
      </w:rPr>
    </w:lvl>
    <w:lvl w:ilvl="1" w:tentative="0">
      <w:start w:val="1"/>
      <w:numFmt w:val="lowerLetter"/>
      <w:lvlText w:val="%2)"/>
      <w:lvlJc w:val="left"/>
      <w:pPr>
        <w:tabs>
          <w:tab w:val="left" w:pos="879"/>
        </w:tabs>
        <w:ind w:left="879" w:hanging="420"/>
      </w:pPr>
      <w:rPr>
        <w:rFonts w:hint="eastAsia"/>
      </w:rPr>
    </w:lvl>
    <w:lvl w:ilvl="2" w:tentative="0">
      <w:start w:val="1"/>
      <w:numFmt w:val="lowerRoman"/>
      <w:lvlText w:val="%3."/>
      <w:lvlJc w:val="right"/>
      <w:pPr>
        <w:tabs>
          <w:tab w:val="left" w:pos="1299"/>
        </w:tabs>
        <w:ind w:left="1299" w:hanging="420"/>
      </w:pPr>
      <w:rPr>
        <w:rFonts w:hint="eastAsia"/>
      </w:rPr>
    </w:lvl>
    <w:lvl w:ilvl="3" w:tentative="0">
      <w:start w:val="1"/>
      <w:numFmt w:val="decimal"/>
      <w:lvlText w:val="%4."/>
      <w:lvlJc w:val="left"/>
      <w:pPr>
        <w:tabs>
          <w:tab w:val="left" w:pos="1719"/>
        </w:tabs>
        <w:ind w:left="1719" w:hanging="420"/>
      </w:pPr>
      <w:rPr>
        <w:rFonts w:hint="eastAsia"/>
      </w:rPr>
    </w:lvl>
    <w:lvl w:ilvl="4" w:tentative="0">
      <w:start w:val="1"/>
      <w:numFmt w:val="lowerLetter"/>
      <w:lvlText w:val="%5)"/>
      <w:lvlJc w:val="left"/>
      <w:pPr>
        <w:tabs>
          <w:tab w:val="left" w:pos="2139"/>
        </w:tabs>
        <w:ind w:left="2139" w:hanging="420"/>
      </w:pPr>
      <w:rPr>
        <w:rFonts w:hint="eastAsia"/>
      </w:rPr>
    </w:lvl>
    <w:lvl w:ilvl="5" w:tentative="0">
      <w:start w:val="1"/>
      <w:numFmt w:val="lowerRoman"/>
      <w:lvlText w:val="%6."/>
      <w:lvlJc w:val="right"/>
      <w:pPr>
        <w:tabs>
          <w:tab w:val="left" w:pos="2559"/>
        </w:tabs>
        <w:ind w:left="2559" w:hanging="420"/>
      </w:pPr>
      <w:rPr>
        <w:rFonts w:hint="eastAsia"/>
      </w:rPr>
    </w:lvl>
    <w:lvl w:ilvl="6" w:tentative="0">
      <w:start w:val="1"/>
      <w:numFmt w:val="decimal"/>
      <w:lvlText w:val="%7."/>
      <w:lvlJc w:val="left"/>
      <w:pPr>
        <w:tabs>
          <w:tab w:val="left" w:pos="2979"/>
        </w:tabs>
        <w:ind w:left="2979" w:hanging="420"/>
      </w:pPr>
      <w:rPr>
        <w:rFonts w:hint="eastAsia"/>
      </w:rPr>
    </w:lvl>
    <w:lvl w:ilvl="7" w:tentative="0">
      <w:start w:val="1"/>
      <w:numFmt w:val="lowerLetter"/>
      <w:lvlText w:val="%8)"/>
      <w:lvlJc w:val="left"/>
      <w:pPr>
        <w:tabs>
          <w:tab w:val="left" w:pos="3399"/>
        </w:tabs>
        <w:ind w:left="3399" w:hanging="420"/>
      </w:pPr>
      <w:rPr>
        <w:rFonts w:hint="eastAsia"/>
      </w:rPr>
    </w:lvl>
    <w:lvl w:ilvl="8" w:tentative="0">
      <w:start w:val="1"/>
      <w:numFmt w:val="lowerRoman"/>
      <w:lvlText w:val="%9."/>
      <w:lvlJc w:val="right"/>
      <w:pPr>
        <w:tabs>
          <w:tab w:val="left" w:pos="3819"/>
        </w:tabs>
        <w:ind w:left="3819" w:hanging="420"/>
      </w:pPr>
      <w:rPr>
        <w:rFonts w:hint="eastAsia"/>
      </w:rPr>
    </w:lvl>
  </w:abstractNum>
  <w:abstractNum w:abstractNumId="8">
    <w:nsid w:val="1D6E49AC"/>
    <w:multiLevelType w:val="multilevel"/>
    <w:tmpl w:val="1D6E49AC"/>
    <w:lvl w:ilvl="0" w:tentative="0">
      <w:start w:val="1"/>
      <w:numFmt w:val="decimal"/>
      <w:suff w:val="nothing"/>
      <w:lvlText w:val="%1."/>
      <w:lvlJc w:val="left"/>
      <w:pPr>
        <w:ind w:left="420" w:hanging="420"/>
      </w:pPr>
      <w:rPr>
        <w:rFonts w:hint="eastAsia"/>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9">
    <w:nsid w:val="1F3FC499"/>
    <w:multiLevelType w:val="singleLevel"/>
    <w:tmpl w:val="1F3FC499"/>
    <w:lvl w:ilvl="0" w:tentative="0">
      <w:start w:val="1"/>
      <w:numFmt w:val="decimal"/>
      <w:lvlText w:val="%1."/>
      <w:lvlJc w:val="left"/>
      <w:pPr>
        <w:ind w:left="425" w:hanging="425"/>
      </w:pPr>
      <w:rPr>
        <w:rFonts w:hint="default"/>
      </w:rPr>
    </w:lvl>
  </w:abstractNum>
  <w:abstractNum w:abstractNumId="10">
    <w:nsid w:val="20C5D892"/>
    <w:multiLevelType w:val="singleLevel"/>
    <w:tmpl w:val="20C5D892"/>
    <w:lvl w:ilvl="0" w:tentative="0">
      <w:start w:val="1"/>
      <w:numFmt w:val="decimal"/>
      <w:suff w:val="nothing"/>
      <w:lvlText w:val="%1."/>
      <w:lvlJc w:val="left"/>
      <w:pPr>
        <w:ind w:left="440" w:hanging="440"/>
      </w:pPr>
      <w:rPr>
        <w:rFonts w:hint="default"/>
      </w:rPr>
    </w:lvl>
  </w:abstractNum>
  <w:abstractNum w:abstractNumId="11">
    <w:nsid w:val="31B63DD0"/>
    <w:multiLevelType w:val="multilevel"/>
    <w:tmpl w:val="31B63DD0"/>
    <w:lvl w:ilvl="0" w:tentative="0">
      <w:start w:val="1"/>
      <w:numFmt w:val="decimal"/>
      <w:suff w:val="nothing"/>
      <w:lvlText w:val="（%1）"/>
      <w:lvlJc w:val="left"/>
      <w:pPr>
        <w:ind w:left="1425" w:hanging="440"/>
      </w:pPr>
      <w:rPr>
        <w:rFonts w:hint="eastAsia"/>
      </w:rPr>
    </w:lvl>
    <w:lvl w:ilvl="1" w:tentative="0">
      <w:start w:val="1"/>
      <w:numFmt w:val="lowerLetter"/>
      <w:lvlText w:val="%2)"/>
      <w:lvlJc w:val="left"/>
      <w:pPr>
        <w:ind w:left="1865" w:hanging="440"/>
      </w:pPr>
    </w:lvl>
    <w:lvl w:ilvl="2" w:tentative="0">
      <w:start w:val="1"/>
      <w:numFmt w:val="lowerRoman"/>
      <w:lvlText w:val="%3."/>
      <w:lvlJc w:val="right"/>
      <w:pPr>
        <w:ind w:left="2305" w:hanging="440"/>
      </w:pPr>
    </w:lvl>
    <w:lvl w:ilvl="3" w:tentative="0">
      <w:start w:val="1"/>
      <w:numFmt w:val="decimal"/>
      <w:lvlText w:val="%4."/>
      <w:lvlJc w:val="left"/>
      <w:pPr>
        <w:ind w:left="2745" w:hanging="440"/>
      </w:pPr>
    </w:lvl>
    <w:lvl w:ilvl="4" w:tentative="0">
      <w:start w:val="1"/>
      <w:numFmt w:val="lowerLetter"/>
      <w:lvlText w:val="%5)"/>
      <w:lvlJc w:val="left"/>
      <w:pPr>
        <w:ind w:left="3185" w:hanging="440"/>
      </w:pPr>
    </w:lvl>
    <w:lvl w:ilvl="5" w:tentative="0">
      <w:start w:val="1"/>
      <w:numFmt w:val="lowerRoman"/>
      <w:lvlText w:val="%6."/>
      <w:lvlJc w:val="right"/>
      <w:pPr>
        <w:ind w:left="3625" w:hanging="440"/>
      </w:pPr>
    </w:lvl>
    <w:lvl w:ilvl="6" w:tentative="0">
      <w:start w:val="1"/>
      <w:numFmt w:val="decimal"/>
      <w:lvlText w:val="%7."/>
      <w:lvlJc w:val="left"/>
      <w:pPr>
        <w:ind w:left="4065" w:hanging="440"/>
      </w:pPr>
    </w:lvl>
    <w:lvl w:ilvl="7" w:tentative="0">
      <w:start w:val="1"/>
      <w:numFmt w:val="lowerLetter"/>
      <w:lvlText w:val="%8)"/>
      <w:lvlJc w:val="left"/>
      <w:pPr>
        <w:ind w:left="4505" w:hanging="440"/>
      </w:pPr>
    </w:lvl>
    <w:lvl w:ilvl="8" w:tentative="0">
      <w:start w:val="1"/>
      <w:numFmt w:val="lowerRoman"/>
      <w:lvlText w:val="%9."/>
      <w:lvlJc w:val="right"/>
      <w:pPr>
        <w:ind w:left="4945" w:hanging="440"/>
      </w:pPr>
    </w:lvl>
  </w:abstractNum>
  <w:abstractNum w:abstractNumId="12">
    <w:nsid w:val="37265BF6"/>
    <w:multiLevelType w:val="multilevel"/>
    <w:tmpl w:val="37265BF6"/>
    <w:lvl w:ilvl="0" w:tentative="0">
      <w:start w:val="1"/>
      <w:numFmt w:val="decimal"/>
      <w:suff w:val="nothing"/>
      <w:lvlText w:val="%1."/>
      <w:lvlJc w:val="left"/>
      <w:pPr>
        <w:ind w:left="420" w:hanging="420"/>
      </w:pPr>
      <w:rPr>
        <w:rFonts w:hint="eastAsia"/>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3">
    <w:nsid w:val="53D48CDD"/>
    <w:multiLevelType w:val="multilevel"/>
    <w:tmpl w:val="53D48CDD"/>
    <w:lvl w:ilvl="0" w:tentative="0">
      <w:start w:val="1"/>
      <w:numFmt w:val="decimal"/>
      <w:suff w:val="nothing"/>
      <w:lvlText w:val="%1"/>
      <w:lvlJc w:val="left"/>
      <w:pPr>
        <w:ind w:left="317" w:hanging="317"/>
      </w:pPr>
      <w:rPr>
        <w:rFonts w:hint="eastAsia"/>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57507230"/>
    <w:multiLevelType w:val="multilevel"/>
    <w:tmpl w:val="57507230"/>
    <w:lvl w:ilvl="0" w:tentative="0">
      <w:start w:val="1"/>
      <w:numFmt w:val="decimal"/>
      <w:suff w:val="nothing"/>
      <w:lvlText w:val="（%1）"/>
      <w:lvlJc w:val="left"/>
      <w:pPr>
        <w:ind w:left="1425" w:hanging="440"/>
      </w:pPr>
      <w:rPr>
        <w:rFonts w:hint="eastAsia"/>
      </w:rPr>
    </w:lvl>
    <w:lvl w:ilvl="1" w:tentative="0">
      <w:start w:val="1"/>
      <w:numFmt w:val="lowerLetter"/>
      <w:lvlText w:val="%2)"/>
      <w:lvlJc w:val="left"/>
      <w:pPr>
        <w:ind w:left="1865" w:hanging="440"/>
      </w:pPr>
    </w:lvl>
    <w:lvl w:ilvl="2" w:tentative="0">
      <w:start w:val="1"/>
      <w:numFmt w:val="lowerRoman"/>
      <w:lvlText w:val="%3."/>
      <w:lvlJc w:val="right"/>
      <w:pPr>
        <w:ind w:left="2305" w:hanging="440"/>
      </w:pPr>
    </w:lvl>
    <w:lvl w:ilvl="3" w:tentative="0">
      <w:start w:val="1"/>
      <w:numFmt w:val="decimal"/>
      <w:lvlText w:val="%4."/>
      <w:lvlJc w:val="left"/>
      <w:pPr>
        <w:ind w:left="2745" w:hanging="440"/>
      </w:pPr>
    </w:lvl>
    <w:lvl w:ilvl="4" w:tentative="0">
      <w:start w:val="1"/>
      <w:numFmt w:val="lowerLetter"/>
      <w:lvlText w:val="%5)"/>
      <w:lvlJc w:val="left"/>
      <w:pPr>
        <w:ind w:left="3185" w:hanging="440"/>
      </w:pPr>
    </w:lvl>
    <w:lvl w:ilvl="5" w:tentative="0">
      <w:start w:val="1"/>
      <w:numFmt w:val="lowerRoman"/>
      <w:lvlText w:val="%6."/>
      <w:lvlJc w:val="right"/>
      <w:pPr>
        <w:ind w:left="3625" w:hanging="440"/>
      </w:pPr>
    </w:lvl>
    <w:lvl w:ilvl="6" w:tentative="0">
      <w:start w:val="1"/>
      <w:numFmt w:val="decimal"/>
      <w:lvlText w:val="%7."/>
      <w:lvlJc w:val="left"/>
      <w:pPr>
        <w:ind w:left="4065" w:hanging="440"/>
      </w:pPr>
    </w:lvl>
    <w:lvl w:ilvl="7" w:tentative="0">
      <w:start w:val="1"/>
      <w:numFmt w:val="lowerLetter"/>
      <w:lvlText w:val="%8)"/>
      <w:lvlJc w:val="left"/>
      <w:pPr>
        <w:ind w:left="4505" w:hanging="440"/>
      </w:pPr>
    </w:lvl>
    <w:lvl w:ilvl="8" w:tentative="0">
      <w:start w:val="1"/>
      <w:numFmt w:val="lowerRoman"/>
      <w:lvlText w:val="%9."/>
      <w:lvlJc w:val="right"/>
      <w:pPr>
        <w:ind w:left="4945" w:hanging="440"/>
      </w:pPr>
    </w:lvl>
  </w:abstractNum>
  <w:abstractNum w:abstractNumId="15">
    <w:nsid w:val="63EB707D"/>
    <w:multiLevelType w:val="multilevel"/>
    <w:tmpl w:val="63EB707D"/>
    <w:lvl w:ilvl="0" w:tentative="0">
      <w:start w:val="1"/>
      <w:numFmt w:val="decimal"/>
      <w:suff w:val="nothing"/>
      <w:lvlText w:val="（%1）"/>
      <w:lvlJc w:val="left"/>
      <w:pPr>
        <w:ind w:left="1425" w:hanging="440"/>
      </w:pPr>
      <w:rPr>
        <w:rFonts w:hint="eastAsia"/>
      </w:rPr>
    </w:lvl>
    <w:lvl w:ilvl="1" w:tentative="0">
      <w:start w:val="1"/>
      <w:numFmt w:val="lowerLetter"/>
      <w:lvlText w:val="%2)"/>
      <w:lvlJc w:val="left"/>
      <w:pPr>
        <w:ind w:left="1865" w:hanging="440"/>
      </w:pPr>
    </w:lvl>
    <w:lvl w:ilvl="2" w:tentative="0">
      <w:start w:val="1"/>
      <w:numFmt w:val="lowerRoman"/>
      <w:lvlText w:val="%3."/>
      <w:lvlJc w:val="right"/>
      <w:pPr>
        <w:ind w:left="2305" w:hanging="440"/>
      </w:pPr>
    </w:lvl>
    <w:lvl w:ilvl="3" w:tentative="0">
      <w:start w:val="1"/>
      <w:numFmt w:val="decimal"/>
      <w:lvlText w:val="%4."/>
      <w:lvlJc w:val="left"/>
      <w:pPr>
        <w:ind w:left="2745" w:hanging="440"/>
      </w:pPr>
    </w:lvl>
    <w:lvl w:ilvl="4" w:tentative="0">
      <w:start w:val="1"/>
      <w:numFmt w:val="lowerLetter"/>
      <w:lvlText w:val="%5)"/>
      <w:lvlJc w:val="left"/>
      <w:pPr>
        <w:ind w:left="3185" w:hanging="440"/>
      </w:pPr>
    </w:lvl>
    <w:lvl w:ilvl="5" w:tentative="0">
      <w:start w:val="1"/>
      <w:numFmt w:val="lowerRoman"/>
      <w:lvlText w:val="%6."/>
      <w:lvlJc w:val="right"/>
      <w:pPr>
        <w:ind w:left="3625" w:hanging="440"/>
      </w:pPr>
    </w:lvl>
    <w:lvl w:ilvl="6" w:tentative="0">
      <w:start w:val="1"/>
      <w:numFmt w:val="decimal"/>
      <w:lvlText w:val="%7."/>
      <w:lvlJc w:val="left"/>
      <w:pPr>
        <w:ind w:left="4065" w:hanging="440"/>
      </w:pPr>
    </w:lvl>
    <w:lvl w:ilvl="7" w:tentative="0">
      <w:start w:val="1"/>
      <w:numFmt w:val="lowerLetter"/>
      <w:lvlText w:val="%8)"/>
      <w:lvlJc w:val="left"/>
      <w:pPr>
        <w:ind w:left="4505" w:hanging="440"/>
      </w:pPr>
    </w:lvl>
    <w:lvl w:ilvl="8" w:tentative="0">
      <w:start w:val="1"/>
      <w:numFmt w:val="lowerRoman"/>
      <w:lvlText w:val="%9."/>
      <w:lvlJc w:val="right"/>
      <w:pPr>
        <w:ind w:left="4945" w:hanging="440"/>
      </w:pPr>
    </w:lvl>
  </w:abstractNum>
  <w:abstractNum w:abstractNumId="16">
    <w:nsid w:val="67545328"/>
    <w:multiLevelType w:val="multilevel"/>
    <w:tmpl w:val="67545328"/>
    <w:lvl w:ilvl="0" w:tentative="0">
      <w:start w:val="1"/>
      <w:numFmt w:val="decimal"/>
      <w:suff w:val="nothing"/>
      <w:lvlText w:val="（%1）"/>
      <w:lvlJc w:val="left"/>
      <w:pPr>
        <w:ind w:left="1425" w:hanging="440"/>
      </w:pPr>
      <w:rPr>
        <w:rFonts w:hint="eastAsia"/>
      </w:rPr>
    </w:lvl>
    <w:lvl w:ilvl="1" w:tentative="0">
      <w:start w:val="1"/>
      <w:numFmt w:val="lowerLetter"/>
      <w:lvlText w:val="%2)"/>
      <w:lvlJc w:val="left"/>
      <w:pPr>
        <w:ind w:left="1865" w:hanging="440"/>
      </w:pPr>
    </w:lvl>
    <w:lvl w:ilvl="2" w:tentative="0">
      <w:start w:val="1"/>
      <w:numFmt w:val="lowerRoman"/>
      <w:lvlText w:val="%3."/>
      <w:lvlJc w:val="right"/>
      <w:pPr>
        <w:ind w:left="2305" w:hanging="440"/>
      </w:pPr>
    </w:lvl>
    <w:lvl w:ilvl="3" w:tentative="0">
      <w:start w:val="1"/>
      <w:numFmt w:val="decimal"/>
      <w:lvlText w:val="%4."/>
      <w:lvlJc w:val="left"/>
      <w:pPr>
        <w:ind w:left="2745" w:hanging="440"/>
      </w:pPr>
    </w:lvl>
    <w:lvl w:ilvl="4" w:tentative="0">
      <w:start w:val="1"/>
      <w:numFmt w:val="lowerLetter"/>
      <w:lvlText w:val="%5)"/>
      <w:lvlJc w:val="left"/>
      <w:pPr>
        <w:ind w:left="3185" w:hanging="440"/>
      </w:pPr>
    </w:lvl>
    <w:lvl w:ilvl="5" w:tentative="0">
      <w:start w:val="1"/>
      <w:numFmt w:val="lowerRoman"/>
      <w:lvlText w:val="%6."/>
      <w:lvlJc w:val="right"/>
      <w:pPr>
        <w:ind w:left="3625" w:hanging="440"/>
      </w:pPr>
    </w:lvl>
    <w:lvl w:ilvl="6" w:tentative="0">
      <w:start w:val="1"/>
      <w:numFmt w:val="decimal"/>
      <w:lvlText w:val="%7."/>
      <w:lvlJc w:val="left"/>
      <w:pPr>
        <w:ind w:left="4065" w:hanging="440"/>
      </w:pPr>
    </w:lvl>
    <w:lvl w:ilvl="7" w:tentative="0">
      <w:start w:val="1"/>
      <w:numFmt w:val="lowerLetter"/>
      <w:lvlText w:val="%8)"/>
      <w:lvlJc w:val="left"/>
      <w:pPr>
        <w:ind w:left="4505" w:hanging="440"/>
      </w:pPr>
    </w:lvl>
    <w:lvl w:ilvl="8" w:tentative="0">
      <w:start w:val="1"/>
      <w:numFmt w:val="lowerRoman"/>
      <w:lvlText w:val="%9."/>
      <w:lvlJc w:val="right"/>
      <w:pPr>
        <w:ind w:left="4945" w:hanging="440"/>
      </w:pPr>
    </w:lvl>
  </w:abstractNum>
  <w:abstractNum w:abstractNumId="17">
    <w:nsid w:val="7479168F"/>
    <w:multiLevelType w:val="multilevel"/>
    <w:tmpl w:val="7479168F"/>
    <w:lvl w:ilvl="0" w:tentative="0">
      <w:start w:val="1"/>
      <w:numFmt w:val="decimal"/>
      <w:suff w:val="nothing"/>
      <w:lvlText w:val="（%1）"/>
      <w:lvlJc w:val="left"/>
      <w:pPr>
        <w:ind w:left="1425" w:hanging="440"/>
      </w:pPr>
      <w:rPr>
        <w:rFonts w:hint="eastAsia"/>
      </w:rPr>
    </w:lvl>
    <w:lvl w:ilvl="1" w:tentative="0">
      <w:start w:val="1"/>
      <w:numFmt w:val="lowerLetter"/>
      <w:lvlText w:val="%2)"/>
      <w:lvlJc w:val="left"/>
      <w:pPr>
        <w:ind w:left="1865" w:hanging="440"/>
      </w:pPr>
    </w:lvl>
    <w:lvl w:ilvl="2" w:tentative="0">
      <w:start w:val="1"/>
      <w:numFmt w:val="lowerRoman"/>
      <w:lvlText w:val="%3."/>
      <w:lvlJc w:val="right"/>
      <w:pPr>
        <w:ind w:left="2305" w:hanging="440"/>
      </w:pPr>
    </w:lvl>
    <w:lvl w:ilvl="3" w:tentative="0">
      <w:start w:val="1"/>
      <w:numFmt w:val="decimal"/>
      <w:lvlText w:val="%4."/>
      <w:lvlJc w:val="left"/>
      <w:pPr>
        <w:ind w:left="2745" w:hanging="440"/>
      </w:pPr>
    </w:lvl>
    <w:lvl w:ilvl="4" w:tentative="0">
      <w:start w:val="1"/>
      <w:numFmt w:val="lowerLetter"/>
      <w:lvlText w:val="%5)"/>
      <w:lvlJc w:val="left"/>
      <w:pPr>
        <w:ind w:left="3185" w:hanging="440"/>
      </w:pPr>
    </w:lvl>
    <w:lvl w:ilvl="5" w:tentative="0">
      <w:start w:val="1"/>
      <w:numFmt w:val="lowerRoman"/>
      <w:lvlText w:val="%6."/>
      <w:lvlJc w:val="right"/>
      <w:pPr>
        <w:ind w:left="3625" w:hanging="440"/>
      </w:pPr>
    </w:lvl>
    <w:lvl w:ilvl="6" w:tentative="0">
      <w:start w:val="1"/>
      <w:numFmt w:val="decimal"/>
      <w:lvlText w:val="%7."/>
      <w:lvlJc w:val="left"/>
      <w:pPr>
        <w:ind w:left="4065" w:hanging="440"/>
      </w:pPr>
    </w:lvl>
    <w:lvl w:ilvl="7" w:tentative="0">
      <w:start w:val="1"/>
      <w:numFmt w:val="lowerLetter"/>
      <w:lvlText w:val="%8)"/>
      <w:lvlJc w:val="left"/>
      <w:pPr>
        <w:ind w:left="4505" w:hanging="440"/>
      </w:pPr>
    </w:lvl>
    <w:lvl w:ilvl="8" w:tentative="0">
      <w:start w:val="1"/>
      <w:numFmt w:val="lowerRoman"/>
      <w:lvlText w:val="%9."/>
      <w:lvlJc w:val="right"/>
      <w:pPr>
        <w:ind w:left="4945" w:hanging="440"/>
      </w:pPr>
    </w:lvl>
  </w:abstractNum>
  <w:abstractNum w:abstractNumId="18">
    <w:nsid w:val="7FEDD841"/>
    <w:multiLevelType w:val="multilevel"/>
    <w:tmpl w:val="7FEDD841"/>
    <w:lvl w:ilvl="0" w:tentative="0">
      <w:start w:val="1"/>
      <w:numFmt w:val="decimal"/>
      <w:suff w:val="nothing"/>
      <w:lvlText w:val="%1."/>
      <w:lvlJc w:val="left"/>
      <w:pPr>
        <w:ind w:left="420" w:hanging="420"/>
      </w:pPr>
      <w:rPr>
        <w:rFonts w:hint="eastAsia"/>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num w:numId="1">
    <w:abstractNumId w:val="11"/>
  </w:num>
  <w:num w:numId="2">
    <w:abstractNumId w:val="16"/>
  </w:num>
  <w:num w:numId="3">
    <w:abstractNumId w:val="14"/>
  </w:num>
  <w:num w:numId="4">
    <w:abstractNumId w:val="15"/>
  </w:num>
  <w:num w:numId="5">
    <w:abstractNumId w:val="7"/>
  </w:num>
  <w:num w:numId="6">
    <w:abstractNumId w:val="17"/>
  </w:num>
  <w:num w:numId="7">
    <w:abstractNumId w:val="5"/>
  </w:num>
  <w:num w:numId="8">
    <w:abstractNumId w:val="9"/>
  </w:num>
  <w:num w:numId="9">
    <w:abstractNumId w:val="0"/>
  </w:num>
  <w:num w:numId="10">
    <w:abstractNumId w:val="12"/>
  </w:num>
  <w:num w:numId="11">
    <w:abstractNumId w:val="1"/>
  </w:num>
  <w:num w:numId="12">
    <w:abstractNumId w:val="18"/>
  </w:num>
  <w:num w:numId="13">
    <w:abstractNumId w:val="10"/>
  </w:num>
  <w:num w:numId="14">
    <w:abstractNumId w:val="4"/>
  </w:num>
  <w:num w:numId="15">
    <w:abstractNumId w:val="8"/>
  </w:num>
  <w:num w:numId="16">
    <w:abstractNumId w:val="2"/>
  </w:num>
  <w:num w:numId="17">
    <w:abstractNumId w:val="13"/>
  </w:num>
  <w:num w:numId="18">
    <w:abstractNumId w:val="3"/>
  </w:num>
  <w:num w:numId="1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1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 w:val="00000305"/>
    <w:rsid w:val="000257BE"/>
    <w:rsid w:val="00030CD6"/>
    <w:rsid w:val="00035167"/>
    <w:rsid w:val="00041688"/>
    <w:rsid w:val="00045E1D"/>
    <w:rsid w:val="00047541"/>
    <w:rsid w:val="000553C6"/>
    <w:rsid w:val="00061779"/>
    <w:rsid w:val="00070803"/>
    <w:rsid w:val="00073AD5"/>
    <w:rsid w:val="000A7A21"/>
    <w:rsid w:val="000B0F71"/>
    <w:rsid w:val="000B5491"/>
    <w:rsid w:val="000B5868"/>
    <w:rsid w:val="000C1505"/>
    <w:rsid w:val="000D3046"/>
    <w:rsid w:val="000D3C60"/>
    <w:rsid w:val="000D5766"/>
    <w:rsid w:val="000D5D62"/>
    <w:rsid w:val="000D6188"/>
    <w:rsid w:val="000D7C0D"/>
    <w:rsid w:val="000E4B52"/>
    <w:rsid w:val="00111446"/>
    <w:rsid w:val="001240BA"/>
    <w:rsid w:val="00124FBD"/>
    <w:rsid w:val="00133387"/>
    <w:rsid w:val="001401AD"/>
    <w:rsid w:val="00150FA3"/>
    <w:rsid w:val="00155043"/>
    <w:rsid w:val="001664C7"/>
    <w:rsid w:val="00173A02"/>
    <w:rsid w:val="00175B2F"/>
    <w:rsid w:val="001B27C7"/>
    <w:rsid w:val="001B6AE4"/>
    <w:rsid w:val="001C6ABD"/>
    <w:rsid w:val="001D4104"/>
    <w:rsid w:val="001D42FF"/>
    <w:rsid w:val="001F2341"/>
    <w:rsid w:val="001F3FFE"/>
    <w:rsid w:val="002156EC"/>
    <w:rsid w:val="00240E74"/>
    <w:rsid w:val="00255AF1"/>
    <w:rsid w:val="00264510"/>
    <w:rsid w:val="002766BD"/>
    <w:rsid w:val="002863D8"/>
    <w:rsid w:val="0028777A"/>
    <w:rsid w:val="002A6187"/>
    <w:rsid w:val="002B72FC"/>
    <w:rsid w:val="002B7733"/>
    <w:rsid w:val="002C1E98"/>
    <w:rsid w:val="002D1580"/>
    <w:rsid w:val="002E218C"/>
    <w:rsid w:val="002E3B61"/>
    <w:rsid w:val="002E7140"/>
    <w:rsid w:val="00312CAA"/>
    <w:rsid w:val="003214E9"/>
    <w:rsid w:val="00332284"/>
    <w:rsid w:val="00341153"/>
    <w:rsid w:val="003427FF"/>
    <w:rsid w:val="00350857"/>
    <w:rsid w:val="00360623"/>
    <w:rsid w:val="003633D4"/>
    <w:rsid w:val="00365F53"/>
    <w:rsid w:val="00366759"/>
    <w:rsid w:val="003773CA"/>
    <w:rsid w:val="003800AA"/>
    <w:rsid w:val="00380168"/>
    <w:rsid w:val="00392711"/>
    <w:rsid w:val="003A154D"/>
    <w:rsid w:val="003A4055"/>
    <w:rsid w:val="003A4848"/>
    <w:rsid w:val="003A5732"/>
    <w:rsid w:val="003C45D2"/>
    <w:rsid w:val="003E5E57"/>
    <w:rsid w:val="003F39EC"/>
    <w:rsid w:val="003F575B"/>
    <w:rsid w:val="00401BBB"/>
    <w:rsid w:val="00414D60"/>
    <w:rsid w:val="00420480"/>
    <w:rsid w:val="00420B97"/>
    <w:rsid w:val="00441102"/>
    <w:rsid w:val="00447545"/>
    <w:rsid w:val="004532DC"/>
    <w:rsid w:val="00484B70"/>
    <w:rsid w:val="00487A08"/>
    <w:rsid w:val="004903A5"/>
    <w:rsid w:val="004B4BCC"/>
    <w:rsid w:val="004B5B41"/>
    <w:rsid w:val="004B6296"/>
    <w:rsid w:val="004B7EA5"/>
    <w:rsid w:val="004D285F"/>
    <w:rsid w:val="004D4050"/>
    <w:rsid w:val="004D60A5"/>
    <w:rsid w:val="004F0AEE"/>
    <w:rsid w:val="004F321F"/>
    <w:rsid w:val="00501D74"/>
    <w:rsid w:val="00502B13"/>
    <w:rsid w:val="00514220"/>
    <w:rsid w:val="00531ABB"/>
    <w:rsid w:val="00540AA7"/>
    <w:rsid w:val="005572E7"/>
    <w:rsid w:val="0056181D"/>
    <w:rsid w:val="00563F34"/>
    <w:rsid w:val="00576EBF"/>
    <w:rsid w:val="00583830"/>
    <w:rsid w:val="00590CCB"/>
    <w:rsid w:val="0059339A"/>
    <w:rsid w:val="005A44E8"/>
    <w:rsid w:val="005B2273"/>
    <w:rsid w:val="005B7194"/>
    <w:rsid w:val="005B7DDB"/>
    <w:rsid w:val="005C2721"/>
    <w:rsid w:val="005D621C"/>
    <w:rsid w:val="005F0533"/>
    <w:rsid w:val="00612E6D"/>
    <w:rsid w:val="00615F68"/>
    <w:rsid w:val="006176EA"/>
    <w:rsid w:val="00623A14"/>
    <w:rsid w:val="00625CF9"/>
    <w:rsid w:val="00631B93"/>
    <w:rsid w:val="00640480"/>
    <w:rsid w:val="00642BE1"/>
    <w:rsid w:val="006479C9"/>
    <w:rsid w:val="00661194"/>
    <w:rsid w:val="00665647"/>
    <w:rsid w:val="0067138D"/>
    <w:rsid w:val="006A469B"/>
    <w:rsid w:val="006A70A6"/>
    <w:rsid w:val="006B041E"/>
    <w:rsid w:val="006B1F70"/>
    <w:rsid w:val="006D15E0"/>
    <w:rsid w:val="006E2349"/>
    <w:rsid w:val="006E68C5"/>
    <w:rsid w:val="00705985"/>
    <w:rsid w:val="00711305"/>
    <w:rsid w:val="00711360"/>
    <w:rsid w:val="0071737D"/>
    <w:rsid w:val="00720482"/>
    <w:rsid w:val="00725CAA"/>
    <w:rsid w:val="00735A5C"/>
    <w:rsid w:val="007376F9"/>
    <w:rsid w:val="00745D82"/>
    <w:rsid w:val="00755B79"/>
    <w:rsid w:val="007676C4"/>
    <w:rsid w:val="00767CA7"/>
    <w:rsid w:val="00777C13"/>
    <w:rsid w:val="007822D0"/>
    <w:rsid w:val="00796279"/>
    <w:rsid w:val="007A182E"/>
    <w:rsid w:val="007A5544"/>
    <w:rsid w:val="007B6024"/>
    <w:rsid w:val="007E27D4"/>
    <w:rsid w:val="007F2C0C"/>
    <w:rsid w:val="00803DC4"/>
    <w:rsid w:val="008436CB"/>
    <w:rsid w:val="00846773"/>
    <w:rsid w:val="00886178"/>
    <w:rsid w:val="00894175"/>
    <w:rsid w:val="008A1FC7"/>
    <w:rsid w:val="008A5D02"/>
    <w:rsid w:val="008B1104"/>
    <w:rsid w:val="008B34CA"/>
    <w:rsid w:val="008D1B9B"/>
    <w:rsid w:val="008D2766"/>
    <w:rsid w:val="008D71C8"/>
    <w:rsid w:val="0090469D"/>
    <w:rsid w:val="009208C5"/>
    <w:rsid w:val="009224E6"/>
    <w:rsid w:val="00926A0D"/>
    <w:rsid w:val="00950006"/>
    <w:rsid w:val="009502E3"/>
    <w:rsid w:val="00950EDD"/>
    <w:rsid w:val="00954537"/>
    <w:rsid w:val="009713D6"/>
    <w:rsid w:val="009812F1"/>
    <w:rsid w:val="0099034E"/>
    <w:rsid w:val="009915EE"/>
    <w:rsid w:val="009A173D"/>
    <w:rsid w:val="009B7AA2"/>
    <w:rsid w:val="009E3523"/>
    <w:rsid w:val="00A115A4"/>
    <w:rsid w:val="00A16335"/>
    <w:rsid w:val="00A17043"/>
    <w:rsid w:val="00A25B84"/>
    <w:rsid w:val="00A33419"/>
    <w:rsid w:val="00A4331A"/>
    <w:rsid w:val="00A46D49"/>
    <w:rsid w:val="00A649F8"/>
    <w:rsid w:val="00A840E7"/>
    <w:rsid w:val="00A9217A"/>
    <w:rsid w:val="00A97F60"/>
    <w:rsid w:val="00AA60E8"/>
    <w:rsid w:val="00AD6D1B"/>
    <w:rsid w:val="00AE3071"/>
    <w:rsid w:val="00AE3A4D"/>
    <w:rsid w:val="00AF2782"/>
    <w:rsid w:val="00AF4F97"/>
    <w:rsid w:val="00B04BC4"/>
    <w:rsid w:val="00B32AA3"/>
    <w:rsid w:val="00B40CA5"/>
    <w:rsid w:val="00B534F8"/>
    <w:rsid w:val="00B841B9"/>
    <w:rsid w:val="00BA68DE"/>
    <w:rsid w:val="00BB16C2"/>
    <w:rsid w:val="00BB296E"/>
    <w:rsid w:val="00BC2555"/>
    <w:rsid w:val="00BE25A5"/>
    <w:rsid w:val="00BF774D"/>
    <w:rsid w:val="00C07DA9"/>
    <w:rsid w:val="00C2251A"/>
    <w:rsid w:val="00C23749"/>
    <w:rsid w:val="00C344FC"/>
    <w:rsid w:val="00C35ADC"/>
    <w:rsid w:val="00C374D7"/>
    <w:rsid w:val="00C43CF9"/>
    <w:rsid w:val="00C5246E"/>
    <w:rsid w:val="00C67530"/>
    <w:rsid w:val="00CB0446"/>
    <w:rsid w:val="00CC61E4"/>
    <w:rsid w:val="00CD44A1"/>
    <w:rsid w:val="00CE0CDB"/>
    <w:rsid w:val="00CE393F"/>
    <w:rsid w:val="00D01551"/>
    <w:rsid w:val="00D01A65"/>
    <w:rsid w:val="00D0658F"/>
    <w:rsid w:val="00D06D6E"/>
    <w:rsid w:val="00D108BD"/>
    <w:rsid w:val="00D21249"/>
    <w:rsid w:val="00D24A38"/>
    <w:rsid w:val="00D33AA4"/>
    <w:rsid w:val="00D3652D"/>
    <w:rsid w:val="00D37F30"/>
    <w:rsid w:val="00D51113"/>
    <w:rsid w:val="00D72501"/>
    <w:rsid w:val="00DA450D"/>
    <w:rsid w:val="00DA58FF"/>
    <w:rsid w:val="00DB3176"/>
    <w:rsid w:val="00DC07A8"/>
    <w:rsid w:val="00DF1E90"/>
    <w:rsid w:val="00E00A14"/>
    <w:rsid w:val="00E02FE9"/>
    <w:rsid w:val="00E0510A"/>
    <w:rsid w:val="00E32C7D"/>
    <w:rsid w:val="00E33816"/>
    <w:rsid w:val="00E36392"/>
    <w:rsid w:val="00E673BF"/>
    <w:rsid w:val="00E750DB"/>
    <w:rsid w:val="00E82BD8"/>
    <w:rsid w:val="00E95266"/>
    <w:rsid w:val="00EB1638"/>
    <w:rsid w:val="00EB2DBC"/>
    <w:rsid w:val="00ED5991"/>
    <w:rsid w:val="00EE177E"/>
    <w:rsid w:val="00EE47EF"/>
    <w:rsid w:val="00EE766A"/>
    <w:rsid w:val="00EF14C6"/>
    <w:rsid w:val="00F050A7"/>
    <w:rsid w:val="00F10FE0"/>
    <w:rsid w:val="00F147C7"/>
    <w:rsid w:val="00F2639A"/>
    <w:rsid w:val="00F26D9B"/>
    <w:rsid w:val="00F4038D"/>
    <w:rsid w:val="00F4099D"/>
    <w:rsid w:val="00F5718F"/>
    <w:rsid w:val="00F76F29"/>
    <w:rsid w:val="00F81A43"/>
    <w:rsid w:val="00FA0C97"/>
    <w:rsid w:val="00FB790E"/>
    <w:rsid w:val="00FC206D"/>
    <w:rsid w:val="00FD18B0"/>
    <w:rsid w:val="00FD7CE8"/>
    <w:rsid w:val="00FE6B6A"/>
    <w:rsid w:val="00FF0BF4"/>
    <w:rsid w:val="01AB4D9F"/>
    <w:rsid w:val="01AD40F7"/>
    <w:rsid w:val="02DD15FD"/>
    <w:rsid w:val="02FB0F23"/>
    <w:rsid w:val="032B1C69"/>
    <w:rsid w:val="033A6417"/>
    <w:rsid w:val="037A416C"/>
    <w:rsid w:val="0432239B"/>
    <w:rsid w:val="04512AA1"/>
    <w:rsid w:val="046B3B59"/>
    <w:rsid w:val="046F4C72"/>
    <w:rsid w:val="047446C1"/>
    <w:rsid w:val="04FA2D68"/>
    <w:rsid w:val="05007FC0"/>
    <w:rsid w:val="05105FFF"/>
    <w:rsid w:val="054D11D4"/>
    <w:rsid w:val="067508F8"/>
    <w:rsid w:val="067D5340"/>
    <w:rsid w:val="06D67206"/>
    <w:rsid w:val="071F0864"/>
    <w:rsid w:val="073A5F23"/>
    <w:rsid w:val="077A05DF"/>
    <w:rsid w:val="078A3A42"/>
    <w:rsid w:val="07EF1137"/>
    <w:rsid w:val="088A7239"/>
    <w:rsid w:val="08CE0793"/>
    <w:rsid w:val="08DA43AA"/>
    <w:rsid w:val="09205C20"/>
    <w:rsid w:val="0A9E65C4"/>
    <w:rsid w:val="0AE40FAC"/>
    <w:rsid w:val="0B9675FD"/>
    <w:rsid w:val="0BB7312D"/>
    <w:rsid w:val="0C4F38D4"/>
    <w:rsid w:val="0C62397B"/>
    <w:rsid w:val="0CA22E2D"/>
    <w:rsid w:val="0CF313B3"/>
    <w:rsid w:val="0D3D7161"/>
    <w:rsid w:val="0D8458C4"/>
    <w:rsid w:val="0D941631"/>
    <w:rsid w:val="0D961154"/>
    <w:rsid w:val="0D993EA2"/>
    <w:rsid w:val="0E122ED0"/>
    <w:rsid w:val="0E604004"/>
    <w:rsid w:val="0EA45162"/>
    <w:rsid w:val="0EDB6080"/>
    <w:rsid w:val="0F0C791F"/>
    <w:rsid w:val="0F15094E"/>
    <w:rsid w:val="0F7B6F59"/>
    <w:rsid w:val="0F8C03E9"/>
    <w:rsid w:val="0F9A76FA"/>
    <w:rsid w:val="10400042"/>
    <w:rsid w:val="11FD6CBF"/>
    <w:rsid w:val="11FD6FEC"/>
    <w:rsid w:val="121A6330"/>
    <w:rsid w:val="12AA7B7B"/>
    <w:rsid w:val="12FA2086"/>
    <w:rsid w:val="14186D67"/>
    <w:rsid w:val="14AA6679"/>
    <w:rsid w:val="14FC6C19"/>
    <w:rsid w:val="15977B77"/>
    <w:rsid w:val="15D33E1B"/>
    <w:rsid w:val="16007AB2"/>
    <w:rsid w:val="16417E92"/>
    <w:rsid w:val="16AF3C4F"/>
    <w:rsid w:val="16D55995"/>
    <w:rsid w:val="17342109"/>
    <w:rsid w:val="173F5B93"/>
    <w:rsid w:val="177A0D4E"/>
    <w:rsid w:val="17C822A6"/>
    <w:rsid w:val="17CA65CA"/>
    <w:rsid w:val="17F358C6"/>
    <w:rsid w:val="1881137E"/>
    <w:rsid w:val="18A622D4"/>
    <w:rsid w:val="18DD3F15"/>
    <w:rsid w:val="1923532E"/>
    <w:rsid w:val="19DA090F"/>
    <w:rsid w:val="1A586534"/>
    <w:rsid w:val="1A7F48EC"/>
    <w:rsid w:val="1B972C67"/>
    <w:rsid w:val="1C3332ED"/>
    <w:rsid w:val="1C39453A"/>
    <w:rsid w:val="1C654D74"/>
    <w:rsid w:val="1CCC06EE"/>
    <w:rsid w:val="1CDD3995"/>
    <w:rsid w:val="1CE01AE2"/>
    <w:rsid w:val="1CF67BCD"/>
    <w:rsid w:val="1CF95BF3"/>
    <w:rsid w:val="1D2D1860"/>
    <w:rsid w:val="1D4F5B75"/>
    <w:rsid w:val="1DB775F0"/>
    <w:rsid w:val="1DFE7D75"/>
    <w:rsid w:val="1E8B4689"/>
    <w:rsid w:val="1F0F60B7"/>
    <w:rsid w:val="1F455030"/>
    <w:rsid w:val="1FC658C9"/>
    <w:rsid w:val="20035881"/>
    <w:rsid w:val="200A1E80"/>
    <w:rsid w:val="200F3706"/>
    <w:rsid w:val="21327060"/>
    <w:rsid w:val="22C81463"/>
    <w:rsid w:val="235E52E6"/>
    <w:rsid w:val="23C14D25"/>
    <w:rsid w:val="2496149D"/>
    <w:rsid w:val="24AC382C"/>
    <w:rsid w:val="253B139F"/>
    <w:rsid w:val="256046D2"/>
    <w:rsid w:val="25D26AE3"/>
    <w:rsid w:val="26296BB1"/>
    <w:rsid w:val="262E54DE"/>
    <w:rsid w:val="267F6D23"/>
    <w:rsid w:val="2688232C"/>
    <w:rsid w:val="270E4690"/>
    <w:rsid w:val="27EB00D4"/>
    <w:rsid w:val="28341EBE"/>
    <w:rsid w:val="284D6007"/>
    <w:rsid w:val="289B01DE"/>
    <w:rsid w:val="293673C6"/>
    <w:rsid w:val="29AD3DB0"/>
    <w:rsid w:val="29F00112"/>
    <w:rsid w:val="2A946947"/>
    <w:rsid w:val="2A9E74B7"/>
    <w:rsid w:val="2B3058F8"/>
    <w:rsid w:val="2BB807BB"/>
    <w:rsid w:val="2C3D26A8"/>
    <w:rsid w:val="2C715C24"/>
    <w:rsid w:val="2C954FA0"/>
    <w:rsid w:val="2CB83086"/>
    <w:rsid w:val="2DAF2092"/>
    <w:rsid w:val="2DD35787"/>
    <w:rsid w:val="2E880C0B"/>
    <w:rsid w:val="2EE1627B"/>
    <w:rsid w:val="2EEA4AF5"/>
    <w:rsid w:val="30984809"/>
    <w:rsid w:val="309E1A93"/>
    <w:rsid w:val="30F53DC2"/>
    <w:rsid w:val="31413001"/>
    <w:rsid w:val="31413C60"/>
    <w:rsid w:val="32D37AC5"/>
    <w:rsid w:val="331D27C2"/>
    <w:rsid w:val="33370B5F"/>
    <w:rsid w:val="33882539"/>
    <w:rsid w:val="33C17068"/>
    <w:rsid w:val="346458D9"/>
    <w:rsid w:val="348F4438"/>
    <w:rsid w:val="349C5452"/>
    <w:rsid w:val="358478DE"/>
    <w:rsid w:val="35C62B77"/>
    <w:rsid w:val="35C742F2"/>
    <w:rsid w:val="362751E6"/>
    <w:rsid w:val="364E2784"/>
    <w:rsid w:val="3706419F"/>
    <w:rsid w:val="37294F53"/>
    <w:rsid w:val="37C6744E"/>
    <w:rsid w:val="389821B8"/>
    <w:rsid w:val="38C509BB"/>
    <w:rsid w:val="391978B8"/>
    <w:rsid w:val="39B7093C"/>
    <w:rsid w:val="39DC7D6B"/>
    <w:rsid w:val="3A6F691C"/>
    <w:rsid w:val="3ACB215D"/>
    <w:rsid w:val="3AED7F58"/>
    <w:rsid w:val="3B950811"/>
    <w:rsid w:val="3C0A0990"/>
    <w:rsid w:val="3C122C5E"/>
    <w:rsid w:val="3C17667C"/>
    <w:rsid w:val="3C22162C"/>
    <w:rsid w:val="3C3519B4"/>
    <w:rsid w:val="3CAE1141"/>
    <w:rsid w:val="3CFD6976"/>
    <w:rsid w:val="3D387034"/>
    <w:rsid w:val="3E483849"/>
    <w:rsid w:val="3E4B3711"/>
    <w:rsid w:val="3EC7548D"/>
    <w:rsid w:val="3F4F4D4B"/>
    <w:rsid w:val="3F943FDD"/>
    <w:rsid w:val="3FB4520D"/>
    <w:rsid w:val="406F5494"/>
    <w:rsid w:val="41132669"/>
    <w:rsid w:val="412510D7"/>
    <w:rsid w:val="414D71F4"/>
    <w:rsid w:val="417D62D7"/>
    <w:rsid w:val="41E9402A"/>
    <w:rsid w:val="41FC1E13"/>
    <w:rsid w:val="42537038"/>
    <w:rsid w:val="42776CD8"/>
    <w:rsid w:val="42A15A05"/>
    <w:rsid w:val="4346094B"/>
    <w:rsid w:val="43944187"/>
    <w:rsid w:val="439C4F3A"/>
    <w:rsid w:val="43D93FB5"/>
    <w:rsid w:val="43EB4321"/>
    <w:rsid w:val="44254A04"/>
    <w:rsid w:val="44296F04"/>
    <w:rsid w:val="44A01179"/>
    <w:rsid w:val="459B6D2C"/>
    <w:rsid w:val="45C06792"/>
    <w:rsid w:val="467C3D10"/>
    <w:rsid w:val="46B01C72"/>
    <w:rsid w:val="47176362"/>
    <w:rsid w:val="4785311F"/>
    <w:rsid w:val="47CE1265"/>
    <w:rsid w:val="47E258FD"/>
    <w:rsid w:val="48767174"/>
    <w:rsid w:val="48D42BD6"/>
    <w:rsid w:val="48FF5824"/>
    <w:rsid w:val="49845EF9"/>
    <w:rsid w:val="498C57D5"/>
    <w:rsid w:val="4A612F82"/>
    <w:rsid w:val="4B3A6697"/>
    <w:rsid w:val="4BA174EE"/>
    <w:rsid w:val="4BA6449D"/>
    <w:rsid w:val="4BC3413A"/>
    <w:rsid w:val="4C3C152F"/>
    <w:rsid w:val="4C704745"/>
    <w:rsid w:val="4DAE5A6A"/>
    <w:rsid w:val="4E1B241D"/>
    <w:rsid w:val="4E445F13"/>
    <w:rsid w:val="4E5D366E"/>
    <w:rsid w:val="4FC72142"/>
    <w:rsid w:val="5057197F"/>
    <w:rsid w:val="50AD5555"/>
    <w:rsid w:val="50D77787"/>
    <w:rsid w:val="50F9524E"/>
    <w:rsid w:val="52104117"/>
    <w:rsid w:val="52CE6722"/>
    <w:rsid w:val="53083527"/>
    <w:rsid w:val="53163530"/>
    <w:rsid w:val="533572B3"/>
    <w:rsid w:val="53D0359A"/>
    <w:rsid w:val="54A75C14"/>
    <w:rsid w:val="54B609E9"/>
    <w:rsid w:val="54BE47E5"/>
    <w:rsid w:val="54C2712D"/>
    <w:rsid w:val="54F16B28"/>
    <w:rsid w:val="5507380D"/>
    <w:rsid w:val="55E93AE3"/>
    <w:rsid w:val="56656D7E"/>
    <w:rsid w:val="57803FD4"/>
    <w:rsid w:val="5885115B"/>
    <w:rsid w:val="58EB7B73"/>
    <w:rsid w:val="58F5454D"/>
    <w:rsid w:val="59F63480"/>
    <w:rsid w:val="5A396CCA"/>
    <w:rsid w:val="5A5A4311"/>
    <w:rsid w:val="5AFE5EC8"/>
    <w:rsid w:val="5B0F59BC"/>
    <w:rsid w:val="5B5D7C55"/>
    <w:rsid w:val="5B632E2C"/>
    <w:rsid w:val="5B836AC1"/>
    <w:rsid w:val="5BB4735D"/>
    <w:rsid w:val="5BFF56FD"/>
    <w:rsid w:val="5C001B87"/>
    <w:rsid w:val="5CB32A24"/>
    <w:rsid w:val="5D830CBA"/>
    <w:rsid w:val="5D8E28EA"/>
    <w:rsid w:val="5E0715FD"/>
    <w:rsid w:val="5E807942"/>
    <w:rsid w:val="5EC549C2"/>
    <w:rsid w:val="5EEE4ACB"/>
    <w:rsid w:val="5F3D4EF9"/>
    <w:rsid w:val="609063EF"/>
    <w:rsid w:val="609570E0"/>
    <w:rsid w:val="60DA29A7"/>
    <w:rsid w:val="612D6ECF"/>
    <w:rsid w:val="613E085A"/>
    <w:rsid w:val="61587D6F"/>
    <w:rsid w:val="62D625CE"/>
    <w:rsid w:val="63073911"/>
    <w:rsid w:val="63465AD3"/>
    <w:rsid w:val="63787336"/>
    <w:rsid w:val="64104931"/>
    <w:rsid w:val="646A3866"/>
    <w:rsid w:val="6503635B"/>
    <w:rsid w:val="650647F6"/>
    <w:rsid w:val="6555631C"/>
    <w:rsid w:val="65835215"/>
    <w:rsid w:val="65D5198E"/>
    <w:rsid w:val="65D91C95"/>
    <w:rsid w:val="65EE15F0"/>
    <w:rsid w:val="677A364E"/>
    <w:rsid w:val="6793565D"/>
    <w:rsid w:val="68282ED8"/>
    <w:rsid w:val="68404FAA"/>
    <w:rsid w:val="696C27B7"/>
    <w:rsid w:val="69821E2D"/>
    <w:rsid w:val="698E7C7B"/>
    <w:rsid w:val="69BA05B0"/>
    <w:rsid w:val="6A941E18"/>
    <w:rsid w:val="6C36189A"/>
    <w:rsid w:val="6C5B2B27"/>
    <w:rsid w:val="6D3D7A81"/>
    <w:rsid w:val="6D49190F"/>
    <w:rsid w:val="6DB427D1"/>
    <w:rsid w:val="6E872B75"/>
    <w:rsid w:val="6F157583"/>
    <w:rsid w:val="6F464371"/>
    <w:rsid w:val="6F485B05"/>
    <w:rsid w:val="6F4B6A65"/>
    <w:rsid w:val="701A2DBF"/>
    <w:rsid w:val="71001F0B"/>
    <w:rsid w:val="72136023"/>
    <w:rsid w:val="72307BB4"/>
    <w:rsid w:val="7274263A"/>
    <w:rsid w:val="72A8342B"/>
    <w:rsid w:val="72E73382"/>
    <w:rsid w:val="73124222"/>
    <w:rsid w:val="73C6513F"/>
    <w:rsid w:val="73E5694F"/>
    <w:rsid w:val="74DB2D8E"/>
    <w:rsid w:val="750805DB"/>
    <w:rsid w:val="75660FA8"/>
    <w:rsid w:val="75D6242A"/>
    <w:rsid w:val="75F7308F"/>
    <w:rsid w:val="7603595B"/>
    <w:rsid w:val="762166C0"/>
    <w:rsid w:val="765E6156"/>
    <w:rsid w:val="772244C8"/>
    <w:rsid w:val="7729410C"/>
    <w:rsid w:val="77337AC0"/>
    <w:rsid w:val="782E1A46"/>
    <w:rsid w:val="78C36F8E"/>
    <w:rsid w:val="78E924E1"/>
    <w:rsid w:val="795B6E10"/>
    <w:rsid w:val="799B7652"/>
    <w:rsid w:val="79D03FB4"/>
    <w:rsid w:val="79E525F4"/>
    <w:rsid w:val="7A350AC5"/>
    <w:rsid w:val="7A410F49"/>
    <w:rsid w:val="7A4D5B40"/>
    <w:rsid w:val="7B01056D"/>
    <w:rsid w:val="7B3C6521"/>
    <w:rsid w:val="7BDF51F8"/>
    <w:rsid w:val="7C5143D4"/>
    <w:rsid w:val="7C6333F8"/>
    <w:rsid w:val="7C891AF3"/>
    <w:rsid w:val="7C8D48D0"/>
    <w:rsid w:val="7C952D39"/>
    <w:rsid w:val="7D487C1C"/>
    <w:rsid w:val="7E5D3E91"/>
    <w:rsid w:val="7EFA5DA2"/>
    <w:rsid w:val="7F342657"/>
    <w:rsid w:val="7F473382"/>
    <w:rsid w:val="7F792004"/>
    <w:rsid w:val="7FC30CD3"/>
    <w:rsid w:val="7FFD47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styleId="2">
    <w:name w:val="heading 1"/>
    <w:basedOn w:val="1"/>
    <w:next w:val="1"/>
    <w:link w:val="24"/>
    <w:qFormat/>
    <w:uiPriority w:val="9"/>
    <w:pPr>
      <w:keepNext/>
      <w:keepLines/>
      <w:spacing w:before="340" w:after="330" w:line="578" w:lineRule="auto"/>
      <w:outlineLvl w:val="0"/>
    </w:pPr>
    <w:rPr>
      <w:b/>
      <w:bCs/>
      <w:kern w:val="44"/>
      <w:sz w:val="44"/>
      <w:szCs w:val="44"/>
    </w:rPr>
  </w:style>
  <w:style w:type="paragraph" w:styleId="3">
    <w:name w:val="heading 3"/>
    <w:basedOn w:val="1"/>
    <w:next w:val="1"/>
    <w:link w:val="19"/>
    <w:semiHidden/>
    <w:unhideWhenUsed/>
    <w:qFormat/>
    <w:uiPriority w:val="9"/>
    <w:pPr>
      <w:keepNext/>
      <w:keepLines/>
      <w:spacing w:before="260" w:after="260" w:line="416" w:lineRule="auto"/>
      <w:outlineLvl w:val="2"/>
    </w:pPr>
    <w:rPr>
      <w:b/>
      <w:bCs/>
      <w:sz w:val="32"/>
      <w:szCs w:val="32"/>
    </w:rPr>
  </w:style>
  <w:style w:type="character" w:default="1" w:styleId="15">
    <w:name w:val="Default Paragraph Font"/>
    <w:semiHidden/>
    <w:unhideWhenUsed/>
    <w:qFormat/>
    <w:uiPriority w:val="1"/>
  </w:style>
  <w:style w:type="table" w:default="1" w:styleId="13">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styleId="4">
    <w:name w:val="Normal Indent"/>
    <w:basedOn w:val="1"/>
    <w:next w:val="1"/>
    <w:qFormat/>
    <w:uiPriority w:val="0"/>
    <w:pPr>
      <w:ind w:firstLine="420" w:firstLineChars="200"/>
    </w:pPr>
    <w:rPr>
      <w:szCs w:val="24"/>
    </w:rPr>
  </w:style>
  <w:style w:type="paragraph" w:styleId="5">
    <w:name w:val="Body Text"/>
    <w:basedOn w:val="1"/>
    <w:qFormat/>
    <w:uiPriority w:val="0"/>
    <w:pPr>
      <w:widowControl w:val="0"/>
    </w:pPr>
    <w:rPr>
      <w:rFonts w:ascii="宋体" w:hAnsi="宋体"/>
      <w:color w:val="FF0000"/>
      <w:kern w:val="2"/>
      <w:sz w:val="18"/>
      <w:lang w:eastAsia="zh-CN" w:bidi="ar-SA"/>
    </w:rPr>
  </w:style>
  <w:style w:type="paragraph" w:styleId="6">
    <w:name w:val="toc 3"/>
    <w:basedOn w:val="1"/>
    <w:next w:val="1"/>
    <w:autoRedefine/>
    <w:unhideWhenUsed/>
    <w:qFormat/>
    <w:uiPriority w:val="39"/>
    <w:pPr>
      <w:ind w:left="840" w:leftChars="400"/>
    </w:pPr>
  </w:style>
  <w:style w:type="paragraph" w:styleId="7">
    <w:name w:val="footer"/>
    <w:basedOn w:val="1"/>
    <w:link w:val="18"/>
    <w:unhideWhenUsed/>
    <w:qFormat/>
    <w:uiPriority w:val="99"/>
    <w:pPr>
      <w:tabs>
        <w:tab w:val="center" w:pos="4153"/>
        <w:tab w:val="right" w:pos="8306"/>
      </w:tabs>
      <w:snapToGrid w:val="0"/>
      <w:spacing w:line="240" w:lineRule="auto"/>
    </w:pPr>
    <w:rPr>
      <w:sz w:val="18"/>
      <w:szCs w:val="18"/>
    </w:rPr>
  </w:style>
  <w:style w:type="paragraph" w:styleId="8">
    <w:name w:val="header"/>
    <w:basedOn w:val="1"/>
    <w:link w:val="17"/>
    <w:unhideWhenUsed/>
    <w:qFormat/>
    <w:uiPriority w:val="99"/>
    <w:pPr>
      <w:tabs>
        <w:tab w:val="center" w:pos="4153"/>
        <w:tab w:val="right" w:pos="8306"/>
      </w:tabs>
      <w:snapToGrid w:val="0"/>
      <w:spacing w:line="240" w:lineRule="auto"/>
      <w:jc w:val="center"/>
    </w:pPr>
    <w:rPr>
      <w:sz w:val="18"/>
      <w:szCs w:val="18"/>
    </w:rPr>
  </w:style>
  <w:style w:type="paragraph" w:styleId="9">
    <w:name w:val="toc 1"/>
    <w:basedOn w:val="1"/>
    <w:next w:val="1"/>
    <w:autoRedefine/>
    <w:unhideWhenUsed/>
    <w:qFormat/>
    <w:uiPriority w:val="39"/>
  </w:style>
  <w:style w:type="paragraph" w:styleId="10">
    <w:name w:val="toc 2"/>
    <w:basedOn w:val="1"/>
    <w:next w:val="1"/>
    <w:autoRedefine/>
    <w:unhideWhenUsed/>
    <w:qFormat/>
    <w:uiPriority w:val="39"/>
    <w:pPr>
      <w:tabs>
        <w:tab w:val="right" w:leader="dot" w:pos="9174"/>
      </w:tabs>
      <w:adjustRightInd w:val="0"/>
      <w:snapToGrid w:val="0"/>
      <w:spacing w:after="0" w:line="360" w:lineRule="auto"/>
      <w:ind w:left="440" w:leftChars="200"/>
      <w:jc w:val="both"/>
    </w:pPr>
    <w:rPr>
      <w:rFonts w:ascii="Times New Roman" w:hAnsi="Times New Roman" w:eastAsia="黑体" w:cs="黑体"/>
      <w:sz w:val="28"/>
      <w:szCs w:val="28"/>
      <w14:ligatures w14:val="none"/>
    </w:rPr>
  </w:style>
  <w:style w:type="paragraph" w:styleId="11">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12">
    <w:name w:val="Body Text First Indent"/>
    <w:basedOn w:val="5"/>
    <w:unhideWhenUsed/>
    <w:qFormat/>
    <w:uiPriority w:val="0"/>
    <w:pPr>
      <w:widowControl/>
      <w:spacing w:after="120"/>
      <w:ind w:firstLine="420" w:firstLineChars="100"/>
    </w:pPr>
    <w:rPr>
      <w:rFonts w:ascii="Calibri" w:hAnsi="Calibri"/>
      <w:color w:val="auto"/>
      <w:kern w:val="0"/>
      <w:sz w:val="24"/>
      <w:lang w:eastAsia="en-US" w:bidi="en-US"/>
    </w:rPr>
  </w:style>
  <w:style w:type="table" w:styleId="14">
    <w:name w:val="Table Grid"/>
    <w:basedOn w:val="13"/>
    <w:qFormat/>
    <w:uiPriority w:val="5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6">
    <w:name w:val="Hyperlink"/>
    <w:basedOn w:val="15"/>
    <w:unhideWhenUsed/>
    <w:qFormat/>
    <w:uiPriority w:val="99"/>
    <w:rPr>
      <w:color w:val="467886" w:themeColor="hyperlink"/>
      <w:u w:val="single"/>
      <w14:textFill>
        <w14:solidFill>
          <w14:schemeClr w14:val="hlink"/>
        </w14:solidFill>
      </w14:textFill>
    </w:rPr>
  </w:style>
  <w:style w:type="character" w:customStyle="1" w:styleId="17">
    <w:name w:val="页眉 字符"/>
    <w:basedOn w:val="15"/>
    <w:link w:val="8"/>
    <w:qFormat/>
    <w:uiPriority w:val="99"/>
    <w:rPr>
      <w:sz w:val="18"/>
      <w:szCs w:val="18"/>
    </w:rPr>
  </w:style>
  <w:style w:type="character" w:customStyle="1" w:styleId="18">
    <w:name w:val="页脚 字符"/>
    <w:basedOn w:val="15"/>
    <w:link w:val="7"/>
    <w:qFormat/>
    <w:uiPriority w:val="99"/>
    <w:rPr>
      <w:sz w:val="18"/>
      <w:szCs w:val="18"/>
    </w:rPr>
  </w:style>
  <w:style w:type="character" w:customStyle="1" w:styleId="19">
    <w:name w:val="标题 3 字符"/>
    <w:basedOn w:val="15"/>
    <w:link w:val="3"/>
    <w:semiHidden/>
    <w:qFormat/>
    <w:uiPriority w:val="9"/>
    <w:rPr>
      <w:b/>
      <w:bCs/>
      <w:sz w:val="32"/>
      <w:szCs w:val="32"/>
    </w:rPr>
  </w:style>
  <w:style w:type="paragraph" w:styleId="20">
    <w:name w:val="List Paragraph"/>
    <w:basedOn w:val="1"/>
    <w:qFormat/>
    <w:uiPriority w:val="34"/>
    <w:pPr>
      <w:ind w:firstLine="420" w:firstLineChars="200"/>
    </w:pPr>
  </w:style>
  <w:style w:type="paragraph" w:customStyle="1" w:styleId="21">
    <w:name w:val="xingzhuang1"/>
    <w:basedOn w:val="1"/>
    <w:link w:val="22"/>
    <w:qFormat/>
    <w:uiPriority w:val="0"/>
    <w:pPr>
      <w:adjustRightInd w:val="0"/>
      <w:snapToGrid w:val="0"/>
      <w:spacing w:after="0" w:line="240" w:lineRule="auto"/>
      <w:jc w:val="both"/>
    </w:pPr>
    <w:rPr>
      <w:rFonts w:ascii="Times New Roman" w:hAnsi="Times New Roman" w:eastAsia="宋体" w:cs="Times New Roman"/>
      <w:sz w:val="21"/>
      <w:szCs w:val="28"/>
      <w14:ligatures w14:val="none"/>
    </w:rPr>
  </w:style>
  <w:style w:type="character" w:customStyle="1" w:styleId="22">
    <w:name w:val="xingzhuang1 字符"/>
    <w:basedOn w:val="15"/>
    <w:link w:val="21"/>
    <w:qFormat/>
    <w:uiPriority w:val="0"/>
    <w:rPr>
      <w:rFonts w:ascii="Times New Roman" w:hAnsi="Times New Roman" w:eastAsia="宋体" w:cs="Times New Roman"/>
      <w:sz w:val="21"/>
      <w:szCs w:val="28"/>
      <w14:ligatures w14:val="none"/>
    </w:rPr>
  </w:style>
  <w:style w:type="character" w:styleId="23">
    <w:name w:val="Placeholder Text"/>
    <w:basedOn w:val="15"/>
    <w:semiHidden/>
    <w:qFormat/>
    <w:uiPriority w:val="99"/>
    <w:rPr>
      <w:color w:val="666666"/>
    </w:rPr>
  </w:style>
  <w:style w:type="character" w:customStyle="1" w:styleId="24">
    <w:name w:val="标题 1 字符"/>
    <w:basedOn w:val="15"/>
    <w:link w:val="2"/>
    <w:qFormat/>
    <w:uiPriority w:val="9"/>
    <w:rPr>
      <w:b/>
      <w:bCs/>
      <w:kern w:val="44"/>
      <w:sz w:val="44"/>
      <w:szCs w:val="44"/>
    </w:rPr>
  </w:style>
  <w:style w:type="paragraph" w:customStyle="1" w:styleId="25">
    <w:name w:val="TOC Heading"/>
    <w:basedOn w:val="2"/>
    <w:next w:val="1"/>
    <w:unhideWhenUsed/>
    <w:qFormat/>
    <w:uiPriority w:val="39"/>
    <w:pPr>
      <w:widowControl/>
      <w:spacing w:before="240" w:after="0" w:line="259" w:lineRule="auto"/>
      <w:outlineLvl w:val="9"/>
    </w:pPr>
    <w:rPr>
      <w:rFonts w:asciiTheme="majorHAnsi" w:hAnsiTheme="majorHAnsi" w:eastAsiaTheme="majorEastAsia" w:cstheme="majorBidi"/>
      <w:b w:val="0"/>
      <w:bCs w:val="0"/>
      <w:color w:val="104862" w:themeColor="accent1" w:themeShade="BF"/>
      <w:kern w:val="0"/>
      <w:sz w:val="32"/>
      <w:szCs w:val="32"/>
      <w14:ligatures w14:val="none"/>
    </w:rPr>
  </w:style>
  <w:style w:type="paragraph" w:customStyle="1" w:styleId="26">
    <w:name w:val="zw"/>
    <w:basedOn w:val="1"/>
    <w:autoRedefine/>
    <w:qFormat/>
    <w:uiPriority w:val="0"/>
    <w:pPr>
      <w:spacing w:before="100" w:beforeAutospacing="1" w:after="100" w:afterAutospacing="1" w:line="440" w:lineRule="atLeast"/>
    </w:pPr>
    <w:rPr>
      <w:rFonts w:ascii="宋体" w:hAnsi="宋体" w:eastAsia="宋体" w:cs="宋体"/>
      <w:sz w:val="22"/>
      <w:szCs w:val="22"/>
      <w:lang w:eastAsia="zh-CN" w:bidi="ar-SA"/>
    </w:rPr>
  </w:style>
  <w:style w:type="character" w:customStyle="1" w:styleId="27">
    <w:name w:val="zw1"/>
    <w:autoRedefine/>
    <w:qFormat/>
    <w:uiPriority w:val="0"/>
    <w:rPr>
      <w:rFonts w:hint="eastAsia" w:ascii="宋体" w:hAnsi="宋体" w:eastAsia="宋体"/>
      <w:sz w:val="22"/>
      <w:szCs w:val="22"/>
    </w:rPr>
  </w:style>
  <w:style w:type="paragraph" w:customStyle="1" w:styleId="28">
    <w:name w:val="Other|1"/>
    <w:basedOn w:val="1"/>
    <w:qFormat/>
    <w:uiPriority w:val="0"/>
    <w:pPr>
      <w:widowControl w:val="0"/>
      <w:shd w:val="clear" w:color="auto" w:fill="auto"/>
      <w:spacing w:line="480" w:lineRule="auto"/>
      <w:ind w:firstLine="400"/>
    </w:pPr>
    <w:rPr>
      <w:rFonts w:ascii="宋体" w:hAnsi="宋体" w:eastAsia="宋体" w:cs="宋体"/>
      <w:sz w:val="26"/>
      <w:szCs w:val="26"/>
      <w:u w:val="none"/>
      <w:shd w:val="clear" w:color="auto" w:fill="auto"/>
      <w:lang w:val="zh-TW" w:eastAsia="zh-TW" w:bidi="zh-TW"/>
    </w:rPr>
  </w:style>
  <w:style w:type="paragraph" w:customStyle="1" w:styleId="29">
    <w:name w:val="a9"/>
    <w:basedOn w:val="1"/>
    <w:qFormat/>
    <w:uiPriority w:val="0"/>
    <w:pPr>
      <w:spacing w:before="100" w:beforeAutospacing="1" w:after="100" w:afterAutospacing="1"/>
    </w:pPr>
    <w:rPr>
      <w:rFonts w:ascii="宋体" w:hAnsi="宋体"/>
      <w:sz w:val="18"/>
      <w:szCs w:val="18"/>
      <w:lang w:eastAsia="zh-CN" w:bidi="ar-SA"/>
    </w:rPr>
  </w:style>
  <w:style w:type="table" w:customStyle="1" w:styleId="30">
    <w:name w:val="Table Normal"/>
    <w:semiHidden/>
    <w:unhideWhenUsed/>
    <w:qFormat/>
    <w:uiPriority w:val="0"/>
    <w:tblPr>
      <w:tblCellMar>
        <w:top w:w="0" w:type="dxa"/>
        <w:left w:w="0" w:type="dxa"/>
        <w:bottom w:w="0" w:type="dxa"/>
        <w:right w:w="0" w:type="dxa"/>
      </w:tblCellMar>
    </w:tblPr>
  </w:style>
  <w:style w:type="paragraph" w:customStyle="1" w:styleId="31">
    <w:name w:val="Table Text"/>
    <w:basedOn w:val="1"/>
    <w:semiHidden/>
    <w:qFormat/>
    <w:uiPriority w:val="0"/>
    <w:rPr>
      <w:rFonts w:ascii="宋体" w:hAnsi="宋体" w:eastAsia="宋体" w:cs="宋体"/>
      <w:sz w:val="24"/>
      <w:szCs w:val="24"/>
      <w:lang w:val="en-US" w:eastAsia="en-US" w:bidi="ar-SA"/>
    </w:rPr>
  </w:style>
  <w:style w:type="character" w:customStyle="1" w:styleId="32">
    <w:name w:val="fontstyle01"/>
    <w:basedOn w:val="15"/>
    <w:qFormat/>
    <w:uiPriority w:val="0"/>
    <w:rPr>
      <w:rFonts w:hint="eastAsia" w:ascii="宋体" w:hAnsi="宋体" w:eastAsia="宋体"/>
      <w:color w:val="000000"/>
      <w:sz w:val="28"/>
      <w:szCs w:val="2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2.xml"/><Relationship Id="rId1" Type="http://schemas.openxmlformats.org/officeDocument/2006/relationships/styles" Target="styles.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D32E673-8F22-491D-B698-F3B86A189190}">
  <ds:schemaRefs/>
</ds:datastoreItem>
</file>

<file path=docProps/app.xml><?xml version="1.0" encoding="utf-8"?>
<Properties xmlns="http://schemas.openxmlformats.org/officeDocument/2006/extended-properties" xmlns:vt="http://schemas.openxmlformats.org/officeDocument/2006/docPropsVTypes">
  <Template>Normal</Template>
  <Pages>71</Pages>
  <Words>11833</Words>
  <Characters>14398</Characters>
  <Lines>1</Lines>
  <Paragraphs>1</Paragraphs>
  <TotalTime>0</TotalTime>
  <ScaleCrop>false</ScaleCrop>
  <LinksUpToDate>false</LinksUpToDate>
  <CharactersWithSpaces>15306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2024-12-31T06:06:00Z</dcterms:created>
  <dc:creator>Administrator</dc:creator>
  <cp:lastModifiedBy>Y-</cp:lastModifiedBy>
  <cp:lastPrinted>2024-12-21T08:16:00Z</cp:lastPrinted>
  <dcterms:modified xsi:type="dcterms:W3CDTF">2025-11-26T04:02:23Z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eyJoZGlkIjoiZmI1ZjZjZjUxY2I0MGFlNzkwYTRmOGE2YjZlY2UwNzMiLCJ1c2VySWQiOiI4NzY5MTEwNzQifQ==</vt:lpwstr>
  </property>
  <property fmtid="{D5CDD505-2E9C-101B-9397-08002B2CF9AE}" pid="3" name="KSOProductBuildVer">
    <vt:lpwstr>2052-12.1.0.23542</vt:lpwstr>
  </property>
  <property fmtid="{D5CDD505-2E9C-101B-9397-08002B2CF9AE}" pid="4" name="ICV">
    <vt:lpwstr>6C1247E5F9CC425FB74A1B91492F0470_13</vt:lpwstr>
  </property>
</Properties>
</file>