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73FE8B" w14:textId="77777777" w:rsidR="00502148" w:rsidRDefault="00000000">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0" w:name="_Toc187164219"/>
      <w:bookmarkStart w:id="1" w:name="_Toc187309979"/>
      <w:bookmarkStart w:id="2" w:name="_Toc207368012"/>
      <w:bookmarkStart w:id="3" w:name="_Toc186786435"/>
      <w:bookmarkStart w:id="4" w:name="_Toc207639447"/>
      <w:bookmarkStart w:id="5" w:name="_Toc28326"/>
      <w:r>
        <w:rPr>
          <w:rFonts w:ascii="黑体" w:eastAsia="黑体" w:hAnsi="Times New Roman" w:cs="黑体" w:hint="eastAsia"/>
          <w:b/>
          <w:sz w:val="32"/>
          <w:szCs w:val="32"/>
          <w:lang w:bidi="ar"/>
          <w14:ligatures w14:val="none"/>
        </w:rPr>
        <w:t>前  言</w:t>
      </w:r>
      <w:bookmarkEnd w:id="0"/>
      <w:bookmarkEnd w:id="1"/>
      <w:bookmarkEnd w:id="2"/>
      <w:bookmarkEnd w:id="3"/>
      <w:bookmarkEnd w:id="4"/>
      <w:bookmarkEnd w:id="5"/>
    </w:p>
    <w:p w14:paraId="7AF8E4F9" w14:textId="77777777" w:rsidR="00502148" w:rsidRDefault="00000000">
      <w:pPr>
        <w:ind w:firstLine="560"/>
        <w:rPr>
          <w:rFonts w:ascii="Times New Roman" w:eastAsia="宋体" w:hAnsi="Times New Roman" w:cs="宋体"/>
          <w:szCs w:val="28"/>
          <w:lang w:bidi="ar"/>
          <w14:ligatures w14:val="none"/>
        </w:rPr>
      </w:pPr>
      <w:bookmarkStart w:id="6" w:name="_Hlk207446868"/>
      <w:r>
        <w:rPr>
          <w:rFonts w:ascii="Times New Roman" w:eastAsia="宋体" w:hAnsi="Times New Roman" w:cs="宋体"/>
          <w:szCs w:val="28"/>
          <w:lang w:bidi="ar"/>
          <w14:ligatures w14:val="none"/>
        </w:rPr>
        <w:t>中铁（辽宁）本桓高速公路有限公司成立于</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07</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注册地址为辽宁省本溪市明山区解放北路</w:t>
      </w:r>
      <w:r>
        <w:rPr>
          <w:rFonts w:ascii="Times New Roman" w:eastAsia="宋体" w:hAnsi="Times New Roman" w:cs="宋体"/>
          <w:szCs w:val="28"/>
          <w:lang w:bidi="ar"/>
          <w14:ligatures w14:val="none"/>
        </w:rPr>
        <w:t>129-1</w:t>
      </w:r>
      <w:r>
        <w:rPr>
          <w:rFonts w:ascii="Times New Roman" w:eastAsia="宋体" w:hAnsi="Times New Roman" w:cs="宋体"/>
          <w:szCs w:val="28"/>
          <w:lang w:bidi="ar"/>
          <w14:ligatures w14:val="none"/>
        </w:rPr>
        <w:t>号，法定代表人为</w:t>
      </w:r>
      <w:r>
        <w:rPr>
          <w:rFonts w:ascii="Times New Roman" w:eastAsia="宋体" w:hAnsi="Times New Roman" w:cs="宋体" w:hint="eastAsia"/>
          <w:szCs w:val="28"/>
          <w:lang w:bidi="ar"/>
          <w14:ligatures w14:val="none"/>
        </w:rPr>
        <w:t>刘宗华，</w:t>
      </w:r>
      <w:r>
        <w:rPr>
          <w:rFonts w:ascii="Times New Roman" w:eastAsia="宋体" w:hAnsi="Times New Roman" w:cs="宋体"/>
          <w:szCs w:val="28"/>
          <w:lang w:bidi="ar"/>
          <w14:ligatures w14:val="none"/>
        </w:rPr>
        <w:t>类型为有限责任公司。</w:t>
      </w:r>
      <w:r>
        <w:rPr>
          <w:rFonts w:ascii="Times New Roman" w:eastAsia="宋体" w:hAnsi="Times New Roman" w:cs="宋体" w:hint="eastAsia"/>
          <w:szCs w:val="28"/>
          <w:lang w:bidi="ar"/>
          <w14:ligatures w14:val="none"/>
        </w:rPr>
        <w:t>其</w:t>
      </w:r>
      <w:r>
        <w:rPr>
          <w:rFonts w:ascii="Times New Roman" w:eastAsia="宋体" w:hAnsi="Times New Roman" w:cs="宋体"/>
          <w:szCs w:val="28"/>
          <w:lang w:bidi="ar"/>
          <w14:ligatures w14:val="none"/>
        </w:rPr>
        <w:t>政府方出资代表辽宁省交通建设投资集团有限责任公司持有公司股权比例为</w:t>
      </w:r>
      <w:r>
        <w:rPr>
          <w:rFonts w:ascii="Times New Roman" w:eastAsia="宋体" w:hAnsi="Times New Roman" w:cs="宋体"/>
          <w:szCs w:val="28"/>
          <w:lang w:bidi="ar"/>
          <w14:ligatures w14:val="none"/>
        </w:rPr>
        <w:t>49%</w:t>
      </w:r>
      <w:r>
        <w:rPr>
          <w:rFonts w:ascii="Times New Roman" w:eastAsia="宋体" w:hAnsi="Times New Roman" w:cs="宋体"/>
          <w:szCs w:val="28"/>
          <w:lang w:bidi="ar"/>
          <w14:ligatures w14:val="none"/>
        </w:rPr>
        <w:t>，中国中铁股份有限公司联合体持有公司股权比例为</w:t>
      </w:r>
      <w:r>
        <w:rPr>
          <w:rFonts w:ascii="Times New Roman" w:eastAsia="宋体" w:hAnsi="Times New Roman" w:cs="宋体"/>
          <w:szCs w:val="28"/>
          <w:lang w:bidi="ar"/>
          <w14:ligatures w14:val="none"/>
        </w:rPr>
        <w:t>51%</w:t>
      </w:r>
      <w:r>
        <w:rPr>
          <w:rFonts w:ascii="Times New Roman" w:eastAsia="宋体" w:hAnsi="Times New Roman" w:cs="宋体" w:hint="eastAsia"/>
          <w:szCs w:val="28"/>
          <w:lang w:bidi="ar"/>
          <w14:ligatures w14:val="none"/>
        </w:rPr>
        <w:t>。主要从事</w:t>
      </w:r>
      <w:r>
        <w:rPr>
          <w:rFonts w:ascii="Times New Roman" w:eastAsia="宋体" w:hAnsi="Times New Roman" w:cs="宋体"/>
          <w:szCs w:val="28"/>
          <w:lang w:bidi="ar"/>
          <w14:ligatures w14:val="none"/>
        </w:rPr>
        <w:t>公路管理与养护，餐饮服务（不产生油烟、异味、废气），住宿服务</w:t>
      </w:r>
      <w:r>
        <w:rPr>
          <w:rFonts w:ascii="Times New Roman" w:eastAsia="宋体" w:hAnsi="Times New Roman" w:cs="宋体" w:hint="eastAsia"/>
          <w:szCs w:val="28"/>
          <w:lang w:bidi="ar"/>
          <w14:ligatures w14:val="none"/>
        </w:rPr>
        <w:t>等业务。</w:t>
      </w:r>
    </w:p>
    <w:bookmarkEnd w:id="6"/>
    <w:p w14:paraId="3975136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本溪至集安高速公路本溪至桓仁（辽吉界）段是国高网规划（</w:t>
      </w:r>
      <w:r>
        <w:rPr>
          <w:rFonts w:ascii="Times New Roman" w:eastAsia="宋体" w:hAnsi="Times New Roman" w:cs="宋体"/>
          <w:szCs w:val="28"/>
          <w:lang w:bidi="ar"/>
          <w14:ligatures w14:val="none"/>
        </w:rPr>
        <w:t>2013-2030</w:t>
      </w:r>
      <w:r>
        <w:rPr>
          <w:rFonts w:ascii="Times New Roman" w:eastAsia="宋体" w:hAnsi="Times New Roman" w:cs="宋体"/>
          <w:szCs w:val="28"/>
          <w:lang w:bidi="ar"/>
          <w14:ligatures w14:val="none"/>
        </w:rPr>
        <w:t>）的本溪至集安高速公路（</w:t>
      </w:r>
      <w:r>
        <w:rPr>
          <w:rFonts w:ascii="Times New Roman" w:eastAsia="宋体" w:hAnsi="Times New Roman" w:cs="宋体"/>
          <w:szCs w:val="28"/>
          <w:lang w:bidi="ar"/>
          <w14:ligatures w14:val="none"/>
        </w:rPr>
        <w:t>G9111</w:t>
      </w:r>
      <w:r>
        <w:rPr>
          <w:rFonts w:ascii="Times New Roman" w:eastAsia="宋体" w:hAnsi="Times New Roman" w:cs="宋体"/>
          <w:szCs w:val="28"/>
          <w:lang w:bidi="ar"/>
          <w14:ligatures w14:val="none"/>
        </w:rPr>
        <w:t>）中的一段，由中铁（辽宁）本桓高速公路有限公司投资建设，中铁（辽宁）本桓高速公路有限公司五里甸子服务区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w:t>
      </w:r>
      <w:r>
        <w:rPr>
          <w:rFonts w:ascii="Times New Roman" w:eastAsia="宋体" w:hAnsi="Times New Roman" w:cs="宋体" w:hint="eastAsia"/>
          <w:szCs w:val="28"/>
          <w:lang w:bidi="ar"/>
          <w14:ligatures w14:val="none"/>
        </w:rPr>
        <w:t>建设</w:t>
      </w:r>
      <w:r>
        <w:rPr>
          <w:rFonts w:ascii="Times New Roman" w:eastAsia="宋体" w:hAnsi="Times New Roman" w:cs="宋体"/>
          <w:szCs w:val="28"/>
          <w:lang w:bidi="ar"/>
          <w14:ligatures w14:val="none"/>
        </w:rPr>
        <w:t>项目位于该段高速公路本桓主线上，桓仁至</w:t>
      </w:r>
      <w:r>
        <w:rPr>
          <w:rFonts w:ascii="Times New Roman" w:eastAsia="宋体" w:hAnsi="Times New Roman" w:cs="宋体" w:hint="eastAsia"/>
          <w:szCs w:val="28"/>
          <w:lang w:bidi="ar"/>
          <w14:ligatures w14:val="none"/>
        </w:rPr>
        <w:t>集安</w:t>
      </w:r>
      <w:r>
        <w:rPr>
          <w:rFonts w:ascii="Times New Roman" w:eastAsia="宋体" w:hAnsi="Times New Roman" w:cs="宋体"/>
          <w:szCs w:val="28"/>
          <w:lang w:bidi="ar"/>
          <w14:ligatures w14:val="none"/>
        </w:rPr>
        <w:t>方向五里甸子服务区内，</w:t>
      </w:r>
      <w:r>
        <w:rPr>
          <w:rFonts w:ascii="Times New Roman" w:eastAsia="宋体" w:hAnsi="Times New Roman" w:cs="宋体" w:hint="eastAsia"/>
          <w:szCs w:val="28"/>
          <w:lang w:bidi="ar"/>
          <w14:ligatures w14:val="none"/>
        </w:rPr>
        <w:t>属于</w:t>
      </w:r>
      <w:r>
        <w:rPr>
          <w:rFonts w:ascii="Times New Roman" w:eastAsia="宋体" w:hAnsi="Times New Roman" w:cs="宋体"/>
          <w:szCs w:val="28"/>
          <w:lang w:bidi="ar"/>
          <w14:ligatures w14:val="none"/>
        </w:rPr>
        <w:t>桓仁满族自治县境内。</w:t>
      </w:r>
    </w:p>
    <w:p w14:paraId="5B7716E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中铁（辽宁）本桓高速公路有限公司（中铁（辽宁）本桓高速公路有限公司隶属于辽宁省交通建设投资集团有限责任公司）</w:t>
      </w:r>
      <w:r>
        <w:rPr>
          <w:rFonts w:ascii="Times New Roman" w:eastAsia="宋体" w:hAnsi="Times New Roman" w:cs="宋体" w:hint="eastAsia"/>
          <w:szCs w:val="28"/>
          <w:lang w:bidi="ar"/>
          <w14:ligatures w14:val="none"/>
        </w:rPr>
        <w:t>于</w:t>
      </w:r>
      <w:r>
        <w:rPr>
          <w:rFonts w:ascii="Times New Roman" w:eastAsia="宋体" w:hAnsi="Times New Roman" w:cs="宋体"/>
          <w:szCs w:val="28"/>
          <w:lang w:bidi="ar"/>
          <w14:ligatures w14:val="none"/>
        </w:rPr>
        <w:t>202</w:t>
      </w:r>
      <w:r>
        <w:rPr>
          <w:rFonts w:ascii="Times New Roman" w:eastAsia="宋体" w:hAnsi="Times New Roman" w:cs="宋体" w:hint="eastAsia"/>
          <w:szCs w:val="28"/>
          <w:lang w:bidi="ar"/>
          <w14:ligatures w14:val="none"/>
        </w:rPr>
        <w:t>1</w:t>
      </w:r>
      <w:r>
        <w:rPr>
          <w:rFonts w:ascii="Times New Roman" w:eastAsia="宋体" w:hAnsi="Times New Roman" w:cs="宋体"/>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hint="eastAsia"/>
          <w:szCs w:val="28"/>
          <w:lang w:bidi="ar"/>
          <w14:ligatures w14:val="none"/>
        </w:rPr>
        <w:t>29</w:t>
      </w:r>
      <w:r>
        <w:rPr>
          <w:rFonts w:ascii="Times New Roman" w:eastAsia="宋体" w:hAnsi="Times New Roman" w:cs="宋体"/>
          <w:szCs w:val="28"/>
          <w:lang w:bidi="ar"/>
          <w14:ligatures w14:val="none"/>
        </w:rPr>
        <w:t>日</w:t>
      </w:r>
      <w:r>
        <w:rPr>
          <w:rFonts w:ascii="Times New Roman" w:eastAsia="宋体" w:hAnsi="Times New Roman" w:cs="宋体" w:hint="eastAsia"/>
          <w:szCs w:val="28"/>
          <w:lang w:bidi="ar"/>
          <w14:ligatures w14:val="none"/>
        </w:rPr>
        <w:t>取得</w:t>
      </w:r>
      <w:r>
        <w:rPr>
          <w:rFonts w:ascii="Times New Roman" w:eastAsia="宋体" w:hAnsi="Times New Roman" w:cs="宋体"/>
          <w:szCs w:val="28"/>
          <w:lang w:bidi="ar"/>
          <w14:ligatures w14:val="none"/>
        </w:rPr>
        <w:t>辽宁省发展和改革委员会</w:t>
      </w:r>
      <w:r>
        <w:rPr>
          <w:rFonts w:ascii="Times New Roman" w:eastAsia="宋体" w:hAnsi="Times New Roman" w:cs="宋体" w:hint="eastAsia"/>
          <w:szCs w:val="28"/>
          <w:lang w:bidi="ar"/>
          <w14:ligatures w14:val="none"/>
        </w:rPr>
        <w:t>核发的《</w:t>
      </w:r>
      <w:r>
        <w:rPr>
          <w:rFonts w:ascii="Times New Roman" w:eastAsia="宋体" w:hAnsi="Times New Roman" w:cs="宋体"/>
          <w:szCs w:val="28"/>
          <w:lang w:bidi="ar"/>
          <w14:ligatures w14:val="none"/>
        </w:rPr>
        <w:t>省发展改革委关于本溪至集安高速公路本溪至桓仁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段工程可行性研究报告的批复</w:t>
      </w:r>
      <w:r>
        <w:rPr>
          <w:rFonts w:ascii="Times New Roman" w:eastAsia="宋体" w:hAnsi="Times New Roman" w:cs="宋体" w:hint="eastAsia"/>
          <w:szCs w:val="28"/>
          <w:lang w:bidi="ar"/>
          <w14:ligatures w14:val="none"/>
        </w:rPr>
        <w:t>》（辽发改交通</w:t>
      </w:r>
      <w:r>
        <w:rPr>
          <w:rFonts w:ascii="Times New Roman" w:eastAsia="宋体" w:hAnsi="Times New Roman" w:cs="宋体" w:hint="eastAsia"/>
          <w:szCs w:val="28"/>
          <w:lang w:bidi="ar"/>
          <w14:ligatures w14:val="none"/>
        </w:rPr>
        <w:t>[2021]425</w:t>
      </w:r>
      <w:r>
        <w:rPr>
          <w:rFonts w:ascii="Times New Roman" w:eastAsia="宋体" w:hAnsi="Times New Roman" w:cs="宋体" w:hint="eastAsia"/>
          <w:szCs w:val="28"/>
          <w:lang w:bidi="ar"/>
          <w14:ligatures w14:val="none"/>
        </w:rPr>
        <w:t>号）；</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4</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日取得本溪市商务局</w:t>
      </w:r>
      <w:r>
        <w:rPr>
          <w:rFonts w:ascii="Times New Roman" w:eastAsia="宋体" w:hAnsi="Times New Roman" w:cs="宋体" w:hint="eastAsia"/>
          <w:szCs w:val="28"/>
          <w:lang w:bidi="ar"/>
          <w14:ligatures w14:val="none"/>
        </w:rPr>
        <w:t>核</w:t>
      </w:r>
      <w:r>
        <w:rPr>
          <w:rFonts w:ascii="Times New Roman" w:eastAsia="宋体" w:hAnsi="Times New Roman" w:cs="宋体"/>
          <w:szCs w:val="28"/>
          <w:lang w:bidi="ar"/>
          <w14:ligatures w14:val="none"/>
        </w:rPr>
        <w:t>发的《市商务局关于同意在本溪至集安高速公路本溪至桓仁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段八里甸子服务区</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南侧、北侧</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五里甸子服务区</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东侧、西侧</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规划新建</w:t>
      </w:r>
      <w:r>
        <w:rPr>
          <w:rFonts w:ascii="Times New Roman" w:eastAsia="宋体" w:hAnsi="Times New Roman" w:cs="宋体"/>
          <w:szCs w:val="28"/>
          <w:lang w:bidi="ar"/>
          <w14:ligatures w14:val="none"/>
        </w:rPr>
        <w:t>4</w:t>
      </w:r>
      <w:r>
        <w:rPr>
          <w:rFonts w:ascii="Times New Roman" w:eastAsia="宋体" w:hAnsi="Times New Roman" w:cs="宋体"/>
          <w:szCs w:val="28"/>
          <w:lang w:bidi="ar"/>
          <w14:ligatures w14:val="none"/>
        </w:rPr>
        <w:t>座加油站的批复》</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本商审批函</w:t>
      </w:r>
      <w:r>
        <w:rPr>
          <w:rFonts w:ascii="Times New Roman" w:eastAsia="宋体" w:hAnsi="Times New Roman" w:cs="宋体"/>
          <w:szCs w:val="28"/>
          <w:lang w:bidi="ar"/>
          <w14:ligatures w14:val="none"/>
        </w:rPr>
        <w:t>[2024]3</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）。本次评价项目为</w:t>
      </w:r>
      <w:r>
        <w:rPr>
          <w:rFonts w:ascii="Times New Roman" w:eastAsia="宋体" w:hAnsi="Times New Roman" w:cs="宋体"/>
          <w:szCs w:val="28"/>
          <w:lang w:bidi="ar"/>
          <w14:ligatures w14:val="none"/>
        </w:rPr>
        <w:t>在本溪至集安高速公路本溪至桓仁（辽吉界）段五里甸子服务区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w:t>
      </w:r>
      <w:r>
        <w:rPr>
          <w:rFonts w:ascii="Times New Roman" w:eastAsia="宋体" w:hAnsi="Times New Roman" w:cs="宋体" w:hint="eastAsia"/>
          <w:szCs w:val="28"/>
          <w:lang w:bidi="ar"/>
          <w14:ligatures w14:val="none"/>
        </w:rPr>
        <w:t>建设的</w:t>
      </w:r>
      <w:r>
        <w:rPr>
          <w:rFonts w:ascii="Times New Roman" w:eastAsia="宋体" w:hAnsi="Times New Roman" w:cs="宋体"/>
          <w:szCs w:val="28"/>
          <w:lang w:bidi="ar"/>
          <w14:ligatures w14:val="none"/>
        </w:rPr>
        <w:t>加油站</w:t>
      </w:r>
      <w:r>
        <w:rPr>
          <w:rFonts w:ascii="Times New Roman" w:eastAsia="宋体" w:hAnsi="Times New Roman" w:cs="宋体" w:hint="eastAsia"/>
          <w:szCs w:val="28"/>
          <w:lang w:bidi="ar"/>
          <w14:ligatures w14:val="none"/>
        </w:rPr>
        <w:t>。企业依法履行“三同时”，并</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hint="eastAsia"/>
          <w:szCs w:val="28"/>
          <w:lang w:bidi="ar"/>
          <w14:ligatures w14:val="none"/>
        </w:rPr>
        <w:t>31</w:t>
      </w:r>
      <w:r>
        <w:rPr>
          <w:rFonts w:ascii="Times New Roman" w:eastAsia="宋体" w:hAnsi="Times New Roman" w:cs="宋体"/>
          <w:szCs w:val="28"/>
          <w:lang w:bidi="ar"/>
          <w14:ligatures w14:val="none"/>
        </w:rPr>
        <w:t>日</w:t>
      </w:r>
      <w:r>
        <w:rPr>
          <w:rFonts w:ascii="Times New Roman" w:eastAsia="宋体" w:hAnsi="Times New Roman" w:cs="宋体" w:hint="eastAsia"/>
          <w:szCs w:val="28"/>
          <w:lang w:bidi="ar"/>
          <w14:ligatures w14:val="none"/>
        </w:rPr>
        <w:t>先后取得了</w:t>
      </w:r>
      <w:r>
        <w:rPr>
          <w:rFonts w:ascii="Times New Roman" w:eastAsia="宋体" w:hAnsi="Times New Roman" w:cs="宋体"/>
          <w:szCs w:val="28"/>
          <w:lang w:bidi="ar"/>
          <w14:ligatures w14:val="none"/>
        </w:rPr>
        <w:t>由</w:t>
      </w:r>
      <w:r>
        <w:rPr>
          <w:rFonts w:ascii="Times New Roman" w:eastAsia="宋体" w:hAnsi="Times New Roman" w:cs="宋体" w:hint="eastAsia"/>
          <w:szCs w:val="28"/>
          <w:lang w:bidi="ar"/>
          <w14:ligatures w14:val="none"/>
        </w:rPr>
        <w:t>本溪</w:t>
      </w:r>
      <w:r>
        <w:rPr>
          <w:rFonts w:ascii="Times New Roman" w:eastAsia="宋体" w:hAnsi="Times New Roman" w:cs="宋体"/>
          <w:szCs w:val="28"/>
          <w:lang w:bidi="ar"/>
          <w14:ligatures w14:val="none"/>
        </w:rPr>
        <w:t>市应急管理局核发的《危险化学品建设项目安全条件审查意见书》（</w:t>
      </w:r>
      <w:r>
        <w:rPr>
          <w:rFonts w:ascii="Times New Roman" w:eastAsia="宋体" w:hAnsi="Times New Roman" w:cs="宋体" w:hint="eastAsia"/>
          <w:szCs w:val="28"/>
          <w:lang w:bidi="ar"/>
          <w14:ligatures w14:val="none"/>
        </w:rPr>
        <w:t>本</w:t>
      </w:r>
      <w:r>
        <w:rPr>
          <w:rFonts w:ascii="Times New Roman" w:eastAsia="宋体" w:hAnsi="Times New Roman" w:cs="宋体"/>
          <w:szCs w:val="28"/>
          <w:lang w:bidi="ar"/>
          <w14:ligatures w14:val="none"/>
        </w:rPr>
        <w:t>危化项目安条审字</w:t>
      </w:r>
      <w:r>
        <w:rPr>
          <w:rFonts w:ascii="Times New Roman" w:eastAsia="宋体" w:hAnsi="Times New Roman" w:cs="宋体"/>
          <w:szCs w:val="28"/>
          <w:lang w:bidi="ar"/>
          <w14:ligatures w14:val="none"/>
        </w:rPr>
        <w:t>[2024]</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号）和《危险化学品建设项目安全设施设计审查意见书》（</w:t>
      </w:r>
      <w:r>
        <w:rPr>
          <w:rFonts w:ascii="Times New Roman" w:eastAsia="宋体" w:hAnsi="Times New Roman" w:cs="宋体" w:hint="eastAsia"/>
          <w:szCs w:val="28"/>
          <w:lang w:bidi="ar"/>
          <w14:ligatures w14:val="none"/>
        </w:rPr>
        <w:t>本</w:t>
      </w:r>
      <w:r>
        <w:rPr>
          <w:rFonts w:ascii="Times New Roman" w:eastAsia="宋体" w:hAnsi="Times New Roman" w:cs="宋体"/>
          <w:szCs w:val="28"/>
          <w:lang w:bidi="ar"/>
          <w14:ligatures w14:val="none"/>
        </w:rPr>
        <w:t>危化项目安设审字</w:t>
      </w:r>
      <w:r>
        <w:rPr>
          <w:rFonts w:ascii="Times New Roman" w:eastAsia="宋体" w:hAnsi="Times New Roman" w:cs="宋体"/>
          <w:szCs w:val="28"/>
          <w:lang w:bidi="ar"/>
          <w14:ligatures w14:val="none"/>
        </w:rPr>
        <w:t>[2024]</w:t>
      </w:r>
      <w:r>
        <w:rPr>
          <w:rFonts w:ascii="Times New Roman" w:eastAsia="宋体" w:hAnsi="Times New Roman" w:cs="宋体" w:hint="eastAsia"/>
          <w:szCs w:val="28"/>
          <w:lang w:bidi="ar"/>
          <w14:ligatures w14:val="none"/>
        </w:rPr>
        <w:t>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w:t>
      </w:r>
    </w:p>
    <w:p w14:paraId="02B5D796"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该站新建</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储罐，其中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车用乙醇汽油储罐，即车用乙醇汽油储罐总容积为</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柴油储罐，即柴油储罐总容积为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，根据《汽车加油加气加氢站技术标准》（</w:t>
      </w:r>
      <w:r>
        <w:rPr>
          <w:rFonts w:ascii="Times New Roman" w:eastAsia="宋体" w:hAnsi="Times New Roman" w:cs="宋体" w:hint="eastAsia"/>
          <w:szCs w:val="28"/>
          <w:lang w:bidi="ar"/>
          <w14:ligatures w14:val="none"/>
        </w:rPr>
        <w:t>GB 50156-2021</w:t>
      </w:r>
      <w:r>
        <w:rPr>
          <w:rFonts w:ascii="Times New Roman" w:eastAsia="宋体" w:hAnsi="Times New Roman" w:cs="宋体" w:hint="eastAsia"/>
          <w:szCs w:val="28"/>
          <w:lang w:bidi="ar"/>
          <w14:ligatures w14:val="none"/>
        </w:rPr>
        <w:t>）第</w:t>
      </w:r>
      <w:r>
        <w:rPr>
          <w:rFonts w:ascii="Times New Roman" w:eastAsia="宋体" w:hAnsi="Times New Roman" w:cs="宋体" w:hint="eastAsia"/>
          <w:szCs w:val="28"/>
          <w:lang w:bidi="ar"/>
          <w14:ligatures w14:val="none"/>
        </w:rPr>
        <w:t>3.0.9</w:t>
      </w:r>
      <w:r>
        <w:rPr>
          <w:rFonts w:ascii="Times New Roman" w:eastAsia="宋体" w:hAnsi="Times New Roman" w:cs="宋体" w:hint="eastAsia"/>
          <w:szCs w:val="28"/>
          <w:lang w:bidi="ar"/>
          <w14:ligatures w14:val="none"/>
        </w:rPr>
        <w:t>条规定，该加油站油罐容积为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（柴油罐容积折半计入），故该站为二级加油站。</w:t>
      </w:r>
    </w:p>
    <w:p w14:paraId="151C5629" w14:textId="543E51DE"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根据</w:t>
      </w:r>
      <w:r>
        <w:rPr>
          <w:rFonts w:ascii="Times New Roman" w:eastAsia="宋体" w:hAnsi="Times New Roman" w:cs="宋体"/>
          <w:szCs w:val="28"/>
          <w:lang w:bidi="ar"/>
          <w14:ligatures w14:val="none"/>
        </w:rPr>
        <w:t>《危险化学品目录（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版）》（国家安全生产监督管理总局等十部委公告</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及《关于调整危险化学品目录（</w:t>
      </w:r>
      <w:r>
        <w:rPr>
          <w:rFonts w:ascii="Times New Roman" w:eastAsia="宋体" w:hAnsi="Times New Roman" w:cs="宋体" w:hint="eastAsia"/>
          <w:szCs w:val="28"/>
          <w:lang w:bidi="ar"/>
          <w14:ligatures w14:val="none"/>
        </w:rPr>
        <w:t>2015</w:t>
      </w:r>
      <w:r>
        <w:rPr>
          <w:rFonts w:ascii="Times New Roman" w:eastAsia="宋体" w:hAnsi="Times New Roman" w:cs="宋体" w:hint="eastAsia"/>
          <w:szCs w:val="28"/>
          <w:lang w:bidi="ar"/>
          <w14:ligatures w14:val="none"/>
        </w:rPr>
        <w:t>版）的公告》（中华人民共和国应急管理部等十部门公告</w:t>
      </w:r>
      <w:r>
        <w:rPr>
          <w:rFonts w:ascii="Times New Roman" w:eastAsia="宋体" w:hAnsi="Times New Roman" w:cs="宋体" w:hint="eastAsia"/>
          <w:szCs w:val="28"/>
          <w:lang w:bidi="ar"/>
          <w14:ligatures w14:val="none"/>
        </w:rPr>
        <w:t>2022</w:t>
      </w:r>
      <w:r>
        <w:rPr>
          <w:rFonts w:ascii="Times New Roman" w:eastAsia="宋体" w:hAnsi="Times New Roman" w:cs="宋体" w:hint="eastAsia"/>
          <w:szCs w:val="28"/>
          <w:lang w:bidi="ar"/>
          <w14:ligatures w14:val="none"/>
        </w:rPr>
        <w:t>年第</w:t>
      </w:r>
      <w:r>
        <w:rPr>
          <w:rFonts w:ascii="Times New Roman" w:eastAsia="宋体" w:hAnsi="Times New Roman" w:cs="宋体" w:hint="eastAsia"/>
          <w:szCs w:val="28"/>
          <w:lang w:bidi="ar"/>
          <w14:ligatures w14:val="none"/>
        </w:rPr>
        <w:t>8</w:t>
      </w:r>
      <w:r>
        <w:rPr>
          <w:rFonts w:ascii="Times New Roman" w:eastAsia="宋体" w:hAnsi="Times New Roman" w:cs="宋体" w:hint="eastAsia"/>
          <w:szCs w:val="28"/>
          <w:lang w:bidi="ar"/>
          <w14:ligatures w14:val="none"/>
        </w:rPr>
        <w:t>号），该站涉及的车用乙醇汽油、柴油均属于危险化学品。因此，该项目属于危险化学品新建项目。</w:t>
      </w:r>
    </w:p>
    <w:p w14:paraId="7B220D01" w14:textId="08CC76F1" w:rsidR="00502148" w:rsidRDefault="00EB68EB">
      <w:pPr>
        <w:ind w:firstLine="560"/>
        <w:rPr>
          <w:rFonts w:ascii="Times New Roman" w:eastAsia="宋体" w:hAnsi="Times New Roman" w:cs="宋体"/>
          <w:szCs w:val="28"/>
          <w:lang w:bidi="ar"/>
          <w14:ligatures w14:val="none"/>
        </w:rPr>
      </w:pPr>
      <w:r w:rsidRPr="00EB68EB">
        <w:rPr>
          <w:rFonts w:ascii="Times New Roman" w:eastAsia="宋体" w:hAnsi="Times New Roman" w:cs="宋体"/>
          <w:szCs w:val="28"/>
          <w:lang w:bidi="ar"/>
          <w14:ligatures w14:val="none"/>
        </w:rPr>
        <w:t>根据《中华人民共和国安全生产法》（国家主席令第八十八号）的规定，生产经营单位新建、改建、扩建工程项目的安全设施必须与主体工程同时设计、同时施工、同时投入生产和使用。《危险化学品建设项目安全监督管理办法》（原国家安全生产督监管理总局令</w:t>
      </w:r>
      <w:r w:rsidRPr="00EB68EB">
        <w:rPr>
          <w:rFonts w:ascii="Times New Roman" w:eastAsia="宋体" w:hAnsi="Times New Roman" w:cs="宋体"/>
          <w:szCs w:val="28"/>
          <w:lang w:bidi="ar"/>
          <w14:ligatures w14:val="none"/>
        </w:rPr>
        <w:t>[2012]</w:t>
      </w:r>
      <w:r w:rsidRPr="00EB68EB">
        <w:rPr>
          <w:rFonts w:ascii="Times New Roman" w:eastAsia="宋体" w:hAnsi="Times New Roman" w:cs="宋体"/>
          <w:szCs w:val="28"/>
          <w:lang w:bidi="ar"/>
          <w14:ligatures w14:val="none"/>
        </w:rPr>
        <w:t>第</w:t>
      </w:r>
      <w:r w:rsidRPr="00EB68EB">
        <w:rPr>
          <w:rFonts w:ascii="Times New Roman" w:eastAsia="宋体" w:hAnsi="Times New Roman" w:cs="宋体"/>
          <w:szCs w:val="28"/>
          <w:lang w:bidi="ar"/>
          <w14:ligatures w14:val="none"/>
        </w:rPr>
        <w:t>45</w:t>
      </w:r>
      <w:r w:rsidRPr="00EB68EB">
        <w:rPr>
          <w:rFonts w:ascii="Times New Roman" w:eastAsia="宋体" w:hAnsi="Times New Roman" w:cs="宋体"/>
          <w:szCs w:val="28"/>
          <w:lang w:bidi="ar"/>
          <w14:ligatures w14:val="none"/>
        </w:rPr>
        <w:t>号发布，原国家安全监督管理局令</w:t>
      </w:r>
      <w:r w:rsidRPr="00EB68EB">
        <w:rPr>
          <w:rFonts w:ascii="Times New Roman" w:eastAsia="宋体" w:hAnsi="Times New Roman" w:cs="宋体"/>
          <w:szCs w:val="28"/>
          <w:lang w:bidi="ar"/>
          <w14:ligatures w14:val="none"/>
        </w:rPr>
        <w:t>[2015]</w:t>
      </w:r>
      <w:r w:rsidRPr="00EB68EB">
        <w:rPr>
          <w:rFonts w:ascii="Times New Roman" w:eastAsia="宋体" w:hAnsi="Times New Roman" w:cs="宋体"/>
          <w:szCs w:val="28"/>
          <w:lang w:bidi="ar"/>
          <w14:ligatures w14:val="none"/>
        </w:rPr>
        <w:t>第</w:t>
      </w:r>
      <w:r w:rsidRPr="00EB68EB">
        <w:rPr>
          <w:rFonts w:ascii="Times New Roman" w:eastAsia="宋体" w:hAnsi="Times New Roman" w:cs="宋体"/>
          <w:szCs w:val="28"/>
          <w:lang w:bidi="ar"/>
          <w14:ligatures w14:val="none"/>
        </w:rPr>
        <w:t>79</w:t>
      </w:r>
      <w:r w:rsidRPr="00EB68EB">
        <w:rPr>
          <w:rFonts w:ascii="Times New Roman" w:eastAsia="宋体" w:hAnsi="Times New Roman" w:cs="宋体"/>
          <w:szCs w:val="28"/>
          <w:lang w:bidi="ar"/>
          <w14:ligatures w14:val="none"/>
        </w:rPr>
        <w:t>号修订）</w:t>
      </w:r>
      <w:r>
        <w:rPr>
          <w:rFonts w:ascii="Times New Roman" w:eastAsia="宋体" w:hAnsi="Times New Roman" w:cs="宋体" w:hint="eastAsia"/>
          <w:szCs w:val="28"/>
          <w:lang w:bidi="ar"/>
          <w14:ligatures w14:val="none"/>
        </w:rPr>
        <w:t>第二十五条的规定，建设项目试生产期间，建设单位应当委托有相应资质的安全评价机构对建设项目及其安全设施试生产（使用）情况进行安全验收评价，且不得委托在可行性研究阶段进行安全评价的同一安全评价机构，为此，</w:t>
      </w:r>
      <w:r>
        <w:rPr>
          <w:rFonts w:ascii="Times New Roman" w:eastAsia="宋体" w:hAnsi="Times New Roman" w:cs="宋体"/>
          <w:szCs w:val="28"/>
          <w:lang w:bidi="ar"/>
          <w14:ligatures w14:val="none"/>
        </w:rPr>
        <w:t>中铁（辽宁）本桓高速公路有限公司</w:t>
      </w:r>
      <w:r>
        <w:rPr>
          <w:rFonts w:ascii="Times New Roman" w:eastAsia="宋体" w:hAnsi="Times New Roman" w:cs="宋体" w:hint="eastAsia"/>
          <w:szCs w:val="28"/>
          <w:lang w:bidi="ar"/>
          <w14:ligatures w14:val="none"/>
        </w:rPr>
        <w:t>委托具有相应安全评价资质的辽宁诺诚安全科技有限公司对其</w:t>
      </w:r>
      <w:r>
        <w:rPr>
          <w:rFonts w:ascii="Times New Roman" w:eastAsia="宋体" w:hAnsi="Times New Roman" w:cs="宋体"/>
          <w:szCs w:val="28"/>
          <w:lang w:bidi="ar"/>
          <w14:ligatures w14:val="none"/>
        </w:rPr>
        <w:t>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侧加油站新建项目</w:t>
      </w:r>
      <w:r>
        <w:rPr>
          <w:rFonts w:ascii="Times New Roman" w:eastAsia="宋体" w:hAnsi="Times New Roman" w:cs="宋体" w:hint="eastAsia"/>
          <w:szCs w:val="28"/>
          <w:lang w:bidi="ar"/>
          <w14:ligatures w14:val="none"/>
        </w:rPr>
        <w:t>进行安全设施竣工验收安全评价。</w:t>
      </w:r>
    </w:p>
    <w:p w14:paraId="6459D35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根据《安全评价通则》（</w:t>
      </w:r>
      <w:r>
        <w:rPr>
          <w:rFonts w:ascii="Times New Roman" w:eastAsia="宋体" w:hAnsi="Times New Roman" w:cs="宋体" w:hint="eastAsia"/>
          <w:szCs w:val="28"/>
          <w:lang w:bidi="ar"/>
          <w14:ligatures w14:val="none"/>
        </w:rPr>
        <w:t>AQ 8001-2007</w:t>
      </w:r>
      <w:r>
        <w:rPr>
          <w:rFonts w:ascii="Times New Roman" w:eastAsia="宋体" w:hAnsi="Times New Roman" w:cs="宋体" w:hint="eastAsia"/>
          <w:szCs w:val="28"/>
          <w:lang w:bidi="ar"/>
          <w14:ligatures w14:val="none"/>
        </w:rPr>
        <w:t>）、《安全验收评价导则》（</w:t>
      </w:r>
      <w:r>
        <w:rPr>
          <w:rFonts w:ascii="Times New Roman" w:eastAsia="宋体" w:hAnsi="Times New Roman" w:cs="宋体" w:hint="eastAsia"/>
          <w:szCs w:val="28"/>
          <w:lang w:bidi="ar"/>
          <w14:ligatures w14:val="none"/>
        </w:rPr>
        <w:t>AQ 8003-2007</w:t>
      </w:r>
      <w:r>
        <w:rPr>
          <w:rFonts w:ascii="Times New Roman" w:eastAsia="宋体" w:hAnsi="Times New Roman" w:cs="宋体" w:hint="eastAsia"/>
          <w:szCs w:val="28"/>
          <w:lang w:bidi="ar"/>
          <w14:ligatures w14:val="none"/>
        </w:rPr>
        <w:t>）和《危险化学品建设项目安全评价细则（试行）》（安监总危化</w:t>
      </w:r>
      <w:r>
        <w:rPr>
          <w:rFonts w:ascii="Times New Roman" w:eastAsia="宋体" w:hAnsi="Times New Roman" w:cs="宋体" w:hint="eastAsia"/>
          <w:szCs w:val="28"/>
          <w:lang w:bidi="ar"/>
          <w14:ligatures w14:val="none"/>
        </w:rPr>
        <w:t>[2007]255</w:t>
      </w:r>
      <w:r>
        <w:rPr>
          <w:rFonts w:ascii="Times New Roman" w:eastAsia="宋体" w:hAnsi="Times New Roman" w:cs="宋体" w:hint="eastAsia"/>
          <w:szCs w:val="28"/>
          <w:lang w:bidi="ar"/>
          <w14:ligatures w14:val="none"/>
        </w:rPr>
        <w:t>号）的要求编制完成了《</w:t>
      </w:r>
      <w:r>
        <w:rPr>
          <w:rFonts w:ascii="Times New Roman" w:eastAsia="宋体" w:hAnsi="Times New Roman" w:cs="宋体"/>
          <w:szCs w:val="28"/>
          <w:lang w:bidi="ar"/>
          <w14:ligatures w14:val="none"/>
        </w:rPr>
        <w:t>中铁（辽宁）本桓高速公路有限公司五里甸子服务区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侧加油站新建项目</w:t>
      </w:r>
      <w:r>
        <w:rPr>
          <w:rFonts w:ascii="Times New Roman" w:eastAsia="宋体" w:hAnsi="Times New Roman" w:cs="宋体" w:hint="eastAsia"/>
          <w:szCs w:val="28"/>
          <w:lang w:bidi="ar"/>
          <w14:ligatures w14:val="none"/>
        </w:rPr>
        <w:t>安全设施竣工验收安全评价报告》。</w:t>
      </w:r>
    </w:p>
    <w:p w14:paraId="650E046D" w14:textId="77777777" w:rsidR="00502148" w:rsidRDefault="00000000">
      <w:pPr>
        <w:ind w:firstLine="560"/>
        <w:rPr>
          <w:rFonts w:ascii="Times New Roman" w:eastAsia="宋体" w:hAnsi="Times New Roman" w:cs="宋体"/>
          <w:szCs w:val="28"/>
          <w:lang w:bidi="ar"/>
          <w14:ligatures w14:val="none"/>
        </w:rPr>
        <w:sectPr w:rsidR="00502148">
          <w:headerReference w:type="even" r:id="rId9"/>
          <w:headerReference w:type="default" r:id="rId10"/>
          <w:footerReference w:type="even" r:id="rId11"/>
          <w:footerReference w:type="default" r:id="rId12"/>
          <w:headerReference w:type="first" r:id="rId13"/>
          <w:footerReference w:type="first" r:id="rId14"/>
          <w:pgSz w:w="11906" w:h="16838"/>
          <w:pgMar w:top="1418" w:right="1134" w:bottom="1134" w:left="1588" w:header="851" w:footer="992" w:gutter="0"/>
          <w:cols w:space="425"/>
          <w:docGrid w:type="lines" w:linePitch="312"/>
        </w:sectPr>
      </w:pPr>
      <w:r>
        <w:rPr>
          <w:rFonts w:ascii="Times New Roman" w:eastAsia="宋体" w:hAnsi="Times New Roman" w:cs="宋体" w:hint="eastAsia"/>
          <w:szCs w:val="28"/>
          <w:lang w:bidi="ar"/>
          <w14:ligatures w14:val="none"/>
        </w:rPr>
        <w:t>在现场勘验、资料收集以及报告编制过程中，得到了</w:t>
      </w:r>
      <w:r>
        <w:rPr>
          <w:rFonts w:ascii="Times New Roman" w:eastAsia="宋体" w:hAnsi="Times New Roman" w:cs="宋体"/>
          <w:szCs w:val="28"/>
          <w:lang w:bidi="ar"/>
          <w14:ligatures w14:val="none"/>
        </w:rPr>
        <w:t>中铁（辽宁）本桓高速公路有限公司</w:t>
      </w:r>
      <w:r>
        <w:rPr>
          <w:rFonts w:ascii="Times New Roman" w:eastAsia="宋体" w:hAnsi="Times New Roman" w:cs="宋体" w:hint="eastAsia"/>
          <w:szCs w:val="28"/>
          <w:lang w:bidi="ar"/>
          <w14:ligatures w14:val="none"/>
        </w:rPr>
        <w:t>领导、安全管理人员的大力支持和帮助，在此致以衷心的感谢！</w:t>
      </w:r>
    </w:p>
    <w:p w14:paraId="65CCB68B" w14:textId="77777777" w:rsidR="00502148" w:rsidRDefault="00000000">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7" w:name="_Toc187309980"/>
      <w:bookmarkStart w:id="8" w:name="_Toc207368013"/>
      <w:bookmarkStart w:id="9" w:name="_Toc187164220"/>
      <w:bookmarkStart w:id="10" w:name="_Toc207639448"/>
      <w:bookmarkStart w:id="11" w:name="_Toc27233"/>
      <w:r>
        <w:rPr>
          <w:rFonts w:ascii="黑体" w:eastAsia="黑体" w:hAnsi="Times New Roman" w:cs="黑体" w:hint="eastAsia"/>
          <w:b/>
          <w:sz w:val="32"/>
          <w:szCs w:val="32"/>
          <w:lang w:bidi="ar"/>
          <w14:ligatures w14:val="none"/>
        </w:rPr>
        <w:lastRenderedPageBreak/>
        <w:t>目  录</w:t>
      </w:r>
      <w:bookmarkEnd w:id="7"/>
      <w:bookmarkEnd w:id="8"/>
      <w:bookmarkEnd w:id="9"/>
      <w:bookmarkEnd w:id="10"/>
      <w:bookmarkEnd w:id="11"/>
    </w:p>
    <w:p w14:paraId="7983D061" w14:textId="6D52DF44" w:rsidR="00502148" w:rsidRDefault="00000000">
      <w:pPr>
        <w:pStyle w:val="TOC1"/>
        <w:tabs>
          <w:tab w:val="right" w:leader="dot" w:pos="9184"/>
        </w:tabs>
        <w:adjustRightInd w:val="0"/>
        <w:snapToGrid w:val="0"/>
        <w:spacing w:line="360" w:lineRule="auto"/>
        <w:rPr>
          <w:rFonts w:eastAsia="黑体"/>
          <w:noProof/>
        </w:rPr>
      </w:pPr>
      <w:r>
        <w:rPr>
          <w:rFonts w:eastAsia="黑体"/>
          <w:szCs w:val="28"/>
          <w:lang w:bidi="ar"/>
        </w:rPr>
        <w:fldChar w:fldCharType="begin"/>
      </w:r>
      <w:r>
        <w:rPr>
          <w:rFonts w:eastAsia="黑体"/>
          <w:szCs w:val="28"/>
          <w:lang w:bidi="ar"/>
        </w:rPr>
        <w:instrText xml:space="preserve"> TOC \o "1-2" \h \z \u </w:instrText>
      </w:r>
      <w:r>
        <w:rPr>
          <w:rFonts w:eastAsia="黑体"/>
          <w:szCs w:val="28"/>
          <w:lang w:bidi="ar"/>
        </w:rPr>
        <w:fldChar w:fldCharType="separate"/>
      </w:r>
      <w:hyperlink w:anchor="_Toc9196" w:history="1">
        <w:r w:rsidR="00502148">
          <w:rPr>
            <w:rFonts w:eastAsia="黑体"/>
            <w:bCs/>
            <w:noProof/>
            <w:szCs w:val="28"/>
            <w:lang w:bidi="ar"/>
          </w:rPr>
          <w:t>1</w:t>
        </w:r>
        <w:r w:rsidR="00502148">
          <w:rPr>
            <w:rFonts w:eastAsia="黑体"/>
            <w:bCs/>
            <w:noProof/>
            <w:szCs w:val="28"/>
            <w:lang w:bidi="ar"/>
          </w:rPr>
          <w:t>安全评价工作经过</w:t>
        </w:r>
        <w:r w:rsidR="00502148">
          <w:rPr>
            <w:rFonts w:eastAsia="黑体"/>
            <w:noProof/>
          </w:rPr>
          <w:tab/>
        </w:r>
        <w:r w:rsidR="00502148">
          <w:rPr>
            <w:rFonts w:eastAsia="黑体"/>
            <w:noProof/>
          </w:rPr>
          <w:fldChar w:fldCharType="begin"/>
        </w:r>
        <w:r w:rsidR="00502148">
          <w:rPr>
            <w:rFonts w:eastAsia="黑体"/>
            <w:noProof/>
          </w:rPr>
          <w:instrText xml:space="preserve"> PAGEREF _Toc9196 \h </w:instrText>
        </w:r>
        <w:r w:rsidR="00502148">
          <w:rPr>
            <w:rFonts w:eastAsia="黑体"/>
            <w:noProof/>
          </w:rPr>
        </w:r>
        <w:r w:rsidR="00502148">
          <w:rPr>
            <w:rFonts w:eastAsia="黑体"/>
            <w:noProof/>
          </w:rPr>
          <w:fldChar w:fldCharType="separate"/>
        </w:r>
        <w:r w:rsidR="00F23717">
          <w:rPr>
            <w:rFonts w:eastAsia="黑体"/>
            <w:noProof/>
          </w:rPr>
          <w:t>1</w:t>
        </w:r>
        <w:r w:rsidR="00502148">
          <w:rPr>
            <w:rFonts w:eastAsia="黑体"/>
            <w:noProof/>
          </w:rPr>
          <w:fldChar w:fldCharType="end"/>
        </w:r>
      </w:hyperlink>
    </w:p>
    <w:p w14:paraId="50DE09EE" w14:textId="118CE2A9" w:rsidR="00502148" w:rsidRDefault="00502148">
      <w:pPr>
        <w:pStyle w:val="TOC2"/>
        <w:tabs>
          <w:tab w:val="right" w:leader="dot" w:pos="9184"/>
        </w:tabs>
        <w:adjustRightInd w:val="0"/>
        <w:snapToGrid w:val="0"/>
        <w:spacing w:line="360" w:lineRule="auto"/>
        <w:ind w:firstLine="280"/>
        <w:rPr>
          <w:rFonts w:eastAsia="黑体"/>
          <w:noProof/>
        </w:rPr>
      </w:pPr>
      <w:hyperlink w:anchor="_Toc16194" w:history="1">
        <w:r>
          <w:rPr>
            <w:rFonts w:eastAsia="黑体"/>
            <w:bCs/>
            <w:noProof/>
            <w:szCs w:val="28"/>
            <w:lang w:bidi="ar"/>
          </w:rPr>
          <w:t>1.1</w:t>
        </w:r>
        <w:r>
          <w:rPr>
            <w:rFonts w:eastAsia="黑体"/>
            <w:bCs/>
            <w:noProof/>
            <w:szCs w:val="28"/>
            <w:lang w:bidi="ar"/>
          </w:rPr>
          <w:t>前期准备情况</w:t>
        </w:r>
        <w:r>
          <w:rPr>
            <w:rFonts w:eastAsia="黑体"/>
            <w:noProof/>
          </w:rPr>
          <w:tab/>
        </w:r>
        <w:r>
          <w:rPr>
            <w:rFonts w:eastAsia="黑体"/>
            <w:noProof/>
          </w:rPr>
          <w:fldChar w:fldCharType="begin"/>
        </w:r>
        <w:r>
          <w:rPr>
            <w:rFonts w:eastAsia="黑体"/>
            <w:noProof/>
          </w:rPr>
          <w:instrText xml:space="preserve"> PAGEREF _Toc16194 \h </w:instrText>
        </w:r>
        <w:r>
          <w:rPr>
            <w:rFonts w:eastAsia="黑体"/>
            <w:noProof/>
          </w:rPr>
        </w:r>
        <w:r>
          <w:rPr>
            <w:rFonts w:eastAsia="黑体"/>
            <w:noProof/>
          </w:rPr>
          <w:fldChar w:fldCharType="separate"/>
        </w:r>
        <w:r w:rsidR="00F23717">
          <w:rPr>
            <w:rFonts w:eastAsia="黑体"/>
            <w:noProof/>
          </w:rPr>
          <w:t>1</w:t>
        </w:r>
        <w:r>
          <w:rPr>
            <w:rFonts w:eastAsia="黑体"/>
            <w:noProof/>
          </w:rPr>
          <w:fldChar w:fldCharType="end"/>
        </w:r>
      </w:hyperlink>
    </w:p>
    <w:p w14:paraId="712FD07E" w14:textId="079BA2B1" w:rsidR="00502148" w:rsidRDefault="00502148">
      <w:pPr>
        <w:pStyle w:val="TOC2"/>
        <w:tabs>
          <w:tab w:val="right" w:leader="dot" w:pos="9184"/>
        </w:tabs>
        <w:adjustRightInd w:val="0"/>
        <w:snapToGrid w:val="0"/>
        <w:spacing w:line="360" w:lineRule="auto"/>
        <w:ind w:firstLine="280"/>
        <w:rPr>
          <w:rFonts w:eastAsia="黑体"/>
          <w:noProof/>
        </w:rPr>
      </w:pPr>
      <w:hyperlink w:anchor="_Toc27341" w:history="1">
        <w:r>
          <w:rPr>
            <w:rFonts w:eastAsia="黑体"/>
            <w:bCs/>
            <w:noProof/>
            <w:szCs w:val="28"/>
            <w:lang w:bidi="ar"/>
          </w:rPr>
          <w:t>1.2</w:t>
        </w:r>
        <w:r>
          <w:rPr>
            <w:rFonts w:eastAsia="黑体"/>
            <w:bCs/>
            <w:noProof/>
            <w:szCs w:val="28"/>
            <w:lang w:bidi="ar"/>
          </w:rPr>
          <w:t>评价目的</w:t>
        </w:r>
        <w:r>
          <w:rPr>
            <w:rFonts w:eastAsia="黑体"/>
            <w:noProof/>
          </w:rPr>
          <w:tab/>
        </w:r>
        <w:r>
          <w:rPr>
            <w:rFonts w:eastAsia="黑体"/>
            <w:noProof/>
          </w:rPr>
          <w:fldChar w:fldCharType="begin"/>
        </w:r>
        <w:r>
          <w:rPr>
            <w:rFonts w:eastAsia="黑体"/>
            <w:noProof/>
          </w:rPr>
          <w:instrText xml:space="preserve"> PAGEREF _Toc27341 \h </w:instrText>
        </w:r>
        <w:r>
          <w:rPr>
            <w:rFonts w:eastAsia="黑体"/>
            <w:noProof/>
          </w:rPr>
        </w:r>
        <w:r>
          <w:rPr>
            <w:rFonts w:eastAsia="黑体"/>
            <w:noProof/>
          </w:rPr>
          <w:fldChar w:fldCharType="separate"/>
        </w:r>
        <w:r w:rsidR="00F23717">
          <w:rPr>
            <w:rFonts w:eastAsia="黑体"/>
            <w:noProof/>
          </w:rPr>
          <w:t>1</w:t>
        </w:r>
        <w:r>
          <w:rPr>
            <w:rFonts w:eastAsia="黑体"/>
            <w:noProof/>
          </w:rPr>
          <w:fldChar w:fldCharType="end"/>
        </w:r>
      </w:hyperlink>
    </w:p>
    <w:p w14:paraId="525E543A" w14:textId="0AF410B7" w:rsidR="00502148" w:rsidRDefault="00502148">
      <w:pPr>
        <w:pStyle w:val="TOC2"/>
        <w:tabs>
          <w:tab w:val="right" w:leader="dot" w:pos="9184"/>
        </w:tabs>
        <w:adjustRightInd w:val="0"/>
        <w:snapToGrid w:val="0"/>
        <w:spacing w:line="360" w:lineRule="auto"/>
        <w:ind w:firstLine="280"/>
        <w:rPr>
          <w:rFonts w:eastAsia="黑体"/>
          <w:noProof/>
        </w:rPr>
      </w:pPr>
      <w:hyperlink w:anchor="_Toc12088" w:history="1">
        <w:r>
          <w:rPr>
            <w:rFonts w:eastAsia="黑体"/>
            <w:bCs/>
            <w:noProof/>
            <w:szCs w:val="28"/>
            <w:lang w:bidi="ar"/>
          </w:rPr>
          <w:t>1.3</w:t>
        </w:r>
        <w:r>
          <w:rPr>
            <w:rFonts w:eastAsia="黑体"/>
            <w:bCs/>
            <w:noProof/>
            <w:szCs w:val="28"/>
            <w:lang w:bidi="ar"/>
          </w:rPr>
          <w:t>对象及范围</w:t>
        </w:r>
        <w:r>
          <w:rPr>
            <w:rFonts w:eastAsia="黑体"/>
            <w:noProof/>
          </w:rPr>
          <w:tab/>
        </w:r>
        <w:r>
          <w:rPr>
            <w:rFonts w:eastAsia="黑体"/>
            <w:noProof/>
          </w:rPr>
          <w:fldChar w:fldCharType="begin"/>
        </w:r>
        <w:r>
          <w:rPr>
            <w:rFonts w:eastAsia="黑体"/>
            <w:noProof/>
          </w:rPr>
          <w:instrText xml:space="preserve"> PAGEREF _Toc12088 \h </w:instrText>
        </w:r>
        <w:r>
          <w:rPr>
            <w:rFonts w:eastAsia="黑体"/>
            <w:noProof/>
          </w:rPr>
        </w:r>
        <w:r>
          <w:rPr>
            <w:rFonts w:eastAsia="黑体"/>
            <w:noProof/>
          </w:rPr>
          <w:fldChar w:fldCharType="separate"/>
        </w:r>
        <w:r w:rsidR="00F23717">
          <w:rPr>
            <w:rFonts w:eastAsia="黑体"/>
            <w:noProof/>
          </w:rPr>
          <w:t>1</w:t>
        </w:r>
        <w:r>
          <w:rPr>
            <w:rFonts w:eastAsia="黑体"/>
            <w:noProof/>
          </w:rPr>
          <w:fldChar w:fldCharType="end"/>
        </w:r>
      </w:hyperlink>
    </w:p>
    <w:p w14:paraId="07D228FD" w14:textId="27DD8F85" w:rsidR="00502148" w:rsidRDefault="00502148">
      <w:pPr>
        <w:pStyle w:val="TOC2"/>
        <w:tabs>
          <w:tab w:val="right" w:leader="dot" w:pos="9184"/>
        </w:tabs>
        <w:adjustRightInd w:val="0"/>
        <w:snapToGrid w:val="0"/>
        <w:spacing w:line="360" w:lineRule="auto"/>
        <w:ind w:firstLine="280"/>
        <w:rPr>
          <w:rFonts w:eastAsia="黑体"/>
          <w:noProof/>
        </w:rPr>
      </w:pPr>
      <w:hyperlink w:anchor="_Toc3525" w:history="1">
        <w:r>
          <w:rPr>
            <w:rFonts w:eastAsia="黑体"/>
            <w:bCs/>
            <w:noProof/>
            <w:szCs w:val="28"/>
            <w:lang w:bidi="ar"/>
          </w:rPr>
          <w:t>1.4</w:t>
        </w:r>
        <w:r>
          <w:rPr>
            <w:rFonts w:eastAsia="黑体"/>
            <w:bCs/>
            <w:noProof/>
            <w:szCs w:val="28"/>
            <w:lang w:bidi="ar"/>
          </w:rPr>
          <w:t>工作经过和程序</w:t>
        </w:r>
        <w:r>
          <w:rPr>
            <w:rFonts w:eastAsia="黑体"/>
            <w:noProof/>
          </w:rPr>
          <w:tab/>
        </w:r>
        <w:r>
          <w:rPr>
            <w:rFonts w:eastAsia="黑体"/>
            <w:noProof/>
          </w:rPr>
          <w:fldChar w:fldCharType="begin"/>
        </w:r>
        <w:r>
          <w:rPr>
            <w:rFonts w:eastAsia="黑体"/>
            <w:noProof/>
          </w:rPr>
          <w:instrText xml:space="preserve"> PAGEREF _Toc3525 \h </w:instrText>
        </w:r>
        <w:r>
          <w:rPr>
            <w:rFonts w:eastAsia="黑体"/>
            <w:noProof/>
          </w:rPr>
        </w:r>
        <w:r>
          <w:rPr>
            <w:rFonts w:eastAsia="黑体"/>
            <w:noProof/>
          </w:rPr>
          <w:fldChar w:fldCharType="separate"/>
        </w:r>
        <w:r w:rsidR="00F23717">
          <w:rPr>
            <w:rFonts w:eastAsia="黑体"/>
            <w:noProof/>
          </w:rPr>
          <w:t>2</w:t>
        </w:r>
        <w:r>
          <w:rPr>
            <w:rFonts w:eastAsia="黑体"/>
            <w:noProof/>
          </w:rPr>
          <w:fldChar w:fldCharType="end"/>
        </w:r>
      </w:hyperlink>
    </w:p>
    <w:p w14:paraId="247B2550" w14:textId="6392C672" w:rsidR="00502148" w:rsidRDefault="00502148">
      <w:pPr>
        <w:pStyle w:val="TOC1"/>
        <w:tabs>
          <w:tab w:val="right" w:leader="dot" w:pos="9184"/>
        </w:tabs>
        <w:adjustRightInd w:val="0"/>
        <w:snapToGrid w:val="0"/>
        <w:spacing w:line="360" w:lineRule="auto"/>
        <w:rPr>
          <w:rFonts w:eastAsia="黑体"/>
          <w:noProof/>
        </w:rPr>
      </w:pPr>
      <w:hyperlink w:anchor="_Toc11236" w:history="1">
        <w:r>
          <w:rPr>
            <w:rFonts w:eastAsia="黑体"/>
            <w:bCs/>
            <w:noProof/>
            <w:szCs w:val="28"/>
            <w:lang w:bidi="ar"/>
          </w:rPr>
          <w:t>2</w:t>
        </w:r>
        <w:r>
          <w:rPr>
            <w:rFonts w:eastAsia="黑体"/>
            <w:bCs/>
            <w:noProof/>
            <w:szCs w:val="28"/>
            <w:lang w:bidi="ar"/>
          </w:rPr>
          <w:t>建设项目概况</w:t>
        </w:r>
        <w:r>
          <w:rPr>
            <w:rFonts w:eastAsia="黑体"/>
            <w:noProof/>
          </w:rPr>
          <w:tab/>
        </w:r>
        <w:r>
          <w:rPr>
            <w:rFonts w:eastAsia="黑体"/>
            <w:noProof/>
          </w:rPr>
          <w:fldChar w:fldCharType="begin"/>
        </w:r>
        <w:r>
          <w:rPr>
            <w:rFonts w:eastAsia="黑体"/>
            <w:noProof/>
          </w:rPr>
          <w:instrText xml:space="preserve"> PAGEREF _Toc11236 \h </w:instrText>
        </w:r>
        <w:r>
          <w:rPr>
            <w:rFonts w:eastAsia="黑体"/>
            <w:noProof/>
          </w:rPr>
        </w:r>
        <w:r>
          <w:rPr>
            <w:rFonts w:eastAsia="黑体"/>
            <w:noProof/>
          </w:rPr>
          <w:fldChar w:fldCharType="separate"/>
        </w:r>
        <w:r w:rsidR="00F23717">
          <w:rPr>
            <w:rFonts w:eastAsia="黑体"/>
            <w:noProof/>
          </w:rPr>
          <w:t>3</w:t>
        </w:r>
        <w:r>
          <w:rPr>
            <w:rFonts w:eastAsia="黑体"/>
            <w:noProof/>
          </w:rPr>
          <w:fldChar w:fldCharType="end"/>
        </w:r>
      </w:hyperlink>
    </w:p>
    <w:p w14:paraId="235338C5" w14:textId="2AE757C5" w:rsidR="00502148" w:rsidRDefault="00502148">
      <w:pPr>
        <w:pStyle w:val="TOC2"/>
        <w:tabs>
          <w:tab w:val="right" w:leader="dot" w:pos="9184"/>
        </w:tabs>
        <w:adjustRightInd w:val="0"/>
        <w:snapToGrid w:val="0"/>
        <w:spacing w:line="360" w:lineRule="auto"/>
        <w:ind w:firstLine="280"/>
        <w:rPr>
          <w:rFonts w:eastAsia="黑体"/>
          <w:noProof/>
        </w:rPr>
      </w:pPr>
      <w:hyperlink w:anchor="_Toc11427" w:history="1">
        <w:r>
          <w:rPr>
            <w:rFonts w:eastAsia="黑体"/>
            <w:bCs/>
            <w:noProof/>
            <w:szCs w:val="28"/>
            <w:lang w:bidi="ar"/>
          </w:rPr>
          <w:t>2.1</w:t>
        </w:r>
        <w:r>
          <w:rPr>
            <w:rFonts w:eastAsia="黑体"/>
            <w:bCs/>
            <w:noProof/>
            <w:szCs w:val="28"/>
            <w:lang w:bidi="ar"/>
          </w:rPr>
          <w:t>建设单位简介</w:t>
        </w:r>
        <w:r>
          <w:rPr>
            <w:rFonts w:eastAsia="黑体"/>
            <w:noProof/>
          </w:rPr>
          <w:tab/>
        </w:r>
        <w:r>
          <w:rPr>
            <w:rFonts w:eastAsia="黑体"/>
            <w:noProof/>
          </w:rPr>
          <w:fldChar w:fldCharType="begin"/>
        </w:r>
        <w:r>
          <w:rPr>
            <w:rFonts w:eastAsia="黑体"/>
            <w:noProof/>
          </w:rPr>
          <w:instrText xml:space="preserve"> PAGEREF _Toc11427 \h </w:instrText>
        </w:r>
        <w:r>
          <w:rPr>
            <w:rFonts w:eastAsia="黑体"/>
            <w:noProof/>
          </w:rPr>
        </w:r>
        <w:r>
          <w:rPr>
            <w:rFonts w:eastAsia="黑体"/>
            <w:noProof/>
          </w:rPr>
          <w:fldChar w:fldCharType="separate"/>
        </w:r>
        <w:r w:rsidR="00F23717">
          <w:rPr>
            <w:rFonts w:eastAsia="黑体"/>
            <w:noProof/>
          </w:rPr>
          <w:t>3</w:t>
        </w:r>
        <w:r>
          <w:rPr>
            <w:rFonts w:eastAsia="黑体"/>
            <w:noProof/>
          </w:rPr>
          <w:fldChar w:fldCharType="end"/>
        </w:r>
      </w:hyperlink>
    </w:p>
    <w:p w14:paraId="4AB594B7" w14:textId="24EF96AF" w:rsidR="00502148" w:rsidRDefault="00502148">
      <w:pPr>
        <w:pStyle w:val="TOC2"/>
        <w:tabs>
          <w:tab w:val="right" w:leader="dot" w:pos="9184"/>
        </w:tabs>
        <w:adjustRightInd w:val="0"/>
        <w:snapToGrid w:val="0"/>
        <w:spacing w:line="360" w:lineRule="auto"/>
        <w:ind w:firstLine="280"/>
        <w:rPr>
          <w:rFonts w:eastAsia="黑体"/>
          <w:noProof/>
        </w:rPr>
      </w:pPr>
      <w:hyperlink w:anchor="_Toc16328" w:history="1">
        <w:r>
          <w:rPr>
            <w:rFonts w:eastAsia="黑体"/>
            <w:bCs/>
            <w:noProof/>
            <w:szCs w:val="28"/>
            <w:lang w:bidi="ar"/>
          </w:rPr>
          <w:t>2.2</w:t>
        </w:r>
        <w:r>
          <w:rPr>
            <w:rFonts w:eastAsia="黑体"/>
            <w:bCs/>
            <w:noProof/>
            <w:szCs w:val="28"/>
            <w:lang w:bidi="ar"/>
          </w:rPr>
          <w:t>建设项目简介</w:t>
        </w:r>
        <w:r>
          <w:rPr>
            <w:rFonts w:eastAsia="黑体"/>
            <w:noProof/>
          </w:rPr>
          <w:tab/>
        </w:r>
        <w:r>
          <w:rPr>
            <w:rFonts w:eastAsia="黑体"/>
            <w:noProof/>
          </w:rPr>
          <w:fldChar w:fldCharType="begin"/>
        </w:r>
        <w:r>
          <w:rPr>
            <w:rFonts w:eastAsia="黑体"/>
            <w:noProof/>
          </w:rPr>
          <w:instrText xml:space="preserve"> PAGEREF _Toc16328 \h </w:instrText>
        </w:r>
        <w:r>
          <w:rPr>
            <w:rFonts w:eastAsia="黑体"/>
            <w:noProof/>
          </w:rPr>
        </w:r>
        <w:r>
          <w:rPr>
            <w:rFonts w:eastAsia="黑体"/>
            <w:noProof/>
          </w:rPr>
          <w:fldChar w:fldCharType="separate"/>
        </w:r>
        <w:r w:rsidR="00F23717">
          <w:rPr>
            <w:rFonts w:eastAsia="黑体"/>
            <w:noProof/>
          </w:rPr>
          <w:t>3</w:t>
        </w:r>
        <w:r>
          <w:rPr>
            <w:rFonts w:eastAsia="黑体"/>
            <w:noProof/>
          </w:rPr>
          <w:fldChar w:fldCharType="end"/>
        </w:r>
      </w:hyperlink>
    </w:p>
    <w:p w14:paraId="3316FE55" w14:textId="0CC291CF" w:rsidR="00502148" w:rsidRDefault="00502148">
      <w:pPr>
        <w:pStyle w:val="TOC2"/>
        <w:tabs>
          <w:tab w:val="right" w:leader="dot" w:pos="9184"/>
        </w:tabs>
        <w:adjustRightInd w:val="0"/>
        <w:snapToGrid w:val="0"/>
        <w:spacing w:line="360" w:lineRule="auto"/>
        <w:ind w:firstLine="280"/>
        <w:rPr>
          <w:rFonts w:eastAsia="黑体"/>
          <w:noProof/>
        </w:rPr>
      </w:pPr>
      <w:hyperlink w:anchor="_Toc4642" w:history="1">
        <w:r>
          <w:rPr>
            <w:rFonts w:eastAsia="黑体"/>
            <w:bCs/>
            <w:noProof/>
            <w:szCs w:val="28"/>
            <w:lang w:bidi="ar"/>
          </w:rPr>
          <w:t>2.3</w:t>
        </w:r>
        <w:r>
          <w:rPr>
            <w:rFonts w:eastAsia="黑体"/>
            <w:bCs/>
            <w:noProof/>
            <w:szCs w:val="28"/>
            <w:lang w:bidi="ar"/>
          </w:rPr>
          <w:t>采用的主要技术、工艺和同类项目水平对比情况</w:t>
        </w:r>
        <w:r>
          <w:rPr>
            <w:rFonts w:eastAsia="黑体"/>
            <w:noProof/>
          </w:rPr>
          <w:tab/>
        </w:r>
        <w:r>
          <w:rPr>
            <w:rFonts w:eastAsia="黑体"/>
            <w:noProof/>
          </w:rPr>
          <w:fldChar w:fldCharType="begin"/>
        </w:r>
        <w:r>
          <w:rPr>
            <w:rFonts w:eastAsia="黑体"/>
            <w:noProof/>
          </w:rPr>
          <w:instrText xml:space="preserve"> PAGEREF _Toc4642 \h </w:instrText>
        </w:r>
        <w:r>
          <w:rPr>
            <w:rFonts w:eastAsia="黑体"/>
            <w:noProof/>
          </w:rPr>
        </w:r>
        <w:r>
          <w:rPr>
            <w:rFonts w:eastAsia="黑体"/>
            <w:noProof/>
          </w:rPr>
          <w:fldChar w:fldCharType="separate"/>
        </w:r>
        <w:r w:rsidR="00F23717">
          <w:rPr>
            <w:rFonts w:eastAsia="黑体"/>
            <w:noProof/>
          </w:rPr>
          <w:t>5</w:t>
        </w:r>
        <w:r>
          <w:rPr>
            <w:rFonts w:eastAsia="黑体"/>
            <w:noProof/>
          </w:rPr>
          <w:fldChar w:fldCharType="end"/>
        </w:r>
      </w:hyperlink>
    </w:p>
    <w:p w14:paraId="1427D228" w14:textId="5257166E" w:rsidR="00502148" w:rsidRDefault="00502148">
      <w:pPr>
        <w:pStyle w:val="TOC2"/>
        <w:tabs>
          <w:tab w:val="right" w:leader="dot" w:pos="9184"/>
        </w:tabs>
        <w:adjustRightInd w:val="0"/>
        <w:snapToGrid w:val="0"/>
        <w:spacing w:line="360" w:lineRule="auto"/>
        <w:ind w:firstLine="280"/>
        <w:rPr>
          <w:rFonts w:eastAsia="黑体"/>
          <w:noProof/>
        </w:rPr>
      </w:pPr>
      <w:hyperlink w:anchor="_Toc21479" w:history="1">
        <w:r>
          <w:rPr>
            <w:rFonts w:eastAsia="黑体"/>
            <w:bCs/>
            <w:noProof/>
            <w:szCs w:val="28"/>
            <w:lang w:bidi="ar"/>
          </w:rPr>
          <w:t>2.4</w:t>
        </w:r>
        <w:r>
          <w:rPr>
            <w:rFonts w:eastAsia="黑体"/>
            <w:bCs/>
            <w:noProof/>
            <w:szCs w:val="28"/>
            <w:lang w:bidi="ar"/>
          </w:rPr>
          <w:t>建设项目的地理位置、用地面积和储存规模</w:t>
        </w:r>
        <w:r>
          <w:rPr>
            <w:rFonts w:eastAsia="黑体"/>
            <w:noProof/>
          </w:rPr>
          <w:tab/>
        </w:r>
        <w:r>
          <w:rPr>
            <w:rFonts w:eastAsia="黑体"/>
            <w:noProof/>
          </w:rPr>
          <w:fldChar w:fldCharType="begin"/>
        </w:r>
        <w:r>
          <w:rPr>
            <w:rFonts w:eastAsia="黑体"/>
            <w:noProof/>
          </w:rPr>
          <w:instrText xml:space="preserve"> PAGEREF _Toc21479 \h </w:instrText>
        </w:r>
        <w:r>
          <w:rPr>
            <w:rFonts w:eastAsia="黑体"/>
            <w:noProof/>
          </w:rPr>
        </w:r>
        <w:r>
          <w:rPr>
            <w:rFonts w:eastAsia="黑体"/>
            <w:noProof/>
          </w:rPr>
          <w:fldChar w:fldCharType="separate"/>
        </w:r>
        <w:r w:rsidR="00F23717">
          <w:rPr>
            <w:rFonts w:eastAsia="黑体"/>
            <w:noProof/>
          </w:rPr>
          <w:t>7</w:t>
        </w:r>
        <w:r>
          <w:rPr>
            <w:rFonts w:eastAsia="黑体"/>
            <w:noProof/>
          </w:rPr>
          <w:fldChar w:fldCharType="end"/>
        </w:r>
      </w:hyperlink>
    </w:p>
    <w:p w14:paraId="56B602C0" w14:textId="2BEA2751" w:rsidR="00502148" w:rsidRDefault="00502148">
      <w:pPr>
        <w:pStyle w:val="TOC2"/>
        <w:tabs>
          <w:tab w:val="right" w:leader="dot" w:pos="9184"/>
        </w:tabs>
        <w:adjustRightInd w:val="0"/>
        <w:snapToGrid w:val="0"/>
        <w:spacing w:line="360" w:lineRule="auto"/>
        <w:ind w:firstLine="280"/>
        <w:rPr>
          <w:rFonts w:eastAsia="黑体"/>
          <w:noProof/>
        </w:rPr>
      </w:pPr>
      <w:hyperlink w:anchor="_Toc3981" w:history="1">
        <w:r>
          <w:rPr>
            <w:rFonts w:eastAsia="黑体"/>
            <w:bCs/>
            <w:noProof/>
            <w:szCs w:val="28"/>
            <w:lang w:bidi="ar"/>
          </w:rPr>
          <w:t>2.5</w:t>
        </w:r>
        <w:r>
          <w:rPr>
            <w:rFonts w:eastAsia="黑体"/>
            <w:bCs/>
            <w:noProof/>
            <w:szCs w:val="28"/>
            <w:lang w:bidi="ar"/>
          </w:rPr>
          <w:t>涉及的主要原辅材料、产品品种名称、数量，储存</w:t>
        </w:r>
        <w:r>
          <w:rPr>
            <w:rFonts w:eastAsia="黑体"/>
            <w:noProof/>
          </w:rPr>
          <w:tab/>
        </w:r>
        <w:r>
          <w:rPr>
            <w:rFonts w:eastAsia="黑体"/>
            <w:noProof/>
          </w:rPr>
          <w:fldChar w:fldCharType="begin"/>
        </w:r>
        <w:r>
          <w:rPr>
            <w:rFonts w:eastAsia="黑体"/>
            <w:noProof/>
          </w:rPr>
          <w:instrText xml:space="preserve"> PAGEREF _Toc3981 \h </w:instrText>
        </w:r>
        <w:r>
          <w:rPr>
            <w:rFonts w:eastAsia="黑体"/>
            <w:noProof/>
          </w:rPr>
        </w:r>
        <w:r>
          <w:rPr>
            <w:rFonts w:eastAsia="黑体"/>
            <w:noProof/>
          </w:rPr>
          <w:fldChar w:fldCharType="separate"/>
        </w:r>
        <w:r w:rsidR="00F23717">
          <w:rPr>
            <w:rFonts w:eastAsia="黑体"/>
            <w:noProof/>
          </w:rPr>
          <w:t>8</w:t>
        </w:r>
        <w:r>
          <w:rPr>
            <w:rFonts w:eastAsia="黑体"/>
            <w:noProof/>
          </w:rPr>
          <w:fldChar w:fldCharType="end"/>
        </w:r>
      </w:hyperlink>
    </w:p>
    <w:p w14:paraId="1F945EC3" w14:textId="1A5F95C2" w:rsidR="00502148" w:rsidRDefault="00502148">
      <w:pPr>
        <w:pStyle w:val="TOC2"/>
        <w:tabs>
          <w:tab w:val="right" w:leader="dot" w:pos="9184"/>
        </w:tabs>
        <w:adjustRightInd w:val="0"/>
        <w:snapToGrid w:val="0"/>
        <w:spacing w:line="360" w:lineRule="auto"/>
        <w:ind w:firstLine="280"/>
        <w:rPr>
          <w:rFonts w:eastAsia="黑体"/>
          <w:noProof/>
        </w:rPr>
      </w:pPr>
      <w:hyperlink w:anchor="_Toc5999" w:history="1">
        <w:r>
          <w:rPr>
            <w:rFonts w:eastAsia="黑体"/>
            <w:bCs/>
            <w:noProof/>
            <w:szCs w:val="28"/>
            <w:lang w:bidi="ar"/>
          </w:rPr>
          <w:t>2.6</w:t>
        </w:r>
        <w:r>
          <w:rPr>
            <w:rFonts w:eastAsia="黑体"/>
            <w:bCs/>
            <w:noProof/>
            <w:szCs w:val="28"/>
            <w:lang w:bidi="ar"/>
          </w:rPr>
          <w:t>工艺流程和主要装置和设施的布局及其上下游生产装置的关系</w:t>
        </w:r>
        <w:r>
          <w:rPr>
            <w:rFonts w:eastAsia="黑体"/>
            <w:noProof/>
          </w:rPr>
          <w:tab/>
        </w:r>
        <w:r>
          <w:rPr>
            <w:rFonts w:eastAsia="黑体"/>
            <w:noProof/>
          </w:rPr>
          <w:fldChar w:fldCharType="begin"/>
        </w:r>
        <w:r>
          <w:rPr>
            <w:rFonts w:eastAsia="黑体"/>
            <w:noProof/>
          </w:rPr>
          <w:instrText xml:space="preserve"> PAGEREF _Toc5999 \h </w:instrText>
        </w:r>
        <w:r>
          <w:rPr>
            <w:rFonts w:eastAsia="黑体"/>
            <w:noProof/>
          </w:rPr>
        </w:r>
        <w:r>
          <w:rPr>
            <w:rFonts w:eastAsia="黑体"/>
            <w:noProof/>
          </w:rPr>
          <w:fldChar w:fldCharType="separate"/>
        </w:r>
        <w:r w:rsidR="00F23717">
          <w:rPr>
            <w:rFonts w:eastAsia="黑体"/>
            <w:noProof/>
          </w:rPr>
          <w:t>9</w:t>
        </w:r>
        <w:r>
          <w:rPr>
            <w:rFonts w:eastAsia="黑体"/>
            <w:noProof/>
          </w:rPr>
          <w:fldChar w:fldCharType="end"/>
        </w:r>
      </w:hyperlink>
    </w:p>
    <w:p w14:paraId="1A041E9B" w14:textId="20329316" w:rsidR="00502148" w:rsidRDefault="00502148">
      <w:pPr>
        <w:pStyle w:val="TOC2"/>
        <w:tabs>
          <w:tab w:val="right" w:leader="dot" w:pos="9184"/>
        </w:tabs>
        <w:adjustRightInd w:val="0"/>
        <w:snapToGrid w:val="0"/>
        <w:spacing w:line="360" w:lineRule="auto"/>
        <w:ind w:firstLine="280"/>
        <w:rPr>
          <w:rFonts w:eastAsia="黑体"/>
          <w:noProof/>
        </w:rPr>
      </w:pPr>
      <w:hyperlink w:anchor="_Toc22074" w:history="1">
        <w:r>
          <w:rPr>
            <w:rFonts w:eastAsia="黑体"/>
            <w:bCs/>
            <w:noProof/>
            <w:szCs w:val="28"/>
            <w:lang w:bidi="ar"/>
          </w:rPr>
          <w:t>2.7</w:t>
        </w:r>
        <w:r>
          <w:rPr>
            <w:rFonts w:eastAsia="黑体"/>
            <w:bCs/>
            <w:noProof/>
            <w:szCs w:val="28"/>
            <w:lang w:bidi="ar"/>
          </w:rPr>
          <w:t>配套和辅助工程</w:t>
        </w:r>
        <w:r>
          <w:rPr>
            <w:rFonts w:eastAsia="黑体"/>
            <w:noProof/>
          </w:rPr>
          <w:tab/>
        </w:r>
        <w:r>
          <w:rPr>
            <w:rFonts w:eastAsia="黑体"/>
            <w:noProof/>
          </w:rPr>
          <w:fldChar w:fldCharType="begin"/>
        </w:r>
        <w:r>
          <w:rPr>
            <w:rFonts w:eastAsia="黑体"/>
            <w:noProof/>
          </w:rPr>
          <w:instrText xml:space="preserve"> PAGEREF _Toc22074 \h </w:instrText>
        </w:r>
        <w:r>
          <w:rPr>
            <w:rFonts w:eastAsia="黑体"/>
            <w:noProof/>
          </w:rPr>
        </w:r>
        <w:r>
          <w:rPr>
            <w:rFonts w:eastAsia="黑体"/>
            <w:noProof/>
          </w:rPr>
          <w:fldChar w:fldCharType="separate"/>
        </w:r>
        <w:r w:rsidR="00F23717">
          <w:rPr>
            <w:rFonts w:eastAsia="黑体"/>
            <w:noProof/>
          </w:rPr>
          <w:t>13</w:t>
        </w:r>
        <w:r>
          <w:rPr>
            <w:rFonts w:eastAsia="黑体"/>
            <w:noProof/>
          </w:rPr>
          <w:fldChar w:fldCharType="end"/>
        </w:r>
      </w:hyperlink>
    </w:p>
    <w:p w14:paraId="2B16E9E4" w14:textId="1F1B2C31" w:rsidR="00502148" w:rsidRDefault="00502148">
      <w:pPr>
        <w:pStyle w:val="TOC2"/>
        <w:tabs>
          <w:tab w:val="right" w:leader="dot" w:pos="9184"/>
        </w:tabs>
        <w:adjustRightInd w:val="0"/>
        <w:snapToGrid w:val="0"/>
        <w:spacing w:line="360" w:lineRule="auto"/>
        <w:ind w:firstLine="280"/>
        <w:rPr>
          <w:rFonts w:eastAsia="黑体"/>
          <w:noProof/>
        </w:rPr>
      </w:pPr>
      <w:hyperlink w:anchor="_Toc16821" w:history="1">
        <w:r>
          <w:rPr>
            <w:rFonts w:eastAsia="黑体"/>
            <w:bCs/>
            <w:noProof/>
            <w:szCs w:val="28"/>
            <w:lang w:bidi="ar"/>
          </w:rPr>
          <w:t>2.8</w:t>
        </w:r>
        <w:r>
          <w:rPr>
            <w:rFonts w:eastAsia="黑体"/>
            <w:bCs/>
            <w:noProof/>
            <w:szCs w:val="28"/>
            <w:lang w:bidi="ar"/>
          </w:rPr>
          <w:t>主要装置（设备）和设施</w:t>
        </w:r>
        <w:r>
          <w:rPr>
            <w:rFonts w:eastAsia="黑体"/>
            <w:noProof/>
          </w:rPr>
          <w:tab/>
        </w:r>
        <w:r>
          <w:rPr>
            <w:rFonts w:eastAsia="黑体"/>
            <w:noProof/>
          </w:rPr>
          <w:fldChar w:fldCharType="begin"/>
        </w:r>
        <w:r>
          <w:rPr>
            <w:rFonts w:eastAsia="黑体"/>
            <w:noProof/>
          </w:rPr>
          <w:instrText xml:space="preserve"> PAGEREF _Toc16821 \h </w:instrText>
        </w:r>
        <w:r>
          <w:rPr>
            <w:rFonts w:eastAsia="黑体"/>
            <w:noProof/>
          </w:rPr>
        </w:r>
        <w:r>
          <w:rPr>
            <w:rFonts w:eastAsia="黑体"/>
            <w:noProof/>
          </w:rPr>
          <w:fldChar w:fldCharType="separate"/>
        </w:r>
        <w:r w:rsidR="00F23717">
          <w:rPr>
            <w:rFonts w:eastAsia="黑体"/>
            <w:noProof/>
          </w:rPr>
          <w:t>17</w:t>
        </w:r>
        <w:r>
          <w:rPr>
            <w:rFonts w:eastAsia="黑体"/>
            <w:noProof/>
          </w:rPr>
          <w:fldChar w:fldCharType="end"/>
        </w:r>
      </w:hyperlink>
    </w:p>
    <w:p w14:paraId="2917918B" w14:textId="3FEC05C0" w:rsidR="00502148" w:rsidRDefault="00502148">
      <w:pPr>
        <w:pStyle w:val="TOC2"/>
        <w:tabs>
          <w:tab w:val="right" w:leader="dot" w:pos="9184"/>
        </w:tabs>
        <w:adjustRightInd w:val="0"/>
        <w:snapToGrid w:val="0"/>
        <w:spacing w:line="360" w:lineRule="auto"/>
        <w:ind w:firstLine="280"/>
        <w:rPr>
          <w:rFonts w:eastAsia="黑体"/>
          <w:noProof/>
        </w:rPr>
      </w:pPr>
      <w:hyperlink w:anchor="_Toc17949" w:history="1">
        <w:r>
          <w:rPr>
            <w:rFonts w:eastAsia="黑体"/>
            <w:bCs/>
            <w:noProof/>
            <w:szCs w:val="28"/>
            <w:lang w:bidi="ar"/>
          </w:rPr>
          <w:t>2.9</w:t>
        </w:r>
        <w:r>
          <w:rPr>
            <w:rFonts w:eastAsia="黑体"/>
            <w:bCs/>
            <w:noProof/>
            <w:szCs w:val="28"/>
            <w:lang w:bidi="ar"/>
          </w:rPr>
          <w:t>劳动定员</w:t>
        </w:r>
        <w:r>
          <w:rPr>
            <w:rFonts w:eastAsia="黑体"/>
            <w:noProof/>
          </w:rPr>
          <w:tab/>
        </w:r>
        <w:r>
          <w:rPr>
            <w:rFonts w:eastAsia="黑体"/>
            <w:noProof/>
          </w:rPr>
          <w:fldChar w:fldCharType="begin"/>
        </w:r>
        <w:r>
          <w:rPr>
            <w:rFonts w:eastAsia="黑体"/>
            <w:noProof/>
          </w:rPr>
          <w:instrText xml:space="preserve"> PAGEREF _Toc17949 \h </w:instrText>
        </w:r>
        <w:r>
          <w:rPr>
            <w:rFonts w:eastAsia="黑体"/>
            <w:noProof/>
          </w:rPr>
        </w:r>
        <w:r>
          <w:rPr>
            <w:rFonts w:eastAsia="黑体"/>
            <w:noProof/>
          </w:rPr>
          <w:fldChar w:fldCharType="separate"/>
        </w:r>
        <w:r w:rsidR="00F23717">
          <w:rPr>
            <w:rFonts w:eastAsia="黑体"/>
            <w:noProof/>
          </w:rPr>
          <w:t>18</w:t>
        </w:r>
        <w:r>
          <w:rPr>
            <w:rFonts w:eastAsia="黑体"/>
            <w:noProof/>
          </w:rPr>
          <w:fldChar w:fldCharType="end"/>
        </w:r>
      </w:hyperlink>
    </w:p>
    <w:p w14:paraId="08374071" w14:textId="531F140B" w:rsidR="00502148" w:rsidRDefault="00502148">
      <w:pPr>
        <w:pStyle w:val="TOC1"/>
        <w:tabs>
          <w:tab w:val="right" w:leader="dot" w:pos="9184"/>
        </w:tabs>
        <w:adjustRightInd w:val="0"/>
        <w:snapToGrid w:val="0"/>
        <w:spacing w:line="360" w:lineRule="auto"/>
        <w:rPr>
          <w:rFonts w:eastAsia="黑体"/>
          <w:noProof/>
        </w:rPr>
      </w:pPr>
      <w:hyperlink w:anchor="_Toc26889" w:history="1">
        <w:r>
          <w:rPr>
            <w:rFonts w:eastAsia="黑体"/>
            <w:bCs/>
            <w:noProof/>
            <w:szCs w:val="28"/>
            <w:lang w:bidi="ar"/>
          </w:rPr>
          <w:t>3</w:t>
        </w:r>
        <w:r>
          <w:rPr>
            <w:rFonts w:eastAsia="黑体"/>
            <w:bCs/>
            <w:noProof/>
            <w:szCs w:val="28"/>
            <w:lang w:bidi="ar"/>
          </w:rPr>
          <w:t>危险、有害因素和固有的危险、有害程度</w:t>
        </w:r>
        <w:r>
          <w:rPr>
            <w:rFonts w:eastAsia="黑体"/>
            <w:noProof/>
          </w:rPr>
          <w:tab/>
        </w:r>
        <w:r>
          <w:rPr>
            <w:rFonts w:eastAsia="黑体"/>
            <w:noProof/>
          </w:rPr>
          <w:fldChar w:fldCharType="begin"/>
        </w:r>
        <w:r>
          <w:rPr>
            <w:rFonts w:eastAsia="黑体"/>
            <w:noProof/>
          </w:rPr>
          <w:instrText xml:space="preserve"> PAGEREF _Toc26889 \h </w:instrText>
        </w:r>
        <w:r>
          <w:rPr>
            <w:rFonts w:eastAsia="黑体"/>
            <w:noProof/>
          </w:rPr>
        </w:r>
        <w:r>
          <w:rPr>
            <w:rFonts w:eastAsia="黑体"/>
            <w:noProof/>
          </w:rPr>
          <w:fldChar w:fldCharType="separate"/>
        </w:r>
        <w:r w:rsidR="00F23717">
          <w:rPr>
            <w:rFonts w:eastAsia="黑体"/>
            <w:noProof/>
          </w:rPr>
          <w:t>19</w:t>
        </w:r>
        <w:r>
          <w:rPr>
            <w:rFonts w:eastAsia="黑体"/>
            <w:noProof/>
          </w:rPr>
          <w:fldChar w:fldCharType="end"/>
        </w:r>
      </w:hyperlink>
    </w:p>
    <w:p w14:paraId="4AAFD257" w14:textId="37367D43" w:rsidR="00502148" w:rsidRDefault="00502148">
      <w:pPr>
        <w:pStyle w:val="TOC2"/>
        <w:tabs>
          <w:tab w:val="right" w:leader="dot" w:pos="9184"/>
        </w:tabs>
        <w:adjustRightInd w:val="0"/>
        <w:snapToGrid w:val="0"/>
        <w:spacing w:line="360" w:lineRule="auto"/>
        <w:ind w:firstLine="280"/>
        <w:rPr>
          <w:rFonts w:eastAsia="黑体"/>
          <w:noProof/>
        </w:rPr>
      </w:pPr>
      <w:hyperlink w:anchor="_Toc8650" w:history="1">
        <w:r>
          <w:rPr>
            <w:rFonts w:eastAsia="黑体"/>
            <w:bCs/>
            <w:noProof/>
            <w:szCs w:val="28"/>
            <w:lang w:bidi="ar"/>
          </w:rPr>
          <w:t>3.1</w:t>
        </w:r>
        <w:r>
          <w:rPr>
            <w:rFonts w:eastAsia="黑体"/>
            <w:bCs/>
            <w:noProof/>
            <w:szCs w:val="28"/>
            <w:lang w:bidi="ar"/>
          </w:rPr>
          <w:t>物料的危险、有害因素分析</w:t>
        </w:r>
        <w:r>
          <w:rPr>
            <w:rFonts w:eastAsia="黑体"/>
            <w:noProof/>
          </w:rPr>
          <w:tab/>
        </w:r>
        <w:r>
          <w:rPr>
            <w:rFonts w:eastAsia="黑体"/>
            <w:noProof/>
          </w:rPr>
          <w:fldChar w:fldCharType="begin"/>
        </w:r>
        <w:r>
          <w:rPr>
            <w:rFonts w:eastAsia="黑体"/>
            <w:noProof/>
          </w:rPr>
          <w:instrText xml:space="preserve"> PAGEREF _Toc8650 \h </w:instrText>
        </w:r>
        <w:r>
          <w:rPr>
            <w:rFonts w:eastAsia="黑体"/>
            <w:noProof/>
          </w:rPr>
        </w:r>
        <w:r>
          <w:rPr>
            <w:rFonts w:eastAsia="黑体"/>
            <w:noProof/>
          </w:rPr>
          <w:fldChar w:fldCharType="separate"/>
        </w:r>
        <w:r w:rsidR="00F23717">
          <w:rPr>
            <w:rFonts w:eastAsia="黑体"/>
            <w:noProof/>
          </w:rPr>
          <w:t>19</w:t>
        </w:r>
        <w:r>
          <w:rPr>
            <w:rFonts w:eastAsia="黑体"/>
            <w:noProof/>
          </w:rPr>
          <w:fldChar w:fldCharType="end"/>
        </w:r>
      </w:hyperlink>
    </w:p>
    <w:p w14:paraId="562542A6" w14:textId="2B935A52" w:rsidR="00502148" w:rsidRDefault="00502148">
      <w:pPr>
        <w:pStyle w:val="TOC2"/>
        <w:tabs>
          <w:tab w:val="right" w:leader="dot" w:pos="9184"/>
        </w:tabs>
        <w:adjustRightInd w:val="0"/>
        <w:snapToGrid w:val="0"/>
        <w:spacing w:line="360" w:lineRule="auto"/>
        <w:ind w:firstLine="280"/>
        <w:rPr>
          <w:rFonts w:eastAsia="黑体"/>
          <w:noProof/>
        </w:rPr>
      </w:pPr>
      <w:hyperlink w:anchor="_Toc15658" w:history="1">
        <w:r>
          <w:rPr>
            <w:rFonts w:eastAsia="黑体"/>
            <w:bCs/>
            <w:noProof/>
            <w:szCs w:val="28"/>
            <w:lang w:bidi="ar"/>
          </w:rPr>
          <w:t>3.2</w:t>
        </w:r>
        <w:r>
          <w:rPr>
            <w:rFonts w:eastAsia="黑体"/>
            <w:bCs/>
            <w:noProof/>
            <w:szCs w:val="28"/>
            <w:lang w:bidi="ar"/>
          </w:rPr>
          <w:t>储存、经营过程中的危险、有害因素分析</w:t>
        </w:r>
        <w:r>
          <w:rPr>
            <w:rFonts w:eastAsia="黑体"/>
            <w:noProof/>
          </w:rPr>
          <w:tab/>
        </w:r>
        <w:r>
          <w:rPr>
            <w:rFonts w:eastAsia="黑体"/>
            <w:noProof/>
          </w:rPr>
          <w:fldChar w:fldCharType="begin"/>
        </w:r>
        <w:r>
          <w:rPr>
            <w:rFonts w:eastAsia="黑体"/>
            <w:noProof/>
          </w:rPr>
          <w:instrText xml:space="preserve"> PAGEREF _Toc15658 \h </w:instrText>
        </w:r>
        <w:r>
          <w:rPr>
            <w:rFonts w:eastAsia="黑体"/>
            <w:noProof/>
          </w:rPr>
        </w:r>
        <w:r>
          <w:rPr>
            <w:rFonts w:eastAsia="黑体"/>
            <w:noProof/>
          </w:rPr>
          <w:fldChar w:fldCharType="separate"/>
        </w:r>
        <w:r w:rsidR="00F23717">
          <w:rPr>
            <w:rFonts w:eastAsia="黑体"/>
            <w:noProof/>
          </w:rPr>
          <w:t>21</w:t>
        </w:r>
        <w:r>
          <w:rPr>
            <w:rFonts w:eastAsia="黑体"/>
            <w:noProof/>
          </w:rPr>
          <w:fldChar w:fldCharType="end"/>
        </w:r>
      </w:hyperlink>
    </w:p>
    <w:p w14:paraId="6E7ABB7C" w14:textId="529CAA2E" w:rsidR="00502148" w:rsidRDefault="00502148">
      <w:pPr>
        <w:pStyle w:val="TOC2"/>
        <w:tabs>
          <w:tab w:val="right" w:leader="dot" w:pos="9184"/>
        </w:tabs>
        <w:adjustRightInd w:val="0"/>
        <w:snapToGrid w:val="0"/>
        <w:spacing w:line="360" w:lineRule="auto"/>
        <w:ind w:firstLine="280"/>
        <w:rPr>
          <w:rFonts w:eastAsia="黑体"/>
          <w:noProof/>
        </w:rPr>
      </w:pPr>
      <w:hyperlink w:anchor="_Toc23444" w:history="1">
        <w:r>
          <w:rPr>
            <w:rFonts w:eastAsia="黑体"/>
            <w:bCs/>
            <w:noProof/>
            <w:szCs w:val="28"/>
            <w:lang w:bidi="ar"/>
          </w:rPr>
          <w:t>3.3“</w:t>
        </w:r>
        <w:r>
          <w:rPr>
            <w:rFonts w:eastAsia="黑体"/>
            <w:bCs/>
            <w:noProof/>
            <w:szCs w:val="28"/>
            <w:lang w:bidi="ar"/>
          </w:rPr>
          <w:t>两重点、一重大</w:t>
        </w:r>
        <w:r>
          <w:rPr>
            <w:rFonts w:eastAsia="黑体"/>
            <w:bCs/>
            <w:noProof/>
            <w:szCs w:val="28"/>
            <w:lang w:bidi="ar"/>
          </w:rPr>
          <w:t>”</w:t>
        </w:r>
        <w:r>
          <w:rPr>
            <w:rFonts w:eastAsia="黑体"/>
            <w:bCs/>
            <w:noProof/>
            <w:szCs w:val="28"/>
            <w:lang w:bidi="ar"/>
          </w:rPr>
          <w:t>情况</w:t>
        </w:r>
        <w:r>
          <w:rPr>
            <w:rFonts w:eastAsia="黑体"/>
            <w:noProof/>
          </w:rPr>
          <w:tab/>
        </w:r>
        <w:r>
          <w:rPr>
            <w:rFonts w:eastAsia="黑体"/>
            <w:noProof/>
          </w:rPr>
          <w:fldChar w:fldCharType="begin"/>
        </w:r>
        <w:r>
          <w:rPr>
            <w:rFonts w:eastAsia="黑体"/>
            <w:noProof/>
          </w:rPr>
          <w:instrText xml:space="preserve"> PAGEREF _Toc23444 \h </w:instrText>
        </w:r>
        <w:r>
          <w:rPr>
            <w:rFonts w:eastAsia="黑体"/>
            <w:noProof/>
          </w:rPr>
        </w:r>
        <w:r>
          <w:rPr>
            <w:rFonts w:eastAsia="黑体"/>
            <w:noProof/>
          </w:rPr>
          <w:fldChar w:fldCharType="separate"/>
        </w:r>
        <w:r w:rsidR="00F23717">
          <w:rPr>
            <w:rFonts w:eastAsia="黑体"/>
            <w:noProof/>
          </w:rPr>
          <w:t>21</w:t>
        </w:r>
        <w:r>
          <w:rPr>
            <w:rFonts w:eastAsia="黑体"/>
            <w:noProof/>
          </w:rPr>
          <w:fldChar w:fldCharType="end"/>
        </w:r>
      </w:hyperlink>
    </w:p>
    <w:p w14:paraId="75777470" w14:textId="3CA66BA7" w:rsidR="00502148" w:rsidRDefault="00502148">
      <w:pPr>
        <w:pStyle w:val="TOC1"/>
        <w:tabs>
          <w:tab w:val="right" w:leader="dot" w:pos="9184"/>
        </w:tabs>
        <w:adjustRightInd w:val="0"/>
        <w:snapToGrid w:val="0"/>
        <w:spacing w:line="360" w:lineRule="auto"/>
        <w:rPr>
          <w:rFonts w:eastAsia="黑体"/>
          <w:noProof/>
        </w:rPr>
      </w:pPr>
      <w:hyperlink w:anchor="_Toc10853" w:history="1">
        <w:r>
          <w:rPr>
            <w:rFonts w:eastAsia="黑体"/>
            <w:bCs/>
            <w:noProof/>
            <w:szCs w:val="28"/>
            <w:lang w:bidi="ar"/>
          </w:rPr>
          <w:t>4</w:t>
        </w:r>
        <w:r>
          <w:rPr>
            <w:rFonts w:eastAsia="黑体"/>
            <w:bCs/>
            <w:noProof/>
            <w:szCs w:val="28"/>
            <w:lang w:bidi="ar"/>
          </w:rPr>
          <w:t>评价单元的划分与评价方法的选择</w:t>
        </w:r>
        <w:r>
          <w:rPr>
            <w:rFonts w:eastAsia="黑体"/>
            <w:noProof/>
          </w:rPr>
          <w:tab/>
        </w:r>
        <w:r>
          <w:rPr>
            <w:rFonts w:eastAsia="黑体"/>
            <w:noProof/>
          </w:rPr>
          <w:fldChar w:fldCharType="begin"/>
        </w:r>
        <w:r>
          <w:rPr>
            <w:rFonts w:eastAsia="黑体"/>
            <w:noProof/>
          </w:rPr>
          <w:instrText xml:space="preserve"> PAGEREF _Toc10853 \h </w:instrText>
        </w:r>
        <w:r>
          <w:rPr>
            <w:rFonts w:eastAsia="黑体"/>
            <w:noProof/>
          </w:rPr>
        </w:r>
        <w:r>
          <w:rPr>
            <w:rFonts w:eastAsia="黑体"/>
            <w:noProof/>
          </w:rPr>
          <w:fldChar w:fldCharType="separate"/>
        </w:r>
        <w:r w:rsidR="00F23717">
          <w:rPr>
            <w:rFonts w:eastAsia="黑体"/>
            <w:noProof/>
          </w:rPr>
          <w:t>23</w:t>
        </w:r>
        <w:r>
          <w:rPr>
            <w:rFonts w:eastAsia="黑体"/>
            <w:noProof/>
          </w:rPr>
          <w:fldChar w:fldCharType="end"/>
        </w:r>
      </w:hyperlink>
    </w:p>
    <w:p w14:paraId="02BAD837" w14:textId="67A371B5" w:rsidR="00502148" w:rsidRDefault="00502148">
      <w:pPr>
        <w:pStyle w:val="TOC2"/>
        <w:tabs>
          <w:tab w:val="right" w:leader="dot" w:pos="9184"/>
        </w:tabs>
        <w:adjustRightInd w:val="0"/>
        <w:snapToGrid w:val="0"/>
        <w:spacing w:line="360" w:lineRule="auto"/>
        <w:ind w:firstLine="280"/>
        <w:rPr>
          <w:rFonts w:eastAsia="黑体"/>
          <w:noProof/>
        </w:rPr>
      </w:pPr>
      <w:hyperlink w:anchor="_Toc3255" w:history="1">
        <w:r>
          <w:rPr>
            <w:rFonts w:eastAsia="黑体"/>
            <w:bCs/>
            <w:noProof/>
            <w:szCs w:val="28"/>
            <w:lang w:bidi="ar"/>
          </w:rPr>
          <w:t>4.1</w:t>
        </w:r>
        <w:r>
          <w:rPr>
            <w:rFonts w:eastAsia="黑体"/>
            <w:bCs/>
            <w:noProof/>
            <w:szCs w:val="28"/>
            <w:lang w:bidi="ar"/>
          </w:rPr>
          <w:t>评价单元的划分</w:t>
        </w:r>
        <w:r>
          <w:rPr>
            <w:rFonts w:eastAsia="黑体"/>
            <w:noProof/>
          </w:rPr>
          <w:tab/>
        </w:r>
        <w:r>
          <w:rPr>
            <w:rFonts w:eastAsia="黑体"/>
            <w:noProof/>
          </w:rPr>
          <w:fldChar w:fldCharType="begin"/>
        </w:r>
        <w:r>
          <w:rPr>
            <w:rFonts w:eastAsia="黑体"/>
            <w:noProof/>
          </w:rPr>
          <w:instrText xml:space="preserve"> PAGEREF _Toc3255 \h </w:instrText>
        </w:r>
        <w:r>
          <w:rPr>
            <w:rFonts w:eastAsia="黑体"/>
            <w:noProof/>
          </w:rPr>
        </w:r>
        <w:r>
          <w:rPr>
            <w:rFonts w:eastAsia="黑体"/>
            <w:noProof/>
          </w:rPr>
          <w:fldChar w:fldCharType="separate"/>
        </w:r>
        <w:r w:rsidR="00F23717">
          <w:rPr>
            <w:rFonts w:eastAsia="黑体"/>
            <w:noProof/>
          </w:rPr>
          <w:t>23</w:t>
        </w:r>
        <w:r>
          <w:rPr>
            <w:rFonts w:eastAsia="黑体"/>
            <w:noProof/>
          </w:rPr>
          <w:fldChar w:fldCharType="end"/>
        </w:r>
      </w:hyperlink>
    </w:p>
    <w:p w14:paraId="55055C45" w14:textId="4334264D" w:rsidR="00502148" w:rsidRDefault="00502148">
      <w:pPr>
        <w:pStyle w:val="TOC2"/>
        <w:tabs>
          <w:tab w:val="right" w:leader="dot" w:pos="9184"/>
        </w:tabs>
        <w:adjustRightInd w:val="0"/>
        <w:snapToGrid w:val="0"/>
        <w:spacing w:line="360" w:lineRule="auto"/>
        <w:ind w:firstLine="280"/>
        <w:rPr>
          <w:rFonts w:eastAsia="黑体"/>
          <w:noProof/>
        </w:rPr>
      </w:pPr>
      <w:hyperlink w:anchor="_Toc21156" w:history="1">
        <w:r>
          <w:rPr>
            <w:rFonts w:eastAsia="黑体"/>
            <w:bCs/>
            <w:noProof/>
            <w:szCs w:val="28"/>
            <w:lang w:bidi="ar"/>
          </w:rPr>
          <w:t>4.2</w:t>
        </w:r>
        <w:r>
          <w:rPr>
            <w:rFonts w:eastAsia="黑体"/>
            <w:bCs/>
            <w:noProof/>
            <w:szCs w:val="28"/>
            <w:lang w:bidi="ar"/>
          </w:rPr>
          <w:t>安全评价方法的选择</w:t>
        </w:r>
        <w:r>
          <w:rPr>
            <w:rFonts w:eastAsia="黑体"/>
            <w:noProof/>
          </w:rPr>
          <w:tab/>
        </w:r>
        <w:r>
          <w:rPr>
            <w:rFonts w:eastAsia="黑体"/>
            <w:noProof/>
          </w:rPr>
          <w:fldChar w:fldCharType="begin"/>
        </w:r>
        <w:r>
          <w:rPr>
            <w:rFonts w:eastAsia="黑体"/>
            <w:noProof/>
          </w:rPr>
          <w:instrText xml:space="preserve"> PAGEREF _Toc21156 \h </w:instrText>
        </w:r>
        <w:r>
          <w:rPr>
            <w:rFonts w:eastAsia="黑体"/>
            <w:noProof/>
          </w:rPr>
        </w:r>
        <w:r>
          <w:rPr>
            <w:rFonts w:eastAsia="黑体"/>
            <w:noProof/>
          </w:rPr>
          <w:fldChar w:fldCharType="separate"/>
        </w:r>
        <w:r w:rsidR="00F23717">
          <w:rPr>
            <w:rFonts w:eastAsia="黑体"/>
            <w:noProof/>
          </w:rPr>
          <w:t>23</w:t>
        </w:r>
        <w:r>
          <w:rPr>
            <w:rFonts w:eastAsia="黑体"/>
            <w:noProof/>
          </w:rPr>
          <w:fldChar w:fldCharType="end"/>
        </w:r>
      </w:hyperlink>
    </w:p>
    <w:p w14:paraId="49B195F0" w14:textId="2F410FAB" w:rsidR="00502148" w:rsidRDefault="00502148">
      <w:pPr>
        <w:pStyle w:val="TOC1"/>
        <w:tabs>
          <w:tab w:val="right" w:leader="dot" w:pos="9184"/>
        </w:tabs>
        <w:adjustRightInd w:val="0"/>
        <w:snapToGrid w:val="0"/>
        <w:spacing w:line="360" w:lineRule="auto"/>
        <w:rPr>
          <w:rFonts w:eastAsia="黑体"/>
          <w:noProof/>
        </w:rPr>
      </w:pPr>
      <w:hyperlink w:anchor="_Toc28325" w:history="1">
        <w:r>
          <w:rPr>
            <w:rFonts w:eastAsia="黑体"/>
            <w:bCs/>
            <w:noProof/>
            <w:szCs w:val="28"/>
            <w:lang w:bidi="ar"/>
          </w:rPr>
          <w:t>5</w:t>
        </w:r>
        <w:r>
          <w:rPr>
            <w:rFonts w:eastAsia="黑体"/>
            <w:bCs/>
            <w:noProof/>
            <w:szCs w:val="28"/>
            <w:lang w:bidi="ar"/>
          </w:rPr>
          <w:t>定性、定量分析危险、有害程度的结果</w:t>
        </w:r>
        <w:r>
          <w:rPr>
            <w:rFonts w:eastAsia="黑体"/>
            <w:noProof/>
          </w:rPr>
          <w:tab/>
        </w:r>
        <w:r>
          <w:rPr>
            <w:rFonts w:eastAsia="黑体"/>
            <w:noProof/>
          </w:rPr>
          <w:fldChar w:fldCharType="begin"/>
        </w:r>
        <w:r>
          <w:rPr>
            <w:rFonts w:eastAsia="黑体"/>
            <w:noProof/>
          </w:rPr>
          <w:instrText xml:space="preserve"> PAGEREF _Toc28325 \h </w:instrText>
        </w:r>
        <w:r>
          <w:rPr>
            <w:rFonts w:eastAsia="黑体"/>
            <w:noProof/>
          </w:rPr>
        </w:r>
        <w:r>
          <w:rPr>
            <w:rFonts w:eastAsia="黑体"/>
            <w:noProof/>
          </w:rPr>
          <w:fldChar w:fldCharType="separate"/>
        </w:r>
        <w:r w:rsidR="00F23717">
          <w:rPr>
            <w:rFonts w:eastAsia="黑体"/>
            <w:noProof/>
          </w:rPr>
          <w:t>25</w:t>
        </w:r>
        <w:r>
          <w:rPr>
            <w:rFonts w:eastAsia="黑体"/>
            <w:noProof/>
          </w:rPr>
          <w:fldChar w:fldCharType="end"/>
        </w:r>
      </w:hyperlink>
    </w:p>
    <w:p w14:paraId="3CD204FC" w14:textId="7E698C25" w:rsidR="00502148" w:rsidRDefault="00502148">
      <w:pPr>
        <w:pStyle w:val="TOC2"/>
        <w:tabs>
          <w:tab w:val="right" w:leader="dot" w:pos="9184"/>
        </w:tabs>
        <w:adjustRightInd w:val="0"/>
        <w:snapToGrid w:val="0"/>
        <w:spacing w:line="360" w:lineRule="auto"/>
        <w:ind w:firstLine="280"/>
        <w:rPr>
          <w:rFonts w:eastAsia="黑体"/>
          <w:noProof/>
        </w:rPr>
      </w:pPr>
      <w:hyperlink w:anchor="_Toc29686" w:history="1">
        <w:r>
          <w:rPr>
            <w:rFonts w:eastAsia="黑体"/>
            <w:bCs/>
            <w:noProof/>
            <w:szCs w:val="28"/>
            <w:lang w:bidi="ar"/>
          </w:rPr>
          <w:t>5.1</w:t>
        </w:r>
        <w:r>
          <w:rPr>
            <w:rFonts w:eastAsia="黑体"/>
            <w:bCs/>
            <w:noProof/>
            <w:szCs w:val="28"/>
            <w:lang w:bidi="ar"/>
          </w:rPr>
          <w:t>固有危险程度的分析</w:t>
        </w:r>
        <w:r>
          <w:rPr>
            <w:rFonts w:eastAsia="黑体"/>
            <w:noProof/>
          </w:rPr>
          <w:tab/>
        </w:r>
        <w:r>
          <w:rPr>
            <w:rFonts w:eastAsia="黑体"/>
            <w:noProof/>
          </w:rPr>
          <w:fldChar w:fldCharType="begin"/>
        </w:r>
        <w:r>
          <w:rPr>
            <w:rFonts w:eastAsia="黑体"/>
            <w:noProof/>
          </w:rPr>
          <w:instrText xml:space="preserve"> PAGEREF _Toc29686 \h </w:instrText>
        </w:r>
        <w:r>
          <w:rPr>
            <w:rFonts w:eastAsia="黑体"/>
            <w:noProof/>
          </w:rPr>
        </w:r>
        <w:r>
          <w:rPr>
            <w:rFonts w:eastAsia="黑体"/>
            <w:noProof/>
          </w:rPr>
          <w:fldChar w:fldCharType="separate"/>
        </w:r>
        <w:r w:rsidR="00F23717">
          <w:rPr>
            <w:rFonts w:eastAsia="黑体"/>
            <w:noProof/>
          </w:rPr>
          <w:t>25</w:t>
        </w:r>
        <w:r>
          <w:rPr>
            <w:rFonts w:eastAsia="黑体"/>
            <w:noProof/>
          </w:rPr>
          <w:fldChar w:fldCharType="end"/>
        </w:r>
      </w:hyperlink>
    </w:p>
    <w:p w14:paraId="6016077E" w14:textId="4FD39850" w:rsidR="00502148" w:rsidRDefault="00502148">
      <w:pPr>
        <w:pStyle w:val="TOC2"/>
        <w:tabs>
          <w:tab w:val="right" w:leader="dot" w:pos="9184"/>
        </w:tabs>
        <w:adjustRightInd w:val="0"/>
        <w:snapToGrid w:val="0"/>
        <w:spacing w:line="360" w:lineRule="auto"/>
        <w:ind w:firstLine="280"/>
        <w:rPr>
          <w:rFonts w:eastAsia="黑体"/>
          <w:noProof/>
        </w:rPr>
      </w:pPr>
      <w:hyperlink w:anchor="_Toc12276" w:history="1">
        <w:r>
          <w:rPr>
            <w:rFonts w:eastAsia="黑体"/>
            <w:bCs/>
            <w:noProof/>
            <w:szCs w:val="28"/>
            <w:lang w:bidi="ar"/>
          </w:rPr>
          <w:t>5.2</w:t>
        </w:r>
        <w:r>
          <w:rPr>
            <w:rFonts w:eastAsia="黑体"/>
            <w:bCs/>
            <w:noProof/>
            <w:szCs w:val="28"/>
            <w:lang w:bidi="ar"/>
          </w:rPr>
          <w:t>风险程度的分析</w:t>
        </w:r>
        <w:r>
          <w:rPr>
            <w:rFonts w:eastAsia="黑体"/>
            <w:noProof/>
          </w:rPr>
          <w:tab/>
        </w:r>
        <w:r>
          <w:rPr>
            <w:rFonts w:eastAsia="黑体"/>
            <w:noProof/>
          </w:rPr>
          <w:fldChar w:fldCharType="begin"/>
        </w:r>
        <w:r>
          <w:rPr>
            <w:rFonts w:eastAsia="黑体"/>
            <w:noProof/>
          </w:rPr>
          <w:instrText xml:space="preserve"> PAGEREF _Toc12276 \h </w:instrText>
        </w:r>
        <w:r>
          <w:rPr>
            <w:rFonts w:eastAsia="黑体"/>
            <w:noProof/>
          </w:rPr>
        </w:r>
        <w:r>
          <w:rPr>
            <w:rFonts w:eastAsia="黑体"/>
            <w:noProof/>
          </w:rPr>
          <w:fldChar w:fldCharType="separate"/>
        </w:r>
        <w:r w:rsidR="00F23717">
          <w:rPr>
            <w:rFonts w:eastAsia="黑体"/>
            <w:noProof/>
          </w:rPr>
          <w:t>27</w:t>
        </w:r>
        <w:r>
          <w:rPr>
            <w:rFonts w:eastAsia="黑体"/>
            <w:noProof/>
          </w:rPr>
          <w:fldChar w:fldCharType="end"/>
        </w:r>
      </w:hyperlink>
    </w:p>
    <w:p w14:paraId="482A65B5" w14:textId="6FE61EFE" w:rsidR="00502148" w:rsidRDefault="00502148">
      <w:pPr>
        <w:pStyle w:val="TOC1"/>
        <w:tabs>
          <w:tab w:val="right" w:leader="dot" w:pos="9184"/>
        </w:tabs>
        <w:adjustRightInd w:val="0"/>
        <w:snapToGrid w:val="0"/>
        <w:spacing w:line="360" w:lineRule="auto"/>
        <w:rPr>
          <w:rFonts w:eastAsia="黑体"/>
          <w:noProof/>
        </w:rPr>
      </w:pPr>
      <w:hyperlink w:anchor="_Toc20569" w:history="1">
        <w:r>
          <w:rPr>
            <w:rFonts w:eastAsia="黑体"/>
            <w:bCs/>
            <w:noProof/>
            <w:szCs w:val="32"/>
          </w:rPr>
          <w:t>6</w:t>
        </w:r>
        <w:r>
          <w:rPr>
            <w:rFonts w:eastAsia="黑体"/>
            <w:bCs/>
            <w:noProof/>
            <w:szCs w:val="32"/>
          </w:rPr>
          <w:t>建设项目的安全条件</w:t>
        </w:r>
        <w:r>
          <w:rPr>
            <w:rFonts w:eastAsia="黑体"/>
            <w:noProof/>
          </w:rPr>
          <w:tab/>
        </w:r>
        <w:r>
          <w:rPr>
            <w:rFonts w:eastAsia="黑体"/>
            <w:noProof/>
          </w:rPr>
          <w:fldChar w:fldCharType="begin"/>
        </w:r>
        <w:r>
          <w:rPr>
            <w:rFonts w:eastAsia="黑体"/>
            <w:noProof/>
          </w:rPr>
          <w:instrText xml:space="preserve"> PAGEREF _Toc20569 \h </w:instrText>
        </w:r>
        <w:r>
          <w:rPr>
            <w:rFonts w:eastAsia="黑体"/>
            <w:noProof/>
          </w:rPr>
        </w:r>
        <w:r>
          <w:rPr>
            <w:rFonts w:eastAsia="黑体"/>
            <w:noProof/>
          </w:rPr>
          <w:fldChar w:fldCharType="separate"/>
        </w:r>
        <w:r w:rsidR="00F23717">
          <w:rPr>
            <w:rFonts w:eastAsia="黑体"/>
            <w:noProof/>
          </w:rPr>
          <w:t>29</w:t>
        </w:r>
        <w:r>
          <w:rPr>
            <w:rFonts w:eastAsia="黑体"/>
            <w:noProof/>
          </w:rPr>
          <w:fldChar w:fldCharType="end"/>
        </w:r>
      </w:hyperlink>
    </w:p>
    <w:p w14:paraId="1D8CB10A" w14:textId="300DF874" w:rsidR="00502148" w:rsidRDefault="00502148">
      <w:pPr>
        <w:pStyle w:val="TOC2"/>
        <w:tabs>
          <w:tab w:val="right" w:leader="dot" w:pos="9184"/>
        </w:tabs>
        <w:adjustRightInd w:val="0"/>
        <w:snapToGrid w:val="0"/>
        <w:spacing w:line="360" w:lineRule="auto"/>
        <w:ind w:firstLine="280"/>
        <w:rPr>
          <w:rFonts w:eastAsia="黑体"/>
          <w:noProof/>
        </w:rPr>
      </w:pPr>
      <w:hyperlink w:anchor="_Toc2428" w:history="1">
        <w:r>
          <w:rPr>
            <w:rFonts w:eastAsia="黑体"/>
            <w:bCs/>
            <w:noProof/>
            <w:szCs w:val="32"/>
          </w:rPr>
          <w:t>6.1</w:t>
        </w:r>
        <w:r>
          <w:rPr>
            <w:rFonts w:eastAsia="黑体"/>
            <w:bCs/>
            <w:noProof/>
            <w:szCs w:val="32"/>
          </w:rPr>
          <w:t>建设项目的外部情况</w:t>
        </w:r>
        <w:r>
          <w:rPr>
            <w:rFonts w:eastAsia="黑体"/>
            <w:noProof/>
          </w:rPr>
          <w:tab/>
        </w:r>
        <w:r>
          <w:rPr>
            <w:rFonts w:eastAsia="黑体"/>
            <w:noProof/>
          </w:rPr>
          <w:fldChar w:fldCharType="begin"/>
        </w:r>
        <w:r>
          <w:rPr>
            <w:rFonts w:eastAsia="黑体"/>
            <w:noProof/>
          </w:rPr>
          <w:instrText xml:space="preserve"> PAGEREF _Toc2428 \h </w:instrText>
        </w:r>
        <w:r>
          <w:rPr>
            <w:rFonts w:eastAsia="黑体"/>
            <w:noProof/>
          </w:rPr>
        </w:r>
        <w:r>
          <w:rPr>
            <w:rFonts w:eastAsia="黑体"/>
            <w:noProof/>
          </w:rPr>
          <w:fldChar w:fldCharType="separate"/>
        </w:r>
        <w:r w:rsidR="00F23717">
          <w:rPr>
            <w:rFonts w:eastAsia="黑体"/>
            <w:noProof/>
          </w:rPr>
          <w:t>29</w:t>
        </w:r>
        <w:r>
          <w:rPr>
            <w:rFonts w:eastAsia="黑体"/>
            <w:noProof/>
          </w:rPr>
          <w:fldChar w:fldCharType="end"/>
        </w:r>
      </w:hyperlink>
    </w:p>
    <w:p w14:paraId="39708FC5" w14:textId="04B7B918" w:rsidR="00502148" w:rsidRDefault="00502148">
      <w:pPr>
        <w:pStyle w:val="TOC2"/>
        <w:tabs>
          <w:tab w:val="right" w:leader="dot" w:pos="9184"/>
        </w:tabs>
        <w:adjustRightInd w:val="0"/>
        <w:snapToGrid w:val="0"/>
        <w:spacing w:line="360" w:lineRule="auto"/>
        <w:ind w:firstLine="280"/>
        <w:rPr>
          <w:rFonts w:eastAsia="黑体"/>
          <w:noProof/>
        </w:rPr>
      </w:pPr>
      <w:hyperlink w:anchor="_Toc2251" w:history="1">
        <w:r>
          <w:rPr>
            <w:rFonts w:eastAsia="黑体"/>
            <w:bCs/>
            <w:noProof/>
            <w:szCs w:val="32"/>
          </w:rPr>
          <w:t>6.2</w:t>
        </w:r>
        <w:r>
          <w:rPr>
            <w:rFonts w:eastAsia="黑体"/>
            <w:bCs/>
            <w:noProof/>
            <w:szCs w:val="32"/>
          </w:rPr>
          <w:t>建设项目的安全条件</w:t>
        </w:r>
        <w:r>
          <w:rPr>
            <w:rFonts w:eastAsia="黑体"/>
            <w:noProof/>
          </w:rPr>
          <w:tab/>
        </w:r>
        <w:r>
          <w:rPr>
            <w:rFonts w:eastAsia="黑体"/>
            <w:noProof/>
          </w:rPr>
          <w:fldChar w:fldCharType="begin"/>
        </w:r>
        <w:r>
          <w:rPr>
            <w:rFonts w:eastAsia="黑体"/>
            <w:noProof/>
          </w:rPr>
          <w:instrText xml:space="preserve"> PAGEREF _Toc2251 \h </w:instrText>
        </w:r>
        <w:r>
          <w:rPr>
            <w:rFonts w:eastAsia="黑体"/>
            <w:noProof/>
          </w:rPr>
        </w:r>
        <w:r>
          <w:rPr>
            <w:rFonts w:eastAsia="黑体"/>
            <w:noProof/>
          </w:rPr>
          <w:fldChar w:fldCharType="separate"/>
        </w:r>
        <w:r w:rsidR="00F23717">
          <w:rPr>
            <w:rFonts w:eastAsia="黑体"/>
            <w:noProof/>
          </w:rPr>
          <w:t>30</w:t>
        </w:r>
        <w:r>
          <w:rPr>
            <w:rFonts w:eastAsia="黑体"/>
            <w:noProof/>
          </w:rPr>
          <w:fldChar w:fldCharType="end"/>
        </w:r>
      </w:hyperlink>
    </w:p>
    <w:p w14:paraId="2E4848D1" w14:textId="383D226F" w:rsidR="00502148" w:rsidRDefault="00502148">
      <w:pPr>
        <w:pStyle w:val="TOC2"/>
        <w:tabs>
          <w:tab w:val="right" w:leader="dot" w:pos="9184"/>
        </w:tabs>
        <w:adjustRightInd w:val="0"/>
        <w:snapToGrid w:val="0"/>
        <w:spacing w:line="360" w:lineRule="auto"/>
        <w:ind w:firstLine="280"/>
        <w:rPr>
          <w:rFonts w:eastAsia="黑体"/>
          <w:noProof/>
        </w:rPr>
      </w:pPr>
      <w:hyperlink w:anchor="_Toc23974" w:history="1">
        <w:r>
          <w:rPr>
            <w:rFonts w:eastAsia="黑体"/>
            <w:bCs/>
            <w:noProof/>
            <w:szCs w:val="32"/>
          </w:rPr>
          <w:t>6.3</w:t>
        </w:r>
        <w:r>
          <w:rPr>
            <w:rFonts w:eastAsia="黑体"/>
            <w:bCs/>
            <w:noProof/>
            <w:szCs w:val="32"/>
          </w:rPr>
          <w:t>建设项目的安全生产条件分析</w:t>
        </w:r>
        <w:r>
          <w:rPr>
            <w:rFonts w:eastAsia="黑体"/>
            <w:noProof/>
          </w:rPr>
          <w:tab/>
        </w:r>
        <w:r>
          <w:rPr>
            <w:rFonts w:eastAsia="黑体"/>
            <w:noProof/>
          </w:rPr>
          <w:fldChar w:fldCharType="begin"/>
        </w:r>
        <w:r>
          <w:rPr>
            <w:rFonts w:eastAsia="黑体"/>
            <w:noProof/>
          </w:rPr>
          <w:instrText xml:space="preserve"> PAGEREF _Toc23974 \h </w:instrText>
        </w:r>
        <w:r>
          <w:rPr>
            <w:rFonts w:eastAsia="黑体"/>
            <w:noProof/>
          </w:rPr>
        </w:r>
        <w:r>
          <w:rPr>
            <w:rFonts w:eastAsia="黑体"/>
            <w:noProof/>
          </w:rPr>
          <w:fldChar w:fldCharType="separate"/>
        </w:r>
        <w:r w:rsidR="00F23717">
          <w:rPr>
            <w:rFonts w:eastAsia="黑体"/>
            <w:noProof/>
          </w:rPr>
          <w:t>32</w:t>
        </w:r>
        <w:r>
          <w:rPr>
            <w:rFonts w:eastAsia="黑体"/>
            <w:noProof/>
          </w:rPr>
          <w:fldChar w:fldCharType="end"/>
        </w:r>
      </w:hyperlink>
    </w:p>
    <w:p w14:paraId="261E4202" w14:textId="7CE07FB6" w:rsidR="00502148" w:rsidRDefault="00502148">
      <w:pPr>
        <w:pStyle w:val="TOC2"/>
        <w:tabs>
          <w:tab w:val="right" w:leader="dot" w:pos="9184"/>
        </w:tabs>
        <w:adjustRightInd w:val="0"/>
        <w:snapToGrid w:val="0"/>
        <w:spacing w:line="360" w:lineRule="auto"/>
        <w:ind w:firstLine="280"/>
        <w:rPr>
          <w:rFonts w:eastAsia="黑体"/>
          <w:noProof/>
        </w:rPr>
      </w:pPr>
      <w:hyperlink w:anchor="_Toc11758" w:history="1">
        <w:r>
          <w:rPr>
            <w:rFonts w:eastAsia="黑体"/>
            <w:bCs/>
            <w:noProof/>
            <w:szCs w:val="32"/>
          </w:rPr>
          <w:t>6.4</w:t>
        </w:r>
        <w:r>
          <w:rPr>
            <w:rFonts w:eastAsia="黑体"/>
            <w:bCs/>
            <w:noProof/>
            <w:szCs w:val="32"/>
          </w:rPr>
          <w:t>事故案例分析</w:t>
        </w:r>
        <w:r>
          <w:rPr>
            <w:rFonts w:eastAsia="黑体"/>
            <w:noProof/>
          </w:rPr>
          <w:tab/>
        </w:r>
        <w:r>
          <w:rPr>
            <w:rFonts w:eastAsia="黑体"/>
            <w:noProof/>
          </w:rPr>
          <w:fldChar w:fldCharType="begin"/>
        </w:r>
        <w:r>
          <w:rPr>
            <w:rFonts w:eastAsia="黑体"/>
            <w:noProof/>
          </w:rPr>
          <w:instrText xml:space="preserve"> PAGEREF _Toc11758 \h </w:instrText>
        </w:r>
        <w:r>
          <w:rPr>
            <w:rFonts w:eastAsia="黑体"/>
            <w:noProof/>
          </w:rPr>
        </w:r>
        <w:r>
          <w:rPr>
            <w:rFonts w:eastAsia="黑体"/>
            <w:noProof/>
          </w:rPr>
          <w:fldChar w:fldCharType="separate"/>
        </w:r>
        <w:r w:rsidR="00F23717">
          <w:rPr>
            <w:rFonts w:eastAsia="黑体"/>
            <w:noProof/>
          </w:rPr>
          <w:t>49</w:t>
        </w:r>
        <w:r>
          <w:rPr>
            <w:rFonts w:eastAsia="黑体"/>
            <w:noProof/>
          </w:rPr>
          <w:fldChar w:fldCharType="end"/>
        </w:r>
      </w:hyperlink>
    </w:p>
    <w:p w14:paraId="71D71686" w14:textId="7DEEA2EA" w:rsidR="00502148" w:rsidRDefault="00502148">
      <w:pPr>
        <w:pStyle w:val="TOC1"/>
        <w:tabs>
          <w:tab w:val="right" w:leader="dot" w:pos="9184"/>
        </w:tabs>
        <w:adjustRightInd w:val="0"/>
        <w:snapToGrid w:val="0"/>
        <w:spacing w:line="360" w:lineRule="auto"/>
        <w:rPr>
          <w:rFonts w:eastAsia="黑体"/>
          <w:noProof/>
        </w:rPr>
      </w:pPr>
      <w:hyperlink w:anchor="_Toc15103" w:history="1">
        <w:r>
          <w:rPr>
            <w:rFonts w:eastAsia="黑体"/>
            <w:bCs/>
            <w:noProof/>
            <w:szCs w:val="32"/>
          </w:rPr>
          <w:t>7</w:t>
        </w:r>
        <w:r>
          <w:rPr>
            <w:rFonts w:eastAsia="黑体"/>
            <w:bCs/>
            <w:noProof/>
            <w:szCs w:val="32"/>
          </w:rPr>
          <w:t>安全设施的施工、检验、检测和调试情况</w:t>
        </w:r>
        <w:r>
          <w:rPr>
            <w:rFonts w:eastAsia="黑体"/>
            <w:noProof/>
          </w:rPr>
          <w:tab/>
        </w:r>
        <w:r>
          <w:rPr>
            <w:rFonts w:eastAsia="黑体"/>
            <w:noProof/>
          </w:rPr>
          <w:fldChar w:fldCharType="begin"/>
        </w:r>
        <w:r>
          <w:rPr>
            <w:rFonts w:eastAsia="黑体"/>
            <w:noProof/>
          </w:rPr>
          <w:instrText xml:space="preserve"> PAGEREF _Toc15103 \h </w:instrText>
        </w:r>
        <w:r>
          <w:rPr>
            <w:rFonts w:eastAsia="黑体"/>
            <w:noProof/>
          </w:rPr>
        </w:r>
        <w:r>
          <w:rPr>
            <w:rFonts w:eastAsia="黑体"/>
            <w:noProof/>
          </w:rPr>
          <w:fldChar w:fldCharType="separate"/>
        </w:r>
        <w:r w:rsidR="00F23717">
          <w:rPr>
            <w:rFonts w:eastAsia="黑体"/>
            <w:noProof/>
          </w:rPr>
          <w:t>53</w:t>
        </w:r>
        <w:r>
          <w:rPr>
            <w:rFonts w:eastAsia="黑体"/>
            <w:noProof/>
          </w:rPr>
          <w:fldChar w:fldCharType="end"/>
        </w:r>
      </w:hyperlink>
    </w:p>
    <w:p w14:paraId="6387FDAD" w14:textId="0A336681" w:rsidR="00502148" w:rsidRDefault="00502148">
      <w:pPr>
        <w:pStyle w:val="TOC2"/>
        <w:tabs>
          <w:tab w:val="right" w:leader="dot" w:pos="9184"/>
        </w:tabs>
        <w:adjustRightInd w:val="0"/>
        <w:snapToGrid w:val="0"/>
        <w:spacing w:line="360" w:lineRule="auto"/>
        <w:ind w:firstLine="280"/>
        <w:rPr>
          <w:rFonts w:eastAsia="黑体"/>
          <w:noProof/>
        </w:rPr>
      </w:pPr>
      <w:hyperlink w:anchor="_Toc6849" w:history="1">
        <w:r>
          <w:rPr>
            <w:rFonts w:eastAsia="黑体"/>
            <w:bCs/>
            <w:noProof/>
            <w:szCs w:val="32"/>
          </w:rPr>
          <w:t>7.1</w:t>
        </w:r>
        <w:r>
          <w:rPr>
            <w:rFonts w:eastAsia="黑体"/>
            <w:bCs/>
            <w:noProof/>
            <w:szCs w:val="32"/>
          </w:rPr>
          <w:t>安全设施的施工质量情况</w:t>
        </w:r>
        <w:r>
          <w:rPr>
            <w:rFonts w:eastAsia="黑体"/>
            <w:noProof/>
          </w:rPr>
          <w:tab/>
        </w:r>
        <w:r>
          <w:rPr>
            <w:rFonts w:eastAsia="黑体"/>
            <w:noProof/>
          </w:rPr>
          <w:fldChar w:fldCharType="begin"/>
        </w:r>
        <w:r>
          <w:rPr>
            <w:rFonts w:eastAsia="黑体"/>
            <w:noProof/>
          </w:rPr>
          <w:instrText xml:space="preserve"> PAGEREF _Toc6849 \h </w:instrText>
        </w:r>
        <w:r>
          <w:rPr>
            <w:rFonts w:eastAsia="黑体"/>
            <w:noProof/>
          </w:rPr>
        </w:r>
        <w:r>
          <w:rPr>
            <w:rFonts w:eastAsia="黑体"/>
            <w:noProof/>
          </w:rPr>
          <w:fldChar w:fldCharType="separate"/>
        </w:r>
        <w:r w:rsidR="00F23717">
          <w:rPr>
            <w:rFonts w:eastAsia="黑体"/>
            <w:noProof/>
          </w:rPr>
          <w:t>53</w:t>
        </w:r>
        <w:r>
          <w:rPr>
            <w:rFonts w:eastAsia="黑体"/>
            <w:noProof/>
          </w:rPr>
          <w:fldChar w:fldCharType="end"/>
        </w:r>
      </w:hyperlink>
    </w:p>
    <w:p w14:paraId="731BBE5F" w14:textId="44178A7A" w:rsidR="00502148" w:rsidRDefault="00502148">
      <w:pPr>
        <w:pStyle w:val="TOC2"/>
        <w:tabs>
          <w:tab w:val="right" w:leader="dot" w:pos="9184"/>
        </w:tabs>
        <w:adjustRightInd w:val="0"/>
        <w:snapToGrid w:val="0"/>
        <w:spacing w:line="360" w:lineRule="auto"/>
        <w:ind w:firstLine="280"/>
        <w:rPr>
          <w:rFonts w:eastAsia="黑体"/>
          <w:noProof/>
        </w:rPr>
      </w:pPr>
      <w:hyperlink w:anchor="_Toc9350" w:history="1">
        <w:r>
          <w:rPr>
            <w:rFonts w:eastAsia="黑体"/>
            <w:bCs/>
            <w:noProof/>
            <w:szCs w:val="32"/>
          </w:rPr>
          <w:t>7.2</w:t>
        </w:r>
        <w:r>
          <w:rPr>
            <w:rFonts w:eastAsia="黑体"/>
            <w:bCs/>
            <w:noProof/>
            <w:szCs w:val="32"/>
          </w:rPr>
          <w:t>安全设施在施工前后的检验、检测情况及有效性情况</w:t>
        </w:r>
        <w:r>
          <w:rPr>
            <w:rFonts w:eastAsia="黑体"/>
            <w:noProof/>
          </w:rPr>
          <w:tab/>
        </w:r>
        <w:r>
          <w:rPr>
            <w:rFonts w:eastAsia="黑体"/>
            <w:noProof/>
          </w:rPr>
          <w:fldChar w:fldCharType="begin"/>
        </w:r>
        <w:r>
          <w:rPr>
            <w:rFonts w:eastAsia="黑体"/>
            <w:noProof/>
          </w:rPr>
          <w:instrText xml:space="preserve"> PAGEREF _Toc9350 \h </w:instrText>
        </w:r>
        <w:r>
          <w:rPr>
            <w:rFonts w:eastAsia="黑体"/>
            <w:noProof/>
          </w:rPr>
        </w:r>
        <w:r>
          <w:rPr>
            <w:rFonts w:eastAsia="黑体"/>
            <w:noProof/>
          </w:rPr>
          <w:fldChar w:fldCharType="separate"/>
        </w:r>
        <w:r w:rsidR="00F23717">
          <w:rPr>
            <w:rFonts w:eastAsia="黑体"/>
            <w:noProof/>
          </w:rPr>
          <w:t>54</w:t>
        </w:r>
        <w:r>
          <w:rPr>
            <w:rFonts w:eastAsia="黑体"/>
            <w:noProof/>
          </w:rPr>
          <w:fldChar w:fldCharType="end"/>
        </w:r>
      </w:hyperlink>
    </w:p>
    <w:p w14:paraId="0A632B44" w14:textId="6363D833" w:rsidR="00502148" w:rsidRDefault="00502148">
      <w:pPr>
        <w:pStyle w:val="TOC2"/>
        <w:tabs>
          <w:tab w:val="right" w:leader="dot" w:pos="9184"/>
        </w:tabs>
        <w:adjustRightInd w:val="0"/>
        <w:snapToGrid w:val="0"/>
        <w:spacing w:line="360" w:lineRule="auto"/>
        <w:ind w:firstLine="280"/>
        <w:rPr>
          <w:rFonts w:eastAsia="黑体"/>
          <w:noProof/>
        </w:rPr>
      </w:pPr>
      <w:hyperlink w:anchor="_Toc4677" w:history="1">
        <w:r>
          <w:rPr>
            <w:rFonts w:eastAsia="黑体"/>
            <w:bCs/>
            <w:noProof/>
            <w:szCs w:val="32"/>
          </w:rPr>
          <w:t>7.3</w:t>
        </w:r>
        <w:r>
          <w:rPr>
            <w:rFonts w:eastAsia="黑体"/>
            <w:bCs/>
            <w:noProof/>
            <w:szCs w:val="32"/>
          </w:rPr>
          <w:t>安全设施试生产（使用）前的调试情况</w:t>
        </w:r>
        <w:r>
          <w:rPr>
            <w:rFonts w:eastAsia="黑体"/>
            <w:noProof/>
          </w:rPr>
          <w:tab/>
        </w:r>
        <w:r>
          <w:rPr>
            <w:rFonts w:eastAsia="黑体"/>
            <w:noProof/>
          </w:rPr>
          <w:fldChar w:fldCharType="begin"/>
        </w:r>
        <w:r>
          <w:rPr>
            <w:rFonts w:eastAsia="黑体"/>
            <w:noProof/>
          </w:rPr>
          <w:instrText xml:space="preserve"> PAGEREF _Toc4677 \h </w:instrText>
        </w:r>
        <w:r>
          <w:rPr>
            <w:rFonts w:eastAsia="黑体"/>
            <w:noProof/>
          </w:rPr>
        </w:r>
        <w:r>
          <w:rPr>
            <w:rFonts w:eastAsia="黑体"/>
            <w:noProof/>
          </w:rPr>
          <w:fldChar w:fldCharType="separate"/>
        </w:r>
        <w:r w:rsidR="00F23717">
          <w:rPr>
            <w:rFonts w:eastAsia="黑体"/>
            <w:noProof/>
          </w:rPr>
          <w:t>54</w:t>
        </w:r>
        <w:r>
          <w:rPr>
            <w:rFonts w:eastAsia="黑体"/>
            <w:noProof/>
          </w:rPr>
          <w:fldChar w:fldCharType="end"/>
        </w:r>
      </w:hyperlink>
    </w:p>
    <w:p w14:paraId="197F80C9" w14:textId="68561531" w:rsidR="00502148" w:rsidRDefault="00502148">
      <w:pPr>
        <w:pStyle w:val="TOC1"/>
        <w:tabs>
          <w:tab w:val="right" w:leader="dot" w:pos="9184"/>
        </w:tabs>
        <w:adjustRightInd w:val="0"/>
        <w:snapToGrid w:val="0"/>
        <w:spacing w:line="360" w:lineRule="auto"/>
        <w:rPr>
          <w:rFonts w:eastAsia="黑体"/>
          <w:noProof/>
        </w:rPr>
      </w:pPr>
      <w:hyperlink w:anchor="_Toc21844" w:history="1">
        <w:r>
          <w:rPr>
            <w:rFonts w:eastAsia="黑体"/>
            <w:bCs/>
            <w:noProof/>
            <w:szCs w:val="32"/>
          </w:rPr>
          <w:t>8</w:t>
        </w:r>
        <w:r>
          <w:rPr>
            <w:rFonts w:eastAsia="黑体"/>
            <w:bCs/>
            <w:noProof/>
            <w:szCs w:val="32"/>
          </w:rPr>
          <w:t>结论和建议</w:t>
        </w:r>
        <w:r>
          <w:rPr>
            <w:rFonts w:eastAsia="黑体"/>
            <w:noProof/>
          </w:rPr>
          <w:tab/>
        </w:r>
        <w:r>
          <w:rPr>
            <w:rFonts w:eastAsia="黑体"/>
            <w:noProof/>
          </w:rPr>
          <w:fldChar w:fldCharType="begin"/>
        </w:r>
        <w:r>
          <w:rPr>
            <w:rFonts w:eastAsia="黑体"/>
            <w:noProof/>
          </w:rPr>
          <w:instrText xml:space="preserve"> PAGEREF _Toc21844 \h </w:instrText>
        </w:r>
        <w:r>
          <w:rPr>
            <w:rFonts w:eastAsia="黑体"/>
            <w:noProof/>
          </w:rPr>
        </w:r>
        <w:r>
          <w:rPr>
            <w:rFonts w:eastAsia="黑体"/>
            <w:noProof/>
          </w:rPr>
          <w:fldChar w:fldCharType="separate"/>
        </w:r>
        <w:r w:rsidR="00F23717">
          <w:rPr>
            <w:rFonts w:eastAsia="黑体"/>
            <w:noProof/>
          </w:rPr>
          <w:t>55</w:t>
        </w:r>
        <w:r>
          <w:rPr>
            <w:rFonts w:eastAsia="黑体"/>
            <w:noProof/>
          </w:rPr>
          <w:fldChar w:fldCharType="end"/>
        </w:r>
      </w:hyperlink>
    </w:p>
    <w:p w14:paraId="4B7C5185" w14:textId="184847AE" w:rsidR="00502148" w:rsidRDefault="00502148">
      <w:pPr>
        <w:pStyle w:val="TOC2"/>
        <w:tabs>
          <w:tab w:val="right" w:leader="dot" w:pos="9184"/>
        </w:tabs>
        <w:adjustRightInd w:val="0"/>
        <w:snapToGrid w:val="0"/>
        <w:spacing w:line="360" w:lineRule="auto"/>
        <w:ind w:firstLine="280"/>
        <w:rPr>
          <w:rFonts w:eastAsia="黑体"/>
          <w:noProof/>
        </w:rPr>
      </w:pPr>
      <w:hyperlink w:anchor="_Toc7928" w:history="1">
        <w:r>
          <w:rPr>
            <w:rFonts w:eastAsia="黑体"/>
            <w:bCs/>
            <w:noProof/>
            <w:szCs w:val="32"/>
          </w:rPr>
          <w:t>8.1</w:t>
        </w:r>
        <w:r>
          <w:rPr>
            <w:rFonts w:eastAsia="黑体"/>
            <w:bCs/>
            <w:noProof/>
            <w:szCs w:val="32"/>
          </w:rPr>
          <w:t>结论</w:t>
        </w:r>
        <w:r>
          <w:rPr>
            <w:rFonts w:eastAsia="黑体"/>
            <w:noProof/>
          </w:rPr>
          <w:tab/>
        </w:r>
        <w:r>
          <w:rPr>
            <w:rFonts w:eastAsia="黑体"/>
            <w:noProof/>
          </w:rPr>
          <w:fldChar w:fldCharType="begin"/>
        </w:r>
        <w:r>
          <w:rPr>
            <w:rFonts w:eastAsia="黑体"/>
            <w:noProof/>
          </w:rPr>
          <w:instrText xml:space="preserve"> PAGEREF _Toc7928 \h </w:instrText>
        </w:r>
        <w:r>
          <w:rPr>
            <w:rFonts w:eastAsia="黑体"/>
            <w:noProof/>
          </w:rPr>
        </w:r>
        <w:r>
          <w:rPr>
            <w:rFonts w:eastAsia="黑体"/>
            <w:noProof/>
          </w:rPr>
          <w:fldChar w:fldCharType="separate"/>
        </w:r>
        <w:r w:rsidR="00F23717">
          <w:rPr>
            <w:rFonts w:eastAsia="黑体"/>
            <w:noProof/>
          </w:rPr>
          <w:t>55</w:t>
        </w:r>
        <w:r>
          <w:rPr>
            <w:rFonts w:eastAsia="黑体"/>
            <w:noProof/>
          </w:rPr>
          <w:fldChar w:fldCharType="end"/>
        </w:r>
      </w:hyperlink>
    </w:p>
    <w:p w14:paraId="7B50457D" w14:textId="207856DA" w:rsidR="00502148" w:rsidRDefault="00502148">
      <w:pPr>
        <w:pStyle w:val="TOC2"/>
        <w:tabs>
          <w:tab w:val="right" w:leader="dot" w:pos="9184"/>
        </w:tabs>
        <w:adjustRightInd w:val="0"/>
        <w:snapToGrid w:val="0"/>
        <w:spacing w:line="360" w:lineRule="auto"/>
        <w:ind w:firstLine="280"/>
        <w:rPr>
          <w:rFonts w:eastAsia="黑体"/>
          <w:noProof/>
        </w:rPr>
      </w:pPr>
      <w:hyperlink w:anchor="_Toc8839" w:history="1">
        <w:r>
          <w:rPr>
            <w:rFonts w:eastAsia="黑体"/>
            <w:bCs/>
            <w:noProof/>
            <w:szCs w:val="32"/>
          </w:rPr>
          <w:t>8.2</w:t>
        </w:r>
        <w:r>
          <w:rPr>
            <w:rFonts w:eastAsia="黑体"/>
            <w:bCs/>
            <w:noProof/>
            <w:szCs w:val="32"/>
          </w:rPr>
          <w:t>对建设项目的建议</w:t>
        </w:r>
        <w:r>
          <w:rPr>
            <w:rFonts w:eastAsia="黑体"/>
            <w:noProof/>
          </w:rPr>
          <w:tab/>
        </w:r>
        <w:r>
          <w:rPr>
            <w:rFonts w:eastAsia="黑体"/>
            <w:noProof/>
          </w:rPr>
          <w:fldChar w:fldCharType="begin"/>
        </w:r>
        <w:r>
          <w:rPr>
            <w:rFonts w:eastAsia="黑体"/>
            <w:noProof/>
          </w:rPr>
          <w:instrText xml:space="preserve"> PAGEREF _Toc8839 \h </w:instrText>
        </w:r>
        <w:r>
          <w:rPr>
            <w:rFonts w:eastAsia="黑体"/>
            <w:noProof/>
          </w:rPr>
        </w:r>
        <w:r>
          <w:rPr>
            <w:rFonts w:eastAsia="黑体"/>
            <w:noProof/>
          </w:rPr>
          <w:fldChar w:fldCharType="separate"/>
        </w:r>
        <w:r w:rsidR="00F23717">
          <w:rPr>
            <w:rFonts w:eastAsia="黑体"/>
            <w:noProof/>
          </w:rPr>
          <w:t>56</w:t>
        </w:r>
        <w:r>
          <w:rPr>
            <w:rFonts w:eastAsia="黑体"/>
            <w:noProof/>
          </w:rPr>
          <w:fldChar w:fldCharType="end"/>
        </w:r>
      </w:hyperlink>
    </w:p>
    <w:p w14:paraId="5186B502" w14:textId="39AE6034" w:rsidR="00502148" w:rsidRDefault="00502148">
      <w:pPr>
        <w:pStyle w:val="TOC2"/>
        <w:tabs>
          <w:tab w:val="right" w:leader="dot" w:pos="9184"/>
        </w:tabs>
        <w:adjustRightInd w:val="0"/>
        <w:snapToGrid w:val="0"/>
        <w:spacing w:line="360" w:lineRule="auto"/>
        <w:ind w:firstLine="280"/>
        <w:rPr>
          <w:rFonts w:eastAsia="黑体"/>
          <w:noProof/>
        </w:rPr>
      </w:pPr>
      <w:hyperlink w:anchor="_Toc27542" w:history="1">
        <w:r>
          <w:rPr>
            <w:rFonts w:eastAsia="黑体"/>
            <w:bCs/>
            <w:noProof/>
            <w:szCs w:val="32"/>
          </w:rPr>
          <w:t>8.3</w:t>
        </w:r>
        <w:r>
          <w:rPr>
            <w:rFonts w:eastAsia="黑体"/>
            <w:bCs/>
            <w:noProof/>
            <w:szCs w:val="32"/>
          </w:rPr>
          <w:t>建设项目竣工验收安全评价总结论</w:t>
        </w:r>
        <w:r>
          <w:rPr>
            <w:rFonts w:eastAsia="黑体"/>
            <w:noProof/>
          </w:rPr>
          <w:tab/>
        </w:r>
        <w:r>
          <w:rPr>
            <w:rFonts w:eastAsia="黑体"/>
            <w:noProof/>
          </w:rPr>
          <w:fldChar w:fldCharType="begin"/>
        </w:r>
        <w:r>
          <w:rPr>
            <w:rFonts w:eastAsia="黑体"/>
            <w:noProof/>
          </w:rPr>
          <w:instrText xml:space="preserve"> PAGEREF _Toc27542 \h </w:instrText>
        </w:r>
        <w:r>
          <w:rPr>
            <w:rFonts w:eastAsia="黑体"/>
            <w:noProof/>
          </w:rPr>
        </w:r>
        <w:r>
          <w:rPr>
            <w:rFonts w:eastAsia="黑体"/>
            <w:noProof/>
          </w:rPr>
          <w:fldChar w:fldCharType="separate"/>
        </w:r>
        <w:r w:rsidR="00F23717">
          <w:rPr>
            <w:rFonts w:eastAsia="黑体"/>
            <w:noProof/>
          </w:rPr>
          <w:t>59</w:t>
        </w:r>
        <w:r>
          <w:rPr>
            <w:rFonts w:eastAsia="黑体"/>
            <w:noProof/>
          </w:rPr>
          <w:fldChar w:fldCharType="end"/>
        </w:r>
      </w:hyperlink>
    </w:p>
    <w:p w14:paraId="37DAFD72" w14:textId="2981C355" w:rsidR="00502148" w:rsidRDefault="00502148">
      <w:pPr>
        <w:pStyle w:val="TOC1"/>
        <w:tabs>
          <w:tab w:val="right" w:leader="dot" w:pos="9184"/>
        </w:tabs>
        <w:adjustRightInd w:val="0"/>
        <w:snapToGrid w:val="0"/>
        <w:spacing w:line="360" w:lineRule="auto"/>
        <w:rPr>
          <w:rFonts w:eastAsia="黑体"/>
          <w:noProof/>
        </w:rPr>
      </w:pPr>
      <w:hyperlink w:anchor="_Toc30115" w:history="1">
        <w:r>
          <w:rPr>
            <w:rFonts w:eastAsia="黑体"/>
            <w:bCs/>
            <w:noProof/>
            <w:szCs w:val="32"/>
          </w:rPr>
          <w:t>9</w:t>
        </w:r>
        <w:r>
          <w:rPr>
            <w:rFonts w:eastAsia="黑体"/>
            <w:bCs/>
            <w:noProof/>
            <w:szCs w:val="32"/>
          </w:rPr>
          <w:t>与建设单位交换意见</w:t>
        </w:r>
        <w:r>
          <w:rPr>
            <w:rFonts w:eastAsia="黑体"/>
            <w:noProof/>
          </w:rPr>
          <w:tab/>
        </w:r>
        <w:r>
          <w:rPr>
            <w:rFonts w:eastAsia="黑体"/>
            <w:noProof/>
          </w:rPr>
          <w:fldChar w:fldCharType="begin"/>
        </w:r>
        <w:r>
          <w:rPr>
            <w:rFonts w:eastAsia="黑体"/>
            <w:noProof/>
          </w:rPr>
          <w:instrText xml:space="preserve"> PAGEREF _Toc30115 \h </w:instrText>
        </w:r>
        <w:r>
          <w:rPr>
            <w:rFonts w:eastAsia="黑体"/>
            <w:noProof/>
          </w:rPr>
        </w:r>
        <w:r>
          <w:rPr>
            <w:rFonts w:eastAsia="黑体"/>
            <w:noProof/>
          </w:rPr>
          <w:fldChar w:fldCharType="separate"/>
        </w:r>
        <w:r w:rsidR="00F23717">
          <w:rPr>
            <w:rFonts w:eastAsia="黑体"/>
            <w:noProof/>
          </w:rPr>
          <w:t>60</w:t>
        </w:r>
        <w:r>
          <w:rPr>
            <w:rFonts w:eastAsia="黑体"/>
            <w:noProof/>
          </w:rPr>
          <w:fldChar w:fldCharType="end"/>
        </w:r>
      </w:hyperlink>
    </w:p>
    <w:p w14:paraId="6739D195" w14:textId="1B7DB7F9" w:rsidR="00502148" w:rsidRDefault="00502148">
      <w:pPr>
        <w:pStyle w:val="TOC1"/>
        <w:tabs>
          <w:tab w:val="right" w:leader="dot" w:pos="9184"/>
        </w:tabs>
        <w:adjustRightInd w:val="0"/>
        <w:snapToGrid w:val="0"/>
        <w:spacing w:line="360" w:lineRule="auto"/>
        <w:rPr>
          <w:rFonts w:eastAsia="黑体"/>
          <w:noProof/>
        </w:rPr>
      </w:pPr>
      <w:hyperlink w:anchor="_Toc18051" w:history="1">
        <w:r>
          <w:rPr>
            <w:rFonts w:eastAsia="黑体"/>
            <w:bCs/>
            <w:noProof/>
            <w:szCs w:val="32"/>
          </w:rPr>
          <w:t>附件</w:t>
        </w:r>
        <w:r>
          <w:rPr>
            <w:rFonts w:eastAsia="黑体"/>
            <w:bCs/>
            <w:noProof/>
            <w:szCs w:val="32"/>
          </w:rPr>
          <w:t>1</w:t>
        </w:r>
        <w:r>
          <w:rPr>
            <w:rFonts w:eastAsia="黑体"/>
            <w:bCs/>
            <w:noProof/>
            <w:szCs w:val="32"/>
          </w:rPr>
          <w:t>平面布置图等图表</w:t>
        </w:r>
        <w:r>
          <w:rPr>
            <w:rFonts w:eastAsia="黑体"/>
            <w:noProof/>
          </w:rPr>
          <w:tab/>
        </w:r>
        <w:r>
          <w:rPr>
            <w:rFonts w:eastAsia="黑体"/>
            <w:noProof/>
          </w:rPr>
          <w:fldChar w:fldCharType="begin"/>
        </w:r>
        <w:r>
          <w:rPr>
            <w:rFonts w:eastAsia="黑体"/>
            <w:noProof/>
          </w:rPr>
          <w:instrText xml:space="preserve"> PAGEREF _Toc18051 \h </w:instrText>
        </w:r>
        <w:r>
          <w:rPr>
            <w:rFonts w:eastAsia="黑体"/>
            <w:noProof/>
          </w:rPr>
        </w:r>
        <w:r>
          <w:rPr>
            <w:rFonts w:eastAsia="黑体"/>
            <w:noProof/>
          </w:rPr>
          <w:fldChar w:fldCharType="separate"/>
        </w:r>
        <w:r w:rsidR="00F23717">
          <w:rPr>
            <w:rFonts w:eastAsia="黑体"/>
            <w:noProof/>
          </w:rPr>
          <w:t>61</w:t>
        </w:r>
        <w:r>
          <w:rPr>
            <w:rFonts w:eastAsia="黑体"/>
            <w:noProof/>
          </w:rPr>
          <w:fldChar w:fldCharType="end"/>
        </w:r>
      </w:hyperlink>
    </w:p>
    <w:p w14:paraId="302A32CC" w14:textId="5AC24449" w:rsidR="00502148" w:rsidRDefault="00502148">
      <w:pPr>
        <w:pStyle w:val="TOC2"/>
        <w:tabs>
          <w:tab w:val="right" w:leader="dot" w:pos="9184"/>
        </w:tabs>
        <w:adjustRightInd w:val="0"/>
        <w:snapToGrid w:val="0"/>
        <w:spacing w:line="360" w:lineRule="auto"/>
        <w:ind w:firstLine="280"/>
        <w:rPr>
          <w:rFonts w:eastAsia="黑体"/>
          <w:noProof/>
        </w:rPr>
      </w:pPr>
      <w:hyperlink w:anchor="_Toc27322" w:history="1">
        <w:r>
          <w:rPr>
            <w:rFonts w:eastAsia="黑体"/>
            <w:bCs/>
            <w:noProof/>
            <w:szCs w:val="32"/>
          </w:rPr>
          <w:t>F1.1</w:t>
        </w:r>
        <w:r>
          <w:rPr>
            <w:rFonts w:eastAsia="黑体"/>
            <w:bCs/>
            <w:noProof/>
            <w:szCs w:val="32"/>
          </w:rPr>
          <w:t>总平面布置示意图</w:t>
        </w:r>
        <w:r>
          <w:rPr>
            <w:rFonts w:eastAsia="黑体"/>
            <w:noProof/>
          </w:rPr>
          <w:tab/>
        </w:r>
        <w:r>
          <w:rPr>
            <w:rFonts w:eastAsia="黑体"/>
            <w:noProof/>
          </w:rPr>
          <w:fldChar w:fldCharType="begin"/>
        </w:r>
        <w:r>
          <w:rPr>
            <w:rFonts w:eastAsia="黑体"/>
            <w:noProof/>
          </w:rPr>
          <w:instrText xml:space="preserve"> PAGEREF _Toc27322 \h </w:instrText>
        </w:r>
        <w:r>
          <w:rPr>
            <w:rFonts w:eastAsia="黑体"/>
            <w:noProof/>
          </w:rPr>
        </w:r>
        <w:r>
          <w:rPr>
            <w:rFonts w:eastAsia="黑体"/>
            <w:noProof/>
          </w:rPr>
          <w:fldChar w:fldCharType="separate"/>
        </w:r>
        <w:r w:rsidR="00F23717">
          <w:rPr>
            <w:rFonts w:eastAsia="黑体"/>
            <w:noProof/>
          </w:rPr>
          <w:t>61</w:t>
        </w:r>
        <w:r>
          <w:rPr>
            <w:rFonts w:eastAsia="黑体"/>
            <w:noProof/>
          </w:rPr>
          <w:fldChar w:fldCharType="end"/>
        </w:r>
      </w:hyperlink>
    </w:p>
    <w:p w14:paraId="5DEB84A3" w14:textId="64F2270A" w:rsidR="00502148" w:rsidRDefault="00502148">
      <w:pPr>
        <w:pStyle w:val="TOC2"/>
        <w:tabs>
          <w:tab w:val="right" w:leader="dot" w:pos="9184"/>
        </w:tabs>
        <w:adjustRightInd w:val="0"/>
        <w:snapToGrid w:val="0"/>
        <w:spacing w:line="360" w:lineRule="auto"/>
        <w:ind w:firstLine="280"/>
        <w:rPr>
          <w:rFonts w:eastAsia="黑体"/>
          <w:noProof/>
        </w:rPr>
      </w:pPr>
      <w:hyperlink w:anchor="_Toc19905" w:history="1">
        <w:r>
          <w:rPr>
            <w:rFonts w:eastAsia="黑体"/>
            <w:bCs/>
            <w:noProof/>
            <w:szCs w:val="32"/>
          </w:rPr>
          <w:t>F1.2</w:t>
        </w:r>
        <w:r>
          <w:rPr>
            <w:rFonts w:eastAsia="黑体"/>
            <w:bCs/>
            <w:noProof/>
            <w:szCs w:val="32"/>
          </w:rPr>
          <w:t>工艺流程图</w:t>
        </w:r>
        <w:r>
          <w:rPr>
            <w:rFonts w:eastAsia="黑体"/>
            <w:noProof/>
          </w:rPr>
          <w:tab/>
        </w:r>
        <w:r>
          <w:rPr>
            <w:rFonts w:eastAsia="黑体"/>
            <w:noProof/>
          </w:rPr>
          <w:fldChar w:fldCharType="begin"/>
        </w:r>
        <w:r>
          <w:rPr>
            <w:rFonts w:eastAsia="黑体"/>
            <w:noProof/>
          </w:rPr>
          <w:instrText xml:space="preserve"> PAGEREF _Toc19905 \h </w:instrText>
        </w:r>
        <w:r>
          <w:rPr>
            <w:rFonts w:eastAsia="黑体"/>
            <w:noProof/>
          </w:rPr>
        </w:r>
        <w:r>
          <w:rPr>
            <w:rFonts w:eastAsia="黑体"/>
            <w:noProof/>
          </w:rPr>
          <w:fldChar w:fldCharType="separate"/>
        </w:r>
        <w:r w:rsidR="00F23717">
          <w:rPr>
            <w:rFonts w:eastAsia="黑体"/>
            <w:noProof/>
          </w:rPr>
          <w:t>61</w:t>
        </w:r>
        <w:r>
          <w:rPr>
            <w:rFonts w:eastAsia="黑体"/>
            <w:noProof/>
          </w:rPr>
          <w:fldChar w:fldCharType="end"/>
        </w:r>
      </w:hyperlink>
    </w:p>
    <w:p w14:paraId="2F4C5AD3" w14:textId="37CF2A12" w:rsidR="00502148" w:rsidRDefault="00502148">
      <w:pPr>
        <w:pStyle w:val="TOC2"/>
        <w:tabs>
          <w:tab w:val="right" w:leader="dot" w:pos="9184"/>
        </w:tabs>
        <w:adjustRightInd w:val="0"/>
        <w:snapToGrid w:val="0"/>
        <w:spacing w:line="360" w:lineRule="auto"/>
        <w:ind w:firstLine="280"/>
        <w:rPr>
          <w:rFonts w:eastAsia="黑体"/>
          <w:noProof/>
        </w:rPr>
      </w:pPr>
      <w:hyperlink w:anchor="_Toc14621" w:history="1">
        <w:r>
          <w:rPr>
            <w:rFonts w:eastAsia="黑体"/>
            <w:bCs/>
            <w:noProof/>
            <w:szCs w:val="32"/>
          </w:rPr>
          <w:t>F1.3</w:t>
        </w:r>
        <w:r>
          <w:rPr>
            <w:rFonts w:eastAsia="黑体"/>
            <w:bCs/>
            <w:noProof/>
            <w:szCs w:val="32"/>
          </w:rPr>
          <w:t>爆炸危险区域划分图</w:t>
        </w:r>
        <w:r>
          <w:rPr>
            <w:rFonts w:eastAsia="黑体"/>
            <w:noProof/>
          </w:rPr>
          <w:tab/>
        </w:r>
        <w:r>
          <w:rPr>
            <w:rFonts w:eastAsia="黑体"/>
            <w:noProof/>
          </w:rPr>
          <w:fldChar w:fldCharType="begin"/>
        </w:r>
        <w:r>
          <w:rPr>
            <w:rFonts w:eastAsia="黑体"/>
            <w:noProof/>
          </w:rPr>
          <w:instrText xml:space="preserve"> PAGEREF _Toc14621 \h </w:instrText>
        </w:r>
        <w:r>
          <w:rPr>
            <w:rFonts w:eastAsia="黑体"/>
            <w:noProof/>
          </w:rPr>
        </w:r>
        <w:r>
          <w:rPr>
            <w:rFonts w:eastAsia="黑体"/>
            <w:noProof/>
          </w:rPr>
          <w:fldChar w:fldCharType="separate"/>
        </w:r>
        <w:r w:rsidR="00F23717">
          <w:rPr>
            <w:rFonts w:eastAsia="黑体"/>
            <w:noProof/>
          </w:rPr>
          <w:t>61</w:t>
        </w:r>
        <w:r>
          <w:rPr>
            <w:rFonts w:eastAsia="黑体"/>
            <w:noProof/>
          </w:rPr>
          <w:fldChar w:fldCharType="end"/>
        </w:r>
      </w:hyperlink>
    </w:p>
    <w:p w14:paraId="1F4522ED" w14:textId="575E7A7B" w:rsidR="00502148" w:rsidRDefault="00502148">
      <w:pPr>
        <w:pStyle w:val="TOC1"/>
        <w:tabs>
          <w:tab w:val="right" w:leader="dot" w:pos="9184"/>
        </w:tabs>
        <w:adjustRightInd w:val="0"/>
        <w:snapToGrid w:val="0"/>
        <w:spacing w:line="360" w:lineRule="auto"/>
        <w:rPr>
          <w:rFonts w:eastAsia="黑体"/>
          <w:noProof/>
        </w:rPr>
      </w:pPr>
      <w:hyperlink w:anchor="_Toc28516" w:history="1">
        <w:r>
          <w:rPr>
            <w:rFonts w:eastAsia="黑体"/>
            <w:bCs/>
            <w:noProof/>
            <w:szCs w:val="32"/>
          </w:rPr>
          <w:t>附件</w:t>
        </w:r>
        <w:r>
          <w:rPr>
            <w:rFonts w:eastAsia="黑体"/>
            <w:bCs/>
            <w:noProof/>
            <w:szCs w:val="32"/>
          </w:rPr>
          <w:t>2</w:t>
        </w:r>
        <w:r>
          <w:rPr>
            <w:rFonts w:eastAsia="黑体"/>
            <w:bCs/>
            <w:noProof/>
            <w:szCs w:val="32"/>
          </w:rPr>
          <w:t>选用的安全评价方法简介</w:t>
        </w:r>
        <w:r>
          <w:rPr>
            <w:rFonts w:eastAsia="黑体"/>
            <w:noProof/>
          </w:rPr>
          <w:tab/>
        </w:r>
        <w:r>
          <w:rPr>
            <w:rFonts w:eastAsia="黑体"/>
            <w:noProof/>
          </w:rPr>
          <w:fldChar w:fldCharType="begin"/>
        </w:r>
        <w:r>
          <w:rPr>
            <w:rFonts w:eastAsia="黑体"/>
            <w:noProof/>
          </w:rPr>
          <w:instrText xml:space="preserve"> PAGEREF _Toc28516 \h </w:instrText>
        </w:r>
        <w:r>
          <w:rPr>
            <w:rFonts w:eastAsia="黑体"/>
            <w:noProof/>
          </w:rPr>
        </w:r>
        <w:r>
          <w:rPr>
            <w:rFonts w:eastAsia="黑体"/>
            <w:noProof/>
          </w:rPr>
          <w:fldChar w:fldCharType="separate"/>
        </w:r>
        <w:r w:rsidR="00F23717">
          <w:rPr>
            <w:rFonts w:eastAsia="黑体"/>
            <w:noProof/>
          </w:rPr>
          <w:t>62</w:t>
        </w:r>
        <w:r>
          <w:rPr>
            <w:rFonts w:eastAsia="黑体"/>
            <w:noProof/>
          </w:rPr>
          <w:fldChar w:fldCharType="end"/>
        </w:r>
      </w:hyperlink>
    </w:p>
    <w:p w14:paraId="3A59A282" w14:textId="7911DC7D" w:rsidR="00502148" w:rsidRDefault="00502148">
      <w:pPr>
        <w:pStyle w:val="TOC2"/>
        <w:tabs>
          <w:tab w:val="right" w:leader="dot" w:pos="9184"/>
        </w:tabs>
        <w:adjustRightInd w:val="0"/>
        <w:snapToGrid w:val="0"/>
        <w:spacing w:line="360" w:lineRule="auto"/>
        <w:ind w:firstLine="280"/>
        <w:rPr>
          <w:rFonts w:eastAsia="黑体"/>
          <w:noProof/>
        </w:rPr>
      </w:pPr>
      <w:hyperlink w:anchor="_Toc622" w:history="1">
        <w:r>
          <w:rPr>
            <w:rFonts w:eastAsia="黑体"/>
            <w:bCs/>
            <w:noProof/>
            <w:szCs w:val="32"/>
          </w:rPr>
          <w:t>F2.1</w:t>
        </w:r>
        <w:r>
          <w:rPr>
            <w:rFonts w:eastAsia="黑体"/>
            <w:bCs/>
            <w:noProof/>
            <w:szCs w:val="32"/>
          </w:rPr>
          <w:t>重大危险源辨识</w:t>
        </w:r>
        <w:r>
          <w:rPr>
            <w:rFonts w:eastAsia="黑体"/>
            <w:noProof/>
          </w:rPr>
          <w:tab/>
        </w:r>
        <w:r>
          <w:rPr>
            <w:rFonts w:eastAsia="黑体"/>
            <w:noProof/>
          </w:rPr>
          <w:fldChar w:fldCharType="begin"/>
        </w:r>
        <w:r>
          <w:rPr>
            <w:rFonts w:eastAsia="黑体"/>
            <w:noProof/>
          </w:rPr>
          <w:instrText xml:space="preserve"> PAGEREF _Toc622 \h </w:instrText>
        </w:r>
        <w:r>
          <w:rPr>
            <w:rFonts w:eastAsia="黑体"/>
            <w:noProof/>
          </w:rPr>
        </w:r>
        <w:r>
          <w:rPr>
            <w:rFonts w:eastAsia="黑体"/>
            <w:noProof/>
          </w:rPr>
          <w:fldChar w:fldCharType="separate"/>
        </w:r>
        <w:r w:rsidR="00F23717">
          <w:rPr>
            <w:rFonts w:eastAsia="黑体"/>
            <w:noProof/>
          </w:rPr>
          <w:t>62</w:t>
        </w:r>
        <w:r>
          <w:rPr>
            <w:rFonts w:eastAsia="黑体"/>
            <w:noProof/>
          </w:rPr>
          <w:fldChar w:fldCharType="end"/>
        </w:r>
      </w:hyperlink>
    </w:p>
    <w:p w14:paraId="1BBC28D9" w14:textId="0A91E9CF" w:rsidR="00502148" w:rsidRDefault="00502148">
      <w:pPr>
        <w:pStyle w:val="TOC2"/>
        <w:tabs>
          <w:tab w:val="right" w:leader="dot" w:pos="9184"/>
        </w:tabs>
        <w:adjustRightInd w:val="0"/>
        <w:snapToGrid w:val="0"/>
        <w:spacing w:line="360" w:lineRule="auto"/>
        <w:ind w:firstLine="280"/>
        <w:rPr>
          <w:rFonts w:eastAsia="黑体"/>
          <w:noProof/>
        </w:rPr>
      </w:pPr>
      <w:hyperlink w:anchor="_Toc2786" w:history="1">
        <w:r>
          <w:rPr>
            <w:rFonts w:eastAsia="黑体"/>
            <w:bCs/>
            <w:noProof/>
            <w:szCs w:val="32"/>
          </w:rPr>
          <w:t>F2.2</w:t>
        </w:r>
        <w:r>
          <w:rPr>
            <w:rFonts w:eastAsia="黑体"/>
            <w:bCs/>
            <w:noProof/>
            <w:szCs w:val="32"/>
          </w:rPr>
          <w:t>安全检查表法</w:t>
        </w:r>
        <w:r>
          <w:rPr>
            <w:rFonts w:eastAsia="黑体"/>
            <w:noProof/>
          </w:rPr>
          <w:tab/>
        </w:r>
        <w:r>
          <w:rPr>
            <w:rFonts w:eastAsia="黑体"/>
            <w:noProof/>
          </w:rPr>
          <w:fldChar w:fldCharType="begin"/>
        </w:r>
        <w:r>
          <w:rPr>
            <w:rFonts w:eastAsia="黑体"/>
            <w:noProof/>
          </w:rPr>
          <w:instrText xml:space="preserve"> PAGEREF _Toc2786 \h </w:instrText>
        </w:r>
        <w:r>
          <w:rPr>
            <w:rFonts w:eastAsia="黑体"/>
            <w:noProof/>
          </w:rPr>
        </w:r>
        <w:r>
          <w:rPr>
            <w:rFonts w:eastAsia="黑体"/>
            <w:noProof/>
          </w:rPr>
          <w:fldChar w:fldCharType="separate"/>
        </w:r>
        <w:r w:rsidR="00F23717">
          <w:rPr>
            <w:rFonts w:eastAsia="黑体"/>
            <w:noProof/>
          </w:rPr>
          <w:t>63</w:t>
        </w:r>
        <w:r>
          <w:rPr>
            <w:rFonts w:eastAsia="黑体"/>
            <w:noProof/>
          </w:rPr>
          <w:fldChar w:fldCharType="end"/>
        </w:r>
      </w:hyperlink>
    </w:p>
    <w:p w14:paraId="1C77DB96" w14:textId="528077F1" w:rsidR="00502148" w:rsidRDefault="00502148">
      <w:pPr>
        <w:pStyle w:val="TOC2"/>
        <w:tabs>
          <w:tab w:val="right" w:leader="dot" w:pos="9184"/>
        </w:tabs>
        <w:adjustRightInd w:val="0"/>
        <w:snapToGrid w:val="0"/>
        <w:spacing w:line="360" w:lineRule="auto"/>
        <w:ind w:firstLine="280"/>
        <w:rPr>
          <w:rFonts w:eastAsia="黑体"/>
          <w:noProof/>
        </w:rPr>
      </w:pPr>
      <w:hyperlink w:anchor="_Toc17213" w:history="1">
        <w:r>
          <w:rPr>
            <w:rFonts w:eastAsia="黑体"/>
            <w:bCs/>
            <w:noProof/>
            <w:szCs w:val="32"/>
          </w:rPr>
          <w:t>F2.3</w:t>
        </w:r>
        <w:r>
          <w:rPr>
            <w:rFonts w:eastAsia="黑体"/>
            <w:bCs/>
            <w:noProof/>
            <w:szCs w:val="32"/>
          </w:rPr>
          <w:t>作业条件危险性分析法</w:t>
        </w:r>
        <w:r>
          <w:rPr>
            <w:rFonts w:eastAsia="黑体"/>
            <w:noProof/>
          </w:rPr>
          <w:tab/>
        </w:r>
        <w:r>
          <w:rPr>
            <w:rFonts w:eastAsia="黑体"/>
            <w:noProof/>
          </w:rPr>
          <w:fldChar w:fldCharType="begin"/>
        </w:r>
        <w:r>
          <w:rPr>
            <w:rFonts w:eastAsia="黑体"/>
            <w:noProof/>
          </w:rPr>
          <w:instrText xml:space="preserve"> PAGEREF _Toc17213 \h </w:instrText>
        </w:r>
        <w:r>
          <w:rPr>
            <w:rFonts w:eastAsia="黑体"/>
            <w:noProof/>
          </w:rPr>
        </w:r>
        <w:r>
          <w:rPr>
            <w:rFonts w:eastAsia="黑体"/>
            <w:noProof/>
          </w:rPr>
          <w:fldChar w:fldCharType="separate"/>
        </w:r>
        <w:r w:rsidR="00F23717">
          <w:rPr>
            <w:rFonts w:eastAsia="黑体"/>
            <w:noProof/>
          </w:rPr>
          <w:t>64</w:t>
        </w:r>
        <w:r>
          <w:rPr>
            <w:rFonts w:eastAsia="黑体"/>
            <w:noProof/>
          </w:rPr>
          <w:fldChar w:fldCharType="end"/>
        </w:r>
      </w:hyperlink>
    </w:p>
    <w:p w14:paraId="3D2FB94C" w14:textId="2BE86E3B" w:rsidR="00502148" w:rsidRDefault="00502148">
      <w:pPr>
        <w:pStyle w:val="TOC2"/>
        <w:tabs>
          <w:tab w:val="right" w:leader="dot" w:pos="9184"/>
        </w:tabs>
        <w:adjustRightInd w:val="0"/>
        <w:snapToGrid w:val="0"/>
        <w:spacing w:line="360" w:lineRule="auto"/>
        <w:ind w:firstLine="280"/>
        <w:rPr>
          <w:rFonts w:eastAsia="黑体"/>
          <w:noProof/>
        </w:rPr>
      </w:pPr>
      <w:hyperlink w:anchor="_Toc8631" w:history="1">
        <w:r>
          <w:rPr>
            <w:rFonts w:eastAsia="黑体"/>
            <w:bCs/>
            <w:noProof/>
            <w:szCs w:val="32"/>
          </w:rPr>
          <w:t>F2.4TNT</w:t>
        </w:r>
        <w:r>
          <w:rPr>
            <w:rFonts w:eastAsia="黑体"/>
            <w:bCs/>
            <w:noProof/>
            <w:szCs w:val="32"/>
          </w:rPr>
          <w:t>当量计算</w:t>
        </w:r>
        <w:r>
          <w:rPr>
            <w:rFonts w:eastAsia="黑体"/>
            <w:noProof/>
          </w:rPr>
          <w:tab/>
        </w:r>
        <w:r>
          <w:rPr>
            <w:rFonts w:eastAsia="黑体"/>
            <w:noProof/>
          </w:rPr>
          <w:fldChar w:fldCharType="begin"/>
        </w:r>
        <w:r>
          <w:rPr>
            <w:rFonts w:eastAsia="黑体"/>
            <w:noProof/>
          </w:rPr>
          <w:instrText xml:space="preserve"> PAGEREF _Toc8631 \h </w:instrText>
        </w:r>
        <w:r>
          <w:rPr>
            <w:rFonts w:eastAsia="黑体"/>
            <w:noProof/>
          </w:rPr>
        </w:r>
        <w:r>
          <w:rPr>
            <w:rFonts w:eastAsia="黑体"/>
            <w:noProof/>
          </w:rPr>
          <w:fldChar w:fldCharType="separate"/>
        </w:r>
        <w:r w:rsidR="00F23717">
          <w:rPr>
            <w:rFonts w:eastAsia="黑体"/>
            <w:noProof/>
          </w:rPr>
          <w:t>66</w:t>
        </w:r>
        <w:r>
          <w:rPr>
            <w:rFonts w:eastAsia="黑体"/>
            <w:noProof/>
          </w:rPr>
          <w:fldChar w:fldCharType="end"/>
        </w:r>
      </w:hyperlink>
    </w:p>
    <w:p w14:paraId="6AE46E1A" w14:textId="4ADF890C" w:rsidR="00502148" w:rsidRDefault="00502148">
      <w:pPr>
        <w:pStyle w:val="TOC1"/>
        <w:tabs>
          <w:tab w:val="right" w:leader="dot" w:pos="9184"/>
        </w:tabs>
        <w:adjustRightInd w:val="0"/>
        <w:snapToGrid w:val="0"/>
        <w:spacing w:line="360" w:lineRule="auto"/>
        <w:rPr>
          <w:rFonts w:eastAsia="黑体"/>
          <w:noProof/>
        </w:rPr>
      </w:pPr>
      <w:hyperlink w:anchor="_Toc14747" w:history="1">
        <w:r>
          <w:rPr>
            <w:rFonts w:eastAsia="黑体"/>
            <w:bCs/>
            <w:noProof/>
            <w:szCs w:val="32"/>
          </w:rPr>
          <w:t>附件</w:t>
        </w:r>
        <w:r>
          <w:rPr>
            <w:rFonts w:eastAsia="黑体"/>
            <w:bCs/>
            <w:noProof/>
            <w:szCs w:val="32"/>
          </w:rPr>
          <w:t>3</w:t>
        </w:r>
        <w:r>
          <w:rPr>
            <w:rFonts w:eastAsia="黑体"/>
            <w:bCs/>
            <w:noProof/>
            <w:szCs w:val="32"/>
          </w:rPr>
          <w:t>危险有害因素分析</w:t>
        </w:r>
        <w:r>
          <w:rPr>
            <w:rFonts w:eastAsia="黑体"/>
            <w:noProof/>
          </w:rPr>
          <w:tab/>
        </w:r>
        <w:r>
          <w:rPr>
            <w:rFonts w:eastAsia="黑体"/>
            <w:noProof/>
          </w:rPr>
          <w:fldChar w:fldCharType="begin"/>
        </w:r>
        <w:r>
          <w:rPr>
            <w:rFonts w:eastAsia="黑体"/>
            <w:noProof/>
          </w:rPr>
          <w:instrText xml:space="preserve"> PAGEREF _Toc14747 \h </w:instrText>
        </w:r>
        <w:r>
          <w:rPr>
            <w:rFonts w:eastAsia="黑体"/>
            <w:noProof/>
          </w:rPr>
        </w:r>
        <w:r>
          <w:rPr>
            <w:rFonts w:eastAsia="黑体"/>
            <w:noProof/>
          </w:rPr>
          <w:fldChar w:fldCharType="separate"/>
        </w:r>
        <w:r w:rsidR="00F23717">
          <w:rPr>
            <w:rFonts w:eastAsia="黑体"/>
            <w:noProof/>
          </w:rPr>
          <w:t>68</w:t>
        </w:r>
        <w:r>
          <w:rPr>
            <w:rFonts w:eastAsia="黑体"/>
            <w:noProof/>
          </w:rPr>
          <w:fldChar w:fldCharType="end"/>
        </w:r>
      </w:hyperlink>
    </w:p>
    <w:p w14:paraId="5860BEF3" w14:textId="2498765D" w:rsidR="00502148" w:rsidRDefault="00502148">
      <w:pPr>
        <w:pStyle w:val="TOC2"/>
        <w:tabs>
          <w:tab w:val="right" w:leader="dot" w:pos="9184"/>
        </w:tabs>
        <w:adjustRightInd w:val="0"/>
        <w:snapToGrid w:val="0"/>
        <w:spacing w:line="360" w:lineRule="auto"/>
        <w:ind w:firstLine="280"/>
        <w:rPr>
          <w:rFonts w:eastAsia="黑体"/>
          <w:noProof/>
        </w:rPr>
      </w:pPr>
      <w:hyperlink w:anchor="_Toc14886" w:history="1">
        <w:r>
          <w:rPr>
            <w:rFonts w:eastAsia="黑体"/>
            <w:bCs/>
            <w:noProof/>
            <w:szCs w:val="32"/>
          </w:rPr>
          <w:t>F3.1</w:t>
        </w:r>
        <w:r>
          <w:rPr>
            <w:rFonts w:eastAsia="黑体"/>
            <w:bCs/>
            <w:noProof/>
            <w:szCs w:val="32"/>
          </w:rPr>
          <w:t>危险化学品的理化性能指标与危险特性</w:t>
        </w:r>
        <w:r>
          <w:rPr>
            <w:rFonts w:eastAsia="黑体"/>
            <w:noProof/>
          </w:rPr>
          <w:tab/>
        </w:r>
        <w:r>
          <w:rPr>
            <w:rFonts w:eastAsia="黑体"/>
            <w:noProof/>
          </w:rPr>
          <w:fldChar w:fldCharType="begin"/>
        </w:r>
        <w:r>
          <w:rPr>
            <w:rFonts w:eastAsia="黑体"/>
            <w:noProof/>
          </w:rPr>
          <w:instrText xml:space="preserve"> PAGEREF _Toc14886 \h </w:instrText>
        </w:r>
        <w:r>
          <w:rPr>
            <w:rFonts w:eastAsia="黑体"/>
            <w:noProof/>
          </w:rPr>
        </w:r>
        <w:r>
          <w:rPr>
            <w:rFonts w:eastAsia="黑体"/>
            <w:noProof/>
          </w:rPr>
          <w:fldChar w:fldCharType="separate"/>
        </w:r>
        <w:r w:rsidR="00F23717">
          <w:rPr>
            <w:rFonts w:eastAsia="黑体"/>
            <w:noProof/>
          </w:rPr>
          <w:t>68</w:t>
        </w:r>
        <w:r>
          <w:rPr>
            <w:rFonts w:eastAsia="黑体"/>
            <w:noProof/>
          </w:rPr>
          <w:fldChar w:fldCharType="end"/>
        </w:r>
      </w:hyperlink>
    </w:p>
    <w:p w14:paraId="128A5283" w14:textId="424939A4" w:rsidR="00502148" w:rsidRDefault="00502148">
      <w:pPr>
        <w:pStyle w:val="TOC2"/>
        <w:tabs>
          <w:tab w:val="right" w:leader="dot" w:pos="9184"/>
        </w:tabs>
        <w:adjustRightInd w:val="0"/>
        <w:snapToGrid w:val="0"/>
        <w:spacing w:line="360" w:lineRule="auto"/>
        <w:ind w:firstLine="280"/>
        <w:rPr>
          <w:rFonts w:eastAsia="黑体"/>
          <w:noProof/>
        </w:rPr>
      </w:pPr>
      <w:hyperlink w:anchor="_Toc31053" w:history="1">
        <w:r>
          <w:rPr>
            <w:rFonts w:eastAsia="黑体"/>
            <w:bCs/>
            <w:noProof/>
            <w:szCs w:val="32"/>
          </w:rPr>
          <w:t>F3.2</w:t>
        </w:r>
        <w:r>
          <w:rPr>
            <w:rFonts w:eastAsia="黑体"/>
            <w:bCs/>
            <w:noProof/>
            <w:szCs w:val="32"/>
          </w:rPr>
          <w:t>火灾、爆炸、中毒和窒息事故分析</w:t>
        </w:r>
        <w:r>
          <w:rPr>
            <w:rFonts w:eastAsia="黑体"/>
            <w:noProof/>
          </w:rPr>
          <w:tab/>
        </w:r>
        <w:r>
          <w:rPr>
            <w:rFonts w:eastAsia="黑体"/>
            <w:noProof/>
          </w:rPr>
          <w:fldChar w:fldCharType="begin"/>
        </w:r>
        <w:r>
          <w:rPr>
            <w:rFonts w:eastAsia="黑体"/>
            <w:noProof/>
          </w:rPr>
          <w:instrText xml:space="preserve"> PAGEREF _Toc31053 \h </w:instrText>
        </w:r>
        <w:r>
          <w:rPr>
            <w:rFonts w:eastAsia="黑体"/>
            <w:noProof/>
          </w:rPr>
        </w:r>
        <w:r>
          <w:rPr>
            <w:rFonts w:eastAsia="黑体"/>
            <w:noProof/>
          </w:rPr>
          <w:fldChar w:fldCharType="separate"/>
        </w:r>
        <w:r w:rsidR="00F23717">
          <w:rPr>
            <w:rFonts w:eastAsia="黑体"/>
            <w:noProof/>
          </w:rPr>
          <w:t>71</w:t>
        </w:r>
        <w:r>
          <w:rPr>
            <w:rFonts w:eastAsia="黑体"/>
            <w:noProof/>
          </w:rPr>
          <w:fldChar w:fldCharType="end"/>
        </w:r>
      </w:hyperlink>
    </w:p>
    <w:p w14:paraId="5F8C2416" w14:textId="297B9D44" w:rsidR="00502148" w:rsidRDefault="00502148">
      <w:pPr>
        <w:pStyle w:val="TOC2"/>
        <w:tabs>
          <w:tab w:val="right" w:leader="dot" w:pos="9184"/>
        </w:tabs>
        <w:adjustRightInd w:val="0"/>
        <w:snapToGrid w:val="0"/>
        <w:spacing w:line="360" w:lineRule="auto"/>
        <w:ind w:firstLine="280"/>
        <w:rPr>
          <w:rFonts w:eastAsia="黑体"/>
          <w:noProof/>
        </w:rPr>
      </w:pPr>
      <w:hyperlink w:anchor="_Toc27949" w:history="1">
        <w:r>
          <w:rPr>
            <w:rFonts w:eastAsia="黑体"/>
            <w:bCs/>
            <w:noProof/>
            <w:szCs w:val="32"/>
          </w:rPr>
          <w:t>F3.3</w:t>
        </w:r>
        <w:r>
          <w:rPr>
            <w:rFonts w:eastAsia="黑体"/>
            <w:bCs/>
            <w:noProof/>
            <w:szCs w:val="32"/>
          </w:rPr>
          <w:t>可能造成作业人员伤亡的其它危险、有害因素分析</w:t>
        </w:r>
        <w:r>
          <w:rPr>
            <w:rFonts w:eastAsia="黑体"/>
            <w:noProof/>
          </w:rPr>
          <w:tab/>
        </w:r>
        <w:r>
          <w:rPr>
            <w:rFonts w:eastAsia="黑体"/>
            <w:noProof/>
          </w:rPr>
          <w:fldChar w:fldCharType="begin"/>
        </w:r>
        <w:r>
          <w:rPr>
            <w:rFonts w:eastAsia="黑体"/>
            <w:noProof/>
          </w:rPr>
          <w:instrText xml:space="preserve"> PAGEREF _Toc27949 \h </w:instrText>
        </w:r>
        <w:r>
          <w:rPr>
            <w:rFonts w:eastAsia="黑体"/>
            <w:noProof/>
          </w:rPr>
        </w:r>
        <w:r>
          <w:rPr>
            <w:rFonts w:eastAsia="黑体"/>
            <w:noProof/>
          </w:rPr>
          <w:fldChar w:fldCharType="separate"/>
        </w:r>
        <w:r w:rsidR="00F23717">
          <w:rPr>
            <w:rFonts w:eastAsia="黑体"/>
            <w:noProof/>
          </w:rPr>
          <w:t>74</w:t>
        </w:r>
        <w:r>
          <w:rPr>
            <w:rFonts w:eastAsia="黑体"/>
            <w:noProof/>
          </w:rPr>
          <w:fldChar w:fldCharType="end"/>
        </w:r>
      </w:hyperlink>
    </w:p>
    <w:p w14:paraId="1E51382F" w14:textId="53F3E430" w:rsidR="00502148" w:rsidRDefault="00502148">
      <w:pPr>
        <w:pStyle w:val="TOC2"/>
        <w:tabs>
          <w:tab w:val="right" w:leader="dot" w:pos="9184"/>
        </w:tabs>
        <w:adjustRightInd w:val="0"/>
        <w:snapToGrid w:val="0"/>
        <w:spacing w:line="360" w:lineRule="auto"/>
        <w:ind w:firstLine="280"/>
        <w:rPr>
          <w:rFonts w:eastAsia="黑体"/>
          <w:noProof/>
        </w:rPr>
      </w:pPr>
      <w:hyperlink w:anchor="_Toc25217" w:history="1">
        <w:r>
          <w:rPr>
            <w:rFonts w:eastAsia="黑体"/>
            <w:bCs/>
            <w:noProof/>
            <w:szCs w:val="32"/>
          </w:rPr>
          <w:t>F3.4</w:t>
        </w:r>
        <w:r>
          <w:rPr>
            <w:rFonts w:eastAsia="黑体"/>
            <w:bCs/>
            <w:noProof/>
            <w:szCs w:val="32"/>
          </w:rPr>
          <w:t>重大危险源辨识</w:t>
        </w:r>
        <w:r>
          <w:rPr>
            <w:rFonts w:eastAsia="黑体"/>
            <w:noProof/>
          </w:rPr>
          <w:tab/>
        </w:r>
        <w:r>
          <w:rPr>
            <w:rFonts w:eastAsia="黑体"/>
            <w:noProof/>
          </w:rPr>
          <w:fldChar w:fldCharType="begin"/>
        </w:r>
        <w:r>
          <w:rPr>
            <w:rFonts w:eastAsia="黑体"/>
            <w:noProof/>
          </w:rPr>
          <w:instrText xml:space="preserve"> PAGEREF _Toc25217 \h </w:instrText>
        </w:r>
        <w:r>
          <w:rPr>
            <w:rFonts w:eastAsia="黑体"/>
            <w:noProof/>
          </w:rPr>
        </w:r>
        <w:r>
          <w:rPr>
            <w:rFonts w:eastAsia="黑体"/>
            <w:noProof/>
          </w:rPr>
          <w:fldChar w:fldCharType="separate"/>
        </w:r>
        <w:r w:rsidR="00F23717">
          <w:rPr>
            <w:rFonts w:eastAsia="黑体"/>
            <w:noProof/>
          </w:rPr>
          <w:t>77</w:t>
        </w:r>
        <w:r>
          <w:rPr>
            <w:rFonts w:eastAsia="黑体"/>
            <w:noProof/>
          </w:rPr>
          <w:fldChar w:fldCharType="end"/>
        </w:r>
      </w:hyperlink>
    </w:p>
    <w:p w14:paraId="2CE534E6" w14:textId="0174713A" w:rsidR="00502148" w:rsidRDefault="00502148">
      <w:pPr>
        <w:pStyle w:val="TOC1"/>
        <w:tabs>
          <w:tab w:val="right" w:leader="dot" w:pos="9184"/>
        </w:tabs>
        <w:adjustRightInd w:val="0"/>
        <w:snapToGrid w:val="0"/>
        <w:spacing w:line="360" w:lineRule="auto"/>
        <w:rPr>
          <w:rFonts w:eastAsia="黑体"/>
          <w:noProof/>
        </w:rPr>
      </w:pPr>
      <w:hyperlink w:anchor="_Toc8414" w:history="1">
        <w:r>
          <w:rPr>
            <w:rFonts w:eastAsia="黑体"/>
            <w:bCs/>
            <w:noProof/>
            <w:szCs w:val="32"/>
          </w:rPr>
          <w:t>附件</w:t>
        </w:r>
        <w:r>
          <w:rPr>
            <w:rFonts w:eastAsia="黑体"/>
            <w:bCs/>
            <w:noProof/>
            <w:szCs w:val="32"/>
          </w:rPr>
          <w:t>4</w:t>
        </w:r>
        <w:r>
          <w:rPr>
            <w:rFonts w:eastAsia="黑体"/>
            <w:bCs/>
            <w:noProof/>
            <w:szCs w:val="32"/>
          </w:rPr>
          <w:t>定性、定量分析危险、有害程度的过程</w:t>
        </w:r>
        <w:r>
          <w:rPr>
            <w:rFonts w:eastAsia="黑体"/>
            <w:noProof/>
          </w:rPr>
          <w:tab/>
        </w:r>
        <w:r>
          <w:rPr>
            <w:rFonts w:eastAsia="黑体"/>
            <w:noProof/>
          </w:rPr>
          <w:fldChar w:fldCharType="begin"/>
        </w:r>
        <w:r>
          <w:rPr>
            <w:rFonts w:eastAsia="黑体"/>
            <w:noProof/>
          </w:rPr>
          <w:instrText xml:space="preserve"> PAGEREF _Toc8414 \h </w:instrText>
        </w:r>
        <w:r>
          <w:rPr>
            <w:rFonts w:eastAsia="黑体"/>
            <w:noProof/>
          </w:rPr>
        </w:r>
        <w:r>
          <w:rPr>
            <w:rFonts w:eastAsia="黑体"/>
            <w:noProof/>
          </w:rPr>
          <w:fldChar w:fldCharType="separate"/>
        </w:r>
        <w:r w:rsidR="00F23717">
          <w:rPr>
            <w:rFonts w:eastAsia="黑体"/>
            <w:noProof/>
          </w:rPr>
          <w:t>79</w:t>
        </w:r>
        <w:r>
          <w:rPr>
            <w:rFonts w:eastAsia="黑体"/>
            <w:noProof/>
          </w:rPr>
          <w:fldChar w:fldCharType="end"/>
        </w:r>
      </w:hyperlink>
    </w:p>
    <w:p w14:paraId="702B1C84" w14:textId="09709B59" w:rsidR="00502148" w:rsidRDefault="00502148">
      <w:pPr>
        <w:pStyle w:val="TOC2"/>
        <w:tabs>
          <w:tab w:val="right" w:leader="dot" w:pos="9184"/>
        </w:tabs>
        <w:adjustRightInd w:val="0"/>
        <w:snapToGrid w:val="0"/>
        <w:spacing w:line="360" w:lineRule="auto"/>
        <w:ind w:firstLine="280"/>
        <w:rPr>
          <w:rFonts w:eastAsia="黑体"/>
          <w:noProof/>
        </w:rPr>
      </w:pPr>
      <w:hyperlink w:anchor="_Toc5933" w:history="1">
        <w:r>
          <w:rPr>
            <w:rFonts w:eastAsia="黑体"/>
            <w:bCs/>
            <w:noProof/>
            <w:szCs w:val="32"/>
          </w:rPr>
          <w:t>F4.1</w:t>
        </w:r>
        <w:r>
          <w:rPr>
            <w:rFonts w:eastAsia="黑体"/>
            <w:bCs/>
            <w:noProof/>
            <w:szCs w:val="32"/>
          </w:rPr>
          <w:t>安全检查表法定性评价过程</w:t>
        </w:r>
        <w:r>
          <w:rPr>
            <w:rFonts w:eastAsia="黑体"/>
            <w:noProof/>
          </w:rPr>
          <w:tab/>
        </w:r>
        <w:r>
          <w:rPr>
            <w:rFonts w:eastAsia="黑体"/>
            <w:noProof/>
          </w:rPr>
          <w:fldChar w:fldCharType="begin"/>
        </w:r>
        <w:r>
          <w:rPr>
            <w:rFonts w:eastAsia="黑体"/>
            <w:noProof/>
          </w:rPr>
          <w:instrText xml:space="preserve"> PAGEREF _Toc5933 \h </w:instrText>
        </w:r>
        <w:r>
          <w:rPr>
            <w:rFonts w:eastAsia="黑体"/>
            <w:noProof/>
          </w:rPr>
        </w:r>
        <w:r>
          <w:rPr>
            <w:rFonts w:eastAsia="黑体"/>
            <w:noProof/>
          </w:rPr>
          <w:fldChar w:fldCharType="separate"/>
        </w:r>
        <w:r w:rsidR="00F23717">
          <w:rPr>
            <w:rFonts w:eastAsia="黑体"/>
            <w:noProof/>
          </w:rPr>
          <w:t>79</w:t>
        </w:r>
        <w:r>
          <w:rPr>
            <w:rFonts w:eastAsia="黑体"/>
            <w:noProof/>
          </w:rPr>
          <w:fldChar w:fldCharType="end"/>
        </w:r>
      </w:hyperlink>
    </w:p>
    <w:p w14:paraId="40F1E04D" w14:textId="009F1C95" w:rsidR="00502148" w:rsidRDefault="00502148">
      <w:pPr>
        <w:pStyle w:val="TOC2"/>
        <w:tabs>
          <w:tab w:val="right" w:leader="dot" w:pos="9184"/>
        </w:tabs>
        <w:adjustRightInd w:val="0"/>
        <w:snapToGrid w:val="0"/>
        <w:spacing w:line="360" w:lineRule="auto"/>
        <w:ind w:firstLine="280"/>
        <w:rPr>
          <w:rFonts w:eastAsia="黑体"/>
          <w:noProof/>
        </w:rPr>
      </w:pPr>
      <w:hyperlink w:anchor="_Toc15036" w:history="1">
        <w:r>
          <w:rPr>
            <w:rFonts w:eastAsia="黑体"/>
            <w:bCs/>
            <w:noProof/>
            <w:szCs w:val="32"/>
          </w:rPr>
          <w:t>F4.2</w:t>
        </w:r>
        <w:r>
          <w:rPr>
            <w:rFonts w:eastAsia="黑体"/>
            <w:bCs/>
            <w:noProof/>
            <w:szCs w:val="32"/>
          </w:rPr>
          <w:t>作业条件危险性分析法定性评价过程</w:t>
        </w:r>
        <w:r>
          <w:rPr>
            <w:rFonts w:eastAsia="黑体"/>
            <w:noProof/>
          </w:rPr>
          <w:tab/>
        </w:r>
        <w:r>
          <w:rPr>
            <w:rFonts w:eastAsia="黑体"/>
            <w:noProof/>
          </w:rPr>
          <w:fldChar w:fldCharType="begin"/>
        </w:r>
        <w:r>
          <w:rPr>
            <w:rFonts w:eastAsia="黑体"/>
            <w:noProof/>
          </w:rPr>
          <w:instrText xml:space="preserve"> PAGEREF _Toc15036 \h </w:instrText>
        </w:r>
        <w:r>
          <w:rPr>
            <w:rFonts w:eastAsia="黑体"/>
            <w:noProof/>
          </w:rPr>
        </w:r>
        <w:r>
          <w:rPr>
            <w:rFonts w:eastAsia="黑体"/>
            <w:noProof/>
          </w:rPr>
          <w:fldChar w:fldCharType="separate"/>
        </w:r>
        <w:r w:rsidR="00F23717">
          <w:rPr>
            <w:rFonts w:eastAsia="黑体"/>
            <w:noProof/>
          </w:rPr>
          <w:t>102</w:t>
        </w:r>
        <w:r>
          <w:rPr>
            <w:rFonts w:eastAsia="黑体"/>
            <w:noProof/>
          </w:rPr>
          <w:fldChar w:fldCharType="end"/>
        </w:r>
      </w:hyperlink>
    </w:p>
    <w:p w14:paraId="1A36B6A0" w14:textId="04A87A28" w:rsidR="00502148" w:rsidRDefault="00502148">
      <w:pPr>
        <w:pStyle w:val="TOC2"/>
        <w:tabs>
          <w:tab w:val="right" w:leader="dot" w:pos="9184"/>
        </w:tabs>
        <w:adjustRightInd w:val="0"/>
        <w:snapToGrid w:val="0"/>
        <w:spacing w:line="360" w:lineRule="auto"/>
        <w:ind w:firstLine="280"/>
        <w:rPr>
          <w:rFonts w:eastAsia="黑体"/>
          <w:noProof/>
        </w:rPr>
      </w:pPr>
      <w:hyperlink w:anchor="_Toc11404" w:history="1">
        <w:r>
          <w:rPr>
            <w:rFonts w:eastAsia="黑体"/>
            <w:bCs/>
            <w:noProof/>
            <w:szCs w:val="32"/>
          </w:rPr>
          <w:t>F4.3</w:t>
        </w:r>
        <w:r>
          <w:rPr>
            <w:rFonts w:eastAsia="黑体"/>
            <w:bCs/>
            <w:noProof/>
            <w:szCs w:val="32"/>
          </w:rPr>
          <w:t>定量分析具有可燃性化学品的固有风险程度</w:t>
        </w:r>
        <w:r>
          <w:rPr>
            <w:rFonts w:eastAsia="黑体"/>
            <w:noProof/>
          </w:rPr>
          <w:tab/>
        </w:r>
        <w:r>
          <w:rPr>
            <w:rFonts w:eastAsia="黑体"/>
            <w:noProof/>
          </w:rPr>
          <w:fldChar w:fldCharType="begin"/>
        </w:r>
        <w:r>
          <w:rPr>
            <w:rFonts w:eastAsia="黑体"/>
            <w:noProof/>
          </w:rPr>
          <w:instrText xml:space="preserve"> PAGEREF _Toc11404 \h </w:instrText>
        </w:r>
        <w:r>
          <w:rPr>
            <w:rFonts w:eastAsia="黑体"/>
            <w:noProof/>
          </w:rPr>
        </w:r>
        <w:r>
          <w:rPr>
            <w:rFonts w:eastAsia="黑体"/>
            <w:noProof/>
          </w:rPr>
          <w:fldChar w:fldCharType="separate"/>
        </w:r>
        <w:r w:rsidR="00F23717">
          <w:rPr>
            <w:rFonts w:eastAsia="黑体"/>
            <w:noProof/>
          </w:rPr>
          <w:t>103</w:t>
        </w:r>
        <w:r>
          <w:rPr>
            <w:rFonts w:eastAsia="黑体"/>
            <w:noProof/>
          </w:rPr>
          <w:fldChar w:fldCharType="end"/>
        </w:r>
      </w:hyperlink>
    </w:p>
    <w:p w14:paraId="4008EAFF" w14:textId="45AF28A4" w:rsidR="00502148" w:rsidRDefault="00502148">
      <w:pPr>
        <w:pStyle w:val="TOC1"/>
        <w:tabs>
          <w:tab w:val="right" w:leader="dot" w:pos="9184"/>
        </w:tabs>
        <w:adjustRightInd w:val="0"/>
        <w:snapToGrid w:val="0"/>
        <w:spacing w:line="360" w:lineRule="auto"/>
        <w:rPr>
          <w:rFonts w:eastAsia="黑体"/>
          <w:noProof/>
        </w:rPr>
      </w:pPr>
      <w:hyperlink w:anchor="_Toc12754" w:history="1">
        <w:r>
          <w:rPr>
            <w:rFonts w:eastAsia="黑体"/>
            <w:bCs/>
            <w:noProof/>
            <w:szCs w:val="32"/>
          </w:rPr>
          <w:t>附件</w:t>
        </w:r>
        <w:r>
          <w:rPr>
            <w:rFonts w:eastAsia="黑体"/>
            <w:bCs/>
            <w:noProof/>
            <w:szCs w:val="32"/>
          </w:rPr>
          <w:t>5</w:t>
        </w:r>
        <w:r>
          <w:rPr>
            <w:rFonts w:eastAsia="黑体"/>
            <w:bCs/>
            <w:noProof/>
            <w:szCs w:val="32"/>
          </w:rPr>
          <w:t>安全评价依据</w:t>
        </w:r>
        <w:r>
          <w:rPr>
            <w:rFonts w:eastAsia="黑体"/>
            <w:noProof/>
          </w:rPr>
          <w:tab/>
        </w:r>
        <w:r>
          <w:rPr>
            <w:rFonts w:eastAsia="黑体"/>
            <w:noProof/>
          </w:rPr>
          <w:fldChar w:fldCharType="begin"/>
        </w:r>
        <w:r>
          <w:rPr>
            <w:rFonts w:eastAsia="黑体"/>
            <w:noProof/>
          </w:rPr>
          <w:instrText xml:space="preserve"> PAGEREF _Toc12754 \h </w:instrText>
        </w:r>
        <w:r>
          <w:rPr>
            <w:rFonts w:eastAsia="黑体"/>
            <w:noProof/>
          </w:rPr>
        </w:r>
        <w:r>
          <w:rPr>
            <w:rFonts w:eastAsia="黑体"/>
            <w:noProof/>
          </w:rPr>
          <w:fldChar w:fldCharType="separate"/>
        </w:r>
        <w:r w:rsidR="00F23717">
          <w:rPr>
            <w:rFonts w:eastAsia="黑体"/>
            <w:noProof/>
          </w:rPr>
          <w:t>106</w:t>
        </w:r>
        <w:r>
          <w:rPr>
            <w:rFonts w:eastAsia="黑体"/>
            <w:noProof/>
          </w:rPr>
          <w:fldChar w:fldCharType="end"/>
        </w:r>
      </w:hyperlink>
    </w:p>
    <w:p w14:paraId="312C0E6E" w14:textId="679DFCC3" w:rsidR="00502148" w:rsidRDefault="00502148">
      <w:pPr>
        <w:pStyle w:val="TOC2"/>
        <w:tabs>
          <w:tab w:val="right" w:leader="dot" w:pos="9184"/>
        </w:tabs>
        <w:adjustRightInd w:val="0"/>
        <w:snapToGrid w:val="0"/>
        <w:spacing w:line="360" w:lineRule="auto"/>
        <w:ind w:firstLine="280"/>
        <w:rPr>
          <w:rFonts w:eastAsia="黑体"/>
          <w:noProof/>
        </w:rPr>
      </w:pPr>
      <w:hyperlink w:anchor="_Toc336" w:history="1">
        <w:r>
          <w:rPr>
            <w:rFonts w:eastAsia="黑体"/>
            <w:bCs/>
            <w:noProof/>
            <w:szCs w:val="32"/>
          </w:rPr>
          <w:t>F5.1</w:t>
        </w:r>
        <w:r>
          <w:rPr>
            <w:rFonts w:eastAsia="黑体"/>
            <w:bCs/>
            <w:noProof/>
            <w:szCs w:val="32"/>
          </w:rPr>
          <w:t>法律</w:t>
        </w:r>
        <w:r>
          <w:rPr>
            <w:rFonts w:eastAsia="黑体"/>
            <w:noProof/>
          </w:rPr>
          <w:tab/>
        </w:r>
        <w:r>
          <w:rPr>
            <w:rFonts w:eastAsia="黑体"/>
            <w:noProof/>
          </w:rPr>
          <w:fldChar w:fldCharType="begin"/>
        </w:r>
        <w:r>
          <w:rPr>
            <w:rFonts w:eastAsia="黑体"/>
            <w:noProof/>
          </w:rPr>
          <w:instrText xml:space="preserve"> PAGEREF _Toc336 \h </w:instrText>
        </w:r>
        <w:r>
          <w:rPr>
            <w:rFonts w:eastAsia="黑体"/>
            <w:noProof/>
          </w:rPr>
        </w:r>
        <w:r>
          <w:rPr>
            <w:rFonts w:eastAsia="黑体"/>
            <w:noProof/>
          </w:rPr>
          <w:fldChar w:fldCharType="separate"/>
        </w:r>
        <w:r w:rsidR="00F23717">
          <w:rPr>
            <w:rFonts w:eastAsia="黑体"/>
            <w:noProof/>
          </w:rPr>
          <w:t>106</w:t>
        </w:r>
        <w:r>
          <w:rPr>
            <w:rFonts w:eastAsia="黑体"/>
            <w:noProof/>
          </w:rPr>
          <w:fldChar w:fldCharType="end"/>
        </w:r>
      </w:hyperlink>
    </w:p>
    <w:p w14:paraId="02326AFB" w14:textId="3C9F2EF3" w:rsidR="00502148" w:rsidRDefault="00502148">
      <w:pPr>
        <w:pStyle w:val="TOC2"/>
        <w:tabs>
          <w:tab w:val="right" w:leader="dot" w:pos="9184"/>
        </w:tabs>
        <w:adjustRightInd w:val="0"/>
        <w:snapToGrid w:val="0"/>
        <w:spacing w:line="360" w:lineRule="auto"/>
        <w:ind w:firstLine="280"/>
        <w:rPr>
          <w:rFonts w:eastAsia="黑体"/>
          <w:noProof/>
        </w:rPr>
      </w:pPr>
      <w:hyperlink w:anchor="_Toc26261" w:history="1">
        <w:r>
          <w:rPr>
            <w:rFonts w:eastAsia="黑体"/>
            <w:bCs/>
            <w:noProof/>
            <w:szCs w:val="32"/>
          </w:rPr>
          <w:t>F5.2</w:t>
        </w:r>
        <w:r>
          <w:rPr>
            <w:rFonts w:eastAsia="黑体"/>
            <w:bCs/>
            <w:noProof/>
            <w:szCs w:val="32"/>
          </w:rPr>
          <w:t>法规</w:t>
        </w:r>
        <w:r>
          <w:rPr>
            <w:rFonts w:eastAsia="黑体"/>
            <w:noProof/>
          </w:rPr>
          <w:tab/>
        </w:r>
        <w:r>
          <w:rPr>
            <w:rFonts w:eastAsia="黑体"/>
            <w:noProof/>
          </w:rPr>
          <w:fldChar w:fldCharType="begin"/>
        </w:r>
        <w:r>
          <w:rPr>
            <w:rFonts w:eastAsia="黑体"/>
            <w:noProof/>
          </w:rPr>
          <w:instrText xml:space="preserve"> PAGEREF _Toc26261 \h </w:instrText>
        </w:r>
        <w:r>
          <w:rPr>
            <w:rFonts w:eastAsia="黑体"/>
            <w:noProof/>
          </w:rPr>
        </w:r>
        <w:r>
          <w:rPr>
            <w:rFonts w:eastAsia="黑体"/>
            <w:noProof/>
          </w:rPr>
          <w:fldChar w:fldCharType="separate"/>
        </w:r>
        <w:r w:rsidR="00F23717">
          <w:rPr>
            <w:rFonts w:eastAsia="黑体"/>
            <w:noProof/>
          </w:rPr>
          <w:t>106</w:t>
        </w:r>
        <w:r>
          <w:rPr>
            <w:rFonts w:eastAsia="黑体"/>
            <w:noProof/>
          </w:rPr>
          <w:fldChar w:fldCharType="end"/>
        </w:r>
      </w:hyperlink>
    </w:p>
    <w:p w14:paraId="633ECA91" w14:textId="3AC3F0CC" w:rsidR="00502148" w:rsidRDefault="00502148">
      <w:pPr>
        <w:pStyle w:val="TOC2"/>
        <w:tabs>
          <w:tab w:val="right" w:leader="dot" w:pos="9184"/>
        </w:tabs>
        <w:adjustRightInd w:val="0"/>
        <w:snapToGrid w:val="0"/>
        <w:spacing w:line="360" w:lineRule="auto"/>
        <w:ind w:firstLine="280"/>
        <w:rPr>
          <w:rFonts w:eastAsia="黑体"/>
          <w:noProof/>
        </w:rPr>
      </w:pPr>
      <w:hyperlink w:anchor="_Toc9851" w:history="1">
        <w:r>
          <w:rPr>
            <w:rFonts w:eastAsia="黑体"/>
            <w:bCs/>
            <w:noProof/>
            <w:szCs w:val="32"/>
          </w:rPr>
          <w:t>F5.3</w:t>
        </w:r>
        <w:r>
          <w:rPr>
            <w:rFonts w:eastAsia="黑体"/>
            <w:bCs/>
            <w:noProof/>
            <w:szCs w:val="32"/>
          </w:rPr>
          <w:t>规章和文件</w:t>
        </w:r>
        <w:r>
          <w:rPr>
            <w:rFonts w:eastAsia="黑体"/>
            <w:noProof/>
          </w:rPr>
          <w:tab/>
        </w:r>
        <w:r>
          <w:rPr>
            <w:rFonts w:eastAsia="黑体"/>
            <w:noProof/>
          </w:rPr>
          <w:fldChar w:fldCharType="begin"/>
        </w:r>
        <w:r>
          <w:rPr>
            <w:rFonts w:eastAsia="黑体"/>
            <w:noProof/>
          </w:rPr>
          <w:instrText xml:space="preserve"> PAGEREF _Toc9851 \h </w:instrText>
        </w:r>
        <w:r>
          <w:rPr>
            <w:rFonts w:eastAsia="黑体"/>
            <w:noProof/>
          </w:rPr>
        </w:r>
        <w:r>
          <w:rPr>
            <w:rFonts w:eastAsia="黑体"/>
            <w:noProof/>
          </w:rPr>
          <w:fldChar w:fldCharType="separate"/>
        </w:r>
        <w:r w:rsidR="00F23717">
          <w:rPr>
            <w:rFonts w:eastAsia="黑体"/>
            <w:noProof/>
          </w:rPr>
          <w:t>107</w:t>
        </w:r>
        <w:r>
          <w:rPr>
            <w:rFonts w:eastAsia="黑体"/>
            <w:noProof/>
          </w:rPr>
          <w:fldChar w:fldCharType="end"/>
        </w:r>
      </w:hyperlink>
    </w:p>
    <w:p w14:paraId="7AEDFD08" w14:textId="46C117E2" w:rsidR="00502148" w:rsidRDefault="00502148">
      <w:pPr>
        <w:pStyle w:val="TOC2"/>
        <w:tabs>
          <w:tab w:val="right" w:leader="dot" w:pos="9184"/>
        </w:tabs>
        <w:adjustRightInd w:val="0"/>
        <w:snapToGrid w:val="0"/>
        <w:spacing w:line="360" w:lineRule="auto"/>
        <w:ind w:firstLine="280"/>
        <w:rPr>
          <w:rFonts w:eastAsia="黑体"/>
          <w:noProof/>
        </w:rPr>
      </w:pPr>
      <w:hyperlink w:anchor="_Toc5848" w:history="1">
        <w:r>
          <w:rPr>
            <w:rFonts w:eastAsia="黑体"/>
            <w:bCs/>
            <w:noProof/>
            <w:szCs w:val="32"/>
          </w:rPr>
          <w:t>F5.4</w:t>
        </w:r>
        <w:r>
          <w:rPr>
            <w:rFonts w:eastAsia="黑体"/>
            <w:bCs/>
            <w:noProof/>
            <w:szCs w:val="32"/>
          </w:rPr>
          <w:t>地方法规、规章和文件</w:t>
        </w:r>
        <w:r>
          <w:rPr>
            <w:rFonts w:eastAsia="黑体"/>
            <w:noProof/>
          </w:rPr>
          <w:tab/>
        </w:r>
        <w:r>
          <w:rPr>
            <w:rFonts w:eastAsia="黑体"/>
            <w:noProof/>
          </w:rPr>
          <w:fldChar w:fldCharType="begin"/>
        </w:r>
        <w:r>
          <w:rPr>
            <w:rFonts w:eastAsia="黑体"/>
            <w:noProof/>
          </w:rPr>
          <w:instrText xml:space="preserve"> PAGEREF _Toc5848 \h </w:instrText>
        </w:r>
        <w:r>
          <w:rPr>
            <w:rFonts w:eastAsia="黑体"/>
            <w:noProof/>
          </w:rPr>
        </w:r>
        <w:r>
          <w:rPr>
            <w:rFonts w:eastAsia="黑体"/>
            <w:noProof/>
          </w:rPr>
          <w:fldChar w:fldCharType="separate"/>
        </w:r>
        <w:r w:rsidR="00F23717">
          <w:rPr>
            <w:rFonts w:eastAsia="黑体"/>
            <w:noProof/>
          </w:rPr>
          <w:t>110</w:t>
        </w:r>
        <w:r>
          <w:rPr>
            <w:rFonts w:eastAsia="黑体"/>
            <w:noProof/>
          </w:rPr>
          <w:fldChar w:fldCharType="end"/>
        </w:r>
      </w:hyperlink>
    </w:p>
    <w:p w14:paraId="17112361" w14:textId="2D5CCB12" w:rsidR="00502148" w:rsidRDefault="00502148">
      <w:pPr>
        <w:pStyle w:val="TOC2"/>
        <w:tabs>
          <w:tab w:val="right" w:leader="dot" w:pos="9184"/>
        </w:tabs>
        <w:adjustRightInd w:val="0"/>
        <w:snapToGrid w:val="0"/>
        <w:spacing w:line="360" w:lineRule="auto"/>
        <w:ind w:firstLine="280"/>
        <w:rPr>
          <w:rFonts w:eastAsia="黑体"/>
          <w:noProof/>
        </w:rPr>
      </w:pPr>
      <w:hyperlink w:anchor="_Toc30727" w:history="1">
        <w:r>
          <w:rPr>
            <w:rFonts w:eastAsia="黑体"/>
            <w:bCs/>
            <w:noProof/>
            <w:szCs w:val="32"/>
          </w:rPr>
          <w:t>F5.5</w:t>
        </w:r>
        <w:r>
          <w:rPr>
            <w:rFonts w:eastAsia="黑体"/>
            <w:bCs/>
            <w:noProof/>
            <w:szCs w:val="32"/>
          </w:rPr>
          <w:t>国家及行业标准、规范</w:t>
        </w:r>
        <w:r>
          <w:rPr>
            <w:rFonts w:eastAsia="黑体"/>
            <w:noProof/>
          </w:rPr>
          <w:tab/>
        </w:r>
        <w:r>
          <w:rPr>
            <w:rFonts w:eastAsia="黑体"/>
            <w:noProof/>
          </w:rPr>
          <w:fldChar w:fldCharType="begin"/>
        </w:r>
        <w:r>
          <w:rPr>
            <w:rFonts w:eastAsia="黑体"/>
            <w:noProof/>
          </w:rPr>
          <w:instrText xml:space="preserve"> PAGEREF _Toc30727 \h </w:instrText>
        </w:r>
        <w:r>
          <w:rPr>
            <w:rFonts w:eastAsia="黑体"/>
            <w:noProof/>
          </w:rPr>
        </w:r>
        <w:r>
          <w:rPr>
            <w:rFonts w:eastAsia="黑体"/>
            <w:noProof/>
          </w:rPr>
          <w:fldChar w:fldCharType="separate"/>
        </w:r>
        <w:r w:rsidR="00F23717">
          <w:rPr>
            <w:rFonts w:eastAsia="黑体"/>
            <w:noProof/>
          </w:rPr>
          <w:t>111</w:t>
        </w:r>
        <w:r>
          <w:rPr>
            <w:rFonts w:eastAsia="黑体"/>
            <w:noProof/>
          </w:rPr>
          <w:fldChar w:fldCharType="end"/>
        </w:r>
      </w:hyperlink>
    </w:p>
    <w:p w14:paraId="0787034E" w14:textId="522FA653" w:rsidR="00502148" w:rsidRDefault="00502148">
      <w:pPr>
        <w:pStyle w:val="TOC2"/>
        <w:tabs>
          <w:tab w:val="right" w:leader="dot" w:pos="9184"/>
        </w:tabs>
        <w:adjustRightInd w:val="0"/>
        <w:snapToGrid w:val="0"/>
        <w:spacing w:line="360" w:lineRule="auto"/>
        <w:ind w:firstLine="280"/>
        <w:rPr>
          <w:rFonts w:eastAsia="黑体"/>
          <w:noProof/>
        </w:rPr>
      </w:pPr>
      <w:hyperlink w:anchor="_Toc13911" w:history="1">
        <w:r>
          <w:rPr>
            <w:rFonts w:eastAsia="黑体"/>
            <w:bCs/>
            <w:noProof/>
            <w:szCs w:val="32"/>
          </w:rPr>
          <w:t>F5.6</w:t>
        </w:r>
        <w:r>
          <w:rPr>
            <w:rFonts w:eastAsia="黑体"/>
            <w:bCs/>
            <w:noProof/>
            <w:szCs w:val="32"/>
          </w:rPr>
          <w:t>参考资料</w:t>
        </w:r>
        <w:r>
          <w:rPr>
            <w:rFonts w:eastAsia="黑体"/>
            <w:noProof/>
          </w:rPr>
          <w:tab/>
        </w:r>
        <w:r>
          <w:rPr>
            <w:rFonts w:eastAsia="黑体"/>
            <w:noProof/>
          </w:rPr>
          <w:fldChar w:fldCharType="begin"/>
        </w:r>
        <w:r>
          <w:rPr>
            <w:rFonts w:eastAsia="黑体"/>
            <w:noProof/>
          </w:rPr>
          <w:instrText xml:space="preserve"> PAGEREF _Toc13911 \h </w:instrText>
        </w:r>
        <w:r>
          <w:rPr>
            <w:rFonts w:eastAsia="黑体"/>
            <w:noProof/>
          </w:rPr>
        </w:r>
        <w:r>
          <w:rPr>
            <w:rFonts w:eastAsia="黑体"/>
            <w:noProof/>
          </w:rPr>
          <w:fldChar w:fldCharType="separate"/>
        </w:r>
        <w:r w:rsidR="00F23717">
          <w:rPr>
            <w:rFonts w:eastAsia="黑体"/>
            <w:noProof/>
          </w:rPr>
          <w:t>114</w:t>
        </w:r>
        <w:r>
          <w:rPr>
            <w:rFonts w:eastAsia="黑体"/>
            <w:noProof/>
          </w:rPr>
          <w:fldChar w:fldCharType="end"/>
        </w:r>
      </w:hyperlink>
    </w:p>
    <w:p w14:paraId="61966A40" w14:textId="44EA6907" w:rsidR="00502148" w:rsidRDefault="00502148">
      <w:pPr>
        <w:pStyle w:val="TOC1"/>
        <w:tabs>
          <w:tab w:val="right" w:leader="dot" w:pos="9184"/>
        </w:tabs>
        <w:adjustRightInd w:val="0"/>
        <w:snapToGrid w:val="0"/>
        <w:spacing w:line="360" w:lineRule="auto"/>
        <w:rPr>
          <w:noProof/>
        </w:rPr>
      </w:pPr>
      <w:hyperlink w:anchor="_Toc11201" w:history="1">
        <w:r>
          <w:rPr>
            <w:rFonts w:eastAsia="黑体"/>
            <w:bCs/>
            <w:noProof/>
            <w:szCs w:val="32"/>
          </w:rPr>
          <w:t>附件</w:t>
        </w:r>
        <w:r>
          <w:rPr>
            <w:rFonts w:eastAsia="黑体"/>
            <w:bCs/>
            <w:noProof/>
            <w:szCs w:val="32"/>
          </w:rPr>
          <w:t>6</w:t>
        </w:r>
        <w:r>
          <w:rPr>
            <w:rFonts w:eastAsia="黑体"/>
            <w:bCs/>
            <w:noProof/>
            <w:szCs w:val="32"/>
          </w:rPr>
          <w:t>相关文件及附图目录</w:t>
        </w:r>
        <w:r>
          <w:rPr>
            <w:rFonts w:eastAsia="黑体"/>
            <w:noProof/>
          </w:rPr>
          <w:tab/>
        </w:r>
        <w:r>
          <w:rPr>
            <w:rFonts w:eastAsia="黑体"/>
            <w:noProof/>
          </w:rPr>
          <w:fldChar w:fldCharType="begin"/>
        </w:r>
        <w:r>
          <w:rPr>
            <w:rFonts w:eastAsia="黑体"/>
            <w:noProof/>
          </w:rPr>
          <w:instrText xml:space="preserve"> PAGEREF _Toc11201 \h </w:instrText>
        </w:r>
        <w:r>
          <w:rPr>
            <w:rFonts w:eastAsia="黑体"/>
            <w:noProof/>
          </w:rPr>
        </w:r>
        <w:r>
          <w:rPr>
            <w:rFonts w:eastAsia="黑体"/>
            <w:noProof/>
          </w:rPr>
          <w:fldChar w:fldCharType="separate"/>
        </w:r>
        <w:r w:rsidR="00F23717">
          <w:rPr>
            <w:rFonts w:eastAsia="黑体"/>
            <w:noProof/>
          </w:rPr>
          <w:t>115</w:t>
        </w:r>
        <w:r>
          <w:rPr>
            <w:rFonts w:eastAsia="黑体"/>
            <w:noProof/>
          </w:rPr>
          <w:fldChar w:fldCharType="end"/>
        </w:r>
      </w:hyperlink>
    </w:p>
    <w:p w14:paraId="62770BD0" w14:textId="77777777" w:rsidR="00502148" w:rsidRDefault="00000000">
      <w:pPr>
        <w:ind w:firstLineChars="0" w:firstLine="0"/>
        <w:rPr>
          <w:rFonts w:ascii="Times New Roman" w:eastAsia="黑体" w:hAnsi="Times New Roman" w:cs="宋体"/>
          <w:szCs w:val="28"/>
          <w:lang w:bidi="ar"/>
          <w14:ligatures w14:val="none"/>
        </w:rPr>
      </w:pPr>
      <w:r>
        <w:rPr>
          <w:rFonts w:ascii="Times New Roman" w:eastAsia="黑体" w:hAnsi="Times New Roman" w:cs="Times New Roman"/>
          <w:szCs w:val="28"/>
          <w:lang w:bidi="ar"/>
          <w14:ligatures w14:val="none"/>
        </w:rPr>
        <w:fldChar w:fldCharType="end"/>
      </w:r>
      <w:r>
        <w:rPr>
          <w:rFonts w:ascii="Times New Roman" w:eastAsia="黑体" w:hAnsi="Times New Roman" w:cs="宋体"/>
          <w:szCs w:val="28"/>
          <w:lang w:bidi="ar"/>
          <w14:ligatures w14:val="none"/>
        </w:rPr>
        <w:br w:type="page"/>
      </w:r>
    </w:p>
    <w:p w14:paraId="0C0D205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lastRenderedPageBreak/>
        <w:br w:type="page"/>
      </w:r>
    </w:p>
    <w:p w14:paraId="6E9EE4D9" w14:textId="77777777" w:rsidR="00502148" w:rsidRDefault="00502148">
      <w:pPr>
        <w:ind w:firstLine="560"/>
        <w:rPr>
          <w:rFonts w:ascii="Times New Roman" w:eastAsia="宋体" w:hAnsi="Times New Roman" w:cs="宋体"/>
          <w:szCs w:val="28"/>
          <w:lang w:bidi="ar"/>
          <w14:ligatures w14:val="none"/>
        </w:rPr>
        <w:sectPr w:rsidR="00502148">
          <w:pgSz w:w="11906" w:h="16838"/>
          <w:pgMar w:top="1418" w:right="1134" w:bottom="1134" w:left="1588" w:header="851" w:footer="992" w:gutter="0"/>
          <w:cols w:space="425"/>
          <w:docGrid w:type="lines" w:linePitch="312"/>
        </w:sectPr>
      </w:pPr>
    </w:p>
    <w:p w14:paraId="60BE55F6" w14:textId="77777777" w:rsidR="00502148" w:rsidRDefault="00000000">
      <w:pPr>
        <w:pStyle w:val="a5"/>
        <w:spacing w:line="360" w:lineRule="auto"/>
        <w:ind w:firstLineChars="0" w:firstLine="0"/>
        <w:jc w:val="center"/>
        <w:rPr>
          <w:sz w:val="32"/>
          <w:szCs w:val="32"/>
        </w:rPr>
      </w:pPr>
      <w:r>
        <w:rPr>
          <w:rFonts w:hint="eastAsia"/>
          <w:sz w:val="32"/>
          <w:szCs w:val="32"/>
        </w:rPr>
        <w:lastRenderedPageBreak/>
        <w:t>术语和定义</w:t>
      </w:r>
    </w:p>
    <w:p w14:paraId="00F4A566"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）化学品</w:t>
      </w:r>
    </w:p>
    <w:p w14:paraId="4479E42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指各种化学元素、由元素组成的化合物及其混合物，包括天然的或者人造的。</w:t>
      </w:r>
    </w:p>
    <w:p w14:paraId="1332FC4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）危险化学品</w:t>
      </w:r>
    </w:p>
    <w:p w14:paraId="2603CBC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指具有爆炸、燃烧、助燃、毒害、腐蚀等性质且对接触的人员、设施、环境可能造成伤害或者损害的化学品。</w:t>
      </w:r>
    </w:p>
    <w:p w14:paraId="7AADC21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hint="eastAsia"/>
          <w:szCs w:val="28"/>
          <w:lang w:bidi="ar"/>
          <w14:ligatures w14:val="none"/>
        </w:rPr>
        <w:t>）新建项目</w:t>
      </w:r>
    </w:p>
    <w:p w14:paraId="76FD12E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65C9FFB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）改建项目</w:t>
      </w:r>
    </w:p>
    <w:p w14:paraId="11637EA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30FD789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）扩建项目</w:t>
      </w:r>
    </w:p>
    <w:p w14:paraId="070943F5"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指企业（单位）拟建与现有伴有危险化学品产生的化学品或者危险化学品品种相同且生产、储存装置（设施）相对独立的建设项目。</w:t>
      </w:r>
    </w:p>
    <w:p w14:paraId="0980B97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）安全设施</w:t>
      </w:r>
    </w:p>
    <w:p w14:paraId="2A57CB3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指企业（单位）在生产经营活动中将危险因素、有害因素控制在安全范围内以及预防、减少、消除危害所配备的装置（设备）和采取的措施。</w:t>
      </w:r>
    </w:p>
    <w:p w14:paraId="051B032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）作业场所</w:t>
      </w:r>
    </w:p>
    <w:p w14:paraId="7854954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指可能使从业人员接触危险化学品的任何作业活动场所，包括从事危险化学品的生产、操作、处置、储存、搬运、运输、废弃危险化学品的处置或者处理等场所。</w:t>
      </w:r>
    </w:p>
    <w:p w14:paraId="5FF0BCA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w:t>
      </w:r>
      <w:r>
        <w:rPr>
          <w:rFonts w:ascii="Times New Roman" w:eastAsia="宋体" w:hAnsi="Times New Roman" w:cs="宋体" w:hint="eastAsia"/>
          <w:szCs w:val="28"/>
          <w:lang w:bidi="ar"/>
          <w14:ligatures w14:val="none"/>
        </w:rPr>
        <w:t>8</w:t>
      </w:r>
      <w:r>
        <w:rPr>
          <w:rFonts w:ascii="Times New Roman" w:eastAsia="宋体" w:hAnsi="Times New Roman" w:cs="宋体" w:hint="eastAsia"/>
          <w:szCs w:val="28"/>
          <w:lang w:bidi="ar"/>
          <w14:ligatures w14:val="none"/>
        </w:rPr>
        <w:t>）安全评价单元</w:t>
      </w:r>
    </w:p>
    <w:p w14:paraId="318170E3" w14:textId="77777777" w:rsidR="00502148" w:rsidRDefault="00000000">
      <w:pPr>
        <w:ind w:firstLine="560"/>
        <w:rPr>
          <w:rFonts w:ascii="Times New Roman" w:eastAsia="宋体" w:hAnsi="Times New Roman" w:cs="宋体"/>
          <w:szCs w:val="28"/>
          <w:lang w:bidi="ar"/>
          <w14:ligatures w14:val="none"/>
        </w:rPr>
        <w:sectPr w:rsidR="00502148">
          <w:pgSz w:w="11906" w:h="16838"/>
          <w:pgMar w:top="1418" w:right="1134" w:bottom="1134" w:left="1588" w:header="851" w:footer="992" w:gutter="0"/>
          <w:cols w:space="425"/>
          <w:docGrid w:type="lines" w:linePitch="312"/>
        </w:sectPr>
      </w:pPr>
      <w:r>
        <w:rPr>
          <w:rFonts w:ascii="Times New Roman" w:eastAsia="宋体" w:hAnsi="Times New Roman" w:cs="宋体" w:hint="eastAsia"/>
          <w:szCs w:val="28"/>
          <w:lang w:bidi="ar"/>
          <w14:ligatures w14:val="none"/>
        </w:rPr>
        <w:t>根据建设项目安全评价的需要，将建设项目划分为一些相对独立部分，其中每个相对独立部分称为评价单元。</w:t>
      </w:r>
    </w:p>
    <w:p w14:paraId="4DD48CBB" w14:textId="77777777" w:rsidR="00502148"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12" w:name="_Toc9196"/>
      <w:r>
        <w:rPr>
          <w:rFonts w:ascii="Times New Roman" w:eastAsia="黑体" w:hAnsi="Times New Roman" w:cs="宋体" w:hint="eastAsia"/>
          <w:b/>
          <w:bCs/>
          <w:sz w:val="32"/>
          <w:szCs w:val="28"/>
          <w:lang w:bidi="ar"/>
          <w14:ligatures w14:val="none"/>
        </w:rPr>
        <w:lastRenderedPageBreak/>
        <w:t>1</w:t>
      </w:r>
      <w:r>
        <w:rPr>
          <w:rFonts w:ascii="Times New Roman" w:eastAsia="黑体" w:hAnsi="Times New Roman" w:cs="宋体" w:hint="eastAsia"/>
          <w:b/>
          <w:bCs/>
          <w:sz w:val="32"/>
          <w:szCs w:val="28"/>
          <w:lang w:bidi="ar"/>
          <w14:ligatures w14:val="none"/>
        </w:rPr>
        <w:t>安全评价工作经过</w:t>
      </w:r>
      <w:bookmarkEnd w:id="12"/>
    </w:p>
    <w:p w14:paraId="6E27BAB9"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3" w:name="_Toc16194"/>
      <w:r>
        <w:rPr>
          <w:rFonts w:ascii="Times New Roman" w:eastAsia="楷体" w:hAnsi="Times New Roman" w:cs="宋体" w:hint="eastAsia"/>
          <w:b/>
          <w:bCs/>
          <w:sz w:val="32"/>
          <w:szCs w:val="28"/>
          <w:lang w:bidi="ar"/>
          <w14:ligatures w14:val="none"/>
        </w:rPr>
        <w:t>1.1</w:t>
      </w:r>
      <w:r>
        <w:rPr>
          <w:rFonts w:ascii="Times New Roman" w:eastAsia="楷体" w:hAnsi="Times New Roman" w:cs="宋体" w:hint="eastAsia"/>
          <w:b/>
          <w:bCs/>
          <w:sz w:val="32"/>
          <w:szCs w:val="28"/>
          <w:lang w:bidi="ar"/>
          <w14:ligatures w14:val="none"/>
        </w:rPr>
        <w:t>前期准备情况</w:t>
      </w:r>
      <w:bookmarkEnd w:id="13"/>
    </w:p>
    <w:p w14:paraId="05332E6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我公司在接到</w:t>
      </w:r>
      <w:r>
        <w:rPr>
          <w:rFonts w:ascii="Times New Roman" w:eastAsia="宋体" w:hAnsi="Times New Roman" w:cs="宋体"/>
          <w:szCs w:val="28"/>
          <w:lang w:bidi="ar"/>
          <w14:ligatures w14:val="none"/>
        </w:rPr>
        <w:t>中铁（辽宁）本桓高速公路有限公司</w:t>
      </w:r>
      <w:r>
        <w:rPr>
          <w:rFonts w:ascii="Times New Roman" w:eastAsia="宋体" w:hAnsi="Times New Roman" w:cs="宋体" w:hint="eastAsia"/>
          <w:szCs w:val="28"/>
          <w:lang w:bidi="ar"/>
          <w14:ligatures w14:val="none"/>
        </w:rPr>
        <w:t>的委托后，随即组成了安全评价项目组，到建设单位现场进行勘察，与建设单位共同协商确定安全评价对象和范围。在充分调查研究验收评价对象和范围相关情况后，收集、整理安全评价所需要的各种文件、资料和数据，为做好安全评价工作进行了较为充分的前期准备。</w:t>
      </w:r>
    </w:p>
    <w:p w14:paraId="17885EDE"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4" w:name="_Toc27341"/>
      <w:r>
        <w:rPr>
          <w:rFonts w:ascii="Times New Roman" w:eastAsia="楷体" w:hAnsi="Times New Roman" w:cs="宋体" w:hint="eastAsia"/>
          <w:b/>
          <w:bCs/>
          <w:sz w:val="32"/>
          <w:szCs w:val="28"/>
          <w:lang w:bidi="ar"/>
          <w14:ligatures w14:val="none"/>
        </w:rPr>
        <w:t>1.2</w:t>
      </w:r>
      <w:r>
        <w:rPr>
          <w:rFonts w:ascii="Times New Roman" w:eastAsia="楷体" w:hAnsi="Times New Roman" w:cs="宋体" w:hint="eastAsia"/>
          <w:b/>
          <w:bCs/>
          <w:sz w:val="32"/>
          <w:szCs w:val="28"/>
          <w:lang w:bidi="ar"/>
          <w14:ligatures w14:val="none"/>
        </w:rPr>
        <w:t>评价目的</w:t>
      </w:r>
      <w:bookmarkEnd w:id="14"/>
    </w:p>
    <w:p w14:paraId="65AC33A0" w14:textId="426C2FCC"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在建设项目竣工后正式生产运行前，通过检查建设项目安全设施与主体工程同时设计、同时施工、同时投入生产和使用的情况，检查安全生产管理措施到位情况，检查安全生产规章制度健全情况，</w:t>
      </w:r>
      <w:r w:rsidR="00CC40EC" w:rsidRPr="00CC40EC">
        <w:rPr>
          <w:rFonts w:ascii="Times New Roman" w:eastAsia="宋体" w:hAnsi="Times New Roman" w:cs="宋体"/>
          <w:szCs w:val="28"/>
          <w:lang w:bidi="ar"/>
          <w14:ligatures w14:val="none"/>
        </w:rPr>
        <w:t>检查事故应急预案建立情况</w:t>
      </w:r>
      <w:r w:rsidR="00CC40EC">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确定建设项目满足安全生产法律法规、标准、规范要求的符合性，为应急管理部门实施行政许可和日常监管提供技术支撑，亦可作为企业强化安全管理，编制和完善安全管理规章制度，制定事故应急预案和安全防范措施，实现安全生产提供技术支持。</w:t>
      </w:r>
    </w:p>
    <w:p w14:paraId="1A457E2F"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5" w:name="_Toc12088"/>
      <w:r>
        <w:rPr>
          <w:rFonts w:ascii="Times New Roman" w:eastAsia="楷体" w:hAnsi="Times New Roman" w:cs="宋体" w:hint="eastAsia"/>
          <w:b/>
          <w:bCs/>
          <w:sz w:val="32"/>
          <w:szCs w:val="28"/>
          <w:lang w:bidi="ar"/>
          <w14:ligatures w14:val="none"/>
        </w:rPr>
        <w:t>1.3</w:t>
      </w:r>
      <w:r>
        <w:rPr>
          <w:rFonts w:ascii="Times New Roman" w:eastAsia="楷体" w:hAnsi="Times New Roman" w:cs="宋体" w:hint="eastAsia"/>
          <w:b/>
          <w:bCs/>
          <w:sz w:val="32"/>
          <w:szCs w:val="28"/>
          <w:lang w:bidi="ar"/>
          <w14:ligatures w14:val="none"/>
        </w:rPr>
        <w:t>对象及范围</w:t>
      </w:r>
      <w:bookmarkEnd w:id="15"/>
    </w:p>
    <w:p w14:paraId="77068A9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本次评价的对象为</w:t>
      </w:r>
      <w:r>
        <w:rPr>
          <w:rFonts w:ascii="Times New Roman" w:eastAsia="宋体" w:hAnsi="Times New Roman" w:cs="宋体"/>
          <w:szCs w:val="28"/>
          <w:lang w:bidi="ar"/>
          <w14:ligatures w14:val="none"/>
        </w:rPr>
        <w:t>中铁（辽宁）本桓高速公路有限公司五里甸子服务区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侧加油站新建项目</w:t>
      </w:r>
      <w:r>
        <w:rPr>
          <w:rFonts w:ascii="Times New Roman" w:eastAsia="宋体" w:hAnsi="Times New Roman" w:cs="宋体" w:hint="eastAsia"/>
          <w:szCs w:val="28"/>
          <w:lang w:bidi="ar"/>
          <w14:ligatures w14:val="none"/>
        </w:rPr>
        <w:t>。本次评价的范围包括：</w:t>
      </w:r>
      <w:r>
        <w:rPr>
          <w:rFonts w:ascii="Times New Roman" w:eastAsia="宋体" w:hAnsi="Times New Roman" w:cs="宋体"/>
          <w:szCs w:val="28"/>
          <w:lang w:bidi="ar"/>
          <w14:ligatures w14:val="none"/>
        </w:rPr>
        <w:t>中铁（辽宁）本桓高速公路有限公司五里甸子服务区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侧加油站新建项目</w:t>
      </w:r>
      <w:r>
        <w:rPr>
          <w:rFonts w:ascii="Times New Roman" w:eastAsia="宋体" w:hAnsi="Times New Roman" w:cs="宋体" w:hint="eastAsia"/>
          <w:szCs w:val="28"/>
          <w:lang w:bidi="ar"/>
          <w14:ligatures w14:val="none"/>
        </w:rPr>
        <w:t>所涉及的选址及总平面布置、加油工艺设备、设施、与之配套的公辅工程以及安全管理等。</w:t>
      </w:r>
    </w:p>
    <w:p w14:paraId="5100BC6B" w14:textId="77777777" w:rsidR="00502148"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6" w:name="_Toc3525"/>
      <w:r>
        <w:rPr>
          <w:rFonts w:ascii="Times New Roman" w:eastAsia="楷体" w:hAnsi="Times New Roman" w:cs="宋体" w:hint="eastAsia"/>
          <w:b/>
          <w:bCs/>
          <w:sz w:val="32"/>
          <w:szCs w:val="28"/>
          <w:lang w:bidi="ar"/>
          <w14:ligatures w14:val="none"/>
        </w:rPr>
        <w:lastRenderedPageBreak/>
        <w:t>1.4</w:t>
      </w:r>
      <w:r>
        <w:rPr>
          <w:rFonts w:ascii="Times New Roman" w:eastAsia="楷体" w:hAnsi="Times New Roman" w:cs="宋体" w:hint="eastAsia"/>
          <w:b/>
          <w:bCs/>
          <w:sz w:val="32"/>
          <w:szCs w:val="28"/>
          <w:lang w:bidi="ar"/>
          <w14:ligatures w14:val="none"/>
        </w:rPr>
        <w:t>工作经过和程序</w:t>
      </w:r>
      <w:bookmarkEnd w:id="16"/>
    </w:p>
    <w:p w14:paraId="244939C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安全设施竣工验收安全评价程序包括：前期准备；安全评价；与建设单位交换意见；编制安全验收评价报告。</w:t>
      </w:r>
    </w:p>
    <w:p w14:paraId="283B3AA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本次安全验收评价的程序，如图</w:t>
      </w:r>
      <w:r>
        <w:rPr>
          <w:rFonts w:ascii="Times New Roman" w:eastAsia="宋体" w:hAnsi="Times New Roman" w:cs="宋体" w:hint="eastAsia"/>
          <w:szCs w:val="28"/>
          <w:lang w:bidi="ar"/>
          <w14:ligatures w14:val="none"/>
        </w:rPr>
        <w:t>1.4-1</w:t>
      </w:r>
      <w:r>
        <w:rPr>
          <w:rFonts w:ascii="Times New Roman" w:eastAsia="宋体" w:hAnsi="Times New Roman" w:cs="宋体" w:hint="eastAsia"/>
          <w:szCs w:val="28"/>
          <w:lang w:bidi="ar"/>
          <w14:ligatures w14:val="none"/>
        </w:rPr>
        <w:t>所示：</w:t>
      </w:r>
    </w:p>
    <w:p w14:paraId="0345CF98" w14:textId="77777777" w:rsidR="00502148" w:rsidRDefault="00000000">
      <w:pPr>
        <w:pStyle w:val="aff7"/>
        <w:ind w:firstLine="420"/>
        <w:rPr>
          <w:rFonts w:cs="宋体"/>
          <w:lang w:bidi="ar"/>
        </w:rPr>
      </w:pPr>
      <w:r>
        <w:rPr>
          <w:noProof/>
        </w:rPr>
        <mc:AlternateContent>
          <mc:Choice Requires="wpc">
            <w:drawing>
              <wp:inline distT="0" distB="0" distL="114300" distR="114300" wp14:anchorId="4F971D69" wp14:editId="7350301A">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ADB3A83" w14:textId="77777777" w:rsidR="00502148" w:rsidRDefault="00000000">
                              <w:pPr>
                                <w:pStyle w:val="aff7"/>
                              </w:pPr>
                              <w:r>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BA6DB0" w14:textId="77777777" w:rsidR="00502148" w:rsidRDefault="00000000">
                              <w:pPr>
                                <w:pStyle w:val="aff7"/>
                              </w:pPr>
                              <w:r>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F315197" w14:textId="77777777" w:rsidR="00502148" w:rsidRDefault="00000000">
                              <w:pPr>
                                <w:pStyle w:val="aff7"/>
                              </w:pPr>
                              <w:r>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E0327FD" w14:textId="77777777" w:rsidR="00502148" w:rsidRDefault="00000000">
                              <w:pPr>
                                <w:pStyle w:val="aff7"/>
                              </w:pPr>
                              <w:r>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FA39205" w14:textId="77777777" w:rsidR="00502148" w:rsidRDefault="00000000">
                              <w:pPr>
                                <w:pStyle w:val="aff7"/>
                              </w:pPr>
                              <w:r>
                                <w:rPr>
                                  <w:rFonts w:hint="eastAsia"/>
                                </w:rPr>
                                <w:t>定性、定量分析危险、有害程度</w:t>
                              </w:r>
                            </w:p>
                            <w:p w14:paraId="7125B290" w14:textId="77777777" w:rsidR="00502148" w:rsidRDefault="00502148">
                              <w:pPr>
                                <w:ind w:firstLine="560"/>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14F23D7" w14:textId="77777777" w:rsidR="00502148" w:rsidRDefault="00000000">
                              <w:pPr>
                                <w:pStyle w:val="aff7"/>
                              </w:pPr>
                              <w:r>
                                <w:rPr>
                                  <w:rFonts w:hint="eastAsia"/>
                                </w:rPr>
                                <w:t>分析安全条件和安全生产条件</w:t>
                              </w:r>
                            </w:p>
                            <w:p w14:paraId="241EB9E3" w14:textId="77777777" w:rsidR="00502148" w:rsidRDefault="00502148">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D9FD8DB" w14:textId="77777777" w:rsidR="00502148" w:rsidRDefault="00000000">
                              <w:pPr>
                                <w:pStyle w:val="aff7"/>
                              </w:pPr>
                              <w:r>
                                <w:rPr>
                                  <w:rFonts w:hint="eastAsia"/>
                                </w:rPr>
                                <w:t>提出安全对策与建议</w:t>
                              </w:r>
                            </w:p>
                            <w:p w14:paraId="784F3F91" w14:textId="77777777" w:rsidR="00502148" w:rsidRDefault="00502148">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7A20CCC" w14:textId="77777777" w:rsidR="00502148" w:rsidRDefault="00000000">
                              <w:pPr>
                                <w:pStyle w:val="aff7"/>
                              </w:pPr>
                              <w:r>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BD4BCF" w14:textId="77777777" w:rsidR="00502148" w:rsidRDefault="00000000">
                              <w:pPr>
                                <w:pStyle w:val="aff7"/>
                              </w:pPr>
                              <w:r>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9CFB18E" w14:textId="77777777" w:rsidR="00502148" w:rsidRDefault="00000000">
                              <w:pPr>
                                <w:pStyle w:val="aff7"/>
                              </w:pPr>
                              <w:r>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4BA08C9" w14:textId="77777777" w:rsidR="00502148" w:rsidRDefault="00000000">
                              <w:pPr>
                                <w:pStyle w:val="aff7"/>
                              </w:pPr>
                              <w:r>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E72E209" w14:textId="77777777" w:rsidR="00502148" w:rsidRDefault="00000000">
                              <w:pPr>
                                <w:pStyle w:val="aff7"/>
                              </w:pPr>
                              <w:r>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3854993" w14:textId="77777777" w:rsidR="00502148" w:rsidRDefault="00000000">
                              <w:pPr>
                                <w:pStyle w:val="aff7"/>
                              </w:pPr>
                              <w:r>
                                <w:rPr>
                                  <w:rFonts w:hint="eastAsia"/>
                                </w:rPr>
                                <w:t>整理、归纳安全评价结论</w:t>
                              </w:r>
                            </w:p>
                            <w:p w14:paraId="1B646592" w14:textId="77777777" w:rsidR="00502148" w:rsidRDefault="00502148">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4F971D69"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1ADB3A83" w14:textId="77777777" w:rsidR="00502148" w:rsidRDefault="00000000">
                        <w:pPr>
                          <w:pStyle w:val="aff7"/>
                        </w:pPr>
                        <w:r>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7ABA6DB0" w14:textId="77777777" w:rsidR="00502148" w:rsidRDefault="00000000">
                        <w:pPr>
                          <w:pStyle w:val="aff7"/>
                        </w:pPr>
                        <w:r>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1F315197" w14:textId="77777777" w:rsidR="00502148" w:rsidRDefault="00000000">
                        <w:pPr>
                          <w:pStyle w:val="aff7"/>
                        </w:pPr>
                        <w:r>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0E0327FD" w14:textId="77777777" w:rsidR="00502148" w:rsidRDefault="00000000">
                        <w:pPr>
                          <w:pStyle w:val="aff7"/>
                        </w:pPr>
                        <w:r>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6FA39205" w14:textId="77777777" w:rsidR="00502148" w:rsidRDefault="00000000">
                        <w:pPr>
                          <w:pStyle w:val="aff7"/>
                        </w:pPr>
                        <w:r>
                          <w:rPr>
                            <w:rFonts w:hint="eastAsia"/>
                          </w:rPr>
                          <w:t>定性、定量分析危险、有害程度</w:t>
                        </w:r>
                      </w:p>
                      <w:p w14:paraId="7125B290" w14:textId="77777777" w:rsidR="00502148" w:rsidRDefault="00502148">
                        <w:pPr>
                          <w:ind w:firstLine="560"/>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114F23D7" w14:textId="77777777" w:rsidR="00502148" w:rsidRDefault="00000000">
                        <w:pPr>
                          <w:pStyle w:val="aff7"/>
                        </w:pPr>
                        <w:r>
                          <w:rPr>
                            <w:rFonts w:hint="eastAsia"/>
                          </w:rPr>
                          <w:t>分析安全条件和安全生产条件</w:t>
                        </w:r>
                      </w:p>
                      <w:p w14:paraId="241EB9E3" w14:textId="77777777" w:rsidR="00502148" w:rsidRDefault="00502148">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D9FD8DB" w14:textId="77777777" w:rsidR="00502148" w:rsidRDefault="00000000">
                        <w:pPr>
                          <w:pStyle w:val="aff7"/>
                        </w:pPr>
                        <w:r>
                          <w:rPr>
                            <w:rFonts w:hint="eastAsia"/>
                          </w:rPr>
                          <w:t>提出安全对策与建议</w:t>
                        </w:r>
                      </w:p>
                      <w:p w14:paraId="784F3F91" w14:textId="77777777" w:rsidR="00502148" w:rsidRDefault="00502148">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17A20CCC" w14:textId="77777777" w:rsidR="00502148" w:rsidRDefault="00000000">
                        <w:pPr>
                          <w:pStyle w:val="aff7"/>
                        </w:pPr>
                        <w:r>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0DBD4BCF" w14:textId="77777777" w:rsidR="00502148" w:rsidRDefault="00000000">
                        <w:pPr>
                          <w:pStyle w:val="aff7"/>
                        </w:pPr>
                        <w:r>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79CFB18E" w14:textId="77777777" w:rsidR="00502148" w:rsidRDefault="00000000">
                        <w:pPr>
                          <w:pStyle w:val="aff7"/>
                        </w:pPr>
                        <w:r>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14BA08C9" w14:textId="77777777" w:rsidR="00502148" w:rsidRDefault="00000000">
                        <w:pPr>
                          <w:pStyle w:val="aff7"/>
                        </w:pPr>
                        <w:r>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6E72E209" w14:textId="77777777" w:rsidR="00502148" w:rsidRDefault="00000000">
                        <w:pPr>
                          <w:pStyle w:val="aff7"/>
                        </w:pPr>
                        <w:r>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33854993" w14:textId="77777777" w:rsidR="00502148" w:rsidRDefault="00000000">
                        <w:pPr>
                          <w:pStyle w:val="aff7"/>
                        </w:pPr>
                        <w:r>
                          <w:rPr>
                            <w:rFonts w:hint="eastAsia"/>
                          </w:rPr>
                          <w:t>整理、归纳安全评价结论</w:t>
                        </w:r>
                      </w:p>
                      <w:p w14:paraId="1B646592" w14:textId="77777777" w:rsidR="00502148" w:rsidRDefault="00502148">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2839B32B" w14:textId="77777777" w:rsidR="00502148" w:rsidRDefault="00000000">
      <w:pPr>
        <w:pStyle w:val="aff7"/>
        <w:spacing w:beforeLines="50" w:before="156" w:afterLines="50" w:after="156"/>
        <w:rPr>
          <w:rFonts w:ascii="黑体" w:eastAsia="黑体" w:hAnsi="黑体" w:hint="eastAsia"/>
          <w:sz w:val="24"/>
        </w:rPr>
        <w:sectPr w:rsidR="00502148">
          <w:headerReference w:type="default" r:id="rId15"/>
          <w:footerReference w:type="default" r:id="rId16"/>
          <w:pgSz w:w="11906" w:h="16838"/>
          <w:pgMar w:top="1418" w:right="1134" w:bottom="1134" w:left="1588" w:header="851" w:footer="992" w:gutter="0"/>
          <w:pgNumType w:start="1"/>
          <w:cols w:space="425"/>
          <w:docGrid w:type="lines" w:linePitch="312"/>
        </w:sectPr>
      </w:pPr>
      <w:r>
        <w:rPr>
          <w:rFonts w:ascii="黑体" w:eastAsia="黑体" w:hAnsi="黑体" w:hint="eastAsia"/>
          <w:sz w:val="24"/>
        </w:rPr>
        <w:t>图</w:t>
      </w:r>
      <w:r>
        <w:rPr>
          <w:rFonts w:eastAsia="黑体"/>
          <w:sz w:val="24"/>
        </w:rPr>
        <w:t>1.4-1</w:t>
      </w:r>
      <w:r>
        <w:rPr>
          <w:rFonts w:ascii="黑体" w:eastAsia="黑体" w:hAnsi="黑体" w:hint="eastAsia"/>
          <w:sz w:val="24"/>
        </w:rPr>
        <w:t xml:space="preserve">  评价程序图</w:t>
      </w:r>
    </w:p>
    <w:p w14:paraId="489B2DE6" w14:textId="77777777" w:rsidR="00502148"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17" w:name="_Toc11236"/>
      <w:r>
        <w:rPr>
          <w:rFonts w:ascii="Times New Roman" w:eastAsia="黑体" w:hAnsi="Times New Roman" w:cs="宋体" w:hint="eastAsia"/>
          <w:b/>
          <w:bCs/>
          <w:sz w:val="32"/>
          <w:szCs w:val="28"/>
          <w:lang w:bidi="ar"/>
          <w14:ligatures w14:val="none"/>
        </w:rPr>
        <w:lastRenderedPageBreak/>
        <w:t>2</w:t>
      </w:r>
      <w:r>
        <w:rPr>
          <w:rFonts w:ascii="Times New Roman" w:eastAsia="黑体" w:hAnsi="Times New Roman" w:cs="宋体" w:hint="eastAsia"/>
          <w:b/>
          <w:bCs/>
          <w:sz w:val="32"/>
          <w:szCs w:val="28"/>
          <w:lang w:bidi="ar"/>
          <w14:ligatures w14:val="none"/>
        </w:rPr>
        <w:t>建设项目概况</w:t>
      </w:r>
      <w:bookmarkEnd w:id="17"/>
    </w:p>
    <w:p w14:paraId="043CA0A8"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8" w:name="_Toc11427"/>
      <w:r>
        <w:rPr>
          <w:rFonts w:ascii="Times New Roman" w:eastAsia="楷体" w:hAnsi="Times New Roman" w:cs="宋体" w:hint="eastAsia"/>
          <w:b/>
          <w:bCs/>
          <w:sz w:val="32"/>
          <w:szCs w:val="28"/>
          <w:lang w:bidi="ar"/>
          <w14:ligatures w14:val="none"/>
        </w:rPr>
        <w:t>2.1</w:t>
      </w:r>
      <w:r>
        <w:rPr>
          <w:rFonts w:ascii="Times New Roman" w:eastAsia="楷体" w:hAnsi="Times New Roman" w:cs="宋体" w:hint="eastAsia"/>
          <w:b/>
          <w:bCs/>
          <w:sz w:val="32"/>
          <w:szCs w:val="28"/>
          <w:lang w:bidi="ar"/>
          <w14:ligatures w14:val="none"/>
        </w:rPr>
        <w:t>建设单位简介</w:t>
      </w:r>
      <w:bookmarkEnd w:id="18"/>
    </w:p>
    <w:p w14:paraId="24EC072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中铁（辽宁）本桓高速公路有限公司成立于</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07</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日，注册地址为辽宁省本溪市明山区解放北路</w:t>
      </w:r>
      <w:r>
        <w:rPr>
          <w:rFonts w:ascii="Times New Roman" w:eastAsia="宋体" w:hAnsi="Times New Roman" w:cs="宋体"/>
          <w:szCs w:val="28"/>
          <w:lang w:bidi="ar"/>
          <w14:ligatures w14:val="none"/>
        </w:rPr>
        <w:t>129-1</w:t>
      </w:r>
      <w:r>
        <w:rPr>
          <w:rFonts w:ascii="Times New Roman" w:eastAsia="宋体" w:hAnsi="Times New Roman" w:cs="宋体"/>
          <w:szCs w:val="28"/>
          <w:lang w:bidi="ar"/>
          <w14:ligatures w14:val="none"/>
        </w:rPr>
        <w:t>号，法定代表人为刘宗华，类型为有限责任公司。其政府方出资代表辽宁省交通建设投资集团有限责任公司持有公司股权比例为</w:t>
      </w:r>
      <w:r>
        <w:rPr>
          <w:rFonts w:ascii="Times New Roman" w:eastAsia="宋体" w:hAnsi="Times New Roman" w:cs="宋体"/>
          <w:szCs w:val="28"/>
          <w:lang w:bidi="ar"/>
          <w14:ligatures w14:val="none"/>
        </w:rPr>
        <w:t>49%</w:t>
      </w:r>
      <w:r>
        <w:rPr>
          <w:rFonts w:ascii="Times New Roman" w:eastAsia="宋体" w:hAnsi="Times New Roman" w:cs="宋体"/>
          <w:szCs w:val="28"/>
          <w:lang w:bidi="ar"/>
          <w14:ligatures w14:val="none"/>
        </w:rPr>
        <w:t>，中国中铁股份有限公司联合体持有公司股权比例为</w:t>
      </w:r>
      <w:r>
        <w:rPr>
          <w:rFonts w:ascii="Times New Roman" w:eastAsia="宋体" w:hAnsi="Times New Roman" w:cs="宋体"/>
          <w:szCs w:val="28"/>
          <w:lang w:bidi="ar"/>
          <w14:ligatures w14:val="none"/>
        </w:rPr>
        <w:t>51%</w:t>
      </w:r>
      <w:r>
        <w:rPr>
          <w:rFonts w:ascii="Times New Roman" w:eastAsia="宋体" w:hAnsi="Times New Roman" w:cs="宋体"/>
          <w:szCs w:val="28"/>
          <w:lang w:bidi="ar"/>
          <w14:ligatures w14:val="none"/>
        </w:rPr>
        <w:t>。主要从事公路管理与养护，餐饮服务（不产生油烟、异味、废气），住宿服务等业务</w:t>
      </w:r>
      <w:r>
        <w:rPr>
          <w:rFonts w:ascii="Times New Roman" w:eastAsia="宋体" w:hAnsi="Times New Roman" w:cs="宋体" w:hint="eastAsia"/>
          <w:szCs w:val="28"/>
          <w:lang w:bidi="ar"/>
          <w14:ligatures w14:val="none"/>
        </w:rPr>
        <w:t>。</w:t>
      </w:r>
    </w:p>
    <w:p w14:paraId="0DDC216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中铁（辽宁）本桓高速公路有限公司</w:t>
      </w:r>
      <w:r>
        <w:rPr>
          <w:rFonts w:ascii="Times New Roman" w:eastAsia="宋体" w:hAnsi="Times New Roman" w:cs="宋体" w:hint="eastAsia"/>
          <w:szCs w:val="28"/>
          <w:lang w:bidi="ar"/>
          <w14:ligatures w14:val="none"/>
        </w:rPr>
        <w:t>已</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31</w:t>
      </w:r>
      <w:r>
        <w:rPr>
          <w:rFonts w:ascii="Times New Roman" w:eastAsia="宋体" w:hAnsi="Times New Roman" w:cs="宋体"/>
          <w:szCs w:val="28"/>
          <w:lang w:bidi="ar"/>
          <w14:ligatures w14:val="none"/>
        </w:rPr>
        <w:t>日先后取得了由本溪市应急管理局核发的《危险化学品建设项目安全条件审查意见书》（本危化项目安条审字</w:t>
      </w:r>
      <w:r>
        <w:rPr>
          <w:rFonts w:ascii="Times New Roman" w:eastAsia="宋体" w:hAnsi="Times New Roman" w:cs="宋体"/>
          <w:szCs w:val="28"/>
          <w:lang w:bidi="ar"/>
          <w14:ligatures w14:val="none"/>
        </w:rPr>
        <w:t>[2024]4</w:t>
      </w:r>
      <w:r>
        <w:rPr>
          <w:rFonts w:ascii="Times New Roman" w:eastAsia="宋体" w:hAnsi="Times New Roman" w:cs="宋体"/>
          <w:szCs w:val="28"/>
          <w:lang w:bidi="ar"/>
          <w14:ligatures w14:val="none"/>
        </w:rPr>
        <w:t>号）和《危险化学品建设项目安全设施设计审查意见书》（本危化项目安设审字</w:t>
      </w:r>
      <w:r>
        <w:rPr>
          <w:rFonts w:ascii="Times New Roman" w:eastAsia="宋体" w:hAnsi="Times New Roman" w:cs="宋体"/>
          <w:szCs w:val="28"/>
          <w:lang w:bidi="ar"/>
          <w14:ligatures w14:val="none"/>
        </w:rPr>
        <w:t>[2024]5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，相关证明文件见附件。</w:t>
      </w:r>
    </w:p>
    <w:p w14:paraId="50F9BD36"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9" w:name="_Toc16328"/>
      <w:r>
        <w:rPr>
          <w:rFonts w:ascii="Times New Roman" w:eastAsia="楷体" w:hAnsi="Times New Roman" w:cs="宋体" w:hint="eastAsia"/>
          <w:b/>
          <w:bCs/>
          <w:sz w:val="32"/>
          <w:szCs w:val="28"/>
          <w:lang w:bidi="ar"/>
          <w14:ligatures w14:val="none"/>
        </w:rPr>
        <w:t>2.2</w:t>
      </w:r>
      <w:r>
        <w:rPr>
          <w:rFonts w:ascii="Times New Roman" w:eastAsia="楷体" w:hAnsi="Times New Roman" w:cs="宋体" w:hint="eastAsia"/>
          <w:b/>
          <w:bCs/>
          <w:sz w:val="32"/>
          <w:szCs w:val="28"/>
          <w:lang w:bidi="ar"/>
          <w14:ligatures w14:val="none"/>
        </w:rPr>
        <w:t>建设项目简介</w:t>
      </w:r>
      <w:bookmarkEnd w:id="19"/>
    </w:p>
    <w:p w14:paraId="17DCB03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项目名称：</w:t>
      </w:r>
      <w:r>
        <w:rPr>
          <w:rFonts w:ascii="Times New Roman" w:eastAsia="宋体" w:hAnsi="Times New Roman" w:cs="宋体"/>
          <w:szCs w:val="28"/>
          <w:lang w:bidi="ar"/>
          <w14:ligatures w14:val="none"/>
        </w:rPr>
        <w:t>五里甸子服务区</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侧加油站新建项目</w:t>
      </w:r>
    </w:p>
    <w:p w14:paraId="085FE6A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建设单位：</w:t>
      </w:r>
      <w:r>
        <w:rPr>
          <w:rFonts w:ascii="Times New Roman" w:eastAsia="宋体" w:hAnsi="Times New Roman" w:cs="宋体"/>
          <w:szCs w:val="28"/>
          <w:lang w:bidi="ar"/>
          <w14:ligatures w14:val="none"/>
        </w:rPr>
        <w:t>中铁（辽宁）本桓高速公路有限公司</w:t>
      </w:r>
    </w:p>
    <w:p w14:paraId="6221280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建设地址：</w:t>
      </w:r>
      <w:r>
        <w:rPr>
          <w:rFonts w:ascii="Times New Roman" w:eastAsia="宋体" w:hAnsi="Times New Roman" w:cs="宋体"/>
          <w:szCs w:val="28"/>
          <w:lang w:bidi="ar"/>
          <w14:ligatures w14:val="none"/>
        </w:rPr>
        <w:t>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w:t>
      </w:r>
      <w:r>
        <w:rPr>
          <w:rFonts w:ascii="Times New Roman" w:eastAsia="宋体" w:hAnsi="Times New Roman" w:cs="宋体"/>
          <w:szCs w:val="28"/>
          <w:lang w:bidi="ar"/>
          <w14:ligatures w14:val="none"/>
        </w:rPr>
        <w:t>201</w:t>
      </w:r>
      <w:r>
        <w:rPr>
          <w:rFonts w:ascii="Times New Roman" w:eastAsia="宋体" w:hAnsi="Times New Roman" w:cs="宋体"/>
          <w:szCs w:val="28"/>
          <w:lang w:bidi="ar"/>
          <w14:ligatures w14:val="none"/>
        </w:rPr>
        <w:t>公里处五里甸子</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侧服务区</w:t>
      </w:r>
    </w:p>
    <w:p w14:paraId="537C9EF9" w14:textId="2E3C0118" w:rsidR="006363A7" w:rsidRPr="0082631A" w:rsidRDefault="006363A7" w:rsidP="006363A7">
      <w:pPr>
        <w:ind w:firstLine="560"/>
        <w:rPr>
          <w:rFonts w:ascii="Times New Roman" w:eastAsia="宋体" w:hAnsi="Times New Roman" w:cs="宋体"/>
          <w:szCs w:val="28"/>
          <w:lang w:bidi="ar"/>
          <w14:ligatures w14:val="none"/>
        </w:rPr>
      </w:pPr>
      <w:r w:rsidRPr="0082631A">
        <w:rPr>
          <w:rFonts w:ascii="Times New Roman" w:eastAsia="宋体" w:hAnsi="Times New Roman" w:cs="宋体" w:hint="eastAsia"/>
          <w:szCs w:val="28"/>
          <w:lang w:bidi="ar"/>
          <w14:ligatures w14:val="none"/>
        </w:rPr>
        <w:t>建设项目所在土地由</w:t>
      </w:r>
      <w:r w:rsidRPr="0082631A">
        <w:rPr>
          <w:rFonts w:ascii="Times New Roman" w:eastAsia="宋体" w:hAnsi="Times New Roman" w:cs="宋体"/>
          <w:szCs w:val="28"/>
          <w:lang w:bidi="ar"/>
          <w14:ligatures w14:val="none"/>
        </w:rPr>
        <w:t>辽宁省交通运输事业发展中心</w:t>
      </w:r>
      <w:r w:rsidRPr="0082631A">
        <w:rPr>
          <w:rFonts w:ascii="Times New Roman" w:eastAsia="宋体" w:hAnsi="Times New Roman" w:cs="宋体" w:hint="eastAsia"/>
          <w:szCs w:val="28"/>
          <w:lang w:bidi="ar"/>
          <w14:ligatures w14:val="none"/>
        </w:rPr>
        <w:t>于</w:t>
      </w:r>
      <w:r w:rsidRPr="0082631A">
        <w:rPr>
          <w:rFonts w:ascii="Times New Roman" w:eastAsia="宋体" w:hAnsi="Times New Roman" w:cs="宋体" w:hint="eastAsia"/>
          <w:szCs w:val="28"/>
          <w:lang w:bidi="ar"/>
          <w14:ligatures w14:val="none"/>
        </w:rPr>
        <w:t>2024</w:t>
      </w:r>
      <w:r w:rsidRPr="0082631A">
        <w:rPr>
          <w:rFonts w:ascii="Times New Roman" w:eastAsia="宋体" w:hAnsi="Times New Roman" w:cs="宋体" w:hint="eastAsia"/>
          <w:szCs w:val="28"/>
          <w:lang w:bidi="ar"/>
          <w14:ligatures w14:val="none"/>
        </w:rPr>
        <w:t>年</w:t>
      </w:r>
      <w:r w:rsidRPr="0082631A">
        <w:rPr>
          <w:rFonts w:ascii="Times New Roman" w:eastAsia="宋体" w:hAnsi="Times New Roman" w:cs="宋体" w:hint="eastAsia"/>
          <w:szCs w:val="28"/>
          <w:lang w:bidi="ar"/>
          <w14:ligatures w14:val="none"/>
        </w:rPr>
        <w:t>7</w:t>
      </w:r>
      <w:r w:rsidRPr="0082631A">
        <w:rPr>
          <w:rFonts w:ascii="Times New Roman" w:eastAsia="宋体" w:hAnsi="Times New Roman" w:cs="宋体" w:hint="eastAsia"/>
          <w:szCs w:val="28"/>
          <w:lang w:bidi="ar"/>
          <w14:ligatures w14:val="none"/>
        </w:rPr>
        <w:t>月</w:t>
      </w:r>
      <w:r w:rsidRPr="0082631A">
        <w:rPr>
          <w:rFonts w:ascii="Times New Roman" w:eastAsia="宋体" w:hAnsi="Times New Roman" w:cs="宋体" w:hint="eastAsia"/>
          <w:szCs w:val="28"/>
          <w:lang w:bidi="ar"/>
          <w14:ligatures w14:val="none"/>
        </w:rPr>
        <w:t>22</w:t>
      </w:r>
      <w:r w:rsidRPr="0082631A">
        <w:rPr>
          <w:rFonts w:ascii="Times New Roman" w:eastAsia="宋体" w:hAnsi="Times New Roman" w:cs="宋体" w:hint="eastAsia"/>
          <w:szCs w:val="28"/>
          <w:lang w:bidi="ar"/>
          <w14:ligatures w14:val="none"/>
        </w:rPr>
        <w:t>日征得宗地</w:t>
      </w:r>
      <w:r w:rsidR="00AA7977" w:rsidRPr="0082631A">
        <w:rPr>
          <w:rFonts w:ascii="Times New Roman" w:eastAsia="宋体" w:hAnsi="Times New Roman" w:cs="宋体"/>
          <w:szCs w:val="28"/>
          <w:lang w:bidi="ar"/>
          <w14:ligatures w14:val="none"/>
        </w:rPr>
        <w:t>HG2024-10</w:t>
      </w:r>
      <w:r w:rsidR="00AA7977" w:rsidRPr="0082631A">
        <w:rPr>
          <w:rFonts w:ascii="Times New Roman" w:eastAsia="宋体" w:hAnsi="Times New Roman" w:cs="宋体"/>
          <w:szCs w:val="28"/>
          <w:lang w:bidi="ar"/>
          <w14:ligatures w14:val="none"/>
        </w:rPr>
        <w:t>地块面积</w:t>
      </w:r>
      <w:r w:rsidR="00AA7977" w:rsidRPr="0082631A">
        <w:rPr>
          <w:rFonts w:ascii="Times New Roman" w:eastAsia="宋体" w:hAnsi="Times New Roman" w:cs="宋体"/>
          <w:szCs w:val="28"/>
          <w:lang w:bidi="ar"/>
          <w14:ligatures w14:val="none"/>
        </w:rPr>
        <w:t>2055.44</w:t>
      </w:r>
      <w:r w:rsidR="00AA7977" w:rsidRPr="0082631A">
        <w:rPr>
          <w:rFonts w:ascii="Times New Roman" w:eastAsia="宋体" w:hAnsi="Times New Roman" w:cs="宋体" w:hint="eastAsia"/>
          <w:szCs w:val="28"/>
          <w:lang w:bidi="ar"/>
          <w14:ligatures w14:val="none"/>
        </w:rPr>
        <w:t>m</w:t>
      </w:r>
      <w:r w:rsidR="00AA7977" w:rsidRPr="0082631A">
        <w:rPr>
          <w:rFonts w:ascii="Times New Roman" w:eastAsia="宋体" w:hAnsi="Times New Roman" w:cs="宋体" w:hint="eastAsia"/>
          <w:szCs w:val="28"/>
          <w:vertAlign w:val="superscript"/>
          <w:lang w:bidi="ar"/>
          <w14:ligatures w14:val="none"/>
        </w:rPr>
        <w:t>2</w:t>
      </w:r>
      <w:r w:rsidRPr="0082631A">
        <w:rPr>
          <w:rFonts w:ascii="Times New Roman" w:eastAsia="宋体" w:hAnsi="Times New Roman" w:cs="宋体" w:hint="eastAsia"/>
          <w:szCs w:val="28"/>
          <w:lang w:bidi="ar"/>
          <w14:ligatures w14:val="none"/>
        </w:rPr>
        <w:t>，并取得《</w:t>
      </w:r>
      <w:r w:rsidRPr="0082631A">
        <w:rPr>
          <w:rFonts w:ascii="Times New Roman" w:eastAsia="宋体" w:hAnsi="Times New Roman" w:cs="宋体"/>
          <w:szCs w:val="28"/>
          <w:lang w:bidi="ar"/>
          <w14:ligatures w14:val="none"/>
        </w:rPr>
        <w:t>国有土地使用权挂牌出让竞买成交确认书</w:t>
      </w:r>
      <w:r w:rsidRPr="0082631A">
        <w:rPr>
          <w:rFonts w:ascii="Times New Roman" w:eastAsia="宋体" w:hAnsi="Times New Roman" w:cs="宋体" w:hint="eastAsia"/>
          <w:szCs w:val="28"/>
          <w:lang w:bidi="ar"/>
          <w14:ligatures w14:val="none"/>
        </w:rPr>
        <w:t>》（</w:t>
      </w:r>
      <w:r w:rsidRPr="0082631A">
        <w:rPr>
          <w:rFonts w:ascii="Times New Roman" w:eastAsia="宋体" w:hAnsi="Times New Roman" w:cs="宋体"/>
          <w:szCs w:val="28"/>
          <w:lang w:bidi="ar"/>
          <w14:ligatures w14:val="none"/>
        </w:rPr>
        <w:t>桓交易中心</w:t>
      </w:r>
      <w:r w:rsidRPr="0082631A">
        <w:rPr>
          <w:rFonts w:ascii="Times New Roman" w:eastAsia="宋体" w:hAnsi="Times New Roman" w:cs="宋体"/>
          <w:szCs w:val="28"/>
          <w:lang w:bidi="ar"/>
          <w14:ligatures w14:val="none"/>
        </w:rPr>
        <w:t>[2024]2</w:t>
      </w:r>
      <w:r w:rsidRPr="0082631A">
        <w:rPr>
          <w:rFonts w:ascii="Times New Roman" w:eastAsia="宋体" w:hAnsi="Times New Roman" w:cs="宋体"/>
          <w:szCs w:val="28"/>
          <w:lang w:bidi="ar"/>
          <w14:ligatures w14:val="none"/>
        </w:rPr>
        <w:t>号</w:t>
      </w:r>
      <w:r w:rsidRPr="0082631A">
        <w:rPr>
          <w:rFonts w:ascii="Times New Roman" w:eastAsia="宋体" w:hAnsi="Times New Roman" w:cs="宋体" w:hint="eastAsia"/>
          <w:szCs w:val="28"/>
          <w:lang w:bidi="ar"/>
          <w14:ligatures w14:val="none"/>
        </w:rPr>
        <w:t>）。</w:t>
      </w:r>
    </w:p>
    <w:p w14:paraId="2D0982B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建设性质：新建项目</w:t>
      </w:r>
    </w:p>
    <w:p w14:paraId="60E77439"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项目总投资：</w:t>
      </w:r>
      <w:r>
        <w:rPr>
          <w:rFonts w:ascii="Times New Roman" w:eastAsia="宋体" w:hAnsi="Times New Roman" w:cs="宋体" w:hint="eastAsia"/>
          <w:szCs w:val="28"/>
          <w:lang w:bidi="ar"/>
          <w14:ligatures w14:val="none"/>
        </w:rPr>
        <w:t>560</w:t>
      </w:r>
      <w:r>
        <w:rPr>
          <w:rFonts w:ascii="Times New Roman" w:eastAsia="宋体" w:hAnsi="Times New Roman" w:cs="宋体" w:hint="eastAsia"/>
          <w:szCs w:val="28"/>
          <w:lang w:bidi="ar"/>
          <w14:ligatures w14:val="none"/>
        </w:rPr>
        <w:t>万元</w:t>
      </w:r>
    </w:p>
    <w:p w14:paraId="2A62AA3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建设内容及规模：</w:t>
      </w:r>
    </w:p>
    <w:p w14:paraId="2627DA7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座非承重埋地罐区：设</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双层油罐，其中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座车用乙醇汽油储罐，储量均为</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，即车用乙醇汽油储罐总容积为</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座柴油储罐，储量均为</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，即柴油储罐总容积为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。按《汽车加油加气加氢站技术标准》（</w:t>
      </w:r>
      <w:r>
        <w:rPr>
          <w:rFonts w:ascii="Times New Roman" w:eastAsia="宋体" w:hAnsi="Times New Roman" w:cs="宋体" w:hint="eastAsia"/>
          <w:szCs w:val="28"/>
          <w:lang w:bidi="ar"/>
          <w14:ligatures w14:val="none"/>
        </w:rPr>
        <w:t>GB50156-2021</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3.0.9</w:t>
      </w:r>
      <w:r>
        <w:rPr>
          <w:rFonts w:ascii="Times New Roman" w:eastAsia="宋体" w:hAnsi="Times New Roman" w:cs="宋体" w:hint="eastAsia"/>
          <w:szCs w:val="28"/>
          <w:lang w:bidi="ar"/>
          <w14:ligatures w14:val="none"/>
        </w:rPr>
        <w:t>中规定，该加油站油罐容积为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lang w:bidi="ar"/>
          <w14:ligatures w14:val="none"/>
        </w:rPr>
        <w:t>³（柴油罐容积折半计入），故该站为二级加油站。</w:t>
      </w:r>
    </w:p>
    <w:p w14:paraId="61F4D7B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）车用乙醇汽油罐与柴油罐的通气管分开设置，共设</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根通气管，其中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根为车用乙醇汽油通气管，</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根为柴油通气管</w:t>
      </w:r>
      <w:r>
        <w:rPr>
          <w:rFonts w:ascii="Times New Roman" w:eastAsia="宋体" w:hAnsi="Times New Roman" w:cs="宋体" w:hint="eastAsia"/>
          <w:szCs w:val="28"/>
          <w:lang w:bidi="ar"/>
          <w14:ligatures w14:val="none"/>
        </w:rPr>
        <w:t>。</w:t>
      </w:r>
    </w:p>
    <w:p w14:paraId="0903F16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hint="eastAsia"/>
          <w:szCs w:val="28"/>
          <w:lang w:bidi="ar"/>
          <w14:ligatures w14:val="none"/>
        </w:rPr>
        <w:t>）埋地罐区北侧为密闭卸油点，内设</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个柴油卸油口，</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个车用乙醇汽油卸油口和</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个车用乙醇汽油油气回收口。</w:t>
      </w:r>
    </w:p>
    <w:p w14:paraId="774FD9AC"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座型钢结构加油罩棚，建筑面积为</w:t>
      </w:r>
      <w:r>
        <w:rPr>
          <w:rFonts w:ascii="Times New Roman" w:eastAsia="宋体" w:hAnsi="Times New Roman" w:cs="宋体" w:hint="eastAsia"/>
          <w:szCs w:val="28"/>
          <w:lang w:bidi="ar"/>
          <w14:ligatures w14:val="none"/>
        </w:rPr>
        <w:t>420m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，罩棚下设有</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座加油岛，共布置</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台四枪双油品潜油泵式车用乙醇汽油加油机和</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台双枪双油品潜油泵式柴油加油机。</w:t>
      </w:r>
    </w:p>
    <w:p w14:paraId="4D5E879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）新建一座单层站房，总建筑面积为</w:t>
      </w:r>
      <w:r>
        <w:rPr>
          <w:rFonts w:ascii="Times New Roman" w:eastAsia="宋体" w:hAnsi="Times New Roman" w:cs="宋体" w:hint="eastAsia"/>
          <w:szCs w:val="28"/>
          <w:lang w:bidi="ar"/>
          <w14:ligatures w14:val="none"/>
        </w:rPr>
        <w:t>189.98m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，内部设</w:t>
      </w:r>
      <w:r>
        <w:rPr>
          <w:rFonts w:ascii="Times New Roman" w:eastAsia="宋体" w:hAnsi="Times New Roman" w:cs="宋体"/>
          <w:szCs w:val="28"/>
          <w:lang w:bidi="ar"/>
          <w14:ligatures w14:val="none"/>
        </w:rPr>
        <w:t>营业厅、收银室、财务室、控制室、值班室、办公室、卫生间</w:t>
      </w:r>
      <w:r>
        <w:rPr>
          <w:rFonts w:ascii="Times New Roman" w:eastAsia="宋体" w:hAnsi="Times New Roman" w:cs="宋体" w:hint="eastAsia"/>
          <w:szCs w:val="28"/>
          <w:lang w:bidi="ar"/>
          <w14:ligatures w14:val="none"/>
        </w:rPr>
        <w:t>等功能间。</w:t>
      </w:r>
    </w:p>
    <w:p w14:paraId="3E852358" w14:textId="6848D3FF"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）预留</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座三次油气回收装置</w:t>
      </w:r>
      <w:r w:rsidR="00656435" w:rsidRPr="0082631A">
        <w:rPr>
          <w:rFonts w:ascii="Times New Roman" w:eastAsia="宋体" w:hAnsi="Times New Roman" w:cs="宋体"/>
          <w:szCs w:val="28"/>
          <w:lang w:bidi="ar"/>
          <w14:ligatures w14:val="none"/>
        </w:rPr>
        <w:t>，且预留</w:t>
      </w:r>
      <w:r w:rsidR="00656435" w:rsidRPr="0082631A">
        <w:rPr>
          <w:rFonts w:ascii="Times New Roman" w:eastAsia="宋体" w:hAnsi="Times New Roman" w:cs="宋体"/>
          <w:szCs w:val="28"/>
          <w:lang w:bidi="ar"/>
          <w14:ligatures w14:val="none"/>
        </w:rPr>
        <w:t>1</w:t>
      </w:r>
      <w:r w:rsidR="00656435" w:rsidRPr="0082631A">
        <w:rPr>
          <w:rFonts w:ascii="Times New Roman" w:eastAsia="宋体" w:hAnsi="Times New Roman" w:cs="宋体"/>
          <w:szCs w:val="28"/>
          <w:lang w:bidi="ar"/>
          <w14:ligatures w14:val="none"/>
        </w:rPr>
        <w:t>根三次油气回收通气管</w:t>
      </w:r>
      <w:r>
        <w:rPr>
          <w:rFonts w:ascii="Times New Roman" w:eastAsia="宋体" w:hAnsi="Times New Roman" w:cs="宋体" w:hint="eastAsia"/>
          <w:szCs w:val="28"/>
          <w:lang w:bidi="ar"/>
          <w14:ligatures w14:val="none"/>
        </w:rPr>
        <w:t>。</w:t>
      </w:r>
    </w:p>
    <w:p w14:paraId="14A9BF3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该站设置车用乙醇汽油卸油油气回收及加油油气回收系统，预留三次油气回收系统位于通气管口东侧；油罐采用液位监控系统，每台油罐上设置一台具有高液位报警功能的远传液位计和机械式防溢阀，仪表检测信号传送至值班室；油罐和双层管道分别设油气渗漏检测报警装置；</w:t>
      </w:r>
      <w:r>
        <w:rPr>
          <w:rFonts w:ascii="Times New Roman" w:eastAsia="宋体" w:hAnsi="Times New Roman" w:cs="宋体"/>
          <w:szCs w:val="28"/>
          <w:lang w:bidi="ar"/>
          <w14:ligatures w14:val="none"/>
        </w:rPr>
        <w:t>加油区、卸油口附近设置急停防爆操作柱，控制室内便于操作的位置设有紧急切断按钮</w:t>
      </w:r>
      <w:r>
        <w:rPr>
          <w:rFonts w:ascii="Times New Roman" w:eastAsia="宋体" w:hAnsi="Times New Roman" w:cs="宋体" w:hint="eastAsia"/>
          <w:szCs w:val="28"/>
          <w:lang w:bidi="ar"/>
          <w14:ligatures w14:val="none"/>
        </w:rPr>
        <w:t>。</w:t>
      </w:r>
    </w:p>
    <w:p w14:paraId="4F1A3996"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“三同时”情况：</w:t>
      </w:r>
    </w:p>
    <w:p w14:paraId="3C2012B3" w14:textId="660D35C1" w:rsidR="00502148" w:rsidRPr="0082631A"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设立安全评价</w:t>
      </w:r>
      <w:r>
        <w:rPr>
          <w:rFonts w:ascii="Times New Roman" w:eastAsia="宋体" w:hAnsi="Times New Roman" w:cs="宋体" w:hint="eastAsia"/>
          <w:szCs w:val="28"/>
          <w:lang w:bidi="ar"/>
          <w14:ligatures w14:val="none"/>
        </w:rPr>
        <w:t>编制单位：</w:t>
      </w:r>
      <w:r>
        <w:rPr>
          <w:rFonts w:ascii="Times New Roman" w:eastAsia="宋体" w:hAnsi="Times New Roman" w:cs="宋体" w:hint="eastAsia"/>
          <w:szCs w:val="28"/>
          <w:lang w:bidi="ar"/>
          <w14:ligatures w14:val="none"/>
        </w:rPr>
        <w:t>2024</w:t>
      </w:r>
      <w:r>
        <w:rPr>
          <w:rFonts w:ascii="Times New Roman" w:eastAsia="宋体" w:hAnsi="Times New Roman" w:cs="宋体" w:hint="eastAsia"/>
          <w:szCs w:val="28"/>
          <w:lang w:bidi="ar"/>
          <w14:ligatures w14:val="none"/>
        </w:rPr>
        <w:t>年</w:t>
      </w:r>
      <w:r>
        <w:rPr>
          <w:rFonts w:ascii="Times New Roman" w:eastAsia="宋体" w:hAnsi="Times New Roman" w:cs="宋体" w:hint="eastAsia"/>
          <w:szCs w:val="28"/>
          <w:lang w:bidi="ar"/>
          <w14:ligatures w14:val="none"/>
        </w:rPr>
        <w:t>9</w:t>
      </w:r>
      <w:r>
        <w:rPr>
          <w:rFonts w:ascii="Times New Roman" w:eastAsia="宋体" w:hAnsi="Times New Roman" w:cs="宋体" w:hint="eastAsia"/>
          <w:szCs w:val="28"/>
          <w:lang w:bidi="ar"/>
          <w14:ligatures w14:val="none"/>
        </w:rPr>
        <w:t>月</w:t>
      </w:r>
      <w:r>
        <w:rPr>
          <w:rFonts w:ascii="Times New Roman" w:eastAsia="宋体" w:hAnsi="Times New Roman" w:cs="宋体" w:hint="eastAsia"/>
          <w:szCs w:val="28"/>
          <w:lang w:bidi="ar"/>
          <w14:ligatures w14:val="none"/>
        </w:rPr>
        <w:t>19</w:t>
      </w:r>
      <w:r>
        <w:rPr>
          <w:rFonts w:ascii="Times New Roman" w:eastAsia="宋体" w:hAnsi="Times New Roman" w:cs="宋体" w:hint="eastAsia"/>
          <w:szCs w:val="28"/>
          <w:lang w:bidi="ar"/>
          <w14:ligatures w14:val="none"/>
        </w:rPr>
        <w:t>日由</w:t>
      </w:r>
      <w:r>
        <w:rPr>
          <w:rFonts w:ascii="Times New Roman" w:eastAsia="宋体" w:hAnsi="Times New Roman" w:cs="宋体"/>
          <w:szCs w:val="28"/>
          <w:lang w:bidi="ar"/>
          <w14:ligatures w14:val="none"/>
        </w:rPr>
        <w:t>辽宁东安安全技术咨询服务有限公司</w:t>
      </w:r>
      <w:r>
        <w:rPr>
          <w:rFonts w:ascii="Times New Roman" w:eastAsia="宋体" w:hAnsi="Times New Roman" w:cs="宋体" w:hint="eastAsia"/>
          <w:szCs w:val="28"/>
          <w:lang w:bidi="ar"/>
          <w14:ligatures w14:val="none"/>
        </w:rPr>
        <w:t>出具</w:t>
      </w:r>
      <w:r w:rsidR="00EB68EB">
        <w:rPr>
          <w:rFonts w:ascii="Times New Roman" w:eastAsia="宋体" w:hAnsi="Times New Roman" w:cs="宋体" w:hint="eastAsia"/>
          <w:szCs w:val="28"/>
          <w:lang w:bidi="ar"/>
          <w14:ligatures w14:val="none"/>
        </w:rPr>
        <w:t>，</w:t>
      </w:r>
      <w:r w:rsidR="00EB68EB" w:rsidRPr="0082631A">
        <w:rPr>
          <w:rFonts w:ascii="Times New Roman" w:eastAsia="宋体" w:hAnsi="Times New Roman" w:cs="宋体"/>
          <w:szCs w:val="28"/>
          <w:lang w:bidi="ar"/>
          <w14:ligatures w14:val="none"/>
        </w:rPr>
        <w:t>并于</w:t>
      </w:r>
      <w:r w:rsidR="00EB68EB" w:rsidRPr="0082631A">
        <w:rPr>
          <w:rFonts w:ascii="Times New Roman" w:eastAsia="宋体" w:hAnsi="Times New Roman" w:cs="宋体"/>
          <w:szCs w:val="28"/>
          <w:lang w:bidi="ar"/>
          <w14:ligatures w14:val="none"/>
        </w:rPr>
        <w:t>2024</w:t>
      </w:r>
      <w:r w:rsidR="00EB68EB" w:rsidRPr="0082631A">
        <w:rPr>
          <w:rFonts w:ascii="Times New Roman" w:eastAsia="宋体" w:hAnsi="Times New Roman" w:cs="宋体"/>
          <w:szCs w:val="28"/>
          <w:lang w:bidi="ar"/>
          <w14:ligatures w14:val="none"/>
        </w:rPr>
        <w:t>年</w:t>
      </w:r>
      <w:r w:rsidR="00EB68EB" w:rsidRPr="0082631A">
        <w:rPr>
          <w:rFonts w:ascii="Times New Roman" w:eastAsia="宋体" w:hAnsi="Times New Roman" w:cs="宋体"/>
          <w:szCs w:val="28"/>
          <w:lang w:bidi="ar"/>
          <w14:ligatures w14:val="none"/>
        </w:rPr>
        <w:t>10</w:t>
      </w:r>
      <w:r w:rsidR="00EB68EB" w:rsidRPr="0082631A">
        <w:rPr>
          <w:rFonts w:ascii="Times New Roman" w:eastAsia="宋体" w:hAnsi="Times New Roman" w:cs="宋体"/>
          <w:szCs w:val="28"/>
          <w:lang w:bidi="ar"/>
          <w14:ligatures w14:val="none"/>
        </w:rPr>
        <w:t>月</w:t>
      </w:r>
      <w:r w:rsidR="00EB68EB" w:rsidRPr="0082631A">
        <w:rPr>
          <w:rFonts w:ascii="Times New Roman" w:eastAsia="宋体" w:hAnsi="Times New Roman" w:cs="宋体"/>
          <w:szCs w:val="28"/>
          <w:lang w:bidi="ar"/>
          <w14:ligatures w14:val="none"/>
        </w:rPr>
        <w:t>31</w:t>
      </w:r>
      <w:r w:rsidR="00EB68EB" w:rsidRPr="0082631A">
        <w:rPr>
          <w:rFonts w:ascii="Times New Roman" w:eastAsia="宋体" w:hAnsi="Times New Roman" w:cs="宋体"/>
          <w:szCs w:val="28"/>
          <w:lang w:bidi="ar"/>
          <w14:ligatures w14:val="none"/>
        </w:rPr>
        <w:t>日取得了由本溪市应急管理局核发的《危险化学品建设项目安全条件审查意见书》（本危化项目安条审字</w:t>
      </w:r>
      <w:r w:rsidR="00EB68EB" w:rsidRPr="0082631A">
        <w:rPr>
          <w:rFonts w:ascii="Times New Roman" w:eastAsia="宋体" w:hAnsi="Times New Roman" w:cs="宋体"/>
          <w:szCs w:val="28"/>
          <w:lang w:bidi="ar"/>
          <w14:ligatures w14:val="none"/>
        </w:rPr>
        <w:t>[2024]4</w:t>
      </w:r>
      <w:r w:rsidR="00EB68EB" w:rsidRPr="0082631A">
        <w:rPr>
          <w:rFonts w:ascii="Times New Roman" w:eastAsia="宋体" w:hAnsi="Times New Roman" w:cs="宋体"/>
          <w:szCs w:val="28"/>
          <w:lang w:bidi="ar"/>
          <w14:ligatures w14:val="none"/>
        </w:rPr>
        <w:t>号）。</w:t>
      </w:r>
    </w:p>
    <w:p w14:paraId="357A2363" w14:textId="7779DAB5" w:rsidR="00502148" w:rsidRPr="0082631A"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安全设施设计专篇</w:t>
      </w:r>
      <w:r>
        <w:rPr>
          <w:rFonts w:ascii="Times New Roman" w:eastAsia="宋体" w:hAnsi="Times New Roman" w:cs="宋体" w:hint="eastAsia"/>
          <w:szCs w:val="28"/>
          <w:lang w:bidi="ar"/>
          <w14:ligatures w14:val="none"/>
        </w:rPr>
        <w:t>编制单位：</w:t>
      </w:r>
      <w:r>
        <w:rPr>
          <w:rFonts w:ascii="Times New Roman" w:eastAsia="宋体" w:hAnsi="Times New Roman" w:cs="宋体" w:hint="eastAsia"/>
          <w:szCs w:val="28"/>
          <w:lang w:bidi="ar"/>
          <w14:ligatures w14:val="none"/>
        </w:rPr>
        <w:t>2024</w:t>
      </w:r>
      <w:r>
        <w:rPr>
          <w:rFonts w:ascii="Times New Roman" w:eastAsia="宋体" w:hAnsi="Times New Roman" w:cs="宋体" w:hint="eastAsia"/>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hint="eastAsia"/>
          <w:szCs w:val="28"/>
          <w:lang w:bidi="ar"/>
          <w14:ligatures w14:val="none"/>
        </w:rPr>
        <w:t>月</w:t>
      </w:r>
      <w:r>
        <w:rPr>
          <w:rFonts w:ascii="Times New Roman" w:eastAsia="宋体" w:hAnsi="Times New Roman" w:cs="宋体" w:hint="eastAsia"/>
          <w:szCs w:val="28"/>
          <w:lang w:bidi="ar"/>
          <w14:ligatures w14:val="none"/>
        </w:rPr>
        <w:t>16</w:t>
      </w:r>
      <w:r>
        <w:rPr>
          <w:rFonts w:ascii="Times New Roman" w:eastAsia="宋体" w:hAnsi="Times New Roman" w:cs="宋体" w:hint="eastAsia"/>
          <w:szCs w:val="28"/>
          <w:lang w:bidi="ar"/>
          <w14:ligatures w14:val="none"/>
        </w:rPr>
        <w:t>日由</w:t>
      </w:r>
      <w:r>
        <w:rPr>
          <w:rFonts w:ascii="Times New Roman" w:eastAsia="宋体" w:hAnsi="Times New Roman" w:cs="宋体"/>
          <w:szCs w:val="28"/>
          <w:lang w:bidi="ar"/>
          <w14:ligatures w14:val="none"/>
        </w:rPr>
        <w:t>中交城市能源研究设计院有限公司</w:t>
      </w:r>
      <w:r>
        <w:rPr>
          <w:rFonts w:ascii="Times New Roman" w:eastAsia="宋体" w:hAnsi="Times New Roman" w:cs="宋体" w:hint="eastAsia"/>
          <w:szCs w:val="28"/>
          <w:lang w:bidi="ar"/>
          <w14:ligatures w14:val="none"/>
        </w:rPr>
        <w:t>出具</w:t>
      </w:r>
      <w:r w:rsidR="00EB68EB">
        <w:rPr>
          <w:rFonts w:ascii="Times New Roman" w:eastAsia="宋体" w:hAnsi="Times New Roman" w:cs="宋体" w:hint="eastAsia"/>
          <w:szCs w:val="28"/>
          <w:lang w:bidi="ar"/>
          <w14:ligatures w14:val="none"/>
        </w:rPr>
        <w:t>，</w:t>
      </w:r>
      <w:r w:rsidR="00EB68EB" w:rsidRPr="0082631A">
        <w:rPr>
          <w:rFonts w:ascii="Times New Roman" w:eastAsia="宋体" w:hAnsi="Times New Roman" w:cs="宋体"/>
          <w:szCs w:val="28"/>
          <w:lang w:bidi="ar"/>
          <w14:ligatures w14:val="none"/>
        </w:rPr>
        <w:t>并于</w:t>
      </w:r>
      <w:r w:rsidR="00EB68EB" w:rsidRPr="0082631A">
        <w:rPr>
          <w:rFonts w:ascii="Times New Roman" w:eastAsia="宋体" w:hAnsi="Times New Roman" w:cs="宋体"/>
          <w:szCs w:val="28"/>
          <w:lang w:bidi="ar"/>
          <w14:ligatures w14:val="none"/>
        </w:rPr>
        <w:t>2024</w:t>
      </w:r>
      <w:r w:rsidR="00EB68EB" w:rsidRPr="0082631A">
        <w:rPr>
          <w:rFonts w:ascii="Times New Roman" w:eastAsia="宋体" w:hAnsi="Times New Roman" w:cs="宋体"/>
          <w:szCs w:val="28"/>
          <w:lang w:bidi="ar"/>
          <w14:ligatures w14:val="none"/>
        </w:rPr>
        <w:t>年</w:t>
      </w:r>
      <w:r w:rsidR="00EB68EB" w:rsidRPr="0082631A">
        <w:rPr>
          <w:rFonts w:ascii="Times New Roman" w:eastAsia="宋体" w:hAnsi="Times New Roman" w:cs="宋体"/>
          <w:szCs w:val="28"/>
          <w:lang w:bidi="ar"/>
          <w14:ligatures w14:val="none"/>
        </w:rPr>
        <w:t>10</w:t>
      </w:r>
      <w:r w:rsidR="00EB68EB" w:rsidRPr="0082631A">
        <w:rPr>
          <w:rFonts w:ascii="Times New Roman" w:eastAsia="宋体" w:hAnsi="Times New Roman" w:cs="宋体"/>
          <w:szCs w:val="28"/>
          <w:lang w:bidi="ar"/>
          <w14:ligatures w14:val="none"/>
        </w:rPr>
        <w:t>月</w:t>
      </w:r>
      <w:r w:rsidR="00EB68EB" w:rsidRPr="0082631A">
        <w:rPr>
          <w:rFonts w:ascii="Times New Roman" w:eastAsia="宋体" w:hAnsi="Times New Roman" w:cs="宋体"/>
          <w:szCs w:val="28"/>
          <w:lang w:bidi="ar"/>
          <w14:ligatures w14:val="none"/>
        </w:rPr>
        <w:t>31</w:t>
      </w:r>
      <w:r w:rsidR="00EB68EB" w:rsidRPr="0082631A">
        <w:rPr>
          <w:rFonts w:ascii="Times New Roman" w:eastAsia="宋体" w:hAnsi="Times New Roman" w:cs="宋体"/>
          <w:szCs w:val="28"/>
          <w:lang w:bidi="ar"/>
          <w14:ligatures w14:val="none"/>
        </w:rPr>
        <w:t>日取得了由本溪市应急管理局核发的《危险化学品建设项目安全设施设计审查意见书》（本危化项目安设审字</w:t>
      </w:r>
      <w:r w:rsidR="00EB68EB" w:rsidRPr="0082631A">
        <w:rPr>
          <w:rFonts w:ascii="Times New Roman" w:eastAsia="宋体" w:hAnsi="Times New Roman" w:cs="宋体"/>
          <w:szCs w:val="28"/>
          <w:lang w:bidi="ar"/>
          <w14:ligatures w14:val="none"/>
        </w:rPr>
        <w:t>[2024]5</w:t>
      </w:r>
      <w:r w:rsidR="00EB68EB" w:rsidRPr="0082631A">
        <w:rPr>
          <w:rFonts w:ascii="Times New Roman" w:eastAsia="宋体" w:hAnsi="Times New Roman" w:cs="宋体"/>
          <w:szCs w:val="28"/>
          <w:lang w:bidi="ar"/>
          <w14:ligatures w14:val="none"/>
        </w:rPr>
        <w:t>号）。</w:t>
      </w:r>
    </w:p>
    <w:p w14:paraId="29AC55F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设计、施工单位资质情况：</w:t>
      </w:r>
    </w:p>
    <w:p w14:paraId="5369FB9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）设计单位：</w:t>
      </w:r>
      <w:r>
        <w:rPr>
          <w:rFonts w:ascii="Times New Roman" w:eastAsia="宋体" w:hAnsi="Times New Roman" w:cs="宋体"/>
          <w:szCs w:val="28"/>
          <w:lang w:bidi="ar"/>
          <w14:ligatures w14:val="none"/>
        </w:rPr>
        <w:t>中交城市能源研究设计院有限公司</w:t>
      </w:r>
      <w:r>
        <w:rPr>
          <w:rFonts w:ascii="Times New Roman" w:eastAsia="宋体" w:hAnsi="Times New Roman" w:cs="宋体" w:hint="eastAsia"/>
          <w:szCs w:val="28"/>
          <w:lang w:bidi="ar"/>
          <w14:ligatures w14:val="none"/>
        </w:rPr>
        <w:t>：化工石化医药行业（石油及化工产品储运）专业甲级等，证书编号：</w:t>
      </w:r>
      <w:r>
        <w:rPr>
          <w:rFonts w:ascii="Times New Roman" w:eastAsia="宋体" w:hAnsi="Times New Roman" w:cs="宋体" w:hint="eastAsia"/>
          <w:szCs w:val="28"/>
          <w:lang w:bidi="ar"/>
          <w14:ligatures w14:val="none"/>
        </w:rPr>
        <w:t>A121000076</w:t>
      </w:r>
      <w:r>
        <w:rPr>
          <w:rFonts w:ascii="Times New Roman" w:eastAsia="宋体" w:hAnsi="Times New Roman" w:cs="宋体" w:hint="eastAsia"/>
          <w:szCs w:val="28"/>
          <w:lang w:bidi="ar"/>
          <w14:ligatures w14:val="none"/>
        </w:rPr>
        <w:t>。</w:t>
      </w:r>
    </w:p>
    <w:p w14:paraId="23E64938"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）施工单位：</w:t>
      </w:r>
      <w:r>
        <w:rPr>
          <w:rFonts w:ascii="Times New Roman" w:eastAsia="宋体" w:hAnsi="Times New Roman" w:cs="宋体"/>
          <w:szCs w:val="28"/>
          <w:lang w:bidi="ar"/>
          <w14:ligatures w14:val="none"/>
        </w:rPr>
        <w:t>大连合壹晟建设工程有限公司</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石油化工工程施工总承包贰级</w:t>
      </w:r>
      <w:r>
        <w:rPr>
          <w:rFonts w:ascii="Times New Roman" w:eastAsia="宋体" w:hAnsi="Times New Roman" w:cs="宋体" w:hint="eastAsia"/>
          <w:szCs w:val="28"/>
          <w:lang w:bidi="ar"/>
          <w14:ligatures w14:val="none"/>
        </w:rPr>
        <w:t>等，证书编号：</w:t>
      </w:r>
      <w:r>
        <w:rPr>
          <w:rFonts w:ascii="Times New Roman" w:eastAsia="宋体" w:hAnsi="Times New Roman" w:cs="宋体" w:hint="eastAsia"/>
          <w:szCs w:val="28"/>
          <w:lang w:bidi="ar"/>
          <w14:ligatures w14:val="none"/>
        </w:rPr>
        <w:t>D221112434</w:t>
      </w:r>
      <w:r>
        <w:rPr>
          <w:rFonts w:ascii="Times New Roman" w:eastAsia="宋体" w:hAnsi="Times New Roman" w:cs="宋体" w:hint="eastAsia"/>
          <w:szCs w:val="28"/>
          <w:lang w:bidi="ar"/>
          <w14:ligatures w14:val="none"/>
        </w:rPr>
        <w:t>。</w:t>
      </w:r>
    </w:p>
    <w:p w14:paraId="5493B000" w14:textId="77777777" w:rsidR="00502148"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0" w:name="_Toc26869"/>
      <w:bookmarkStart w:id="21" w:name="_Toc22200"/>
      <w:bookmarkStart w:id="22" w:name="_Toc1254"/>
      <w:bookmarkStart w:id="23" w:name="_Toc4642"/>
      <w:bookmarkStart w:id="24" w:name="_Toc9000"/>
      <w:bookmarkStart w:id="25" w:name="_Toc361059941"/>
      <w:r>
        <w:rPr>
          <w:rFonts w:ascii="Times New Roman" w:eastAsia="楷体" w:hAnsi="Times New Roman" w:cs="宋体"/>
          <w:b/>
          <w:bCs/>
          <w:sz w:val="32"/>
          <w:szCs w:val="28"/>
          <w:lang w:bidi="ar"/>
          <w14:ligatures w14:val="none"/>
        </w:rPr>
        <w:t>2.3</w:t>
      </w:r>
      <w:r>
        <w:rPr>
          <w:rFonts w:ascii="Times New Roman" w:eastAsia="楷体" w:hAnsi="Times New Roman" w:cs="宋体"/>
          <w:b/>
          <w:bCs/>
          <w:sz w:val="32"/>
          <w:szCs w:val="28"/>
          <w:lang w:bidi="ar"/>
          <w14:ligatures w14:val="none"/>
        </w:rPr>
        <w:t>采用的主要技术、工艺和同类项目水平对比情况</w:t>
      </w:r>
      <w:bookmarkEnd w:id="20"/>
      <w:bookmarkEnd w:id="21"/>
      <w:bookmarkEnd w:id="22"/>
      <w:bookmarkEnd w:id="23"/>
    </w:p>
    <w:p w14:paraId="40D3D4DB"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26" w:name="_Toc25590"/>
      <w:r>
        <w:rPr>
          <w:rFonts w:ascii="Times New Roman" w:eastAsia="黑体" w:hAnsi="Times New Roman" w:cs="Times New Roman"/>
          <w:b/>
          <w:bCs/>
          <w:kern w:val="0"/>
          <w:szCs w:val="20"/>
          <w14:ligatures w14:val="none"/>
        </w:rPr>
        <w:t>2.3.1</w:t>
      </w:r>
      <w:bookmarkEnd w:id="24"/>
      <w:bookmarkEnd w:id="25"/>
      <w:r>
        <w:rPr>
          <w:rFonts w:ascii="Times New Roman" w:eastAsia="黑体" w:hAnsi="Times New Roman" w:cs="Times New Roman"/>
          <w:b/>
          <w:bCs/>
          <w:kern w:val="0"/>
          <w:szCs w:val="20"/>
          <w14:ligatures w14:val="none"/>
        </w:rPr>
        <w:t>建设项目采用的主要技术、工艺</w:t>
      </w:r>
      <w:bookmarkEnd w:id="26"/>
    </w:p>
    <w:p w14:paraId="19999BC5"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按照国家有关环境保护标准和政府有关环境保护法规、法令的要求，</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的储油罐采用了内钢外玻璃纤维增强塑料双层储罐，可有效避免渗漏油品进入地下环境，污染土壤和地下水，呈卧式埋地设置；加油管道双层热塑性塑料加油管道，其他工艺管线采用无缝钢管；储罐及加油管道拥有均匀的夹层空间并配有一个和夹层空间相通的检测立管，可以随时监测油罐是否泄漏，并远传至</w:t>
      </w:r>
      <w:r>
        <w:rPr>
          <w:rFonts w:ascii="Times New Roman" w:eastAsia="宋体" w:hAnsi="Times New Roman" w:cs="宋体" w:hint="eastAsia"/>
          <w:szCs w:val="28"/>
          <w:lang w:bidi="ar"/>
          <w14:ligatures w14:val="none"/>
        </w:rPr>
        <w:t>站房内</w:t>
      </w:r>
      <w:r>
        <w:rPr>
          <w:rFonts w:ascii="Times New Roman" w:eastAsia="宋体" w:hAnsi="Times New Roman" w:cs="宋体"/>
          <w:szCs w:val="28"/>
          <w:lang w:bidi="ar"/>
          <w14:ligatures w14:val="none"/>
        </w:rPr>
        <w:t>的防渗漏检测装置。</w:t>
      </w:r>
    </w:p>
    <w:p w14:paraId="34F98F9C" w14:textId="77777777" w:rsidR="00502148" w:rsidRDefault="00000000">
      <w:pPr>
        <w:ind w:firstLine="560"/>
        <w:rPr>
          <w:rFonts w:ascii="Times New Roman" w:eastAsia="宋体" w:hAnsi="Times New Roman" w:cs="宋体"/>
          <w:szCs w:val="28"/>
          <w:lang w:bidi="ar"/>
          <w14:ligatures w14:val="none"/>
        </w:rPr>
      </w:pPr>
      <w:bookmarkStart w:id="27" w:name="_Toc12908"/>
      <w:r>
        <w:rPr>
          <w:rFonts w:ascii="Times New Roman" w:eastAsia="宋体" w:hAnsi="Times New Roman" w:cs="宋体"/>
          <w:szCs w:val="28"/>
          <w:lang w:bidi="ar"/>
          <w14:ligatures w14:val="none"/>
        </w:rPr>
        <w:t>加油站的主要工艺分为卸油工艺和加油工艺。</w:t>
      </w:r>
    </w:p>
    <w:p w14:paraId="6507329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卸油工艺为密闭卸油，分为车用乙醇汽油密闭卸油工艺和柴油密闭卸油工艺。车用乙醇汽油密闭卸油设油气回收系统，采用平衡式密闭回收系统；卸油油气回收管道采用非自闭式快速接头，在靠近快速接头的连接管道上装设阀门。</w:t>
      </w:r>
    </w:p>
    <w:p w14:paraId="602D437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采用的加油工艺为</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式加油工艺。车用乙醇汽油加油工艺设油气回收系统，采用真空辅助式油气回收系统，采取防止油气反向流至加油枪</w:t>
      </w:r>
      <w:r>
        <w:rPr>
          <w:rFonts w:ascii="Times New Roman" w:eastAsia="宋体" w:hAnsi="Times New Roman" w:cs="宋体"/>
          <w:szCs w:val="28"/>
          <w:lang w:bidi="ar"/>
          <w14:ligatures w14:val="none"/>
        </w:rPr>
        <w:lastRenderedPageBreak/>
        <w:t>的措施。</w:t>
      </w:r>
    </w:p>
    <w:p w14:paraId="4382204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式加油机，带有</w:t>
      </w:r>
      <w:r>
        <w:rPr>
          <w:rFonts w:ascii="Times New Roman" w:eastAsia="宋体" w:hAnsi="Times New Roman" w:cs="宋体" w:hint="eastAsia"/>
          <w:szCs w:val="28"/>
          <w:lang w:bidi="ar"/>
          <w14:ligatures w14:val="none"/>
        </w:rPr>
        <w:t>剪切阀、</w:t>
      </w:r>
      <w:r>
        <w:rPr>
          <w:rFonts w:ascii="Times New Roman" w:eastAsia="宋体" w:hAnsi="Times New Roman" w:cs="宋体"/>
          <w:szCs w:val="28"/>
          <w:lang w:bidi="ar"/>
          <w14:ligatures w14:val="none"/>
        </w:rPr>
        <w:t>分散式真空泵和具备油气回收功能的自封式加油枪，加油软管自带安全拉断阀。</w:t>
      </w:r>
      <w:r>
        <w:rPr>
          <w:rFonts w:ascii="Times New Roman" w:eastAsia="宋体" w:hAnsi="Times New Roman" w:cs="宋体" w:hint="eastAsia"/>
          <w:szCs w:val="28"/>
          <w:lang w:bidi="ar"/>
          <w14:ligatures w14:val="none"/>
        </w:rPr>
        <w:t>剪切阀的</w:t>
      </w:r>
      <w:r>
        <w:rPr>
          <w:rFonts w:ascii="Times New Roman" w:eastAsia="宋体" w:hAnsi="Times New Roman" w:cs="宋体"/>
          <w:szCs w:val="28"/>
          <w:lang w:bidi="ar"/>
          <w14:ligatures w14:val="none"/>
        </w:rPr>
        <w:t>作用有二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一是加油机被意外撞击时，剪切阀的剪切环处会首先发生断裂，阀芯自动关闭，防止液体连续泄漏而导致发生火灾事故或污染环境</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二是加油机一旦遇到着火事故时，剪切阀附近达到一定温度时，阀芯也会自动关闭，切断油路，避免引起严重的火灾事故。</w:t>
      </w:r>
    </w:p>
    <w:p w14:paraId="721DC4F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量油工艺采用液位仪与人工量油结合的量油方式。</w:t>
      </w:r>
    </w:p>
    <w:p w14:paraId="7B1960BC"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2.3.2</w:t>
      </w:r>
      <w:r>
        <w:rPr>
          <w:rFonts w:ascii="Times New Roman" w:eastAsia="黑体" w:hAnsi="Times New Roman" w:cs="Times New Roman"/>
          <w:b/>
          <w:bCs/>
          <w:kern w:val="0"/>
          <w:szCs w:val="20"/>
          <w14:ligatures w14:val="none"/>
        </w:rPr>
        <w:t>项目产业政策的符合性</w:t>
      </w:r>
    </w:p>
    <w:p w14:paraId="17A110F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根据《产业结构调整指导目录（</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年本）》</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国家发改委令</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第</w:t>
      </w:r>
      <w:r>
        <w:rPr>
          <w:rFonts w:ascii="Times New Roman" w:eastAsia="宋体" w:hAnsi="Times New Roman" w:cs="宋体"/>
          <w:szCs w:val="28"/>
          <w:lang w:bidi="ar"/>
          <w14:ligatures w14:val="none"/>
        </w:rPr>
        <w:t>7</w:t>
      </w:r>
      <w:r>
        <w:rPr>
          <w:rFonts w:ascii="Times New Roman" w:eastAsia="宋体" w:hAnsi="Times New Roman" w:cs="宋体"/>
          <w:szCs w:val="28"/>
          <w:lang w:bidi="ar"/>
          <w14:ligatures w14:val="none"/>
        </w:rPr>
        <w:t>号，</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日起实施</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未采用和使用国家明令淘汰、禁止使用的工艺、设备。</w:t>
      </w:r>
    </w:p>
    <w:p w14:paraId="1915D47D"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2.3.3</w:t>
      </w:r>
      <w:r>
        <w:rPr>
          <w:rFonts w:ascii="Times New Roman" w:eastAsia="黑体" w:hAnsi="Times New Roman" w:cs="Times New Roman"/>
          <w:b/>
          <w:bCs/>
          <w:kern w:val="0"/>
          <w:szCs w:val="20"/>
          <w14:ligatures w14:val="none"/>
        </w:rPr>
        <w:t>与国内外同类建设项目水平对比情况</w:t>
      </w:r>
      <w:bookmarkEnd w:id="27"/>
    </w:p>
    <w:p w14:paraId="75858EA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加油站加油工艺过程主要是完成油品卸入（入埋地油罐）和油品输出（出售）的过程，该站工艺过程采用密闭卸油和加油方式，卸油、加油和储油工艺技术是普遍采用的成熟的技术，设备及工艺安全可靠。</w:t>
      </w:r>
    </w:p>
    <w:p w14:paraId="1FBFB029"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随着我国科技技术的不断发展，现在已经有先进的卸油油气回收系统。卸油时采用油气回收系统可以使油罐内的油气在卸油的同时回收到油罐车内，加油油气回收系统可以将给汽车加油时产生的油气密闭回收至埋地油罐内，不向大气中排放，在保证安全的同时减少了环境污染。</w:t>
      </w:r>
    </w:p>
    <w:p w14:paraId="17D5CD9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双层罐是内钢外玻璃纤维增强塑料双层油罐的简称。目前该技术已经相当成熟，并在国内加油站广泛使用。据统计，双层罐在日本、欧美等发达国家加油站的应用由</w:t>
      </w:r>
      <w:r>
        <w:rPr>
          <w:rFonts w:ascii="Times New Roman" w:eastAsia="宋体" w:hAnsi="Times New Roman" w:cs="宋体" w:hint="eastAsia"/>
          <w:szCs w:val="28"/>
          <w:lang w:bidi="ar"/>
          <w14:ligatures w14:val="none"/>
        </w:rPr>
        <w:t>1985</w:t>
      </w:r>
      <w:r>
        <w:rPr>
          <w:rFonts w:ascii="Times New Roman" w:eastAsia="宋体" w:hAnsi="Times New Roman" w:cs="宋体" w:hint="eastAsia"/>
          <w:szCs w:val="28"/>
          <w:lang w:bidi="ar"/>
          <w14:ligatures w14:val="none"/>
        </w:rPr>
        <w:t>年的</w:t>
      </w:r>
      <w:r>
        <w:rPr>
          <w:rFonts w:ascii="Times New Roman" w:eastAsia="宋体" w:hAnsi="Times New Roman" w:cs="宋体" w:hint="eastAsia"/>
          <w:szCs w:val="28"/>
          <w:lang w:bidi="ar"/>
          <w14:ligatures w14:val="none"/>
        </w:rPr>
        <w:t>7.1%</w:t>
      </w:r>
      <w:r>
        <w:rPr>
          <w:rFonts w:ascii="Times New Roman" w:eastAsia="宋体" w:hAnsi="Times New Roman" w:cs="宋体" w:hint="eastAsia"/>
          <w:szCs w:val="28"/>
          <w:lang w:bidi="ar"/>
          <w14:ligatures w14:val="none"/>
        </w:rPr>
        <w:t>快速增加到</w:t>
      </w:r>
      <w:r>
        <w:rPr>
          <w:rFonts w:ascii="Times New Roman" w:eastAsia="宋体" w:hAnsi="Times New Roman" w:cs="宋体" w:hint="eastAsia"/>
          <w:szCs w:val="28"/>
          <w:lang w:bidi="ar"/>
          <w14:ligatures w14:val="none"/>
        </w:rPr>
        <w:t>2009</w:t>
      </w:r>
      <w:r>
        <w:rPr>
          <w:rFonts w:ascii="Times New Roman" w:eastAsia="宋体" w:hAnsi="Times New Roman" w:cs="宋体" w:hint="eastAsia"/>
          <w:szCs w:val="28"/>
          <w:lang w:bidi="ar"/>
          <w14:ligatures w14:val="none"/>
        </w:rPr>
        <w:t>年末的</w:t>
      </w:r>
      <w:r>
        <w:rPr>
          <w:rFonts w:ascii="Times New Roman" w:eastAsia="宋体" w:hAnsi="Times New Roman" w:cs="宋体" w:hint="eastAsia"/>
          <w:szCs w:val="28"/>
          <w:lang w:bidi="ar"/>
          <w14:ligatures w14:val="none"/>
        </w:rPr>
        <w:t>98%</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双层罐能够如此迅速的推广使用，主要体现在它的安全性、环保性等优势。</w:t>
      </w:r>
    </w:p>
    <w:p w14:paraId="003DED2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所采用的工艺技术为</w:t>
      </w:r>
      <w:r>
        <w:rPr>
          <w:rFonts w:ascii="Times New Roman" w:eastAsia="宋体" w:hAnsi="Times New Roman" w:cs="宋体" w:hint="eastAsia"/>
          <w:szCs w:val="28"/>
          <w:lang w:bidi="ar"/>
          <w14:ligatures w14:val="none"/>
        </w:rPr>
        <w:t>成熟</w:t>
      </w:r>
      <w:r>
        <w:rPr>
          <w:rFonts w:ascii="Times New Roman" w:eastAsia="宋体" w:hAnsi="Times New Roman" w:cs="宋体"/>
          <w:szCs w:val="28"/>
          <w:lang w:bidi="ar"/>
          <w14:ligatures w14:val="none"/>
        </w:rPr>
        <w:t>可靠的工艺。</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不属于《产业结构调整</w:t>
      </w:r>
      <w:r>
        <w:rPr>
          <w:rFonts w:ascii="Times New Roman" w:eastAsia="宋体" w:hAnsi="Times New Roman" w:cs="宋体"/>
          <w:szCs w:val="28"/>
          <w:lang w:bidi="ar"/>
          <w14:ligatures w14:val="none"/>
        </w:rPr>
        <w:lastRenderedPageBreak/>
        <w:t>指导目录（</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年本）》</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日经国家发展改革委第</w:t>
      </w:r>
      <w:r>
        <w:rPr>
          <w:rFonts w:ascii="Times New Roman" w:eastAsia="宋体" w:hAnsi="Times New Roman" w:cs="宋体"/>
          <w:szCs w:val="28"/>
          <w:lang w:bidi="ar"/>
          <w14:ligatures w14:val="none"/>
        </w:rPr>
        <w:t>6</w:t>
      </w:r>
      <w:r>
        <w:rPr>
          <w:rFonts w:ascii="Times New Roman" w:eastAsia="宋体" w:hAnsi="Times New Roman" w:cs="宋体"/>
          <w:szCs w:val="28"/>
          <w:lang w:bidi="ar"/>
          <w14:ligatures w14:val="none"/>
        </w:rPr>
        <w:t>次委务会通过</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日国家发展改革委令第</w:t>
      </w:r>
      <w:r>
        <w:rPr>
          <w:rFonts w:ascii="Times New Roman" w:eastAsia="宋体" w:hAnsi="Times New Roman" w:cs="宋体"/>
          <w:szCs w:val="28"/>
          <w:lang w:bidi="ar"/>
          <w14:ligatures w14:val="none"/>
        </w:rPr>
        <w:t>7</w:t>
      </w:r>
      <w:r>
        <w:rPr>
          <w:rFonts w:ascii="Times New Roman" w:eastAsia="宋体" w:hAnsi="Times New Roman" w:cs="宋体"/>
          <w:szCs w:val="28"/>
          <w:lang w:bidi="ar"/>
          <w14:ligatures w14:val="none"/>
        </w:rPr>
        <w:t>号公布</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自</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日起施行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限制类和淘汰类。</w:t>
      </w:r>
    </w:p>
    <w:p w14:paraId="62BEF6C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经查阅《国家安全监管总局关于印发淘汰落后安全技术装备目录（</w:t>
      </w:r>
      <w:r>
        <w:rPr>
          <w:rFonts w:ascii="Times New Roman" w:eastAsia="宋体" w:hAnsi="Times New Roman" w:cs="宋体" w:hint="eastAsia"/>
          <w:szCs w:val="28"/>
          <w:lang w:bidi="ar"/>
          <w14:ligatures w14:val="none"/>
        </w:rPr>
        <w:t>2015</w:t>
      </w:r>
      <w:r>
        <w:rPr>
          <w:rFonts w:ascii="Times New Roman" w:eastAsia="宋体" w:hAnsi="Times New Roman" w:cs="宋体" w:hint="eastAsia"/>
          <w:szCs w:val="28"/>
          <w:lang w:bidi="ar"/>
          <w14:ligatures w14:val="none"/>
        </w:rPr>
        <w:t>年第一批）的通知》（安监总科技</w:t>
      </w:r>
      <w:r>
        <w:rPr>
          <w:rFonts w:ascii="Times New Roman" w:eastAsia="宋体" w:hAnsi="Times New Roman" w:cs="宋体" w:hint="eastAsia"/>
          <w:szCs w:val="28"/>
          <w:lang w:bidi="ar"/>
          <w14:ligatures w14:val="none"/>
        </w:rPr>
        <w:t>[2015]75</w:t>
      </w:r>
      <w:r>
        <w:rPr>
          <w:rFonts w:ascii="Times New Roman" w:eastAsia="宋体" w:hAnsi="Times New Roman" w:cs="宋体" w:hint="eastAsia"/>
          <w:szCs w:val="28"/>
          <w:lang w:bidi="ar"/>
          <w14:ligatures w14:val="none"/>
        </w:rPr>
        <w:t>号）、《关于印发淘汰落后安全技术工艺、设备目录（</w:t>
      </w:r>
      <w:r>
        <w:rPr>
          <w:rFonts w:ascii="Times New Roman" w:eastAsia="宋体" w:hAnsi="Times New Roman" w:cs="宋体" w:hint="eastAsia"/>
          <w:szCs w:val="28"/>
          <w:lang w:bidi="ar"/>
          <w14:ligatures w14:val="none"/>
        </w:rPr>
        <w:t>2016</w:t>
      </w:r>
      <w:r>
        <w:rPr>
          <w:rFonts w:ascii="Times New Roman" w:eastAsia="宋体" w:hAnsi="Times New Roman" w:cs="宋体" w:hint="eastAsia"/>
          <w:szCs w:val="28"/>
          <w:lang w:bidi="ar"/>
          <w14:ligatures w14:val="none"/>
        </w:rPr>
        <w:t>年）的通知》（安监总科技</w:t>
      </w:r>
      <w:r>
        <w:rPr>
          <w:rFonts w:ascii="Times New Roman" w:eastAsia="宋体" w:hAnsi="Times New Roman" w:cs="宋体" w:hint="eastAsia"/>
          <w:szCs w:val="28"/>
          <w:lang w:bidi="ar"/>
          <w14:ligatures w14:val="none"/>
        </w:rPr>
        <w:t>[2016]137</w:t>
      </w:r>
      <w:r>
        <w:rPr>
          <w:rFonts w:ascii="Times New Roman" w:eastAsia="宋体" w:hAnsi="Times New Roman" w:cs="宋体" w:hint="eastAsia"/>
          <w:szCs w:val="28"/>
          <w:lang w:bidi="ar"/>
          <w14:ligatures w14:val="none"/>
        </w:rPr>
        <w:t>号）、《应急管理部办公厅关于印发淘汰落后危险化学品安全生产工艺技术设备目录（第一批）的通知》（应急厅〔</w:t>
      </w:r>
      <w:r>
        <w:rPr>
          <w:rFonts w:ascii="Times New Roman" w:eastAsia="宋体" w:hAnsi="Times New Roman" w:cs="宋体" w:hint="eastAsia"/>
          <w:szCs w:val="28"/>
          <w:lang w:bidi="ar"/>
          <w14:ligatures w14:val="none"/>
        </w:rPr>
        <w:t>2020</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38</w:t>
      </w:r>
      <w:r>
        <w:rPr>
          <w:rFonts w:ascii="Times New Roman" w:eastAsia="宋体" w:hAnsi="Times New Roman" w:cs="宋体" w:hint="eastAsia"/>
          <w:szCs w:val="28"/>
          <w:lang w:bidi="ar"/>
          <w14:ligatures w14:val="none"/>
        </w:rPr>
        <w:t>号）和《应急管理部办公厅关于印发淘汰落后危险化学品安全生产工艺技术设备目录（第二批）的通知》（应急厅</w:t>
      </w:r>
      <w:r>
        <w:rPr>
          <w:rFonts w:ascii="Times New Roman" w:eastAsia="宋体" w:hAnsi="Times New Roman" w:cs="宋体" w:hint="eastAsia"/>
          <w:szCs w:val="28"/>
          <w:lang w:bidi="ar"/>
          <w14:ligatures w14:val="none"/>
        </w:rPr>
        <w:t>[2024]86</w:t>
      </w:r>
      <w:r>
        <w:rPr>
          <w:rFonts w:ascii="Times New Roman" w:eastAsia="宋体" w:hAnsi="Times New Roman" w:cs="宋体" w:hint="eastAsia"/>
          <w:szCs w:val="28"/>
          <w:lang w:bidi="ar"/>
          <w14:ligatures w14:val="none"/>
        </w:rPr>
        <w:t>号），该站使用的生产工艺和设备不属于淘汰落后安全技术装备。</w:t>
      </w:r>
    </w:p>
    <w:p w14:paraId="530F4BA6"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综上所述，上述安全设备、设施与国内、外同类加油站相比较，应用较为普通，技术成熟、安全可靠。</w:t>
      </w:r>
    </w:p>
    <w:p w14:paraId="0CD60F7A"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8" w:name="_Toc21479"/>
      <w:r>
        <w:rPr>
          <w:rFonts w:ascii="Times New Roman" w:eastAsia="楷体" w:hAnsi="Times New Roman" w:cs="宋体" w:hint="eastAsia"/>
          <w:b/>
          <w:bCs/>
          <w:sz w:val="32"/>
          <w:szCs w:val="28"/>
          <w:lang w:bidi="ar"/>
          <w14:ligatures w14:val="none"/>
        </w:rPr>
        <w:t>2.4</w:t>
      </w:r>
      <w:r>
        <w:rPr>
          <w:rFonts w:ascii="Times New Roman" w:eastAsia="楷体" w:hAnsi="Times New Roman" w:cs="宋体" w:hint="eastAsia"/>
          <w:b/>
          <w:bCs/>
          <w:sz w:val="32"/>
          <w:szCs w:val="28"/>
          <w:lang w:bidi="ar"/>
          <w14:ligatures w14:val="none"/>
        </w:rPr>
        <w:t>建设项目的地理位置、用地面积和储存规模</w:t>
      </w:r>
      <w:bookmarkEnd w:id="28"/>
    </w:p>
    <w:p w14:paraId="0B1C6B94"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t>2.4.1</w:t>
      </w:r>
      <w:r>
        <w:rPr>
          <w:rFonts w:ascii="Times New Roman" w:eastAsia="黑体" w:hAnsi="Times New Roman" w:cs="Times New Roman" w:hint="eastAsia"/>
          <w:b/>
          <w:bCs/>
          <w:kern w:val="0"/>
          <w:szCs w:val="20"/>
          <w14:ligatures w14:val="none"/>
        </w:rPr>
        <w:t>地理位置及周边环境</w:t>
      </w:r>
    </w:p>
    <w:p w14:paraId="5C57BF5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w:t>
      </w:r>
      <w:r>
        <w:rPr>
          <w:rFonts w:ascii="Times New Roman" w:eastAsia="宋体" w:hAnsi="Times New Roman" w:cs="宋体"/>
          <w:szCs w:val="28"/>
          <w:lang w:bidi="ar"/>
          <w14:ligatures w14:val="none"/>
        </w:rPr>
        <w:t>站位于本溪至集安高速公路本溪至桓仁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w:t>
      </w:r>
      <w:r>
        <w:rPr>
          <w:rFonts w:ascii="Times New Roman" w:eastAsia="宋体" w:hAnsi="Times New Roman" w:cs="宋体"/>
          <w:szCs w:val="28"/>
          <w:lang w:bidi="ar"/>
          <w14:ligatures w14:val="none"/>
        </w:rPr>
        <w:t>201</w:t>
      </w:r>
      <w:r>
        <w:rPr>
          <w:rFonts w:ascii="Times New Roman" w:eastAsia="宋体" w:hAnsi="Times New Roman" w:cs="宋体"/>
          <w:szCs w:val="28"/>
          <w:lang w:bidi="ar"/>
          <w14:ligatures w14:val="none"/>
        </w:rPr>
        <w:t>公里处五里甸子</w:t>
      </w:r>
      <w:r>
        <w:rPr>
          <w:rFonts w:ascii="Times New Roman" w:eastAsia="宋体" w:hAnsi="Times New Roman" w:cs="宋体" w:hint="eastAsia"/>
          <w:szCs w:val="28"/>
          <w:lang w:bidi="ar"/>
          <w14:ligatures w14:val="none"/>
        </w:rPr>
        <w:t>西</w:t>
      </w:r>
      <w:r>
        <w:rPr>
          <w:rFonts w:ascii="Times New Roman" w:eastAsia="宋体" w:hAnsi="Times New Roman" w:cs="宋体"/>
          <w:szCs w:val="28"/>
          <w:lang w:bidi="ar"/>
          <w14:ligatures w14:val="none"/>
        </w:rPr>
        <w:t>侧服务区。该站</w:t>
      </w:r>
      <w:r>
        <w:rPr>
          <w:rFonts w:ascii="Times New Roman" w:eastAsia="宋体" w:hAnsi="Times New Roman" w:cs="宋体" w:hint="eastAsia"/>
          <w:szCs w:val="28"/>
          <w:lang w:bidi="ar"/>
          <w14:ligatures w14:val="none"/>
        </w:rPr>
        <w:t>东</w:t>
      </w:r>
      <w:r>
        <w:rPr>
          <w:rFonts w:ascii="Times New Roman" w:eastAsia="宋体" w:hAnsi="Times New Roman" w:cs="宋体"/>
          <w:szCs w:val="28"/>
          <w:lang w:bidi="ar"/>
          <w14:ligatures w14:val="none"/>
        </w:rPr>
        <w:t>侧为服务区内道路（次干路）及本溪至集安高速公路（</w:t>
      </w:r>
      <w:r>
        <w:rPr>
          <w:rFonts w:ascii="Times New Roman" w:eastAsia="宋体" w:hAnsi="Times New Roman" w:cs="宋体"/>
          <w:szCs w:val="28"/>
          <w:lang w:bidi="ar"/>
          <w14:ligatures w14:val="none"/>
        </w:rPr>
        <w:t>G9111</w:t>
      </w: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；南侧为</w:t>
      </w:r>
      <w:r>
        <w:rPr>
          <w:rFonts w:ascii="Times New Roman" w:eastAsia="宋体" w:hAnsi="Times New Roman" w:cs="宋体"/>
          <w:szCs w:val="28"/>
          <w:lang w:bidi="ar"/>
          <w14:ligatures w14:val="none"/>
        </w:rPr>
        <w:t>服务区外空地</w:t>
      </w:r>
      <w:r>
        <w:rPr>
          <w:rFonts w:ascii="Times New Roman" w:eastAsia="宋体" w:hAnsi="Times New Roman" w:cs="宋体" w:hint="eastAsia"/>
          <w:szCs w:val="28"/>
          <w:lang w:bidi="ar"/>
          <w14:ligatures w14:val="none"/>
        </w:rPr>
        <w:t>；西侧为</w:t>
      </w:r>
      <w:r>
        <w:rPr>
          <w:rFonts w:ascii="Times New Roman" w:eastAsia="宋体" w:hAnsi="Times New Roman" w:cs="宋体"/>
          <w:szCs w:val="28"/>
          <w:lang w:bidi="ar"/>
          <w14:ligatures w14:val="none"/>
        </w:rPr>
        <w:t>服务区内道路（次干路）</w:t>
      </w:r>
      <w:r>
        <w:rPr>
          <w:rFonts w:ascii="Times New Roman" w:eastAsia="宋体" w:hAnsi="Times New Roman" w:cs="宋体" w:hint="eastAsia"/>
          <w:szCs w:val="28"/>
          <w:lang w:bidi="ar"/>
          <w14:ligatures w14:val="none"/>
        </w:rPr>
        <w:t>；西北侧为</w:t>
      </w:r>
      <w:r>
        <w:rPr>
          <w:rFonts w:ascii="Times New Roman" w:eastAsia="宋体" w:hAnsi="Times New Roman" w:cs="宋体"/>
          <w:szCs w:val="28"/>
          <w:lang w:bidi="ar"/>
          <w14:ligatures w14:val="none"/>
        </w:rPr>
        <w:t>服务区消防泵房（三类保护物）及服务区</w:t>
      </w:r>
      <w:r>
        <w:rPr>
          <w:rFonts w:ascii="Times New Roman" w:eastAsia="宋体" w:hAnsi="Times New Roman" w:cs="宋体" w:hint="eastAsia"/>
          <w:szCs w:val="28"/>
          <w:lang w:bidi="ar"/>
          <w14:ligatures w14:val="none"/>
        </w:rPr>
        <w:t>宿舍楼</w:t>
      </w:r>
      <w:r>
        <w:rPr>
          <w:rFonts w:ascii="Times New Roman" w:eastAsia="宋体" w:hAnsi="Times New Roman" w:cs="宋体"/>
          <w:szCs w:val="28"/>
          <w:lang w:bidi="ar"/>
          <w14:ligatures w14:val="none"/>
        </w:rPr>
        <w:t>（三类保护物）</w:t>
      </w:r>
      <w:r>
        <w:rPr>
          <w:rFonts w:ascii="Times New Roman" w:eastAsia="宋体" w:hAnsi="Times New Roman" w:cs="宋体" w:hint="eastAsia"/>
          <w:szCs w:val="28"/>
          <w:lang w:bidi="ar"/>
          <w14:ligatures w14:val="none"/>
        </w:rPr>
        <w:t>；北侧为</w:t>
      </w:r>
      <w:r>
        <w:rPr>
          <w:rFonts w:ascii="Times New Roman" w:eastAsia="宋体" w:hAnsi="Times New Roman" w:cs="宋体"/>
          <w:szCs w:val="28"/>
          <w:lang w:bidi="ar"/>
          <w14:ligatures w14:val="none"/>
        </w:rPr>
        <w:t>服务区内停车场（三类保护物）。</w:t>
      </w:r>
      <w:r>
        <w:rPr>
          <w:rFonts w:ascii="Times New Roman" w:eastAsia="宋体" w:hAnsi="Times New Roman" w:cs="宋体" w:hint="eastAsia"/>
          <w:szCs w:val="28"/>
          <w:lang w:bidi="ar"/>
          <w14:ligatures w14:val="none"/>
        </w:rPr>
        <w:t>该站周边无重要公共设施，交通便利，且站址所在区域内没有重点文物等保护单位、风景名胜区和珍稀动植物资源等敏感点，站区地势平坦，该站未建于城市中心区。地理位置见图</w:t>
      </w:r>
      <w:r>
        <w:rPr>
          <w:rFonts w:ascii="Times New Roman" w:eastAsia="宋体" w:hAnsi="Times New Roman" w:cs="宋体" w:hint="eastAsia"/>
          <w:szCs w:val="28"/>
          <w:lang w:bidi="ar"/>
          <w14:ligatures w14:val="none"/>
        </w:rPr>
        <w:t>2.4-1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周边环境及总平面布置详见图</w:t>
      </w:r>
      <w:r>
        <w:rPr>
          <w:rFonts w:ascii="Times New Roman" w:eastAsia="宋体" w:hAnsi="Times New Roman" w:cs="宋体"/>
          <w:szCs w:val="28"/>
          <w:lang w:bidi="ar"/>
          <w14:ligatures w14:val="none"/>
        </w:rPr>
        <w:t>2.6-5</w:t>
      </w:r>
      <w:r>
        <w:rPr>
          <w:rFonts w:ascii="Times New Roman" w:eastAsia="宋体" w:hAnsi="Times New Roman" w:cs="宋体" w:hint="eastAsia"/>
          <w:szCs w:val="28"/>
          <w:lang w:bidi="ar"/>
          <w14:ligatures w14:val="none"/>
        </w:rPr>
        <w:t>。</w:t>
      </w:r>
    </w:p>
    <w:p w14:paraId="659AAA60"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t>2.4.2</w:t>
      </w:r>
      <w:r>
        <w:rPr>
          <w:rFonts w:ascii="Times New Roman" w:eastAsia="黑体" w:hAnsi="Times New Roman" w:cs="Times New Roman" w:hint="eastAsia"/>
          <w:b/>
          <w:bCs/>
          <w:kern w:val="0"/>
          <w:szCs w:val="20"/>
          <w14:ligatures w14:val="none"/>
        </w:rPr>
        <w:t>用地面积</w:t>
      </w:r>
    </w:p>
    <w:p w14:paraId="79871AE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该站占地面积为</w:t>
      </w:r>
      <w:r>
        <w:rPr>
          <w:rFonts w:ascii="Times New Roman" w:eastAsia="宋体" w:hAnsi="Times New Roman" w:cs="宋体"/>
          <w:szCs w:val="28"/>
          <w:lang w:bidi="ar"/>
          <w14:ligatures w14:val="none"/>
        </w:rPr>
        <w:t>3523</w:t>
      </w:r>
      <w:r>
        <w:rPr>
          <w:rFonts w:ascii="Times New Roman" w:eastAsia="宋体" w:hAnsi="Times New Roman" w:cs="宋体" w:hint="eastAsia"/>
          <w:szCs w:val="28"/>
          <w:lang w:bidi="ar"/>
          <w14:ligatures w14:val="none"/>
        </w:rPr>
        <w:t>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w:t>
      </w:r>
    </w:p>
    <w:p w14:paraId="4F1F5386"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lastRenderedPageBreak/>
        <w:t>2.4.3</w:t>
      </w:r>
      <w:r>
        <w:rPr>
          <w:rFonts w:ascii="Times New Roman" w:eastAsia="黑体" w:hAnsi="Times New Roman" w:cs="Times New Roman" w:hint="eastAsia"/>
          <w:b/>
          <w:bCs/>
          <w:kern w:val="0"/>
          <w:szCs w:val="20"/>
          <w14:ligatures w14:val="none"/>
        </w:rPr>
        <w:t>储存规模</w:t>
      </w:r>
    </w:p>
    <w:p w14:paraId="7FD42C98"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该站涉及的物料是车用乙醇汽油、柴油，车用乙醇汽油、柴油采用卧式双层埋地储罐储存，车用乙醇汽油储量</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，折合质量</w:t>
      </w:r>
      <w:r>
        <w:rPr>
          <w:rFonts w:ascii="Times New Roman" w:eastAsia="宋体" w:hAnsi="Times New Roman" w:cs="宋体" w:hint="eastAsia"/>
          <w:szCs w:val="28"/>
          <w:lang w:bidi="ar"/>
          <w14:ligatures w14:val="none"/>
        </w:rPr>
        <w:t>48t</w:t>
      </w:r>
      <w:r>
        <w:rPr>
          <w:rFonts w:ascii="Times New Roman" w:eastAsia="宋体" w:hAnsi="Times New Roman" w:cs="宋体" w:hint="eastAsia"/>
          <w:szCs w:val="28"/>
          <w:lang w:bidi="ar"/>
          <w14:ligatures w14:val="none"/>
        </w:rPr>
        <w:t>；柴油储量</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，折合质量</w:t>
      </w:r>
      <w:r>
        <w:rPr>
          <w:rFonts w:ascii="Times New Roman" w:eastAsia="宋体" w:hAnsi="Times New Roman" w:cs="宋体" w:hint="eastAsia"/>
          <w:szCs w:val="28"/>
          <w:lang w:bidi="ar"/>
          <w14:ligatures w14:val="none"/>
        </w:rPr>
        <w:t>102t</w:t>
      </w:r>
      <w:r>
        <w:rPr>
          <w:rFonts w:ascii="Times New Roman" w:eastAsia="宋体" w:hAnsi="Times New Roman" w:cs="宋体" w:hint="eastAsia"/>
          <w:szCs w:val="28"/>
          <w:lang w:bidi="ar"/>
          <w14:ligatures w14:val="none"/>
        </w:rPr>
        <w:t>。</w:t>
      </w:r>
    </w:p>
    <w:p w14:paraId="09BFB929"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9" w:name="_Toc3981"/>
      <w:r>
        <w:rPr>
          <w:rFonts w:ascii="Times New Roman" w:eastAsia="楷体" w:hAnsi="Times New Roman" w:cs="宋体" w:hint="eastAsia"/>
          <w:b/>
          <w:bCs/>
          <w:sz w:val="32"/>
          <w:szCs w:val="28"/>
          <w:lang w:bidi="ar"/>
          <w14:ligatures w14:val="none"/>
        </w:rPr>
        <w:t>2.5</w:t>
      </w:r>
      <w:r>
        <w:rPr>
          <w:rFonts w:ascii="Times New Roman" w:eastAsia="楷体" w:hAnsi="Times New Roman" w:cs="宋体" w:hint="eastAsia"/>
          <w:b/>
          <w:bCs/>
          <w:sz w:val="32"/>
          <w:szCs w:val="28"/>
          <w:lang w:bidi="ar"/>
          <w14:ligatures w14:val="none"/>
        </w:rPr>
        <w:t>涉及的主要原辅材料、产品品种名称、数量，储存</w:t>
      </w:r>
      <w:bookmarkEnd w:id="29"/>
    </w:p>
    <w:p w14:paraId="1B2F09C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该站主要涉及的材料为车用乙醇汽油、柴油，储存情况见表</w:t>
      </w:r>
      <w:r>
        <w:rPr>
          <w:rFonts w:ascii="Times New Roman" w:eastAsia="宋体" w:hAnsi="Times New Roman" w:cs="宋体" w:hint="eastAsia"/>
          <w:szCs w:val="28"/>
          <w:lang w:bidi="ar"/>
          <w14:ligatures w14:val="none"/>
        </w:rPr>
        <w:t>2.5-1</w:t>
      </w:r>
      <w:r>
        <w:rPr>
          <w:rFonts w:ascii="Times New Roman" w:eastAsia="宋体" w:hAnsi="Times New Roman" w:cs="宋体" w:hint="eastAsia"/>
          <w:szCs w:val="28"/>
          <w:lang w:bidi="ar"/>
          <w14:ligatures w14:val="none"/>
        </w:rPr>
        <w:t>。</w:t>
      </w:r>
    </w:p>
    <w:p w14:paraId="7696CD63" w14:textId="77777777" w:rsidR="00502148" w:rsidRDefault="00502148">
      <w:pPr>
        <w:ind w:firstLine="560"/>
        <w:rPr>
          <w:rFonts w:ascii="Times New Roman" w:eastAsia="宋体" w:hAnsi="Times New Roman" w:cs="宋体"/>
          <w:szCs w:val="28"/>
          <w:lang w:bidi="ar"/>
          <w14:ligatures w14:val="none"/>
        </w:rPr>
      </w:pPr>
    </w:p>
    <w:p w14:paraId="125254B7" w14:textId="77777777" w:rsidR="00502148" w:rsidRDefault="00502148">
      <w:pPr>
        <w:ind w:firstLine="560"/>
        <w:rPr>
          <w:rFonts w:ascii="Times New Roman" w:eastAsia="宋体" w:hAnsi="Times New Roman" w:cs="宋体"/>
          <w:szCs w:val="28"/>
          <w:lang w:bidi="ar"/>
          <w14:ligatures w14:val="none"/>
        </w:rPr>
      </w:pPr>
    </w:p>
    <w:p w14:paraId="7B88ACCB" w14:textId="77777777" w:rsidR="00502148" w:rsidRDefault="00000000">
      <w:pPr>
        <w:pStyle w:val="aff7"/>
        <w:keepNext/>
        <w:spacing w:beforeLines="50" w:before="156" w:afterLines="50" w:after="156"/>
        <w:ind w:firstLine="480"/>
        <w:rPr>
          <w:rFonts w:eastAsia="黑体"/>
          <w:sz w:val="24"/>
        </w:rPr>
      </w:pPr>
      <w:r>
        <w:rPr>
          <w:rFonts w:eastAsia="黑体" w:hint="eastAsia"/>
          <w:sz w:val="24"/>
        </w:rPr>
        <w:t>表</w:t>
      </w:r>
      <w:r>
        <w:rPr>
          <w:rFonts w:eastAsia="黑体" w:hint="eastAsia"/>
          <w:sz w:val="24"/>
        </w:rPr>
        <w:t xml:space="preserve">2.5-1  </w:t>
      </w:r>
      <w:r>
        <w:rPr>
          <w:rFonts w:eastAsia="黑体" w:hint="eastAsia"/>
          <w:sz w:val="24"/>
        </w:rPr>
        <w:t>站内储存车用乙醇汽油、柴油情况表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545"/>
        <w:gridCol w:w="1499"/>
        <w:gridCol w:w="2127"/>
        <w:gridCol w:w="1341"/>
        <w:gridCol w:w="1666"/>
      </w:tblGrid>
      <w:tr w:rsidR="00502148" w14:paraId="7777F06D" w14:textId="77777777">
        <w:trPr>
          <w:trHeight w:hRule="exact" w:val="454"/>
          <w:tblHeader/>
          <w:jc w:val="center"/>
        </w:trPr>
        <w:tc>
          <w:tcPr>
            <w:tcW w:w="543" w:type="pct"/>
            <w:vAlign w:val="center"/>
          </w:tcPr>
          <w:p w14:paraId="4559F06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842" w:type="pct"/>
            <w:vAlign w:val="center"/>
          </w:tcPr>
          <w:p w14:paraId="2668F85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储存方式</w:t>
            </w:r>
          </w:p>
        </w:tc>
        <w:tc>
          <w:tcPr>
            <w:tcW w:w="817" w:type="pct"/>
            <w:vAlign w:val="center"/>
          </w:tcPr>
          <w:p w14:paraId="240BCF5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最大储存能力</w:t>
            </w:r>
          </w:p>
        </w:tc>
        <w:tc>
          <w:tcPr>
            <w:tcW w:w="1159" w:type="pct"/>
            <w:vAlign w:val="center"/>
          </w:tcPr>
          <w:p w14:paraId="741D024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容积及数量</w:t>
            </w:r>
          </w:p>
        </w:tc>
        <w:tc>
          <w:tcPr>
            <w:tcW w:w="731" w:type="pct"/>
            <w:vAlign w:val="center"/>
          </w:tcPr>
          <w:p w14:paraId="17EC81C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储存位置</w:t>
            </w:r>
          </w:p>
        </w:tc>
        <w:tc>
          <w:tcPr>
            <w:tcW w:w="908" w:type="pct"/>
            <w:vAlign w:val="center"/>
          </w:tcPr>
          <w:p w14:paraId="673BAD6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备注</w:t>
            </w:r>
          </w:p>
        </w:tc>
      </w:tr>
      <w:tr w:rsidR="00502148" w14:paraId="390B6BDD" w14:textId="77777777">
        <w:trPr>
          <w:trHeight w:hRule="exact" w:val="1209"/>
          <w:jc w:val="center"/>
        </w:trPr>
        <w:tc>
          <w:tcPr>
            <w:tcW w:w="543" w:type="pct"/>
            <w:vAlign w:val="center"/>
          </w:tcPr>
          <w:p w14:paraId="4F4F85A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842" w:type="pct"/>
            <w:vAlign w:val="center"/>
          </w:tcPr>
          <w:p w14:paraId="38C71B7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埋地储罐储存</w:t>
            </w:r>
          </w:p>
        </w:tc>
        <w:tc>
          <w:tcPr>
            <w:tcW w:w="817" w:type="pct"/>
            <w:vAlign w:val="center"/>
          </w:tcPr>
          <w:p w14:paraId="4975FFE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r>
              <w:rPr>
                <w:rFonts w:ascii="Times New Roman" w:eastAsia="宋体" w:hAnsi="Times New Roman" w:cs="Times New Roman"/>
                <w:sz w:val="21"/>
                <w:szCs w:val="21"/>
                <w14:ligatures w14:val="none"/>
              </w:rPr>
              <w:t>t</w:t>
            </w:r>
          </w:p>
        </w:tc>
        <w:tc>
          <w:tcPr>
            <w:tcW w:w="1159" w:type="pct"/>
            <w:vAlign w:val="center"/>
          </w:tcPr>
          <w:p w14:paraId="4EE7CA1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sz w:val="21"/>
                <w:szCs w:val="21"/>
                <w14:ligatures w14:val="none"/>
              </w:rPr>
              <w:t>×</w:t>
            </w: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0m³</w:t>
            </w:r>
          </w:p>
        </w:tc>
        <w:tc>
          <w:tcPr>
            <w:tcW w:w="731" w:type="pct"/>
            <w:vAlign w:val="center"/>
          </w:tcPr>
          <w:p w14:paraId="2D40A78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地下储罐</w:t>
            </w:r>
          </w:p>
        </w:tc>
        <w:tc>
          <w:tcPr>
            <w:tcW w:w="908" w:type="pct"/>
            <w:vAlign w:val="center"/>
          </w:tcPr>
          <w:p w14:paraId="2467B15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重点监管</w:t>
            </w:r>
            <w:r>
              <w:rPr>
                <w:rFonts w:ascii="Times New Roman" w:eastAsia="宋体" w:hAnsi="Times New Roman" w:cs="Times New Roman" w:hint="eastAsia"/>
                <w:sz w:val="21"/>
                <w:szCs w:val="21"/>
                <w14:ligatures w14:val="none"/>
              </w:rPr>
              <w:t>和</w:t>
            </w:r>
            <w:r>
              <w:rPr>
                <w:rFonts w:ascii="Times New Roman" w:eastAsia="宋体" w:hAnsi="Times New Roman" w:cs="Times New Roman"/>
                <w:sz w:val="21"/>
                <w:szCs w:val="21"/>
                <w14:ligatures w14:val="none"/>
              </w:rPr>
              <w:t>特别管控危险化学品</w:t>
            </w:r>
          </w:p>
        </w:tc>
      </w:tr>
      <w:tr w:rsidR="00502148" w14:paraId="7A5CFCC6" w14:textId="77777777">
        <w:trPr>
          <w:trHeight w:hRule="exact" w:val="454"/>
          <w:jc w:val="center"/>
        </w:trPr>
        <w:tc>
          <w:tcPr>
            <w:tcW w:w="543" w:type="pct"/>
            <w:vAlign w:val="center"/>
          </w:tcPr>
          <w:p w14:paraId="0635D08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842" w:type="pct"/>
            <w:vAlign w:val="center"/>
          </w:tcPr>
          <w:p w14:paraId="598DC3A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埋地储罐储存</w:t>
            </w:r>
          </w:p>
        </w:tc>
        <w:tc>
          <w:tcPr>
            <w:tcW w:w="817" w:type="pct"/>
            <w:vAlign w:val="center"/>
          </w:tcPr>
          <w:p w14:paraId="2E98AE9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102t</w:t>
            </w:r>
          </w:p>
        </w:tc>
        <w:tc>
          <w:tcPr>
            <w:tcW w:w="1159" w:type="pct"/>
            <w:vAlign w:val="center"/>
          </w:tcPr>
          <w:p w14:paraId="326FDD6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sz w:val="21"/>
                <w:szCs w:val="21"/>
                <w14:ligatures w14:val="none"/>
              </w:rPr>
              <w:t>×</w:t>
            </w: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0m³</w:t>
            </w:r>
          </w:p>
        </w:tc>
        <w:tc>
          <w:tcPr>
            <w:tcW w:w="731" w:type="pct"/>
            <w:vAlign w:val="center"/>
          </w:tcPr>
          <w:p w14:paraId="088CC75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地下储罐</w:t>
            </w:r>
          </w:p>
        </w:tc>
        <w:tc>
          <w:tcPr>
            <w:tcW w:w="908" w:type="pct"/>
            <w:vAlign w:val="center"/>
          </w:tcPr>
          <w:p w14:paraId="1BC89DD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w:t>
            </w:r>
          </w:p>
        </w:tc>
      </w:tr>
    </w:tbl>
    <w:p w14:paraId="5C5A41CC"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0" w:name="_Toc29833"/>
      <w:bookmarkStart w:id="31" w:name="_Toc5999"/>
      <w:r>
        <w:rPr>
          <w:rFonts w:ascii="Times New Roman" w:eastAsia="楷体" w:hAnsi="Times New Roman" w:cs="宋体"/>
          <w:b/>
          <w:bCs/>
          <w:sz w:val="32"/>
          <w:szCs w:val="28"/>
          <w:lang w:bidi="ar"/>
          <w14:ligatures w14:val="none"/>
        </w:rPr>
        <w:t>2.6</w:t>
      </w:r>
      <w:r>
        <w:rPr>
          <w:rFonts w:ascii="Times New Roman" w:eastAsia="楷体" w:hAnsi="Times New Roman" w:cs="宋体"/>
          <w:b/>
          <w:bCs/>
          <w:sz w:val="32"/>
          <w:szCs w:val="28"/>
          <w:lang w:bidi="ar"/>
          <w14:ligatures w14:val="none"/>
        </w:rPr>
        <w:t>工艺流程和主要装置和设施的布局及其上下游生产装置的关系</w:t>
      </w:r>
      <w:bookmarkEnd w:id="30"/>
      <w:bookmarkEnd w:id="31"/>
    </w:p>
    <w:p w14:paraId="0D9B1158"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32" w:name="_Toc19365"/>
      <w:r>
        <w:rPr>
          <w:rFonts w:ascii="Times New Roman" w:eastAsia="黑体" w:hAnsi="Times New Roman" w:cs="Times New Roman"/>
          <w:b/>
          <w:bCs/>
          <w:kern w:val="0"/>
          <w:szCs w:val="20"/>
          <w14:ligatures w14:val="none"/>
        </w:rPr>
        <w:t>2.6.1</w:t>
      </w:r>
      <w:r>
        <w:rPr>
          <w:rFonts w:ascii="Times New Roman" w:eastAsia="黑体" w:hAnsi="Times New Roman" w:cs="Times New Roman"/>
          <w:b/>
          <w:bCs/>
          <w:kern w:val="0"/>
          <w:szCs w:val="20"/>
          <w14:ligatures w14:val="none"/>
        </w:rPr>
        <w:t>工艺流程</w:t>
      </w:r>
      <w:bookmarkEnd w:id="32"/>
    </w:p>
    <w:p w14:paraId="10F51578"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加油站加油部分工艺过程主要指完成油品卸入（埋地储油罐）和油品付出（经营销售）的整个过程，其工艺过程见图</w:t>
      </w:r>
      <w:r>
        <w:rPr>
          <w:rFonts w:ascii="Times New Roman" w:eastAsia="宋体" w:hAnsi="Times New Roman" w:cs="宋体" w:hint="eastAsia"/>
          <w:szCs w:val="28"/>
          <w:lang w:bidi="ar"/>
          <w14:ligatures w14:val="none"/>
        </w:rPr>
        <w:t>2.6-1</w:t>
      </w:r>
      <w:r>
        <w:rPr>
          <w:rFonts w:ascii="Times New Roman" w:eastAsia="宋体" w:hAnsi="Times New Roman" w:cs="宋体" w:hint="eastAsia"/>
          <w:szCs w:val="28"/>
          <w:lang w:bidi="ar"/>
          <w14:ligatures w14:val="none"/>
        </w:rPr>
        <w:t>、图</w:t>
      </w:r>
      <w:r>
        <w:rPr>
          <w:rFonts w:ascii="Times New Roman" w:eastAsia="宋体" w:hAnsi="Times New Roman" w:cs="宋体" w:hint="eastAsia"/>
          <w:szCs w:val="28"/>
          <w:lang w:bidi="ar"/>
          <w14:ligatures w14:val="none"/>
        </w:rPr>
        <w:t>2.6-2</w:t>
      </w:r>
      <w:r>
        <w:rPr>
          <w:rFonts w:ascii="Times New Roman" w:eastAsia="宋体" w:hAnsi="Times New Roman" w:cs="宋体" w:hint="eastAsia"/>
          <w:szCs w:val="28"/>
          <w:lang w:bidi="ar"/>
          <w14:ligatures w14:val="none"/>
        </w:rPr>
        <w:t>、图</w:t>
      </w:r>
      <w:r>
        <w:rPr>
          <w:rFonts w:ascii="Times New Roman" w:eastAsia="宋体" w:hAnsi="Times New Roman" w:cs="宋体" w:hint="eastAsia"/>
          <w:szCs w:val="28"/>
          <w:lang w:bidi="ar"/>
          <w14:ligatures w14:val="none"/>
        </w:rPr>
        <w:t>2.6-3</w:t>
      </w:r>
      <w:r>
        <w:rPr>
          <w:rFonts w:ascii="Times New Roman" w:eastAsia="宋体" w:hAnsi="Times New Roman" w:cs="宋体" w:hint="eastAsia"/>
          <w:szCs w:val="28"/>
          <w:lang w:bidi="ar"/>
          <w14:ligatures w14:val="none"/>
        </w:rPr>
        <w:t>和图</w:t>
      </w:r>
      <w:r>
        <w:rPr>
          <w:rFonts w:ascii="Times New Roman" w:eastAsia="宋体" w:hAnsi="Times New Roman" w:cs="宋体" w:hint="eastAsia"/>
          <w:szCs w:val="28"/>
          <w:lang w:bidi="ar"/>
          <w14:ligatures w14:val="none"/>
        </w:rPr>
        <w:t>2.6-4</w:t>
      </w:r>
      <w:r>
        <w:rPr>
          <w:rFonts w:ascii="Times New Roman" w:eastAsia="宋体" w:hAnsi="Times New Roman" w:cs="宋体" w:hint="eastAsia"/>
          <w:szCs w:val="28"/>
          <w:lang w:bidi="ar"/>
          <w14:ligatures w14:val="none"/>
        </w:rPr>
        <w:t>。</w:t>
      </w:r>
    </w:p>
    <w:p w14:paraId="25454E6C"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）卸油及卸油油气回收</w:t>
      </w:r>
    </w:p>
    <w:p w14:paraId="6EDE570E" w14:textId="54EB77FE" w:rsidR="00502148"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hint="eastAsia"/>
          <w:kern w:val="28"/>
          <w:szCs w:val="28"/>
          <w14:ligatures w14:val="none"/>
        </w:rPr>
        <w:t>成品油（车用乙醇汽油、柴油）汽车槽车运送至加油站油品卸车点处，在卸油前先用防静电接地装置对油罐车进行接地，消除运输过程中产生的静电，用导静电卸油连接软管连接油罐车卸油接口和卸车点的卸油罐接口，</w:t>
      </w:r>
      <w:r w:rsidR="00BD08B8" w:rsidRPr="0082631A">
        <w:rPr>
          <w:rFonts w:ascii="Times New Roman" w:eastAsia="宋体" w:hAnsi="Times New Roman" w:cs="Times New Roman"/>
          <w:kern w:val="28"/>
          <w:szCs w:val="28"/>
          <w14:ligatures w14:val="none"/>
        </w:rPr>
        <w:t>在连接卸油口时，要确保所卸油品与油罐相对应，</w:t>
      </w:r>
      <w:r>
        <w:rPr>
          <w:rFonts w:ascii="Times New Roman" w:eastAsia="宋体" w:hAnsi="Times New Roman" w:cs="Times New Roman" w:hint="eastAsia"/>
          <w:kern w:val="28"/>
          <w:szCs w:val="28"/>
          <w14:ligatures w14:val="none"/>
        </w:rPr>
        <w:t>静止</w:t>
      </w:r>
      <w:r>
        <w:rPr>
          <w:rFonts w:ascii="Times New Roman" w:eastAsia="宋体" w:hAnsi="Times New Roman" w:cs="Times New Roman" w:hint="eastAsia"/>
          <w:kern w:val="28"/>
          <w:szCs w:val="28"/>
          <w14:ligatures w14:val="none"/>
        </w:rPr>
        <w:t>5min</w:t>
      </w:r>
      <w:r>
        <w:rPr>
          <w:rFonts w:ascii="Times New Roman" w:eastAsia="宋体" w:hAnsi="Times New Roman" w:cs="Times New Roman" w:hint="eastAsia"/>
          <w:kern w:val="28"/>
          <w:szCs w:val="28"/>
          <w14:ligatures w14:val="none"/>
        </w:rPr>
        <w:t>后，开启阀门将</w:t>
      </w:r>
      <w:r>
        <w:rPr>
          <w:rFonts w:ascii="Times New Roman" w:eastAsia="宋体" w:hAnsi="Times New Roman" w:cs="Times New Roman" w:hint="eastAsia"/>
          <w:kern w:val="28"/>
          <w:szCs w:val="28"/>
          <w14:ligatures w14:val="none"/>
        </w:rPr>
        <w:lastRenderedPageBreak/>
        <w:t>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ascii="Times New Roman" w:eastAsia="宋体" w:hAnsi="Times New Roman" w:cs="Times New Roman"/>
          <w:kern w:val="28"/>
          <w:szCs w:val="28"/>
          <w14:ligatures w14:val="none"/>
        </w:rPr>
        <w:t>油罐车密闭卸油及卸油油气回收工艺流程</w:t>
      </w:r>
      <w:r>
        <w:rPr>
          <w:rFonts w:ascii="Times New Roman" w:eastAsia="宋体" w:hAnsi="Times New Roman" w:cs="Times New Roman" w:hint="eastAsia"/>
          <w:kern w:val="28"/>
          <w:szCs w:val="28"/>
          <w14:ligatures w14:val="none"/>
        </w:rPr>
        <w:t>，</w:t>
      </w:r>
      <w:r>
        <w:rPr>
          <w:rFonts w:ascii="Times New Roman" w:eastAsia="宋体" w:hAnsi="Times New Roman" w:cs="Times New Roman"/>
          <w:kern w:val="28"/>
          <w:szCs w:val="28"/>
          <w14:ligatures w14:val="none"/>
        </w:rPr>
        <w:t>见图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1</w:t>
      </w:r>
      <w:r>
        <w:rPr>
          <w:rFonts w:ascii="Times New Roman" w:eastAsia="宋体" w:hAnsi="Times New Roman" w:cs="Times New Roman"/>
          <w:kern w:val="28"/>
          <w:szCs w:val="28"/>
          <w14:ligatures w14:val="none"/>
        </w:rPr>
        <w:t>、图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2</w:t>
      </w:r>
      <w:r>
        <w:rPr>
          <w:rFonts w:ascii="Times New Roman" w:eastAsia="宋体" w:hAnsi="Times New Roman" w:cs="Times New Roman"/>
          <w:kern w:val="28"/>
          <w:szCs w:val="28"/>
          <w14:ligatures w14:val="none"/>
        </w:rPr>
        <w:t>：</w:t>
      </w:r>
    </w:p>
    <w:p w14:paraId="62BE9B69" w14:textId="77777777" w:rsidR="00502148" w:rsidRDefault="00000000">
      <w:pPr>
        <w:ind w:firstLineChars="0" w:firstLine="0"/>
        <w:rPr>
          <w:rFonts w:ascii="Times New Roman" w:eastAsia="宋体" w:hAnsi="Times New Roman" w:cs="Times New Roman"/>
          <w:szCs w:val="20"/>
          <w14:ligatures w14:val="none"/>
        </w:rPr>
      </w:pPr>
      <w:r>
        <w:rPr>
          <w:rFonts w:hint="eastAsia"/>
          <w:noProof/>
          <w:szCs w:val="28"/>
        </w:rPr>
        <mc:AlternateContent>
          <mc:Choice Requires="wpc">
            <w:drawing>
              <wp:inline distT="0" distB="0" distL="0" distR="0" wp14:anchorId="6320141D" wp14:editId="60B08E93">
                <wp:extent cx="5772150" cy="1049655"/>
                <wp:effectExtent l="0" t="0" r="0" b="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1E2EA2EA" w14:textId="77777777" w:rsidR="00502148" w:rsidRDefault="00000000">
                              <w:pPr>
                                <w:pStyle w:val="aff7"/>
                              </w:pPr>
                              <w:r>
                                <w:rPr>
                                  <w:rFonts w:hint="eastAsia"/>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0BD4D3D" w14:textId="77777777" w:rsidR="00502148" w:rsidRDefault="00000000">
                              <w:pPr>
                                <w:pStyle w:val="aff7"/>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0BE5B2F5" w14:textId="77777777" w:rsidR="00502148" w:rsidRDefault="00000000">
                              <w:pPr>
                                <w:pStyle w:val="aff7"/>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0A555296" w14:textId="77777777" w:rsidR="00502148" w:rsidRDefault="00000000">
                              <w:pPr>
                                <w:pStyle w:val="aff7"/>
                                <w:rPr>
                                  <w14:ligatures w14:val="none"/>
                                </w:rPr>
                              </w:pPr>
                              <w:r>
                                <w:rPr>
                                  <w:rFonts w:hint="eastAsia"/>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770F43B2" w14:textId="77777777" w:rsidR="00502148" w:rsidRDefault="00000000">
                              <w:pPr>
                                <w:pStyle w:val="aff7"/>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17057F3F" w14:textId="77777777" w:rsidR="00502148" w:rsidRDefault="00000000">
                              <w:pPr>
                                <w:pStyle w:val="aff7"/>
                              </w:pPr>
                              <w:r>
                                <w:rPr>
                                  <w:rFonts w:hint="eastAsia"/>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6320141D" id="画布 19" o:spid="_x0000_s1059" editas="canvas" style="width:454.5pt;height:82.65pt;mso-position-horizontal-relative:char;mso-position-vertical-relative:line" coordsize="57721,10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">
                <v:shape id="_x0000_s1060" type="#_x0000_t75" style="position:absolute;width:57721;height:10496;visibility:visible;mso-wrap-style:square" filled="t">
                  <v:fill o:detectmouseclick="t"/>
                  <v:path o:connecttype="none"/>
                </v:shape>
                <v:shape id="文本框 163638337" o:spid="_x0000_s1061"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1E2EA2EA" w14:textId="77777777" w:rsidR="00502148" w:rsidRDefault="00000000">
                        <w:pPr>
                          <w:pStyle w:val="aff7"/>
                        </w:pPr>
                        <w:r>
                          <w:rPr>
                            <w:rFonts w:hint="eastAsia"/>
                          </w:rPr>
                          <w:t>油罐槽车</w:t>
                        </w:r>
                      </w:p>
                    </w:txbxContent>
                  </v:textbox>
                </v:shape>
                <v:shapetype id="_x0000_t32" coordsize="21600,21600" o:spt="32" o:oned="t" path="m,l21600,21600e" filled="f">
                  <v:path arrowok="t" fillok="f" o:connecttype="none"/>
                  <o:lock v:ext="edit" shapetype="t"/>
                </v:shapetype>
                <v:shape id="直接箭头连接符 546987133" o:spid="_x0000_s1062"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063"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0BD4D3D" w14:textId="77777777" w:rsidR="00502148" w:rsidRDefault="00000000">
                        <w:pPr>
                          <w:pStyle w:val="aff7"/>
                          <w:rPr>
                            <w14:ligatures w14:val="none"/>
                          </w:rPr>
                        </w:pPr>
                        <w:r>
                          <w:rPr>
                            <w:rFonts w:hint="eastAsia"/>
                          </w:rPr>
                          <w:t>阀门</w:t>
                        </w:r>
                      </w:p>
                    </w:txbxContent>
                  </v:textbox>
                </v:shape>
                <v:shape id="直接箭头连接符 1895087391" o:spid="_x0000_s1064"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065"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0BE5B2F5" w14:textId="77777777" w:rsidR="00502148" w:rsidRDefault="00000000">
                        <w:pPr>
                          <w:pStyle w:val="aff7"/>
                          <w:rPr>
                            <w14:ligatures w14:val="none"/>
                          </w:rPr>
                        </w:pPr>
                        <w:r>
                          <w:rPr>
                            <w:rFonts w:hint="eastAsia"/>
                          </w:rPr>
                          <w:t>软管</w:t>
                        </w:r>
                      </w:p>
                    </w:txbxContent>
                  </v:textbox>
                </v:shape>
                <v:shape id="直接箭头连接符 1693226375" o:spid="_x0000_s1066"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067"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0A555296" w14:textId="77777777" w:rsidR="00502148" w:rsidRDefault="00000000">
                        <w:pPr>
                          <w:pStyle w:val="aff7"/>
                          <w:rPr>
                            <w14:ligatures w14:val="none"/>
                          </w:rPr>
                        </w:pPr>
                        <w:r>
                          <w:rPr>
                            <w:rFonts w:hint="eastAsia"/>
                          </w:rPr>
                          <w:t>快速接头</w:t>
                        </w:r>
                      </w:p>
                    </w:txbxContent>
                  </v:textbox>
                </v:shape>
                <v:shape id="直接箭头连接符 1661986113" o:spid="_x0000_s1068"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069"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770F43B2" w14:textId="77777777" w:rsidR="00502148" w:rsidRDefault="00000000">
                        <w:pPr>
                          <w:pStyle w:val="aff7"/>
                          <w:rPr>
                            <w14:ligatures w14:val="none"/>
                          </w:rPr>
                        </w:pPr>
                        <w:r>
                          <w:rPr>
                            <w:rFonts w:hint="eastAsia"/>
                          </w:rPr>
                          <w:t>油罐</w:t>
                        </w:r>
                      </w:p>
                    </w:txbxContent>
                  </v:textbox>
                </v:shape>
                <v:shape id="直接箭头连接符 2079457211" o:spid="_x0000_s1070"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071"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072"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073"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17057F3F" w14:textId="77777777" w:rsidR="00502148" w:rsidRDefault="00000000">
                        <w:pPr>
                          <w:pStyle w:val="aff7"/>
                        </w:pPr>
                        <w:r>
                          <w:rPr>
                            <w:rFonts w:hint="eastAsia"/>
                          </w:rPr>
                          <w:t>汽油油气</w:t>
                        </w:r>
                      </w:p>
                    </w:txbxContent>
                  </v:textbox>
                </v:shape>
                <w10:anchorlock/>
              </v:group>
            </w:pict>
          </mc:Fallback>
        </mc:AlternateContent>
      </w:r>
    </w:p>
    <w:p w14:paraId="455CF791" w14:textId="77777777" w:rsidR="00502148" w:rsidRDefault="00000000">
      <w:pPr>
        <w:pStyle w:val="aff7"/>
        <w:spacing w:beforeLines="50" w:before="156" w:afterLines="50" w:after="156"/>
        <w:ind w:firstLine="480"/>
        <w:rPr>
          <w:rFonts w:eastAsia="黑体"/>
          <w:sz w:val="24"/>
        </w:rPr>
      </w:pPr>
      <w:bookmarkStart w:id="33" w:name="_Toc853"/>
      <w:r>
        <w:rPr>
          <w:rFonts w:eastAsia="黑体"/>
          <w:sz w:val="24"/>
        </w:rPr>
        <w:t>图</w:t>
      </w:r>
      <w:r>
        <w:rPr>
          <w:rFonts w:eastAsia="黑体"/>
          <w:sz w:val="24"/>
        </w:rPr>
        <w:t>2.</w:t>
      </w:r>
      <w:r>
        <w:rPr>
          <w:rFonts w:eastAsia="黑体" w:hint="eastAsia"/>
          <w:sz w:val="24"/>
        </w:rPr>
        <w:t>6</w:t>
      </w:r>
      <w:r>
        <w:rPr>
          <w:rFonts w:eastAsia="黑体"/>
          <w:sz w:val="24"/>
        </w:rPr>
        <w:t xml:space="preserve">-1  </w:t>
      </w:r>
      <w:r>
        <w:rPr>
          <w:rFonts w:eastAsia="黑体" w:hint="eastAsia"/>
          <w:sz w:val="24"/>
        </w:rPr>
        <w:t>车用乙醇汽油</w:t>
      </w:r>
      <w:r>
        <w:rPr>
          <w:rFonts w:eastAsia="黑体"/>
          <w:sz w:val="24"/>
        </w:rPr>
        <w:t>密闭卸油工艺流程框图</w:t>
      </w:r>
      <w:r>
        <w:rPr>
          <w:rFonts w:hint="eastAsia"/>
          <w:noProof/>
          <w:sz w:val="24"/>
        </w:rPr>
        <mc:AlternateContent>
          <mc:Choice Requires="wpc">
            <w:drawing>
              <wp:inline distT="0" distB="0" distL="0" distR="0" wp14:anchorId="705A88C6" wp14:editId="5C3DF8EE">
                <wp:extent cx="5753100" cy="704215"/>
                <wp:effectExtent l="0" t="0" r="0" b="635"/>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1E88ECD9" w14:textId="77777777" w:rsidR="00502148" w:rsidRDefault="00000000">
                              <w:pPr>
                                <w:pStyle w:val="aff7"/>
                                <w:rPr>
                                  <w14:ligatures w14:val="none"/>
                                </w:rPr>
                              </w:pPr>
                              <w:r>
                                <w:rPr>
                                  <w:rFonts w:hint="eastAsia"/>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565C57CF" w14:textId="77777777" w:rsidR="00502148" w:rsidRDefault="00000000">
                              <w:pPr>
                                <w:pStyle w:val="aff7"/>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604C8962" w14:textId="77777777" w:rsidR="00502148" w:rsidRDefault="00000000">
                              <w:pPr>
                                <w:pStyle w:val="aff7"/>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5EE7B444" w14:textId="77777777" w:rsidR="00502148" w:rsidRDefault="00000000">
                              <w:pPr>
                                <w:pStyle w:val="aff7"/>
                                <w:rPr>
                                  <w14:ligatures w14:val="none"/>
                                </w:rPr>
                              </w:pPr>
                              <w:r>
                                <w:rPr>
                                  <w:rStyle w:val="aff8"/>
                                  <w:rFonts w:hint="eastAsia"/>
                                </w:rPr>
                                <w:t>快速</w:t>
                              </w:r>
                              <w:r>
                                <w:rPr>
                                  <w:rFonts w:hint="eastAsia"/>
                                </w:rPr>
                                <w:t>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3D81DF88" w14:textId="77777777" w:rsidR="00502148" w:rsidRDefault="00000000">
                              <w:pPr>
                                <w:pStyle w:val="aff7"/>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705A88C6" id="画布 20" o:spid="_x0000_s1074" editas="canvas" style="width:453pt;height:55.45pt;mso-position-horizontal-relative:char;mso-position-vertical-relative:line" coordsize="57531,7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">
                <v:shape id="_x0000_s1075" type="#_x0000_t75" style="position:absolute;width:57531;height:7042;visibility:visible;mso-wrap-style:square" filled="t">
                  <v:fill o:detectmouseclick="t"/>
                  <v:path o:connecttype="none"/>
                </v:shape>
                <v:shape id="文本框 1" o:spid="_x0000_s1076"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1E88ECD9" w14:textId="77777777" w:rsidR="00502148" w:rsidRDefault="00000000">
                        <w:pPr>
                          <w:pStyle w:val="aff7"/>
                          <w:rPr>
                            <w14:ligatures w14:val="none"/>
                          </w:rPr>
                        </w:pPr>
                        <w:r>
                          <w:rPr>
                            <w:rFonts w:hint="eastAsia"/>
                          </w:rPr>
                          <w:t>油罐槽车</w:t>
                        </w:r>
                      </w:p>
                    </w:txbxContent>
                  </v:textbox>
                </v:shape>
                <v:shape id="文本框 1" o:spid="_x0000_s1077"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565C57CF" w14:textId="77777777" w:rsidR="00502148" w:rsidRDefault="00000000">
                        <w:pPr>
                          <w:pStyle w:val="aff7"/>
                          <w:rPr>
                            <w14:ligatures w14:val="none"/>
                          </w:rPr>
                        </w:pPr>
                        <w:r>
                          <w:rPr>
                            <w:rFonts w:hint="eastAsia"/>
                          </w:rPr>
                          <w:t>阀门</w:t>
                        </w:r>
                      </w:p>
                    </w:txbxContent>
                  </v:textbox>
                </v:shape>
                <v:shape id="文本框 1" o:spid="_x0000_s1078"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604C8962" w14:textId="77777777" w:rsidR="00502148" w:rsidRDefault="00000000">
                        <w:pPr>
                          <w:pStyle w:val="aff7"/>
                          <w:rPr>
                            <w14:ligatures w14:val="none"/>
                          </w:rPr>
                        </w:pPr>
                        <w:r>
                          <w:rPr>
                            <w:rFonts w:hint="eastAsia"/>
                          </w:rPr>
                          <w:t>软管</w:t>
                        </w:r>
                      </w:p>
                    </w:txbxContent>
                  </v:textbox>
                </v:shape>
                <v:shape id="文本框 1" o:spid="_x0000_s1079"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5EE7B444" w14:textId="77777777" w:rsidR="00502148" w:rsidRDefault="00000000">
                        <w:pPr>
                          <w:pStyle w:val="aff7"/>
                          <w:rPr>
                            <w14:ligatures w14:val="none"/>
                          </w:rPr>
                        </w:pPr>
                        <w:r>
                          <w:rPr>
                            <w:rStyle w:val="aff8"/>
                            <w:rFonts w:hint="eastAsia"/>
                          </w:rPr>
                          <w:t>快速</w:t>
                        </w:r>
                        <w:r>
                          <w:rPr>
                            <w:rFonts w:hint="eastAsia"/>
                          </w:rPr>
                          <w:t>接头</w:t>
                        </w:r>
                      </w:p>
                    </w:txbxContent>
                  </v:textbox>
                </v:shape>
                <v:shape id="文本框 1" o:spid="_x0000_s1080"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3D81DF88" w14:textId="77777777" w:rsidR="00502148" w:rsidRDefault="00000000">
                        <w:pPr>
                          <w:pStyle w:val="aff7"/>
                          <w:rPr>
                            <w14:ligatures w14:val="none"/>
                          </w:rPr>
                        </w:pPr>
                        <w:r>
                          <w:rPr>
                            <w:rFonts w:hint="eastAsia"/>
                          </w:rPr>
                          <w:t>油罐</w:t>
                        </w:r>
                      </w:p>
                    </w:txbxContent>
                  </v:textbox>
                </v:shape>
                <v:shape id="直接箭头连接符 1505307550" o:spid="_x0000_s1081"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082"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083"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084"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1A924926" w14:textId="77777777" w:rsidR="00502148" w:rsidRDefault="00000000">
      <w:pPr>
        <w:spacing w:line="240" w:lineRule="auto"/>
        <w:ind w:firstLine="420"/>
        <w:rPr>
          <w:rFonts w:ascii="Times New Roman" w:eastAsia="宋体" w:hAnsi="Times New Roman"/>
          <w:sz w:val="21"/>
          <w:szCs w:val="21"/>
        </w:rPr>
      </w:pPr>
      <w:r>
        <w:rPr>
          <w:rFonts w:ascii="Times New Roman" w:eastAsia="宋体" w:hAnsi="Times New Roman" w:hint="eastAsia"/>
          <w:sz w:val="21"/>
          <w:szCs w:val="21"/>
        </w:rPr>
        <w:t>注：柴油无油气回收工艺流程</w:t>
      </w:r>
    </w:p>
    <w:p w14:paraId="790CF79D" w14:textId="77777777" w:rsidR="00502148" w:rsidRDefault="00000000">
      <w:pPr>
        <w:pStyle w:val="aff7"/>
        <w:spacing w:beforeLines="50" w:before="156" w:afterLines="50" w:after="156"/>
        <w:ind w:firstLine="480"/>
        <w:rPr>
          <w:rFonts w:eastAsia="黑体"/>
          <w:sz w:val="24"/>
        </w:rPr>
      </w:pPr>
      <w:r>
        <w:rPr>
          <w:rFonts w:eastAsia="黑体"/>
          <w:sz w:val="24"/>
        </w:rPr>
        <w:t>图</w:t>
      </w:r>
      <w:r>
        <w:rPr>
          <w:rFonts w:eastAsia="黑体"/>
          <w:sz w:val="24"/>
        </w:rPr>
        <w:t>2.</w:t>
      </w:r>
      <w:r>
        <w:rPr>
          <w:rFonts w:eastAsia="黑体" w:hint="eastAsia"/>
          <w:sz w:val="24"/>
        </w:rPr>
        <w:t>6</w:t>
      </w:r>
      <w:r>
        <w:rPr>
          <w:rFonts w:eastAsia="黑体"/>
          <w:sz w:val="24"/>
        </w:rPr>
        <w:t xml:space="preserve">-2  </w:t>
      </w:r>
      <w:r>
        <w:rPr>
          <w:rFonts w:eastAsia="黑体"/>
          <w:sz w:val="24"/>
        </w:rPr>
        <w:t>柴油密闭卸油工艺流程框图</w:t>
      </w:r>
    </w:p>
    <w:bookmarkEnd w:id="33"/>
    <w:p w14:paraId="018446D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）加油及加油油气回收工艺</w:t>
      </w:r>
    </w:p>
    <w:p w14:paraId="4A9D47F1" w14:textId="77777777" w:rsidR="00502148"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加油：</w:t>
      </w:r>
      <w:r>
        <w:rPr>
          <w:rFonts w:ascii="Times New Roman" w:eastAsia="宋体" w:hAnsi="Times New Roman" w:cs="Times New Roman" w:hint="eastAsia"/>
          <w:kern w:val="28"/>
          <w:szCs w:val="28"/>
          <w14:ligatures w14:val="none"/>
        </w:rPr>
        <w:t>社会车辆进入站内加油停车位，通过带有计量、计价和税控装置的潜油泵式加油机将储罐内的油料抽出，实现为汽车油箱充装车用乙醇汽油或柴油的付出（经营销售）作业。</w:t>
      </w:r>
    </w:p>
    <w:p w14:paraId="0EDDD31A" w14:textId="77777777" w:rsidR="00502148"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车用乙醇汽油加油油气回收：汽车加油过程中，将原来油箱口溢</w:t>
      </w:r>
      <w:r>
        <w:rPr>
          <w:rFonts w:ascii="Times New Roman" w:eastAsia="宋体" w:hAnsi="Times New Roman" w:cs="Times New Roman" w:hint="eastAsia"/>
          <w:kern w:val="28"/>
          <w:szCs w:val="28"/>
          <w14:ligatures w14:val="none"/>
        </w:rPr>
        <w:t>出</w:t>
      </w:r>
      <w:r>
        <w:rPr>
          <w:rFonts w:ascii="Times New Roman" w:eastAsia="宋体" w:hAnsi="Times New Roman" w:cs="Times New Roman"/>
          <w:kern w:val="28"/>
          <w:szCs w:val="28"/>
          <w14:ligatures w14:val="none"/>
        </w:rPr>
        <w:t>的油气，通过油气回收专用加油枪收集，利用动力设备（如真空泵）经油气回收管线输送至车用乙醇汽油储罐。</w:t>
      </w:r>
    </w:p>
    <w:p w14:paraId="6EF8569F" w14:textId="77777777" w:rsidR="00502148"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加油及加油油气回收工艺流程</w:t>
      </w:r>
      <w:r>
        <w:rPr>
          <w:rFonts w:ascii="Times New Roman" w:eastAsia="宋体" w:hAnsi="Times New Roman" w:cs="Times New Roman" w:hint="eastAsia"/>
          <w:kern w:val="28"/>
          <w:szCs w:val="28"/>
          <w14:ligatures w14:val="none"/>
        </w:rPr>
        <w:t>，</w:t>
      </w:r>
      <w:r>
        <w:rPr>
          <w:rFonts w:ascii="Times New Roman" w:eastAsia="宋体" w:hAnsi="Times New Roman" w:cs="Times New Roman"/>
          <w:kern w:val="28"/>
          <w:szCs w:val="28"/>
          <w14:ligatures w14:val="none"/>
        </w:rPr>
        <w:t>见图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3</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4</w:t>
      </w:r>
      <w:r>
        <w:rPr>
          <w:rFonts w:ascii="Times New Roman" w:eastAsia="宋体" w:hAnsi="Times New Roman" w:cs="Times New Roman"/>
          <w:kern w:val="28"/>
          <w:szCs w:val="28"/>
          <w14:ligatures w14:val="none"/>
        </w:rPr>
        <w:t>：</w:t>
      </w:r>
    </w:p>
    <w:p w14:paraId="48200B38" w14:textId="77777777" w:rsidR="00502148" w:rsidRDefault="00000000">
      <w:pPr>
        <w:ind w:firstLineChars="71" w:firstLine="199"/>
        <w:rPr>
          <w:rFonts w:ascii="Times New Roman" w:eastAsia="宋体" w:hAnsi="Times New Roman" w:cs="Times New Roman"/>
          <w:szCs w:val="20"/>
          <w14:ligatures w14:val="none"/>
        </w:rPr>
      </w:pPr>
      <w:r>
        <w:rPr>
          <w:rFonts w:ascii="Times New Roman" w:eastAsia="宋体" w:hAnsi="Times New Roman" w:hint="eastAsia"/>
          <w:noProof/>
          <w:szCs w:val="28"/>
        </w:rPr>
        <mc:AlternateContent>
          <mc:Choice Requires="wpc">
            <w:drawing>
              <wp:inline distT="0" distB="0" distL="0" distR="0" wp14:anchorId="5083BCF8" wp14:editId="68F54F42">
                <wp:extent cx="5829300" cy="910590"/>
                <wp:effectExtent l="0" t="0" r="0" b="3810"/>
                <wp:docPr id="1885759077" name="画布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26997239" name="文本框 1226997239"/>
                        <wps:cNvSpPr txBox="1"/>
                        <wps:spPr>
                          <a:xfrm>
                            <a:off x="658528" y="359923"/>
                            <a:ext cx="818515" cy="323850"/>
                          </a:xfrm>
                          <a:prstGeom prst="rect">
                            <a:avLst/>
                          </a:prstGeom>
                          <a:solidFill>
                            <a:sysClr val="window" lastClr="FFFFFF"/>
                          </a:solidFill>
                          <a:ln w="6350">
                            <a:solidFill>
                              <a:prstClr val="black"/>
                            </a:solidFill>
                          </a:ln>
                        </wps:spPr>
                        <wps:txbx>
                          <w:txbxContent>
                            <w:p w14:paraId="7143D70A" w14:textId="77777777" w:rsidR="00502148" w:rsidRDefault="00000000">
                              <w:pPr>
                                <w:pStyle w:val="aff7"/>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707430" name="直接箭头连接符 51707430"/>
                        <wps:cNvCnPr/>
                        <wps:spPr>
                          <a:xfrm>
                            <a:off x="1477043" y="445648"/>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980786389" name="文本框 980786389"/>
                        <wps:cNvSpPr txBox="1"/>
                        <wps:spPr>
                          <a:xfrm>
                            <a:off x="1486601" y="36074"/>
                            <a:ext cx="1028667" cy="323849"/>
                          </a:xfrm>
                          <a:prstGeom prst="rect">
                            <a:avLst/>
                          </a:prstGeom>
                          <a:noFill/>
                          <a:ln>
                            <a:noFill/>
                          </a:ln>
                          <a:effectLst/>
                        </wps:spPr>
                        <wps:txbx>
                          <w:txbxContent>
                            <w:p w14:paraId="03669433" w14:textId="77777777" w:rsidR="00502148" w:rsidRDefault="00000000">
                              <w:pPr>
                                <w:pStyle w:val="aff7"/>
                              </w:pPr>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627484" name="文本框 1"/>
                        <wps:cNvSpPr txBox="1"/>
                        <wps:spPr>
                          <a:xfrm>
                            <a:off x="2515268" y="350398"/>
                            <a:ext cx="819150" cy="333375"/>
                          </a:xfrm>
                          <a:prstGeom prst="rect">
                            <a:avLst/>
                          </a:prstGeom>
                          <a:solidFill>
                            <a:sysClr val="window" lastClr="FFFFFF"/>
                          </a:solidFill>
                          <a:ln w="6350">
                            <a:solidFill>
                              <a:prstClr val="black"/>
                            </a:solidFill>
                          </a:ln>
                        </wps:spPr>
                        <wps:txbx>
                          <w:txbxContent>
                            <w:p w14:paraId="49DBFDB3" w14:textId="77777777" w:rsidR="00502148" w:rsidRDefault="00000000">
                              <w:pPr>
                                <w:pStyle w:val="aff7"/>
                                <w:rPr>
                                  <w14:ligatures w14:val="none"/>
                                </w:rPr>
                              </w:pPr>
                              <w:r>
                                <w:rPr>
                                  <w:rFonts w:hint="eastAsia"/>
                                </w:rPr>
                                <w:t>加油机</w:t>
                              </w:r>
                            </w:p>
                          </w:txbxContent>
                        </wps:txbx>
                        <wps:bodyPr rot="0" spcFirstLastPara="0" vert="horz" wrap="square" lIns="91440" tIns="45720" rIns="91440" bIns="45720" numCol="1" spcCol="0" rtlCol="0" fromWordArt="0" anchor="t" anchorCtr="0" forceAA="0" compatLnSpc="1">
                          <a:noAutofit/>
                        </wps:bodyPr>
                      </wps:wsp>
                      <wps:wsp>
                        <wps:cNvPr id="214258902" name="文本框 1"/>
                        <wps:cNvSpPr txBox="1"/>
                        <wps:spPr>
                          <a:xfrm>
                            <a:off x="1666535" y="607233"/>
                            <a:ext cx="713740" cy="304165"/>
                          </a:xfrm>
                          <a:prstGeom prst="rect">
                            <a:avLst/>
                          </a:prstGeom>
                          <a:noFill/>
                          <a:ln>
                            <a:noFill/>
                          </a:ln>
                          <a:effectLst/>
                        </wps:spPr>
                        <wps:txbx>
                          <w:txbxContent>
                            <w:p w14:paraId="050CE98F" w14:textId="77777777" w:rsidR="00502148" w:rsidRDefault="00000000">
                              <w:pPr>
                                <w:pStyle w:val="aff7"/>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2012640285" name="文本框 1"/>
                        <wps:cNvSpPr txBox="1"/>
                        <wps:spPr>
                          <a:xfrm>
                            <a:off x="4371295" y="359923"/>
                            <a:ext cx="753790" cy="333375"/>
                          </a:xfrm>
                          <a:prstGeom prst="rect">
                            <a:avLst/>
                          </a:prstGeom>
                          <a:solidFill>
                            <a:sysClr val="window" lastClr="FFFFFF"/>
                          </a:solidFill>
                          <a:ln w="6350">
                            <a:solidFill>
                              <a:prstClr val="black"/>
                            </a:solidFill>
                          </a:ln>
                        </wps:spPr>
                        <wps:txbx>
                          <w:txbxContent>
                            <w:p w14:paraId="5E576C58" w14:textId="77777777" w:rsidR="00502148" w:rsidRDefault="00000000">
                              <w:pPr>
                                <w:pStyle w:val="aff7"/>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1652186312" name="直接箭头连接符 1652186312"/>
                        <wps:cNvCnPr/>
                        <wps:spPr>
                          <a:xfrm>
                            <a:off x="1477043" y="607233"/>
                            <a:ext cx="1028667"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1124604535" name="直接箭头连接符 1124604535"/>
                        <wps:cNvCnPr/>
                        <wps:spPr>
                          <a:xfrm>
                            <a:off x="3334418" y="444673"/>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8980299" name="直接箭头连接符 1418980299"/>
                        <wps:cNvCnPr/>
                        <wps:spPr>
                          <a:xfrm>
                            <a:off x="3334418" y="607233"/>
                            <a:ext cx="1028065"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2009132734" name="文本框 1"/>
                        <wps:cNvSpPr txBox="1"/>
                        <wps:spPr>
                          <a:xfrm>
                            <a:off x="3515655" y="558973"/>
                            <a:ext cx="713740" cy="304165"/>
                          </a:xfrm>
                          <a:prstGeom prst="rect">
                            <a:avLst/>
                          </a:prstGeom>
                          <a:noFill/>
                          <a:ln>
                            <a:noFill/>
                          </a:ln>
                          <a:effectLst/>
                        </wps:spPr>
                        <wps:txbx>
                          <w:txbxContent>
                            <w:p w14:paraId="05A6E1B9" w14:textId="77777777" w:rsidR="00502148" w:rsidRDefault="00000000">
                              <w:pPr>
                                <w:pStyle w:val="aff7"/>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1168347615" name="文本框 1"/>
                        <wps:cNvSpPr txBox="1"/>
                        <wps:spPr>
                          <a:xfrm>
                            <a:off x="3324475" y="36073"/>
                            <a:ext cx="1028065" cy="314325"/>
                          </a:xfrm>
                          <a:prstGeom prst="rect">
                            <a:avLst/>
                          </a:prstGeom>
                          <a:noFill/>
                          <a:ln>
                            <a:noFill/>
                          </a:ln>
                          <a:effectLst/>
                        </wps:spPr>
                        <wps:txbx>
                          <w:txbxContent>
                            <w:p w14:paraId="7DB9BC75" w14:textId="77777777" w:rsidR="00502148" w:rsidRDefault="00000000">
                              <w:pPr>
                                <w:pStyle w:val="aff7"/>
                                <w:rPr>
                                  <w14:ligatures w14:val="none"/>
                                </w:rPr>
                              </w:pPr>
                              <w:r>
                                <w:rPr>
                                  <w:rFonts w:hint="eastAsia"/>
                                </w:rPr>
                                <w:t>车用乙醇汽油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083BCF8" id="画布 21" o:spid="_x0000_s1085" editas="canvas" style="width:459pt;height:71.7pt;mso-position-horizontal-relative:char;mso-position-vertical-relative:line" coordsize="58293,9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">
                <v:shape id="_x0000_s1086" type="#_x0000_t75" style="position:absolute;width:58293;height:9105;visibility:visible;mso-wrap-style:square" filled="t">
                  <v:fill o:detectmouseclick="t"/>
                  <v:path o:connecttype="none"/>
                </v:shape>
                <v:shape id="文本框 1226997239" o:spid="_x0000_s1087" type="#_x0000_t202" style="position:absolute;left:6585;top:3599;width:8185;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" fillcolor="window" strokeweight=".5pt">
                  <v:textbox>
                    <w:txbxContent>
                      <w:p w14:paraId="7143D70A" w14:textId="77777777" w:rsidR="00502148" w:rsidRDefault="00000000">
                        <w:pPr>
                          <w:pStyle w:val="aff7"/>
                        </w:pPr>
                        <w:r>
                          <w:rPr>
                            <w:rFonts w:hint="eastAsia"/>
                          </w:rPr>
                          <w:t>油罐</w:t>
                        </w:r>
                      </w:p>
                    </w:txbxContent>
                  </v:textbox>
                </v:shape>
                <v:shape id="直接箭头连接符 51707430" o:spid="_x0000_s1088" type="#_x0000_t32" style="position:absolute;left:14770;top:445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" strokecolor="windowText" strokeweight=".5pt">
                  <v:stroke endarrow="block" joinstyle="miter"/>
                </v:shape>
                <v:shape id="文本框 980786389" o:spid="_x0000_s1089" type="#_x0000_t202" style="position:absolute;left:14866;top:360;width:10286;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" filled="f" stroked="f">
                  <v:textbox>
                    <w:txbxContent>
                      <w:p w14:paraId="03669433" w14:textId="77777777" w:rsidR="00502148" w:rsidRDefault="00000000">
                        <w:pPr>
                          <w:pStyle w:val="aff7"/>
                        </w:pPr>
                        <w:r>
                          <w:rPr>
                            <w:rFonts w:hint="eastAsia"/>
                          </w:rPr>
                          <w:t>车用乙醇汽油</w:t>
                        </w:r>
                      </w:p>
                    </w:txbxContent>
                  </v:textbox>
                </v:shape>
                <v:shape id="文本框 1" o:spid="_x0000_s1090" type="#_x0000_t202" style="position:absolute;left:25152;top:3503;width:819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" fillcolor="window" strokeweight=".5pt">
                  <v:textbox>
                    <w:txbxContent>
                      <w:p w14:paraId="49DBFDB3" w14:textId="77777777" w:rsidR="00502148" w:rsidRDefault="00000000">
                        <w:pPr>
                          <w:pStyle w:val="aff7"/>
                          <w:rPr>
                            <w14:ligatures w14:val="none"/>
                          </w:rPr>
                        </w:pPr>
                        <w:r>
                          <w:rPr>
                            <w:rFonts w:hint="eastAsia"/>
                          </w:rPr>
                          <w:t>加油机</w:t>
                        </w:r>
                      </w:p>
                    </w:txbxContent>
                  </v:textbox>
                </v:shape>
                <v:shape id="文本框 1" o:spid="_x0000_s1091" type="#_x0000_t202" style="position:absolute;left:16665;top:6072;width:7137;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" filled="f" stroked="f">
                  <v:textbox>
                    <w:txbxContent>
                      <w:p w14:paraId="050CE98F" w14:textId="77777777" w:rsidR="00502148" w:rsidRDefault="00000000">
                        <w:pPr>
                          <w:pStyle w:val="aff7"/>
                          <w:rPr>
                            <w14:ligatures w14:val="none"/>
                          </w:rPr>
                        </w:pPr>
                        <w:r>
                          <w:rPr>
                            <w:rFonts w:hint="eastAsia"/>
                          </w:rPr>
                          <w:t>油气</w:t>
                        </w:r>
                      </w:p>
                    </w:txbxContent>
                  </v:textbox>
                </v:shape>
                <v:shape id="文本框 1" o:spid="_x0000_s1092" type="#_x0000_t202" style="position:absolute;left:43712;top:3599;width:7538;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" fillcolor="window" strokeweight=".5pt">
                  <v:textbox>
                    <w:txbxContent>
                      <w:p w14:paraId="5E576C58" w14:textId="77777777" w:rsidR="00502148" w:rsidRDefault="00000000">
                        <w:pPr>
                          <w:pStyle w:val="aff7"/>
                          <w:rPr>
                            <w14:ligatures w14:val="none"/>
                          </w:rPr>
                        </w:pPr>
                        <w:r>
                          <w:rPr>
                            <w:rFonts w:hint="eastAsia"/>
                          </w:rPr>
                          <w:t>汽车</w:t>
                        </w:r>
                      </w:p>
                    </w:txbxContent>
                  </v:textbox>
                </v:shape>
                <v:shape id="直接箭头连接符 1652186312" o:spid="_x0000_s1093" type="#_x0000_t32" style="position:absolute;left:14770;top:6072;width:10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" strokecolor="windowText" strokeweight=".5pt">
                  <v:stroke startarrow="block" joinstyle="miter"/>
                </v:shape>
                <v:shape id="直接箭头连接符 1124604535" o:spid="_x0000_s1094" type="#_x0000_t32" style="position:absolute;left:33344;top:444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" strokecolor="windowText" strokeweight=".5pt">
                  <v:stroke endarrow="block" joinstyle="miter"/>
                </v:shape>
                <v:shape id="直接箭头连接符 1418980299" o:spid="_x0000_s1095" type="#_x0000_t32" style="position:absolute;left:33344;top:6072;width:10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" strokecolor="windowText" strokeweight=".5pt">
                  <v:stroke startarrow="block" joinstyle="miter"/>
                </v:shape>
                <v:shape id="文本框 1" o:spid="_x0000_s1096" type="#_x0000_t202" style="position:absolute;left:35156;top:5589;width:713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" filled="f" stroked="f">
                  <v:textbox>
                    <w:txbxContent>
                      <w:p w14:paraId="05A6E1B9" w14:textId="77777777" w:rsidR="00502148" w:rsidRDefault="00000000">
                        <w:pPr>
                          <w:pStyle w:val="aff7"/>
                          <w:rPr>
                            <w14:ligatures w14:val="none"/>
                          </w:rPr>
                        </w:pPr>
                        <w:r>
                          <w:rPr>
                            <w:rFonts w:hint="eastAsia"/>
                          </w:rPr>
                          <w:t>油气</w:t>
                        </w:r>
                      </w:p>
                    </w:txbxContent>
                  </v:textbox>
                </v:shape>
                <v:shape id="文本框 1" o:spid="_x0000_s1097" type="#_x0000_t202" style="position:absolute;left:33244;top:360;width:1028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" filled="f" stroked="f">
                  <v:textbox>
                    <w:txbxContent>
                      <w:p w14:paraId="7DB9BC75" w14:textId="77777777" w:rsidR="00502148" w:rsidRDefault="00000000">
                        <w:pPr>
                          <w:pStyle w:val="aff7"/>
                          <w:rPr>
                            <w14:ligatures w14:val="none"/>
                          </w:rPr>
                        </w:pPr>
                        <w:r>
                          <w:rPr>
                            <w:rFonts w:hint="eastAsia"/>
                          </w:rPr>
                          <w:t>车用乙醇汽油</w:t>
                        </w:r>
                      </w:p>
                    </w:txbxContent>
                  </v:textbox>
                </v:shape>
                <w10:anchorlock/>
              </v:group>
            </w:pict>
          </mc:Fallback>
        </mc:AlternateContent>
      </w:r>
    </w:p>
    <w:p w14:paraId="105B4E1F" w14:textId="77777777" w:rsidR="00502148" w:rsidRDefault="00000000">
      <w:pPr>
        <w:pStyle w:val="aff7"/>
        <w:spacing w:beforeLines="50" w:before="156" w:afterLines="50" w:after="156"/>
        <w:ind w:firstLine="480"/>
        <w:rPr>
          <w:rFonts w:eastAsia="黑体"/>
          <w:sz w:val="24"/>
        </w:rPr>
      </w:pPr>
      <w:bookmarkStart w:id="34" w:name="_Toc5911"/>
      <w:r>
        <w:rPr>
          <w:rFonts w:eastAsia="黑体"/>
          <w:sz w:val="24"/>
        </w:rPr>
        <w:t>图</w:t>
      </w:r>
      <w:r>
        <w:rPr>
          <w:rFonts w:eastAsia="黑体"/>
          <w:sz w:val="24"/>
        </w:rPr>
        <w:t>2.</w:t>
      </w:r>
      <w:r>
        <w:rPr>
          <w:rFonts w:eastAsia="黑体" w:hint="eastAsia"/>
          <w:sz w:val="24"/>
        </w:rPr>
        <w:t>6</w:t>
      </w:r>
      <w:r>
        <w:rPr>
          <w:rFonts w:eastAsia="黑体"/>
          <w:sz w:val="24"/>
        </w:rPr>
        <w:t xml:space="preserve">-3  </w:t>
      </w:r>
      <w:r>
        <w:rPr>
          <w:rFonts w:eastAsia="黑体" w:hint="eastAsia"/>
          <w:sz w:val="24"/>
        </w:rPr>
        <w:t>车用乙醇汽油</w:t>
      </w:r>
      <w:r>
        <w:rPr>
          <w:rFonts w:eastAsia="黑体"/>
          <w:sz w:val="24"/>
        </w:rPr>
        <w:t>加油工艺流程框图</w:t>
      </w:r>
    </w:p>
    <w:p w14:paraId="19D0A885" w14:textId="77777777" w:rsidR="00502148" w:rsidRDefault="00000000">
      <w:pPr>
        <w:spacing w:line="240" w:lineRule="auto"/>
        <w:ind w:firstLineChars="83" w:firstLine="199"/>
        <w:rPr>
          <w:rFonts w:ascii="Times New Roman" w:eastAsia="宋体" w:hAnsi="Times New Roman" w:cs="Times New Roman"/>
          <w:szCs w:val="28"/>
          <w14:ligatures w14:val="none"/>
        </w:rPr>
      </w:pPr>
      <w:r>
        <w:rPr>
          <w:rFonts w:ascii="Times New Roman" w:eastAsia="宋体" w:hAnsi="Times New Roman" w:hint="eastAsia"/>
          <w:noProof/>
          <w:sz w:val="24"/>
        </w:rPr>
        <w:lastRenderedPageBreak/>
        <mc:AlternateContent>
          <mc:Choice Requires="wpc">
            <w:drawing>
              <wp:inline distT="0" distB="0" distL="0" distR="0" wp14:anchorId="25EE76A9" wp14:editId="484B0983">
                <wp:extent cx="5829300" cy="866775"/>
                <wp:effectExtent l="0" t="0" r="0" b="9525"/>
                <wp:docPr id="2135779368" name="画布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574553" name="文本框 45574553"/>
                        <wps:cNvSpPr txBox="1"/>
                        <wps:spPr>
                          <a:xfrm>
                            <a:off x="1027724" y="314325"/>
                            <a:ext cx="847725" cy="314325"/>
                          </a:xfrm>
                          <a:prstGeom prst="rect">
                            <a:avLst/>
                          </a:prstGeom>
                          <a:solidFill>
                            <a:sysClr val="window" lastClr="FFFFFF"/>
                          </a:solidFill>
                          <a:ln w="6350">
                            <a:solidFill>
                              <a:prstClr val="black"/>
                            </a:solidFill>
                          </a:ln>
                        </wps:spPr>
                        <wps:txbx>
                          <w:txbxContent>
                            <w:p w14:paraId="158092FD" w14:textId="77777777" w:rsidR="00502148" w:rsidRDefault="00000000">
                              <w:pPr>
                                <w:pStyle w:val="aff7"/>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1162706" name="直接连接符 391162706"/>
                        <wps:cNvCnPr/>
                        <wps:spPr>
                          <a:xfrm>
                            <a:off x="1885949" y="466725"/>
                            <a:ext cx="694350"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s:wsp>
                        <wps:cNvPr id="1331799200" name="文本框 1"/>
                        <wps:cNvSpPr txBox="1"/>
                        <wps:spPr>
                          <a:xfrm>
                            <a:off x="1865924" y="172085"/>
                            <a:ext cx="714375" cy="304165"/>
                          </a:xfrm>
                          <a:prstGeom prst="rect">
                            <a:avLst/>
                          </a:prstGeom>
                          <a:noFill/>
                          <a:ln>
                            <a:noFill/>
                          </a:ln>
                          <a:effectLst/>
                        </wps:spPr>
                        <wps:txbx>
                          <w:txbxContent>
                            <w:p w14:paraId="3F57C6CC" w14:textId="77777777" w:rsidR="00502148" w:rsidRDefault="00000000">
                              <w:pPr>
                                <w:pStyle w:val="aff7"/>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1275235505" name="文本框 1"/>
                        <wps:cNvSpPr txBox="1"/>
                        <wps:spPr>
                          <a:xfrm>
                            <a:off x="3428024" y="161245"/>
                            <a:ext cx="714375" cy="304165"/>
                          </a:xfrm>
                          <a:prstGeom prst="rect">
                            <a:avLst/>
                          </a:prstGeom>
                          <a:noFill/>
                          <a:ln>
                            <a:noFill/>
                          </a:ln>
                          <a:effectLst/>
                        </wps:spPr>
                        <wps:txbx>
                          <w:txbxContent>
                            <w:p w14:paraId="2C7C18BD" w14:textId="77777777" w:rsidR="00502148" w:rsidRDefault="00000000">
                              <w:pPr>
                                <w:pStyle w:val="aff7"/>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523418446" name="文本框 1"/>
                        <wps:cNvSpPr txBox="1"/>
                        <wps:spPr>
                          <a:xfrm>
                            <a:off x="2589824" y="304800"/>
                            <a:ext cx="838200" cy="314325"/>
                          </a:xfrm>
                          <a:prstGeom prst="rect">
                            <a:avLst/>
                          </a:prstGeom>
                          <a:solidFill>
                            <a:sysClr val="window" lastClr="FFFFFF"/>
                          </a:solidFill>
                          <a:ln w="6350">
                            <a:solidFill>
                              <a:prstClr val="black"/>
                            </a:solidFill>
                          </a:ln>
                        </wps:spPr>
                        <wps:txbx>
                          <w:txbxContent>
                            <w:p w14:paraId="04C48237" w14:textId="77777777" w:rsidR="00502148" w:rsidRDefault="00000000">
                              <w:pPr>
                                <w:pStyle w:val="aff7"/>
                                <w:rPr>
                                  <w:rFonts w:ascii="宋体" w:hAnsi="宋体" w:hint="eastAsia"/>
                                  <w:szCs w:val="21"/>
                                  <w14:ligatures w14:val="none"/>
                                </w:rPr>
                              </w:pPr>
                              <w:r>
                                <w:rPr>
                                  <w:rStyle w:val="aff8"/>
                                  <w:rFonts w:hint="eastAsia"/>
                                </w:rPr>
                                <w:t>加油</w:t>
                              </w:r>
                              <w:r>
                                <w:rPr>
                                  <w:rFonts w:ascii="宋体" w:hAnsi="宋体" w:hint="eastAsia"/>
                                  <w:szCs w:val="21"/>
                                </w:rPr>
                                <w:t>机</w:t>
                              </w:r>
                            </w:p>
                          </w:txbxContent>
                        </wps:txbx>
                        <wps:bodyPr rot="0" spcFirstLastPara="0" vert="horz" wrap="square" lIns="91440" tIns="45720" rIns="91440" bIns="45720" numCol="1" spcCol="0" rtlCol="0" fromWordArt="0" anchor="t" anchorCtr="0" forceAA="0" compatLnSpc="1">
                          <a:noAutofit/>
                        </wps:bodyPr>
                      </wps:wsp>
                      <wps:wsp>
                        <wps:cNvPr id="1025682064" name="文本框 1"/>
                        <wps:cNvSpPr txBox="1"/>
                        <wps:spPr>
                          <a:xfrm>
                            <a:off x="4122079" y="304800"/>
                            <a:ext cx="847725" cy="314325"/>
                          </a:xfrm>
                          <a:prstGeom prst="rect">
                            <a:avLst/>
                          </a:prstGeom>
                          <a:solidFill>
                            <a:sysClr val="window" lastClr="FFFFFF"/>
                          </a:solidFill>
                          <a:ln w="6350">
                            <a:solidFill>
                              <a:prstClr val="black"/>
                            </a:solidFill>
                          </a:ln>
                        </wps:spPr>
                        <wps:txbx>
                          <w:txbxContent>
                            <w:p w14:paraId="5F1729EA" w14:textId="77777777" w:rsidR="00502148" w:rsidRDefault="00000000">
                              <w:pPr>
                                <w:pStyle w:val="aff7"/>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832753051" name="直接连接符 832753051"/>
                        <wps:cNvCnPr/>
                        <wps:spPr>
                          <a:xfrm>
                            <a:off x="3428024" y="466725"/>
                            <a:ext cx="694055"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c:wpc>
                  </a:graphicData>
                </a:graphic>
              </wp:inline>
            </w:drawing>
          </mc:Choice>
          <mc:Fallback>
            <w:pict>
              <v:group w14:anchorId="25EE76A9" id="画布 57" o:spid="_x0000_s1098" editas="canvas" style="width:459pt;height:68.25pt;mso-position-horizontal-relative:char;mso-position-vertical-relative:line" coordsize="58293,8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">
                <v:shape id="_x0000_s1099" type="#_x0000_t75" style="position:absolute;width:58293;height:8667;visibility:visible;mso-wrap-style:square" filled="t">
                  <v:fill o:detectmouseclick="t"/>
                  <v:path o:connecttype="none"/>
                </v:shape>
                <v:shape id="文本框 45574553" o:spid="_x0000_s1100" type="#_x0000_t202" style="position:absolute;left:10277;top:3143;width:847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" fillcolor="window" strokeweight=".5pt">
                  <v:textbox>
                    <w:txbxContent>
                      <w:p w14:paraId="158092FD" w14:textId="77777777" w:rsidR="00502148" w:rsidRDefault="00000000">
                        <w:pPr>
                          <w:pStyle w:val="aff7"/>
                        </w:pPr>
                        <w:r>
                          <w:rPr>
                            <w:rFonts w:hint="eastAsia"/>
                          </w:rPr>
                          <w:t>油罐</w:t>
                        </w:r>
                      </w:p>
                    </w:txbxContent>
                  </v:textbox>
                </v:shape>
                <v:line id="直接连接符 391162706" o:spid="_x0000_s1101" style="position:absolute;visibility:visible;mso-wrap-style:square" from="18859,4667" to="25802,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" strokecolor="windowText" strokeweight=".5pt">
                  <v:stroke endarrow="block" joinstyle="miter"/>
                </v:line>
                <v:shape id="文本框 1" o:spid="_x0000_s1102" type="#_x0000_t202" style="position:absolute;left:18659;top:1720;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" filled="f" stroked="f">
                  <v:textbox>
                    <w:txbxContent>
                      <w:p w14:paraId="3F57C6CC" w14:textId="77777777" w:rsidR="00502148" w:rsidRDefault="00000000">
                        <w:pPr>
                          <w:pStyle w:val="aff7"/>
                          <w:rPr>
                            <w14:ligatures w14:val="none"/>
                          </w:rPr>
                        </w:pPr>
                        <w:r>
                          <w:rPr>
                            <w:rFonts w:hint="eastAsia"/>
                          </w:rPr>
                          <w:t>柴油</w:t>
                        </w:r>
                      </w:p>
                    </w:txbxContent>
                  </v:textbox>
                </v:shape>
                <v:shape id="文本框 1" o:spid="_x0000_s1103" type="#_x0000_t202" style="position:absolute;left:34280;top:1612;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" filled="f" stroked="f">
                  <v:textbox>
                    <w:txbxContent>
                      <w:p w14:paraId="2C7C18BD" w14:textId="77777777" w:rsidR="00502148" w:rsidRDefault="00000000">
                        <w:pPr>
                          <w:pStyle w:val="aff7"/>
                          <w:rPr>
                            <w14:ligatures w14:val="none"/>
                          </w:rPr>
                        </w:pPr>
                        <w:r>
                          <w:rPr>
                            <w:rFonts w:hint="eastAsia"/>
                          </w:rPr>
                          <w:t>柴油</w:t>
                        </w:r>
                      </w:p>
                    </w:txbxContent>
                  </v:textbox>
                </v:shape>
                <v:shape id="文本框 1" o:spid="_x0000_s1104" type="#_x0000_t202" style="position:absolute;left:25898;top:3048;width:838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" fillcolor="window" strokeweight=".5pt">
                  <v:textbox>
                    <w:txbxContent>
                      <w:p w14:paraId="04C48237" w14:textId="77777777" w:rsidR="00502148" w:rsidRDefault="00000000">
                        <w:pPr>
                          <w:pStyle w:val="aff7"/>
                          <w:rPr>
                            <w:rFonts w:ascii="宋体" w:hAnsi="宋体" w:hint="eastAsia"/>
                            <w:szCs w:val="21"/>
                            <w14:ligatures w14:val="none"/>
                          </w:rPr>
                        </w:pPr>
                        <w:r>
                          <w:rPr>
                            <w:rStyle w:val="aff8"/>
                            <w:rFonts w:hint="eastAsia"/>
                          </w:rPr>
                          <w:t>加油</w:t>
                        </w:r>
                        <w:r>
                          <w:rPr>
                            <w:rFonts w:ascii="宋体" w:hAnsi="宋体" w:hint="eastAsia"/>
                            <w:szCs w:val="21"/>
                          </w:rPr>
                          <w:t>机</w:t>
                        </w:r>
                      </w:p>
                    </w:txbxContent>
                  </v:textbox>
                </v:shape>
                <v:shape id="文本框 1" o:spid="_x0000_s1105" type="#_x0000_t202" style="position:absolute;left:41220;top:3048;width:847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" fillcolor="window" strokeweight=".5pt">
                  <v:textbox>
                    <w:txbxContent>
                      <w:p w14:paraId="5F1729EA" w14:textId="77777777" w:rsidR="00502148" w:rsidRDefault="00000000">
                        <w:pPr>
                          <w:pStyle w:val="aff7"/>
                          <w:rPr>
                            <w14:ligatures w14:val="none"/>
                          </w:rPr>
                        </w:pPr>
                        <w:r>
                          <w:rPr>
                            <w:rFonts w:hint="eastAsia"/>
                          </w:rPr>
                          <w:t>汽车</w:t>
                        </w:r>
                      </w:p>
                    </w:txbxContent>
                  </v:textbox>
                </v:shape>
                <v:line id="直接连接符 832753051" o:spid="_x0000_s1106" style="position:absolute;visibility:visible;mso-wrap-style:square" from="34280,4667" to="41220,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" strokecolor="windowText" strokeweight=".5pt">
                  <v:stroke endarrow="block" joinstyle="miter"/>
                </v:line>
                <w10:anchorlock/>
              </v:group>
            </w:pict>
          </mc:Fallback>
        </mc:AlternateContent>
      </w:r>
    </w:p>
    <w:p w14:paraId="74DDC510" w14:textId="77777777" w:rsidR="00502148" w:rsidRDefault="00000000">
      <w:pPr>
        <w:adjustRightInd/>
        <w:snapToGrid/>
        <w:spacing w:line="240" w:lineRule="auto"/>
        <w:ind w:firstLineChars="0" w:firstLine="0"/>
        <w:jc w:val="left"/>
        <w:rPr>
          <w:rFonts w:ascii="Times New Roman" w:eastAsia="宋体" w:hAnsi="Times New Roman"/>
          <w:sz w:val="21"/>
          <w:szCs w:val="21"/>
        </w:rPr>
      </w:pPr>
      <w:r>
        <w:rPr>
          <w:rFonts w:ascii="Times New Roman" w:eastAsia="宋体" w:hAnsi="Times New Roman" w:hint="eastAsia"/>
          <w:sz w:val="21"/>
          <w:szCs w:val="21"/>
        </w:rPr>
        <w:t>注：柴油无油气回收工艺流程</w:t>
      </w:r>
    </w:p>
    <w:p w14:paraId="7ADDF357" w14:textId="77777777" w:rsidR="00502148" w:rsidRDefault="00000000">
      <w:pPr>
        <w:pStyle w:val="aff7"/>
        <w:spacing w:beforeLines="50" w:before="156" w:afterLines="50" w:after="156"/>
        <w:ind w:firstLine="480"/>
        <w:rPr>
          <w:rFonts w:eastAsia="黑体"/>
          <w:sz w:val="24"/>
        </w:rPr>
      </w:pPr>
      <w:r>
        <w:rPr>
          <w:rFonts w:eastAsia="黑体"/>
          <w:sz w:val="24"/>
        </w:rPr>
        <w:t>图</w:t>
      </w:r>
      <w:r>
        <w:rPr>
          <w:rFonts w:eastAsia="黑体"/>
          <w:sz w:val="24"/>
        </w:rPr>
        <w:t>2.</w:t>
      </w:r>
      <w:r>
        <w:rPr>
          <w:rFonts w:eastAsia="黑体" w:hint="eastAsia"/>
          <w:sz w:val="24"/>
        </w:rPr>
        <w:t>6</w:t>
      </w:r>
      <w:r>
        <w:rPr>
          <w:rFonts w:eastAsia="黑体"/>
          <w:sz w:val="24"/>
        </w:rPr>
        <w:t xml:space="preserve">-4  </w:t>
      </w:r>
      <w:r>
        <w:rPr>
          <w:rFonts w:eastAsia="黑体"/>
          <w:sz w:val="24"/>
        </w:rPr>
        <w:t>柴油加油工艺流程框图</w:t>
      </w:r>
    </w:p>
    <w:bookmarkEnd w:id="34"/>
    <w:p w14:paraId="2FCD4C9D"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2.6.2</w:t>
      </w:r>
      <w:r>
        <w:rPr>
          <w:rFonts w:ascii="Times New Roman" w:eastAsia="黑体" w:hAnsi="Times New Roman" w:cs="Times New Roman"/>
          <w:b/>
          <w:bCs/>
          <w:kern w:val="0"/>
          <w:szCs w:val="20"/>
          <w14:ligatures w14:val="none"/>
        </w:rPr>
        <w:t>主要设备及设施的布局及其上下游生产装置的关系</w:t>
      </w:r>
    </w:p>
    <w:p w14:paraId="7200EE2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w:t>
      </w:r>
      <w:r>
        <w:rPr>
          <w:rFonts w:ascii="Times New Roman" w:eastAsia="宋体" w:hAnsi="Times New Roman" w:cs="宋体"/>
          <w:szCs w:val="28"/>
          <w:lang w:bidi="ar"/>
          <w14:ligatures w14:val="none"/>
        </w:rPr>
        <w:t>站在总平面布置上进行功能分区，分为加油作业区、储罐区和辅助服务区。加油作业区为加油场地，辅助服务区为站房。</w:t>
      </w:r>
    </w:p>
    <w:p w14:paraId="28BE8865"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站房位于站区</w:t>
      </w:r>
      <w:r>
        <w:rPr>
          <w:rFonts w:ascii="Times New Roman" w:eastAsia="宋体" w:hAnsi="Times New Roman" w:cs="宋体" w:hint="eastAsia"/>
          <w:szCs w:val="28"/>
          <w:lang w:bidi="ar"/>
          <w14:ligatures w14:val="none"/>
        </w:rPr>
        <w:t>中部</w:t>
      </w:r>
      <w:r>
        <w:rPr>
          <w:rFonts w:ascii="Times New Roman" w:eastAsia="宋体" w:hAnsi="Times New Roman" w:cs="宋体"/>
          <w:szCs w:val="28"/>
          <w:lang w:bidi="ar"/>
          <w14:ligatures w14:val="none"/>
        </w:rPr>
        <w:t>，内部设营业厅、收银室、财务室、控制室、值班室、办公室、卫生间等功能间。</w:t>
      </w:r>
    </w:p>
    <w:p w14:paraId="3083665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加油作业区布置在站房</w:t>
      </w:r>
      <w:r>
        <w:rPr>
          <w:rFonts w:ascii="Times New Roman" w:eastAsia="宋体" w:hAnsi="Times New Roman" w:cs="宋体" w:hint="eastAsia"/>
          <w:szCs w:val="28"/>
          <w:lang w:bidi="ar"/>
          <w14:ligatures w14:val="none"/>
        </w:rPr>
        <w:t>东侧</w:t>
      </w:r>
      <w:r>
        <w:rPr>
          <w:rFonts w:ascii="Times New Roman" w:eastAsia="宋体" w:hAnsi="Times New Roman" w:cs="宋体"/>
          <w:szCs w:val="28"/>
          <w:lang w:bidi="ar"/>
          <w14:ligatures w14:val="none"/>
        </w:rPr>
        <w:t>，加油场地设加油罩棚，罩棚下设</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座加油岛，</w:t>
      </w:r>
      <w:r>
        <w:rPr>
          <w:rFonts w:ascii="Times New Roman" w:eastAsia="宋体" w:hAnsi="Times New Roman" w:cs="宋体" w:hint="eastAsia"/>
          <w:szCs w:val="28"/>
          <w:lang w:bidi="ar"/>
          <w14:ligatures w14:val="none"/>
        </w:rPr>
        <w:t>共</w:t>
      </w:r>
      <w:r>
        <w:rPr>
          <w:rFonts w:ascii="Times New Roman" w:eastAsia="宋体" w:hAnsi="Times New Roman" w:cs="宋体"/>
          <w:szCs w:val="28"/>
          <w:lang w:bidi="ar"/>
          <w14:ligatures w14:val="none"/>
        </w:rPr>
        <w:t>布置</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台</w:t>
      </w:r>
      <w:r>
        <w:rPr>
          <w:rFonts w:ascii="Times New Roman" w:eastAsia="宋体" w:hAnsi="Times New Roman" w:cs="宋体" w:hint="eastAsia"/>
          <w:szCs w:val="28"/>
          <w:lang w:bidi="ar"/>
          <w14:ligatures w14:val="none"/>
        </w:rPr>
        <w:t>四</w:t>
      </w:r>
      <w:r>
        <w:rPr>
          <w:rFonts w:ascii="Times New Roman" w:eastAsia="宋体" w:hAnsi="Times New Roman" w:cs="宋体"/>
          <w:szCs w:val="28"/>
          <w:lang w:bidi="ar"/>
          <w14:ligatures w14:val="none"/>
        </w:rPr>
        <w:t>枪双油品</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式车用乙醇汽油加油机和</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台</w:t>
      </w:r>
      <w:r>
        <w:rPr>
          <w:rFonts w:ascii="Times New Roman" w:eastAsia="宋体" w:hAnsi="Times New Roman" w:cs="宋体" w:hint="eastAsia"/>
          <w:szCs w:val="28"/>
          <w:lang w:bidi="ar"/>
          <w14:ligatures w14:val="none"/>
        </w:rPr>
        <w:t>双</w:t>
      </w:r>
      <w:r>
        <w:rPr>
          <w:rFonts w:ascii="Times New Roman" w:eastAsia="宋体" w:hAnsi="Times New Roman" w:cs="宋体"/>
          <w:szCs w:val="28"/>
          <w:lang w:bidi="ar"/>
          <w14:ligatures w14:val="none"/>
        </w:rPr>
        <w:t>枪</w:t>
      </w:r>
      <w:r>
        <w:rPr>
          <w:rFonts w:ascii="Times New Roman" w:eastAsia="宋体" w:hAnsi="Times New Roman" w:cs="宋体" w:hint="eastAsia"/>
          <w:szCs w:val="28"/>
          <w:lang w:bidi="ar"/>
          <w14:ligatures w14:val="none"/>
        </w:rPr>
        <w:t>双</w:t>
      </w:r>
      <w:r>
        <w:rPr>
          <w:rFonts w:ascii="Times New Roman" w:eastAsia="宋体" w:hAnsi="Times New Roman" w:cs="宋体"/>
          <w:szCs w:val="28"/>
          <w:lang w:bidi="ar"/>
          <w14:ligatures w14:val="none"/>
        </w:rPr>
        <w:t>油品</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式柴油加油机。</w:t>
      </w:r>
    </w:p>
    <w:p w14:paraId="3BF983F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储罐区布置在</w:t>
      </w:r>
      <w:r>
        <w:rPr>
          <w:rFonts w:ascii="Times New Roman" w:eastAsia="宋体" w:hAnsi="Times New Roman" w:cs="宋体" w:hint="eastAsia"/>
          <w:szCs w:val="28"/>
          <w:lang w:bidi="ar"/>
          <w14:ligatures w14:val="none"/>
        </w:rPr>
        <w:t>站房东侧</w:t>
      </w:r>
      <w:r>
        <w:rPr>
          <w:rFonts w:ascii="Times New Roman" w:eastAsia="宋体" w:hAnsi="Times New Roman" w:cs="宋体"/>
          <w:szCs w:val="28"/>
          <w:lang w:bidi="ar"/>
          <w14:ligatures w14:val="none"/>
        </w:rPr>
        <w:t>，设</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座埋地双层罐，由</w:t>
      </w:r>
      <w:r>
        <w:rPr>
          <w:rFonts w:ascii="Times New Roman" w:eastAsia="宋体" w:hAnsi="Times New Roman" w:cs="宋体" w:hint="eastAsia"/>
          <w:szCs w:val="28"/>
          <w:lang w:bidi="ar"/>
          <w14:ligatures w14:val="none"/>
        </w:rPr>
        <w:t>西向东</w:t>
      </w:r>
      <w:r>
        <w:rPr>
          <w:rFonts w:ascii="Times New Roman" w:eastAsia="宋体" w:hAnsi="Times New Roman" w:cs="宋体"/>
          <w:szCs w:val="28"/>
          <w:lang w:bidi="ar"/>
          <w14:ligatures w14:val="none"/>
        </w:rPr>
        <w:t>依次布置为</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座</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0m</w:t>
      </w:r>
      <w:r>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柴油</w:t>
      </w:r>
      <w:r>
        <w:rPr>
          <w:rFonts w:ascii="Times New Roman" w:eastAsia="宋体" w:hAnsi="Times New Roman" w:cs="宋体"/>
          <w:szCs w:val="28"/>
          <w:lang w:bidi="ar"/>
          <w14:ligatures w14:val="none"/>
        </w:rPr>
        <w:t>储罐</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座</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0m</w:t>
      </w:r>
      <w:r>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车用乙醇汽油</w:t>
      </w:r>
      <w:r>
        <w:rPr>
          <w:rFonts w:ascii="Times New Roman" w:eastAsia="宋体" w:hAnsi="Times New Roman" w:cs="宋体"/>
          <w:szCs w:val="28"/>
          <w:lang w:bidi="ar"/>
          <w14:ligatures w14:val="none"/>
        </w:rPr>
        <w:t>储罐。</w:t>
      </w:r>
    </w:p>
    <w:p w14:paraId="6E48D10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车用乙醇汽油和柴油通气管口分开设置，设有</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根车用乙醇汽油通气管和</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根柴油通气管，柴油通气管口</w:t>
      </w:r>
      <w:r>
        <w:rPr>
          <w:rFonts w:ascii="Times New Roman" w:eastAsia="宋体" w:hAnsi="Times New Roman" w:cs="宋体" w:hint="eastAsia"/>
          <w:szCs w:val="28"/>
          <w:lang w:bidi="ar"/>
          <w14:ligatures w14:val="none"/>
        </w:rPr>
        <w:t>和其中一个车用乙醇汽油通气管口均</w:t>
      </w:r>
      <w:r>
        <w:rPr>
          <w:rFonts w:ascii="Times New Roman" w:eastAsia="宋体" w:hAnsi="Times New Roman" w:cs="宋体"/>
          <w:szCs w:val="28"/>
          <w:lang w:bidi="ar"/>
          <w14:ligatures w14:val="none"/>
        </w:rPr>
        <w:t>设有阻火器，</w:t>
      </w:r>
      <w:r>
        <w:rPr>
          <w:rFonts w:ascii="Times New Roman" w:eastAsia="宋体" w:hAnsi="Times New Roman" w:cs="宋体" w:hint="eastAsia"/>
          <w:szCs w:val="28"/>
          <w:lang w:bidi="ar"/>
          <w14:ligatures w14:val="none"/>
        </w:rPr>
        <w:t>另一个</w:t>
      </w:r>
      <w:r>
        <w:rPr>
          <w:rFonts w:ascii="Times New Roman" w:eastAsia="宋体" w:hAnsi="Times New Roman" w:cs="宋体"/>
          <w:szCs w:val="28"/>
          <w:lang w:bidi="ar"/>
          <w14:ligatures w14:val="none"/>
        </w:rPr>
        <w:t>车用乙醇汽油通气管口设带阻火</w:t>
      </w:r>
      <w:r>
        <w:rPr>
          <w:rFonts w:ascii="Times New Roman" w:eastAsia="宋体" w:hAnsi="Times New Roman" w:cs="宋体" w:hint="eastAsia"/>
          <w:szCs w:val="28"/>
          <w:lang w:bidi="ar"/>
          <w14:ligatures w14:val="none"/>
        </w:rPr>
        <w:t>功能</w:t>
      </w:r>
      <w:r>
        <w:rPr>
          <w:rFonts w:ascii="Times New Roman" w:eastAsia="宋体" w:hAnsi="Times New Roman" w:cs="宋体"/>
          <w:szCs w:val="28"/>
          <w:lang w:bidi="ar"/>
          <w14:ligatures w14:val="none"/>
        </w:rPr>
        <w:t>的呼吸阀。油品卸车位和密闭卸油</w:t>
      </w:r>
      <w:r>
        <w:rPr>
          <w:rFonts w:ascii="Times New Roman" w:eastAsia="宋体" w:hAnsi="Times New Roman" w:cs="宋体" w:hint="eastAsia"/>
          <w:szCs w:val="28"/>
          <w:lang w:bidi="ar"/>
          <w14:ligatures w14:val="none"/>
        </w:rPr>
        <w:t>点</w:t>
      </w:r>
      <w:r>
        <w:rPr>
          <w:rFonts w:ascii="Times New Roman" w:eastAsia="宋体" w:hAnsi="Times New Roman" w:cs="宋体"/>
          <w:szCs w:val="28"/>
          <w:lang w:bidi="ar"/>
          <w14:ligatures w14:val="none"/>
        </w:rPr>
        <w:t>布置在</w:t>
      </w:r>
      <w:r>
        <w:rPr>
          <w:rFonts w:ascii="Times New Roman" w:eastAsia="宋体" w:hAnsi="Times New Roman" w:cs="宋体" w:hint="eastAsia"/>
          <w:szCs w:val="28"/>
          <w:lang w:bidi="ar"/>
          <w14:ligatures w14:val="none"/>
        </w:rPr>
        <w:t>储罐区东侧</w:t>
      </w:r>
      <w:r>
        <w:rPr>
          <w:rFonts w:ascii="Times New Roman" w:eastAsia="宋体" w:hAnsi="Times New Roman" w:cs="宋体"/>
          <w:szCs w:val="28"/>
          <w:lang w:bidi="ar"/>
          <w14:ligatures w14:val="none"/>
        </w:rPr>
        <w:t>，密闭卸油口内设</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个车用乙醇汽油卸油口、</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个柴油卸油口以及</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个油气回收口。</w:t>
      </w:r>
    </w:p>
    <w:p w14:paraId="7A87F71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加油站</w:t>
      </w:r>
      <w:r>
        <w:rPr>
          <w:rFonts w:ascii="Times New Roman" w:eastAsia="宋体" w:hAnsi="Times New Roman" w:cs="宋体" w:hint="eastAsia"/>
          <w:szCs w:val="28"/>
          <w:lang w:bidi="ar"/>
          <w14:ligatures w14:val="none"/>
        </w:rPr>
        <w:t>南</w:t>
      </w:r>
      <w:r>
        <w:rPr>
          <w:rFonts w:ascii="Times New Roman" w:eastAsia="宋体" w:hAnsi="Times New Roman" w:cs="宋体"/>
          <w:szCs w:val="28"/>
          <w:lang w:bidi="ar"/>
          <w14:ligatures w14:val="none"/>
        </w:rPr>
        <w:t>侧</w:t>
      </w:r>
      <w:r>
        <w:rPr>
          <w:rFonts w:ascii="Times New Roman" w:eastAsia="宋体" w:hAnsi="Times New Roman" w:cs="宋体" w:hint="eastAsia"/>
          <w:szCs w:val="28"/>
          <w:lang w:bidi="ar"/>
          <w14:ligatures w14:val="none"/>
        </w:rPr>
        <w:t>为服务区</w:t>
      </w:r>
      <w:r>
        <w:rPr>
          <w:rFonts w:ascii="Times New Roman" w:eastAsia="宋体" w:hAnsi="Times New Roman" w:cs="宋体"/>
          <w:szCs w:val="28"/>
          <w:lang w:bidi="ar"/>
          <w14:ligatures w14:val="none"/>
        </w:rPr>
        <w:t>实体围墙，进口、出口分别与</w:t>
      </w:r>
      <w:r>
        <w:rPr>
          <w:rFonts w:ascii="Times New Roman" w:eastAsia="宋体" w:hAnsi="Times New Roman" w:cs="宋体" w:hint="eastAsia"/>
          <w:szCs w:val="28"/>
          <w:lang w:bidi="ar"/>
          <w14:ligatures w14:val="none"/>
        </w:rPr>
        <w:t>服务区内道路</w:t>
      </w:r>
      <w:r>
        <w:rPr>
          <w:rFonts w:ascii="Times New Roman" w:eastAsia="宋体" w:hAnsi="Times New Roman" w:cs="宋体"/>
          <w:szCs w:val="28"/>
          <w:lang w:bidi="ar"/>
          <w14:ligatures w14:val="none"/>
        </w:rPr>
        <w:t>相连，面向进出、口道路的一侧敞开布置，站区内部形成顺畅的加油车辆作业通道，道路为贯通式，消防道路呈环形布置。加油站</w:t>
      </w:r>
      <w:r>
        <w:rPr>
          <w:rFonts w:ascii="Times New Roman" w:eastAsia="宋体" w:hAnsi="Times New Roman" w:cs="宋体" w:hint="eastAsia"/>
          <w:szCs w:val="28"/>
          <w:lang w:bidi="ar"/>
          <w14:ligatures w14:val="none"/>
        </w:rPr>
        <w:t>周边环境及总平面布置图，</w:t>
      </w:r>
      <w:r>
        <w:rPr>
          <w:rFonts w:ascii="Times New Roman" w:eastAsia="宋体" w:hAnsi="Times New Roman" w:cs="宋体"/>
          <w:szCs w:val="28"/>
          <w:lang w:bidi="ar"/>
          <w14:ligatures w14:val="none"/>
        </w:rPr>
        <w:t>详见图</w:t>
      </w:r>
      <w:r>
        <w:rPr>
          <w:rFonts w:ascii="Times New Roman" w:eastAsia="宋体" w:hAnsi="Times New Roman" w:cs="宋体"/>
          <w:szCs w:val="28"/>
          <w:lang w:bidi="ar"/>
          <w14:ligatures w14:val="none"/>
        </w:rPr>
        <w:t>2.</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-5</w:t>
      </w:r>
      <w:r>
        <w:rPr>
          <w:rFonts w:ascii="Times New Roman" w:eastAsia="宋体" w:hAnsi="Times New Roman" w:cs="宋体" w:hint="eastAsia"/>
          <w:szCs w:val="28"/>
          <w:lang w:bidi="ar"/>
          <w14:ligatures w14:val="none"/>
        </w:rPr>
        <w:t>；站房内部平面布置图，详见图</w:t>
      </w:r>
      <w:r>
        <w:rPr>
          <w:rFonts w:ascii="Times New Roman" w:eastAsia="宋体" w:hAnsi="Times New Roman" w:cs="宋体" w:hint="eastAsia"/>
          <w:szCs w:val="28"/>
          <w:lang w:bidi="ar"/>
          <w14:ligatures w14:val="none"/>
        </w:rPr>
        <w:t>2.6-6</w:t>
      </w:r>
      <w:r>
        <w:rPr>
          <w:rFonts w:ascii="Times New Roman" w:eastAsia="宋体" w:hAnsi="Times New Roman" w:cs="宋体"/>
          <w:szCs w:val="28"/>
          <w:lang w:bidi="ar"/>
          <w14:ligatures w14:val="none"/>
        </w:rPr>
        <w:t>。</w:t>
      </w:r>
    </w:p>
    <w:p w14:paraId="4D204A96" w14:textId="77777777" w:rsidR="00502148" w:rsidRDefault="00000000">
      <w:pPr>
        <w:ind w:firstLineChars="0" w:firstLine="0"/>
        <w:rPr>
          <w:rFonts w:ascii="Times New Roman" w:eastAsia="宋体" w:hAnsi="Times New Roman" w:cs="宋体"/>
          <w:szCs w:val="28"/>
          <w:lang w:bidi="ar"/>
          <w14:ligatures w14:val="none"/>
        </w:rPr>
      </w:pPr>
      <w:r>
        <w:rPr>
          <w:rFonts w:ascii="Times New Roman" w:eastAsia="宋体" w:hAnsi="Times New Roman" w:cs="宋体"/>
          <w:noProof/>
          <w:szCs w:val="28"/>
          <w:lang w:bidi="ar"/>
        </w:rPr>
        <w:lastRenderedPageBreak/>
        <mc:AlternateContent>
          <mc:Choice Requires="wpc">
            <w:drawing>
              <wp:inline distT="0" distB="0" distL="0" distR="0" wp14:anchorId="01B8B173" wp14:editId="257C2780">
                <wp:extent cx="6161405" cy="6413500"/>
                <wp:effectExtent l="0" t="76200" r="29845" b="25400"/>
                <wp:docPr id="3281782" name="画布 1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1729625" name="直接连接符 71729625"/>
                        <wps:cNvCnPr/>
                        <wps:spPr>
                          <a:xfrm flipH="1">
                            <a:off x="4497616" y="3470932"/>
                            <a:ext cx="1641036" cy="294256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81082467" name="矩形 1581082467"/>
                        <wps:cNvSpPr/>
                        <wps:spPr>
                          <a:xfrm rot="17968382">
                            <a:off x="3876703" y="3979730"/>
                            <a:ext cx="1590675" cy="72390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173662006" name="流程图: 终止 1173662006"/>
                        <wps:cNvSpPr/>
                        <wps:spPr>
                          <a:xfrm rot="1739473">
                            <a:off x="4742637" y="3721629"/>
                            <a:ext cx="43339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2836750" name="矩形 1512836750"/>
                        <wps:cNvSpPr/>
                        <wps:spPr>
                          <a:xfrm>
                            <a:off x="3189901" y="3300923"/>
                            <a:ext cx="962025" cy="7048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23365101" name="矩形 1523365101"/>
                        <wps:cNvSpPr/>
                        <wps:spPr>
                          <a:xfrm>
                            <a:off x="2676419" y="1345336"/>
                            <a:ext cx="1866900" cy="18859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17822908" name="矩形 917822908"/>
                        <wps:cNvSpPr/>
                        <wps:spPr>
                          <a:xfrm>
                            <a:off x="3067914" y="19057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7252143" name="矩形 517252143"/>
                        <wps:cNvSpPr/>
                        <wps:spPr>
                          <a:xfrm>
                            <a:off x="3086969" y="28858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37229042" name="矩形 1137229042"/>
                        <wps:cNvSpPr/>
                        <wps:spPr>
                          <a:xfrm>
                            <a:off x="3875594" y="24286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63847749" name="矩形 1963847749"/>
                        <wps:cNvSpPr/>
                        <wps:spPr>
                          <a:xfrm>
                            <a:off x="3067909" y="24286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39378729" name="矩形 1139378729"/>
                        <wps:cNvSpPr/>
                        <wps:spPr>
                          <a:xfrm>
                            <a:off x="3875594" y="19057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5076778" name="矩形 195076778"/>
                        <wps:cNvSpPr/>
                        <wps:spPr>
                          <a:xfrm>
                            <a:off x="3875594" y="2885848"/>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57495519" name="流程图: 终止 1257495519"/>
                        <wps:cNvSpPr/>
                        <wps:spPr>
                          <a:xfrm rot="1725516">
                            <a:off x="4637041" y="3910701"/>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30238843" name="流程图: 终止 1530238843"/>
                        <wps:cNvSpPr/>
                        <wps:spPr>
                          <a:xfrm rot="1740111">
                            <a:off x="4526493" y="4101843"/>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18157012" name="流程图: 终止 1718157012"/>
                        <wps:cNvSpPr/>
                        <wps:spPr>
                          <a:xfrm rot="1718234">
                            <a:off x="4405306" y="4320023"/>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50770161" name="流程图: 终止 1350770161"/>
                        <wps:cNvSpPr/>
                        <wps:spPr>
                          <a:xfrm rot="1786573">
                            <a:off x="4294408" y="4514672"/>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689628479" name="流程图: 终止 689628479"/>
                        <wps:cNvSpPr/>
                        <wps:spPr>
                          <a:xfrm rot="1666089">
                            <a:off x="4173924" y="4718298"/>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23047010" name="矩形 2023047010"/>
                        <wps:cNvSpPr/>
                        <wps:spPr>
                          <a:xfrm>
                            <a:off x="5190740" y="3137680"/>
                            <a:ext cx="323850" cy="114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6228545" name="矩形 1416228545"/>
                        <wps:cNvSpPr/>
                        <wps:spPr>
                          <a:xfrm>
                            <a:off x="76819" y="5002358"/>
                            <a:ext cx="714376" cy="141165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44473172" name="矩形 944473172"/>
                        <wps:cNvSpPr/>
                        <wps:spPr>
                          <a:xfrm>
                            <a:off x="1046778" y="5003540"/>
                            <a:ext cx="600075" cy="5524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59658993" name="矩形 2059658993"/>
                        <wps:cNvSpPr/>
                        <wps:spPr>
                          <a:xfrm>
                            <a:off x="1046778" y="5003540"/>
                            <a:ext cx="1438275" cy="914400"/>
                          </a:xfrm>
                          <a:prstGeom prst="rect">
                            <a:avLst/>
                          </a:prstGeom>
                          <a:noFill/>
                          <a:ln w="9525" cap="flat" cmpd="sng" algn="ctr">
                            <a:solidFill>
                              <a:schemeClr val="dk1"/>
                            </a:solidFill>
                            <a:prstDash val="dashDot"/>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475321" name="矩形 37475321"/>
                        <wps:cNvSpPr/>
                        <wps:spPr>
                          <a:xfrm>
                            <a:off x="30437" y="1340045"/>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0658219" name="直接连接符 480658219"/>
                        <wps:cNvCnPr/>
                        <wps:spPr>
                          <a:xfrm>
                            <a:off x="11387" y="1276624"/>
                            <a:ext cx="6124576" cy="0"/>
                          </a:xfrm>
                          <a:prstGeom prst="line">
                            <a:avLst/>
                          </a:prstGeom>
                        </wps:spPr>
                        <wps:style>
                          <a:lnRef idx="1">
                            <a:schemeClr val="dk1"/>
                          </a:lnRef>
                          <a:fillRef idx="0">
                            <a:schemeClr val="dk1"/>
                          </a:fillRef>
                          <a:effectRef idx="0">
                            <a:schemeClr val="dk1"/>
                          </a:effectRef>
                          <a:fontRef idx="minor">
                            <a:schemeClr val="tx1"/>
                          </a:fontRef>
                        </wps:style>
                        <wps:bodyPr/>
                      </wps:wsp>
                      <wps:wsp>
                        <wps:cNvPr id="12452754" name="直接连接符 12452754"/>
                        <wps:cNvCnPr/>
                        <wps:spPr>
                          <a:xfrm>
                            <a:off x="11387" y="1123933"/>
                            <a:ext cx="6124576"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60295288" name="直接连接符 1860295288"/>
                        <wps:cNvCnPr/>
                        <wps:spPr>
                          <a:xfrm>
                            <a:off x="1930414" y="1008658"/>
                            <a:ext cx="4230991" cy="0"/>
                          </a:xfrm>
                          <a:prstGeom prst="line">
                            <a:avLst/>
                          </a:prstGeom>
                        </wps:spPr>
                        <wps:style>
                          <a:lnRef idx="1">
                            <a:schemeClr val="dk1"/>
                          </a:lnRef>
                          <a:fillRef idx="0">
                            <a:schemeClr val="dk1"/>
                          </a:fillRef>
                          <a:effectRef idx="0">
                            <a:schemeClr val="dk1"/>
                          </a:effectRef>
                          <a:fontRef idx="minor">
                            <a:schemeClr val="tx1"/>
                          </a:fontRef>
                        </wps:style>
                        <wps:bodyPr/>
                      </wps:wsp>
                      <wps:wsp>
                        <wps:cNvPr id="1899770323" name="直接连接符 1899770323"/>
                        <wps:cNvCnPr/>
                        <wps:spPr>
                          <a:xfrm>
                            <a:off x="2008562" y="713383"/>
                            <a:ext cx="4151573" cy="0"/>
                          </a:xfrm>
                          <a:prstGeom prst="line">
                            <a:avLst/>
                          </a:prstGeom>
                        </wps:spPr>
                        <wps:style>
                          <a:lnRef idx="1">
                            <a:schemeClr val="dk1"/>
                          </a:lnRef>
                          <a:fillRef idx="0">
                            <a:schemeClr val="dk1"/>
                          </a:fillRef>
                          <a:effectRef idx="0">
                            <a:schemeClr val="dk1"/>
                          </a:effectRef>
                          <a:fontRef idx="minor">
                            <a:schemeClr val="tx1"/>
                          </a:fontRef>
                        </wps:style>
                        <wps:bodyPr/>
                      </wps:wsp>
                      <wps:wsp>
                        <wps:cNvPr id="860344325" name="直接连接符 860344325"/>
                        <wps:cNvCnPr/>
                        <wps:spPr>
                          <a:xfrm>
                            <a:off x="0" y="-77827"/>
                            <a:ext cx="6124576" cy="0"/>
                          </a:xfrm>
                          <a:prstGeom prst="line">
                            <a:avLst/>
                          </a:prstGeom>
                        </wps:spPr>
                        <wps:style>
                          <a:lnRef idx="1">
                            <a:schemeClr val="dk1"/>
                          </a:lnRef>
                          <a:fillRef idx="0">
                            <a:schemeClr val="dk1"/>
                          </a:fillRef>
                          <a:effectRef idx="0">
                            <a:schemeClr val="dk1"/>
                          </a:effectRef>
                          <a:fontRef idx="minor">
                            <a:schemeClr val="tx1"/>
                          </a:fontRef>
                        </wps:style>
                        <wps:bodyPr/>
                      </wps:wsp>
                      <wps:wsp>
                        <wps:cNvPr id="341129771" name="直接连接符 341129771"/>
                        <wps:cNvCnPr/>
                        <wps:spPr>
                          <a:xfrm>
                            <a:off x="57150" y="303808"/>
                            <a:ext cx="6067426"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08461710" name="文本框 1508461710"/>
                        <wps:cNvSpPr txBox="1"/>
                        <wps:spPr>
                          <a:xfrm rot="7120203">
                            <a:off x="4651070" y="4407298"/>
                            <a:ext cx="542433" cy="21842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918BD0" w14:textId="77777777" w:rsidR="00502148" w:rsidRDefault="00000000">
                              <w:pPr>
                                <w:spacing w:line="240" w:lineRule="auto"/>
                                <w:ind w:firstLineChars="0" w:firstLine="0"/>
                                <w:rPr>
                                  <w:rFonts w:eastAsiaTheme="minorEastAsia" w:hint="eastAsia"/>
                                  <w:spacing w:val="-20"/>
                                  <w:sz w:val="18"/>
                                  <w:szCs w:val="18"/>
                                </w:rPr>
                              </w:pPr>
                              <w:r>
                                <w:rPr>
                                  <w:rFonts w:eastAsiaTheme="minorEastAsia" w:hint="eastAsia"/>
                                  <w:spacing w:val="-20"/>
                                  <w:sz w:val="18"/>
                                  <w:szCs w:val="18"/>
                                </w:rPr>
                                <w:t>。。。。。。</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1282545" name="矩形 141282545"/>
                        <wps:cNvSpPr/>
                        <wps:spPr>
                          <a:xfrm rot="17905933">
                            <a:off x="5036704" y="4358334"/>
                            <a:ext cx="157828" cy="12275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41942923" name="直接箭头连接符 1841942923"/>
                        <wps:cNvCnPr/>
                        <wps:spPr>
                          <a:xfrm flipH="1" flipV="1">
                            <a:off x="5438421" y="35999"/>
                            <a:ext cx="549483" cy="207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004330" name="文本框 36004330"/>
                        <wps:cNvSpPr txBox="1"/>
                        <wps:spPr>
                          <a:xfrm>
                            <a:off x="3436578" y="3510474"/>
                            <a:ext cx="55245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BFBEFB6"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站房</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113192" name="文本框 1"/>
                        <wps:cNvSpPr txBox="1"/>
                        <wps:spPr>
                          <a:xfrm>
                            <a:off x="2718198" y="2497861"/>
                            <a:ext cx="975446" cy="42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0CD45D"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352399635" name="文本框 1"/>
                        <wps:cNvSpPr txBox="1"/>
                        <wps:spPr>
                          <a:xfrm rot="17938185">
                            <a:off x="4141242" y="4358733"/>
                            <a:ext cx="791548" cy="248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3B881B"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681095261" name="文本框 1"/>
                        <wps:cNvSpPr txBox="1"/>
                        <wps:spPr>
                          <a:xfrm>
                            <a:off x="4583967" y="3631571"/>
                            <a:ext cx="762976" cy="4371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7BB85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1716166748" name="文本框 1"/>
                        <wps:cNvSpPr txBox="1"/>
                        <wps:spPr>
                          <a:xfrm>
                            <a:off x="4919846" y="4525633"/>
                            <a:ext cx="770554" cy="40687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46D78D2"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预留三次油气回收</w:t>
                              </w:r>
                            </w:p>
                          </w:txbxContent>
                        </wps:txbx>
                        <wps:bodyPr rot="0" spcFirstLastPara="0" vert="horz" wrap="square" lIns="91440" tIns="45720" rIns="91440" bIns="45720" numCol="1" spcCol="0" rtlCol="0" fromWordArt="0" anchor="t" anchorCtr="0" forceAA="0" compatLnSpc="1">
                          <a:noAutofit/>
                        </wps:bodyPr>
                      </wps:wsp>
                      <wps:wsp>
                        <wps:cNvPr id="1929817578" name="文本框 1"/>
                        <wps:cNvSpPr txBox="1"/>
                        <wps:spPr>
                          <a:xfrm>
                            <a:off x="1046778" y="5117255"/>
                            <a:ext cx="726823"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321D74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消防泵房</w:t>
                              </w:r>
                            </w:p>
                          </w:txbxContent>
                        </wps:txbx>
                        <wps:bodyPr rot="0" spcFirstLastPara="0" vert="horz" wrap="square" lIns="91440" tIns="45720" rIns="91440" bIns="45720" numCol="1" spcCol="0" rtlCol="0" fromWordArt="0" anchor="t" anchorCtr="0" forceAA="0" compatLnSpc="1">
                          <a:noAutofit/>
                        </wps:bodyPr>
                      </wps:wsp>
                      <wps:wsp>
                        <wps:cNvPr id="760864958" name="文本框 1"/>
                        <wps:cNvSpPr txBox="1"/>
                        <wps:spPr>
                          <a:xfrm>
                            <a:off x="3600346" y="2190521"/>
                            <a:ext cx="1028699" cy="24765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255CC1"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858372128" name="文本框 1"/>
                        <wps:cNvSpPr txBox="1"/>
                        <wps:spPr>
                          <a:xfrm>
                            <a:off x="1624906" y="5504808"/>
                            <a:ext cx="800102" cy="2867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A9F42C"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消防水池</w:t>
                              </w:r>
                            </w:p>
                          </w:txbxContent>
                        </wps:txbx>
                        <wps:bodyPr rot="0" spcFirstLastPara="0" vert="horz" wrap="square" lIns="91440" tIns="45720" rIns="91440" bIns="45720" numCol="1" spcCol="0" rtlCol="0" fromWordArt="0" anchor="t" anchorCtr="0" forceAA="0" compatLnSpc="1">
                          <a:noAutofit/>
                        </wps:bodyPr>
                      </wps:wsp>
                      <wps:wsp>
                        <wps:cNvPr id="1254864508" name="文本框 1"/>
                        <wps:cNvSpPr txBox="1"/>
                        <wps:spPr>
                          <a:xfrm>
                            <a:off x="85370" y="5218900"/>
                            <a:ext cx="705825" cy="79252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4F8B94"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宿舍楼（三类保护物）</w:t>
                              </w:r>
                            </w:p>
                          </w:txbxContent>
                        </wps:txbx>
                        <wps:bodyPr rot="0" spcFirstLastPara="0" vert="horz" wrap="square" lIns="91440" tIns="45720" rIns="91440" bIns="45720" numCol="1" spcCol="0" rtlCol="0" fromWordArt="0" anchor="t" anchorCtr="0" forceAA="0" compatLnSpc="1">
                          <a:noAutofit/>
                        </wps:bodyPr>
                      </wps:wsp>
                      <wps:wsp>
                        <wps:cNvPr id="1619839488" name="文本框 1"/>
                        <wps:cNvSpPr txBox="1"/>
                        <wps:spPr>
                          <a:xfrm>
                            <a:off x="239223" y="2229759"/>
                            <a:ext cx="1134450" cy="4953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2CCE790"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服务区停车场（三类保护物）</w:t>
                              </w:r>
                            </w:p>
                          </w:txbxContent>
                        </wps:txbx>
                        <wps:bodyPr rot="0" spcFirstLastPara="0" vert="horz" wrap="square" lIns="91440" tIns="45720" rIns="91440" bIns="45720" numCol="1" spcCol="0" rtlCol="0" fromWordArt="0" anchor="t" anchorCtr="0" forceAA="0" compatLnSpc="1">
                          <a:noAutofit/>
                        </wps:bodyPr>
                      </wps:wsp>
                      <wps:wsp>
                        <wps:cNvPr id="1928469499" name="文本框 1"/>
                        <wps:cNvSpPr txBox="1"/>
                        <wps:spPr>
                          <a:xfrm>
                            <a:off x="2486025" y="999132"/>
                            <a:ext cx="1276350" cy="2762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1F0F56"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服务区内部道路</w:t>
                              </w:r>
                            </w:p>
                          </w:txbxContent>
                        </wps:txbx>
                        <wps:bodyPr rot="0" spcFirstLastPara="0" vert="horz" wrap="square" lIns="91440" tIns="45720" rIns="91440" bIns="45720" numCol="1" spcCol="0" rtlCol="0" fromWordArt="0" anchor="t" anchorCtr="0" forceAA="0" compatLnSpc="1">
                          <a:noAutofit/>
                        </wps:bodyPr>
                      </wps:wsp>
                      <wps:wsp>
                        <wps:cNvPr id="1781349447" name="文本框 1"/>
                        <wps:cNvSpPr txBox="1"/>
                        <wps:spPr>
                          <a:xfrm>
                            <a:off x="2132628" y="102807"/>
                            <a:ext cx="2019298" cy="27720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77CF57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sz w:val="21"/>
                                  <w:szCs w:val="21"/>
                                </w:rPr>
                                <w:t>本溪至集安高速公路（</w:t>
                              </w:r>
                              <w:r>
                                <w:rPr>
                                  <w:rFonts w:ascii="Times New Roman" w:eastAsia="宋体" w:hAnsi="Times New Roman" w:cs="Times New Roman"/>
                                  <w:sz w:val="21"/>
                                  <w:szCs w:val="21"/>
                                </w:rPr>
                                <w:t>G9111</w:t>
                              </w:r>
                              <w:r>
                                <w:rPr>
                                  <w:rFonts w:ascii="Times New Roman" w:eastAsia="宋体" w:hAnsi="Times New Roman" w:cs="Times New Roman"/>
                                  <w:sz w:val="21"/>
                                  <w:szCs w:val="21"/>
                                </w:rPr>
                                <w:t>）</w:t>
                              </w:r>
                            </w:p>
                          </w:txbxContent>
                        </wps:txbx>
                        <wps:bodyPr rot="0" spcFirstLastPara="0" vert="horz" wrap="square" lIns="91440" tIns="45720" rIns="91440" bIns="45720" numCol="1" spcCol="0" rtlCol="0" fromWordArt="0" anchor="t" anchorCtr="0" forceAA="0" compatLnSpc="1">
                          <a:noAutofit/>
                        </wps:bodyPr>
                      </wps:wsp>
                      <wps:wsp>
                        <wps:cNvPr id="1659941928" name="文本框 1"/>
                        <wps:cNvSpPr txBox="1"/>
                        <wps:spPr>
                          <a:xfrm>
                            <a:off x="4971665" y="3234249"/>
                            <a:ext cx="963002"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15F3F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密闭卸油口</w:t>
                              </w:r>
                            </w:p>
                          </w:txbxContent>
                        </wps:txbx>
                        <wps:bodyPr rot="0" spcFirstLastPara="0" vert="horz" wrap="square" lIns="91440" tIns="45720" rIns="91440" bIns="45720" numCol="1" spcCol="0" rtlCol="0" fromWordArt="0" anchor="t" anchorCtr="0" forceAA="0" compatLnSpc="1">
                          <a:noAutofit/>
                        </wps:bodyPr>
                      </wps:wsp>
                      <wps:wsp>
                        <wps:cNvPr id="1483882612" name="文本框 1"/>
                        <wps:cNvSpPr txBox="1"/>
                        <wps:spPr>
                          <a:xfrm>
                            <a:off x="5520408" y="243596"/>
                            <a:ext cx="381000" cy="248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51E72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2097771468" name="文本框 1"/>
                        <wps:cNvSpPr txBox="1"/>
                        <wps:spPr>
                          <a:xfrm>
                            <a:off x="5122111" y="5570777"/>
                            <a:ext cx="865793" cy="267675"/>
                          </a:xfrm>
                          <a:prstGeom prst="callout1">
                            <a:avLst>
                              <a:gd name="adj1" fmla="val 50776"/>
                              <a:gd name="adj2" fmla="val 7079"/>
                              <a:gd name="adj3" fmla="val -76096"/>
                              <a:gd name="adj4" fmla="val -949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3C2FEC0"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服务区围墙</w:t>
                              </w:r>
                            </w:p>
                          </w:txbxContent>
                        </wps:txbx>
                        <wps:bodyPr rot="0" spcFirstLastPara="0" vert="horz" wrap="square" lIns="91440" tIns="45720" rIns="91440" bIns="45720" numCol="1" spcCol="0" rtlCol="0" fromWordArt="0" anchor="t" anchorCtr="0" forceAA="0" compatLnSpc="1">
                          <a:noAutofit/>
                        </wps:bodyPr>
                      </wps:wsp>
                      <wps:wsp>
                        <wps:cNvPr id="158242850" name="文本框 1"/>
                        <wps:cNvSpPr txBox="1"/>
                        <wps:spPr>
                          <a:xfrm>
                            <a:off x="5082356" y="3938635"/>
                            <a:ext cx="806703" cy="287513"/>
                          </a:xfrm>
                          <a:prstGeom prst="callout1">
                            <a:avLst>
                              <a:gd name="adj1" fmla="val 58505"/>
                              <a:gd name="adj2" fmla="val 7016"/>
                              <a:gd name="adj3" fmla="val 142316"/>
                              <a:gd name="adj4" fmla="val -1708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A9F87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2116779420" name="文本框 1"/>
                        <wps:cNvSpPr txBox="1"/>
                        <wps:spPr>
                          <a:xfrm>
                            <a:off x="2748724" y="1627771"/>
                            <a:ext cx="897295"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038EEB3"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014684174" name="文本框 1"/>
                        <wps:cNvSpPr txBox="1"/>
                        <wps:spPr>
                          <a:xfrm>
                            <a:off x="3646019" y="1648572"/>
                            <a:ext cx="851597"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6E0EF5"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21895495" name="文本框 1"/>
                        <wps:cNvSpPr txBox="1"/>
                        <wps:spPr>
                          <a:xfrm>
                            <a:off x="2718975" y="2154960"/>
                            <a:ext cx="881372"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20453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421938895" name="文本框 1"/>
                        <wps:cNvSpPr txBox="1"/>
                        <wps:spPr>
                          <a:xfrm>
                            <a:off x="3567959" y="2497861"/>
                            <a:ext cx="975360" cy="4845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93CDA2"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车用乙醇汽油加油</w:t>
                              </w:r>
                              <w:r>
                                <w:rPr>
                                  <w:rFonts w:ascii="Times New Roman" w:cs="Times New Roman" w:hint="eastAsia"/>
                                  <w:sz w:val="21"/>
                                  <w:szCs w:val="21"/>
                                </w:rPr>
                                <w:t>机</w:t>
                              </w:r>
                            </w:p>
                          </w:txbxContent>
                        </wps:txbx>
                        <wps:bodyPr rot="0" spcFirstLastPara="0" vert="horz" wrap="square" lIns="91440" tIns="45720" rIns="91440" bIns="45720" numCol="1" spcCol="0" rtlCol="0" fromWordArt="0" anchor="t" anchorCtr="0" forceAA="0" compatLnSpc="1">
                          <a:noAutofit/>
                        </wps:bodyPr>
                      </wps:wsp>
                      <wps:wsp>
                        <wps:cNvPr id="446574423" name="箭头: 右 446574423"/>
                        <wps:cNvSpPr/>
                        <wps:spPr>
                          <a:xfrm rot="1299548">
                            <a:off x="2062792" y="1901575"/>
                            <a:ext cx="390525" cy="24667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40833755" name="箭头: 右 1640833755"/>
                        <wps:cNvSpPr/>
                        <wps:spPr>
                          <a:xfrm rot="19214526">
                            <a:off x="4704344" y="1964828"/>
                            <a:ext cx="390525" cy="246380"/>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11922493" name="直接连接符 1311922493"/>
                        <wps:cNvCnPr/>
                        <wps:spPr>
                          <a:xfrm flipV="1">
                            <a:off x="31726" y="999132"/>
                            <a:ext cx="1536037" cy="2"/>
                          </a:xfrm>
                          <a:prstGeom prst="line">
                            <a:avLst/>
                          </a:prstGeom>
                        </wps:spPr>
                        <wps:style>
                          <a:lnRef idx="1">
                            <a:schemeClr val="dk1"/>
                          </a:lnRef>
                          <a:fillRef idx="0">
                            <a:schemeClr val="dk1"/>
                          </a:fillRef>
                          <a:effectRef idx="0">
                            <a:schemeClr val="dk1"/>
                          </a:effectRef>
                          <a:fontRef idx="minor">
                            <a:schemeClr val="tx1"/>
                          </a:fontRef>
                        </wps:style>
                        <wps:bodyPr/>
                      </wps:wsp>
                      <wps:wsp>
                        <wps:cNvPr id="943083444" name="直接连接符 943083444"/>
                        <wps:cNvCnPr/>
                        <wps:spPr>
                          <a:xfrm flipH="1">
                            <a:off x="1554437" y="703857"/>
                            <a:ext cx="78148"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975599977" name="直接连接符 1975599977"/>
                        <wps:cNvCnPr/>
                        <wps:spPr>
                          <a:xfrm flipH="1">
                            <a:off x="1930414" y="722909"/>
                            <a:ext cx="78148" cy="285749"/>
                          </a:xfrm>
                          <a:prstGeom prst="line">
                            <a:avLst/>
                          </a:prstGeom>
                        </wps:spPr>
                        <wps:style>
                          <a:lnRef idx="1">
                            <a:schemeClr val="dk1"/>
                          </a:lnRef>
                          <a:fillRef idx="0">
                            <a:schemeClr val="dk1"/>
                          </a:fillRef>
                          <a:effectRef idx="0">
                            <a:schemeClr val="dk1"/>
                          </a:effectRef>
                          <a:fontRef idx="minor">
                            <a:schemeClr val="tx1"/>
                          </a:fontRef>
                        </wps:style>
                        <wps:bodyPr/>
                      </wps:wsp>
                      <wps:wsp>
                        <wps:cNvPr id="729676946" name="直接连接符 729676946"/>
                        <wps:cNvCnPr/>
                        <wps:spPr>
                          <a:xfrm>
                            <a:off x="43763" y="713383"/>
                            <a:ext cx="1571932" cy="0"/>
                          </a:xfrm>
                          <a:prstGeom prst="line">
                            <a:avLst/>
                          </a:prstGeom>
                        </wps:spPr>
                        <wps:style>
                          <a:lnRef idx="1">
                            <a:schemeClr val="dk1"/>
                          </a:lnRef>
                          <a:fillRef idx="0">
                            <a:schemeClr val="dk1"/>
                          </a:fillRef>
                          <a:effectRef idx="0">
                            <a:schemeClr val="dk1"/>
                          </a:effectRef>
                          <a:fontRef idx="minor">
                            <a:schemeClr val="tx1"/>
                          </a:fontRef>
                        </wps:style>
                        <wps:bodyPr/>
                      </wps:wsp>
                      <wps:wsp>
                        <wps:cNvPr id="444272281" name="直接连接符 444272281"/>
                        <wps:cNvCnPr/>
                        <wps:spPr>
                          <a:xfrm flipH="1">
                            <a:off x="1744908" y="303808"/>
                            <a:ext cx="239100" cy="8001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27373761" name="文本框 1"/>
                        <wps:cNvSpPr txBox="1"/>
                        <wps:spPr>
                          <a:xfrm>
                            <a:off x="1968750" y="2177030"/>
                            <a:ext cx="516303"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0C83F02"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入口</w:t>
                              </w:r>
                            </w:p>
                          </w:txbxContent>
                        </wps:txbx>
                        <wps:bodyPr rot="0" spcFirstLastPara="0" vert="horz" wrap="square" lIns="91440" tIns="45720" rIns="91440" bIns="45720" numCol="1" spcCol="0" rtlCol="0" fromWordArt="0" anchor="t" anchorCtr="0" forceAA="0" compatLnSpc="1">
                          <a:noAutofit/>
                        </wps:bodyPr>
                      </wps:wsp>
                      <wps:wsp>
                        <wps:cNvPr id="842437882" name="文本框 1"/>
                        <wps:cNvSpPr txBox="1"/>
                        <wps:spPr>
                          <a:xfrm>
                            <a:off x="4660335" y="2268359"/>
                            <a:ext cx="527777" cy="2972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DF7622"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出口</w:t>
                              </w:r>
                            </w:p>
                          </w:txbxContent>
                        </wps:txbx>
                        <wps:bodyPr rot="0" spcFirstLastPara="0" vert="horz" wrap="square" lIns="91440" tIns="45720" rIns="91440" bIns="45720" numCol="1" spcCol="0" rtlCol="0" fromWordArt="0" anchor="t" anchorCtr="0" forceAA="0" compatLnSpc="1">
                          <a:noAutofit/>
                        </wps:bodyPr>
                      </wps:wsp>
                      <wps:wsp>
                        <wps:cNvPr id="803536030" name="文本框 1"/>
                        <wps:cNvSpPr txBox="1"/>
                        <wps:spPr>
                          <a:xfrm>
                            <a:off x="5337118" y="5254086"/>
                            <a:ext cx="541719"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3E2FBCD" w14:textId="77777777" w:rsidR="00502148" w:rsidRDefault="00000000">
                              <w:pPr>
                                <w:spacing w:line="240" w:lineRule="auto"/>
                                <w:ind w:firstLineChars="0" w:firstLine="0"/>
                                <w:rPr>
                                  <w:sz w:val="21"/>
                                  <w:szCs w:val="21"/>
                                  <w14:ligatures w14:val="none"/>
                                </w:rPr>
                              </w:pPr>
                              <w:r>
                                <w:rPr>
                                  <w:rFonts w:ascii="Times New Roman" w:eastAsia="宋体" w:hAnsi="Times New Roman" w:cs="Times New Roman" w:hint="eastAsia"/>
                                  <w:sz w:val="21"/>
                                  <w:szCs w:val="21"/>
                                </w:rPr>
                                <w:t>农田</w:t>
                              </w:r>
                            </w:p>
                          </w:txbxContent>
                        </wps:txbx>
                        <wps:bodyPr rot="0" spcFirstLastPara="0" vert="horz" wrap="square" lIns="91440" tIns="45720" rIns="91440" bIns="45720" numCol="1" spcCol="0" rtlCol="0" fromWordArt="0" anchor="t" anchorCtr="0" forceAA="0" compatLnSpc="1">
                          <a:noAutofit/>
                        </wps:bodyPr>
                      </wps:wsp>
                      <wps:wsp>
                        <wps:cNvPr id="664686722" name="矩形 664686722"/>
                        <wps:cNvSpPr/>
                        <wps:spPr>
                          <a:xfrm>
                            <a:off x="33343" y="3829728"/>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92807483" name="矩形 1392807483"/>
                        <wps:cNvSpPr/>
                        <wps:spPr>
                          <a:xfrm>
                            <a:off x="0" y="2176992"/>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00310379" name="文本框 1"/>
                        <wps:cNvSpPr txBox="1"/>
                        <wps:spPr>
                          <a:xfrm>
                            <a:off x="469771" y="1492446"/>
                            <a:ext cx="667725" cy="32384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ABF0E9"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停车位</w:t>
                              </w:r>
                            </w:p>
                          </w:txbxContent>
                        </wps:txbx>
                        <wps:bodyPr rot="0" spcFirstLastPara="0" vert="horz" wrap="square" lIns="91440" tIns="45720" rIns="91440" bIns="45720" numCol="1" spcCol="0" rtlCol="0" fromWordArt="0" anchor="t" anchorCtr="0" forceAA="0" compatLnSpc="1">
                          <a:noAutofit/>
                        </wps:bodyPr>
                      </wps:wsp>
                      <wps:wsp>
                        <wps:cNvPr id="2038899750" name="文本框 1"/>
                        <wps:cNvSpPr txBox="1"/>
                        <wps:spPr>
                          <a:xfrm>
                            <a:off x="469771" y="3913861"/>
                            <a:ext cx="667385"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A4FA0D" w14:textId="77777777" w:rsidR="00502148"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停车位</w:t>
                              </w:r>
                            </w:p>
                          </w:txbxContent>
                        </wps:txbx>
                        <wps:bodyPr rot="0" spcFirstLastPara="0" vert="horz" wrap="square" lIns="91440" tIns="45720" rIns="91440" bIns="45720" numCol="1" spcCol="0" rtlCol="0" fromWordArt="0" anchor="t" anchorCtr="0" forceAA="0" compatLnSpc="1">
                          <a:noAutofit/>
                        </wps:bodyPr>
                      </wps:wsp>
                      <wps:wsp>
                        <wps:cNvPr id="1359764468" name="直接连接符 1359764468"/>
                        <wps:cNvCnPr/>
                        <wps:spPr>
                          <a:xfrm flipH="1" flipV="1">
                            <a:off x="2962275" y="4406178"/>
                            <a:ext cx="2009386" cy="1164155"/>
                          </a:xfrm>
                          <a:prstGeom prst="line">
                            <a:avLst/>
                          </a:prstGeom>
                        </wps:spPr>
                        <wps:style>
                          <a:lnRef idx="1">
                            <a:schemeClr val="dk1"/>
                          </a:lnRef>
                          <a:fillRef idx="0">
                            <a:schemeClr val="dk1"/>
                          </a:fillRef>
                          <a:effectRef idx="0">
                            <a:schemeClr val="dk1"/>
                          </a:effectRef>
                          <a:fontRef idx="minor">
                            <a:schemeClr val="tx1"/>
                          </a:fontRef>
                        </wps:style>
                        <wps:bodyPr/>
                      </wps:wsp>
                      <wps:wsp>
                        <wps:cNvPr id="792805320" name="直接连接符 792805320"/>
                        <wps:cNvCnPr/>
                        <wps:spPr>
                          <a:xfrm>
                            <a:off x="2962275" y="4575822"/>
                            <a:ext cx="1945565" cy="117104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978212249" name="直接连接符 1978212249"/>
                        <wps:cNvCnPr/>
                        <wps:spPr>
                          <a:xfrm>
                            <a:off x="2867025" y="4744867"/>
                            <a:ext cx="1919697" cy="1116191"/>
                          </a:xfrm>
                          <a:prstGeom prst="line">
                            <a:avLst/>
                          </a:prstGeom>
                        </wps:spPr>
                        <wps:style>
                          <a:lnRef idx="1">
                            <a:schemeClr val="dk1"/>
                          </a:lnRef>
                          <a:fillRef idx="0">
                            <a:schemeClr val="dk1"/>
                          </a:fillRef>
                          <a:effectRef idx="0">
                            <a:schemeClr val="dk1"/>
                          </a:effectRef>
                          <a:fontRef idx="minor">
                            <a:schemeClr val="tx1"/>
                          </a:fontRef>
                        </wps:style>
                        <wps:bodyPr/>
                      </wps:wsp>
                      <wps:wsp>
                        <wps:cNvPr id="1944584636" name="直接连接符 1944584636"/>
                        <wps:cNvCnPr/>
                        <wps:spPr>
                          <a:xfrm flipH="1">
                            <a:off x="48372" y="4744867"/>
                            <a:ext cx="2823262" cy="0"/>
                          </a:xfrm>
                          <a:prstGeom prst="line">
                            <a:avLst/>
                          </a:prstGeom>
                        </wps:spPr>
                        <wps:style>
                          <a:lnRef idx="1">
                            <a:schemeClr val="dk1"/>
                          </a:lnRef>
                          <a:fillRef idx="0">
                            <a:schemeClr val="dk1"/>
                          </a:fillRef>
                          <a:effectRef idx="0">
                            <a:schemeClr val="dk1"/>
                          </a:effectRef>
                          <a:fontRef idx="minor">
                            <a:schemeClr val="tx1"/>
                          </a:fontRef>
                        </wps:style>
                        <wps:bodyPr/>
                      </wps:wsp>
                      <wps:wsp>
                        <wps:cNvPr id="232694434" name="直接连接符 232694434"/>
                        <wps:cNvCnPr/>
                        <wps:spPr>
                          <a:xfrm flipH="1">
                            <a:off x="57150" y="4575822"/>
                            <a:ext cx="290512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645837718" name="直接连接符 1645837718"/>
                        <wps:cNvCnPr/>
                        <wps:spPr>
                          <a:xfrm flipH="1">
                            <a:off x="0" y="4417827"/>
                            <a:ext cx="2962275" cy="0"/>
                          </a:xfrm>
                          <a:prstGeom prst="line">
                            <a:avLst/>
                          </a:prstGeom>
                        </wps:spPr>
                        <wps:style>
                          <a:lnRef idx="1">
                            <a:schemeClr val="dk1"/>
                          </a:lnRef>
                          <a:fillRef idx="0">
                            <a:schemeClr val="dk1"/>
                          </a:fillRef>
                          <a:effectRef idx="0">
                            <a:schemeClr val="dk1"/>
                          </a:effectRef>
                          <a:fontRef idx="minor">
                            <a:schemeClr val="tx1"/>
                          </a:fontRef>
                        </wps:style>
                        <wps:bodyPr/>
                      </wps:wsp>
                      <wps:wsp>
                        <wps:cNvPr id="1999453351" name="矩形 1999453351"/>
                        <wps:cNvSpPr/>
                        <wps:spPr>
                          <a:xfrm>
                            <a:off x="159" y="2995518"/>
                            <a:ext cx="1524000" cy="47561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74515612" name="文本框 1"/>
                        <wps:cNvSpPr txBox="1"/>
                        <wps:spPr>
                          <a:xfrm>
                            <a:off x="470111" y="3137444"/>
                            <a:ext cx="667385"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AA537CF"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停车位</w:t>
                              </w:r>
                            </w:p>
                          </w:txbxContent>
                        </wps:txbx>
                        <wps:bodyPr rot="0" spcFirstLastPara="0" vert="horz" wrap="square" lIns="91440" tIns="45720" rIns="91440" bIns="45720" numCol="1" spcCol="0" rtlCol="0" fromWordArt="0" anchor="t" anchorCtr="0" forceAA="0" compatLnSpc="1">
                          <a:noAutofit/>
                        </wps:bodyPr>
                      </wps:wsp>
                      <wps:wsp>
                        <wps:cNvPr id="1530548894" name="直接箭头连接符 1530548894"/>
                        <wps:cNvCnPr>
                          <a:stCxn id="1530238843" idx="1"/>
                        </wps:cNvCnPr>
                        <wps:spPr>
                          <a:xfrm flipH="1" flipV="1">
                            <a:off x="4151926" y="3834018"/>
                            <a:ext cx="401720" cy="24347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61163150" name="直接箭头连接符 1461163150"/>
                        <wps:cNvCnPr/>
                        <wps:spPr>
                          <a:xfrm flipV="1">
                            <a:off x="3965639" y="2926675"/>
                            <a:ext cx="0" cy="41369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2634328" name="直接箭头连接符 162634328"/>
                        <wps:cNvCnPr/>
                        <wps:spPr>
                          <a:xfrm flipH="1">
                            <a:off x="1632585" y="2911227"/>
                            <a:ext cx="1557316" cy="209073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94038745" name="直接箭头连接符 694038745"/>
                        <wps:cNvCnPr/>
                        <wps:spPr>
                          <a:xfrm flipH="1">
                            <a:off x="1520839" y="2497858"/>
                            <a:ext cx="1645055" cy="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80098549" name="直接箭头连接符 880098549"/>
                        <wps:cNvCnPr/>
                        <wps:spPr>
                          <a:xfrm flipV="1">
                            <a:off x="3165894" y="1276522"/>
                            <a:ext cx="0" cy="69243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84473313" name="直接箭头连接符 1384473313"/>
                        <wps:cNvCnPr/>
                        <wps:spPr>
                          <a:xfrm flipV="1">
                            <a:off x="3960453" y="703801"/>
                            <a:ext cx="0" cy="126499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68822457" name="直接箭头连接符 568822457"/>
                        <wps:cNvCnPr/>
                        <wps:spPr>
                          <a:xfrm flipH="1">
                            <a:off x="4200525" y="4877395"/>
                            <a:ext cx="152217" cy="2470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61805733" name="直接箭头连接符 1861805733"/>
                        <wps:cNvCnPr/>
                        <wps:spPr>
                          <a:xfrm flipH="1">
                            <a:off x="1646853" y="4773070"/>
                            <a:ext cx="2514290" cy="34337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44966634" name="文本框 1"/>
                        <wps:cNvSpPr txBox="1"/>
                        <wps:spPr>
                          <a:xfrm>
                            <a:off x="1879240" y="4418875"/>
                            <a:ext cx="1188674" cy="2755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BEB40C"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服务区内部道路</w:t>
                              </w:r>
                            </w:p>
                          </w:txbxContent>
                        </wps:txbx>
                        <wps:bodyPr rot="0" spcFirstLastPara="0" vert="horz" wrap="square" lIns="91440" tIns="45720" rIns="91440" bIns="45720" numCol="1" spcCol="0" rtlCol="0" fromWordArt="0" anchor="t" anchorCtr="0" forceAA="0" compatLnSpc="1">
                          <a:noAutofit/>
                        </wps:bodyPr>
                      </wps:wsp>
                      <wps:wsp>
                        <wps:cNvPr id="1799751655" name="文本框 1"/>
                        <wps:cNvSpPr txBox="1"/>
                        <wps:spPr>
                          <a:xfrm>
                            <a:off x="3945165" y="1021811"/>
                            <a:ext cx="552451"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B645B9" w14:textId="77777777" w:rsidR="00502148" w:rsidRDefault="00000000">
                              <w:pPr>
                                <w:spacing w:line="240" w:lineRule="auto"/>
                                <w:ind w:firstLineChars="0" w:firstLine="0"/>
                                <w:rPr>
                                  <w:rFonts w:ascii="Times New Roman" w:eastAsiaTheme="minorEastAsia" w:cs="Times New Roman" w:hint="eastAsia"/>
                                  <w:sz w:val="21"/>
                                  <w:szCs w:val="21"/>
                                  <w14:ligatures w14:val="none"/>
                                </w:rPr>
                              </w:pPr>
                              <w:r>
                                <w:rPr>
                                  <w:rFonts w:ascii="Times New Roman" w:eastAsiaTheme="minorEastAsia" w:cs="Times New Roman" w:hint="eastAsia"/>
                                  <w:sz w:val="21"/>
                                  <w:szCs w:val="21"/>
                                </w:rPr>
                                <w:t>27.9m</w:t>
                              </w:r>
                            </w:p>
                          </w:txbxContent>
                        </wps:txbx>
                        <wps:bodyPr rot="0" spcFirstLastPara="0" vert="horz" wrap="square" lIns="91440" tIns="45720" rIns="91440" bIns="45720" numCol="1" spcCol="0" rtlCol="0" fromWordArt="0" anchor="t" anchorCtr="0" forceAA="0" compatLnSpc="1">
                          <a:noAutofit/>
                        </wps:bodyPr>
                      </wps:wsp>
                      <wps:wsp>
                        <wps:cNvPr id="1267049773" name="文本框 1"/>
                        <wps:cNvSpPr txBox="1"/>
                        <wps:spPr>
                          <a:xfrm>
                            <a:off x="2718975" y="1347311"/>
                            <a:ext cx="537267"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85FF38"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w:t>
                              </w:r>
                              <w:r>
                                <w:rPr>
                                  <w:rFonts w:ascii="Times New Roman" w:eastAsia="宋体" w:hAnsi="Times New Roman" w:cs="Times New Roman" w:hint="eastAsia"/>
                                  <w:sz w:val="21"/>
                                  <w:szCs w:val="21"/>
                                </w:rPr>
                                <w:t>1</w:t>
                              </w:r>
                              <w:r>
                                <w:rPr>
                                  <w:rFonts w:ascii="Times New Roman" w:eastAsia="宋体"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434126991" name="文本框 1"/>
                        <wps:cNvSpPr txBox="1"/>
                        <wps:spPr>
                          <a:xfrm>
                            <a:off x="1906595" y="2437797"/>
                            <a:ext cx="578454"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E6DB27"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42.5</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091002564" name="文本框 1"/>
                        <wps:cNvSpPr txBox="1"/>
                        <wps:spPr>
                          <a:xfrm>
                            <a:off x="3576403" y="3017787"/>
                            <a:ext cx="499672"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34BB66"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6.2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881841193" name="文本框 1"/>
                        <wps:cNvSpPr txBox="1"/>
                        <wps:spPr>
                          <a:xfrm>
                            <a:off x="2031060" y="3648043"/>
                            <a:ext cx="568431"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3DDD062"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42.4</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2077103995" name="文本框 1"/>
                        <wps:cNvSpPr txBox="1"/>
                        <wps:spPr>
                          <a:xfrm>
                            <a:off x="2515649" y="4945477"/>
                            <a:ext cx="446626"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2D9FC01"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宋体" w:hAnsi="Times New Roman" w:cs="Times New Roman" w:hint="eastAsia"/>
                                  <w:sz w:val="21"/>
                                  <w:szCs w:val="21"/>
                                </w:rPr>
                                <w:t>28</w:t>
                              </w:r>
                              <w:r>
                                <w:rPr>
                                  <w:rFonts w:ascii="Times New Roman" w:eastAsia="宋体"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92643708" name="文本框 1"/>
                        <wps:cNvSpPr txBox="1"/>
                        <wps:spPr>
                          <a:xfrm>
                            <a:off x="4191591" y="3718179"/>
                            <a:ext cx="545452" cy="2602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BC446CA"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98700472" name="文本框 1"/>
                        <wps:cNvSpPr txBox="1"/>
                        <wps:spPr>
                          <a:xfrm>
                            <a:off x="4229197" y="5000120"/>
                            <a:ext cx="407577"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03224F"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9</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383034154" name="直接箭头连接符 383034154"/>
                        <wps:cNvCnPr/>
                        <wps:spPr>
                          <a:xfrm flipH="1">
                            <a:off x="4151926" y="3192925"/>
                            <a:ext cx="1105874" cy="1471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3022368" name="文本框 1"/>
                        <wps:cNvSpPr txBox="1"/>
                        <wps:spPr>
                          <a:xfrm>
                            <a:off x="4497616" y="3070445"/>
                            <a:ext cx="541403"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01F141"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20.3</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611782296" name="直接连接符 1611782296"/>
                        <wps:cNvCnPr/>
                        <wps:spPr>
                          <a:xfrm>
                            <a:off x="2599491" y="1322835"/>
                            <a:ext cx="0" cy="2826000"/>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869949067" name="直接连接符 869949067"/>
                        <wps:cNvCnPr/>
                        <wps:spPr>
                          <a:xfrm>
                            <a:off x="2599491" y="1322730"/>
                            <a:ext cx="2071227" cy="3746"/>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345351819" name="直接连接符 345351819"/>
                        <wps:cNvCnPr/>
                        <wps:spPr>
                          <a:xfrm>
                            <a:off x="2599491" y="4165831"/>
                            <a:ext cx="1476584" cy="0"/>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1740783430" name="直接连接符 1740783430"/>
                        <wps:cNvCnPr/>
                        <wps:spPr>
                          <a:xfrm flipH="1">
                            <a:off x="3762375" y="4166262"/>
                            <a:ext cx="313700" cy="587311"/>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181746225" name="直接连接符 181746225"/>
                        <wps:cNvCnPr/>
                        <wps:spPr>
                          <a:xfrm>
                            <a:off x="4668379" y="1326677"/>
                            <a:ext cx="0" cy="1690870"/>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496235490" name="直接连接符 496235490"/>
                        <wps:cNvCnPr/>
                        <wps:spPr>
                          <a:xfrm>
                            <a:off x="4673867" y="3017550"/>
                            <a:ext cx="1393558" cy="1"/>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1470830788" name="直接连接符 1470830788"/>
                        <wps:cNvCnPr/>
                        <wps:spPr>
                          <a:xfrm flipV="1">
                            <a:off x="4737043" y="3017551"/>
                            <a:ext cx="1330382" cy="2309735"/>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1804532288" name="直接连接符 1804532288"/>
                        <wps:cNvCnPr/>
                        <wps:spPr>
                          <a:xfrm flipH="1" flipV="1">
                            <a:off x="3762375" y="4772690"/>
                            <a:ext cx="984297" cy="562268"/>
                          </a:xfrm>
                          <a:prstGeom prst="line">
                            <a:avLst/>
                          </a:prstGeom>
                          <a:ln w="19050">
                            <a:solidFill>
                              <a:srgbClr val="EE0000"/>
                            </a:solidFill>
                          </a:ln>
                        </wps:spPr>
                        <wps:style>
                          <a:lnRef idx="1">
                            <a:schemeClr val="accent1"/>
                          </a:lnRef>
                          <a:fillRef idx="0">
                            <a:schemeClr val="accent1"/>
                          </a:fillRef>
                          <a:effectRef idx="0">
                            <a:schemeClr val="accent1"/>
                          </a:effectRef>
                          <a:fontRef idx="minor">
                            <a:schemeClr val="tx1"/>
                          </a:fontRef>
                        </wps:style>
                        <wps:bodyPr/>
                      </wps:wsp>
                      <wps:wsp>
                        <wps:cNvPr id="311876158" name="文本框 1"/>
                        <wps:cNvSpPr txBox="1"/>
                        <wps:spPr>
                          <a:xfrm>
                            <a:off x="972820" y="6136800"/>
                            <a:ext cx="1894205"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EB766D" w14:textId="77777777" w:rsidR="00502148"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注：</w:t>
                              </w:r>
                              <w:r>
                                <w:rPr>
                                  <w:rFonts w:ascii="Times New Roman" w:eastAsia="宋体" w:hAnsi="Times New Roman" w:cs="Times New Roman" w:hint="eastAsia"/>
                                  <w:sz w:val="21"/>
                                  <w:szCs w:val="21"/>
                                </w:rPr>
                                <w:t>红色区域为本次评价范围</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1B8B173" id="画布 178" o:spid="_x0000_s1107" editas="canvas" style="width:485.15pt;height:505pt;mso-position-horizontal-relative:char;mso-position-vertical-relative:line" coordsize="61614,64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">
                <v:shape id="_x0000_s1108" type="#_x0000_t75" style="position:absolute;width:61614;height:64135;visibility:visible;mso-wrap-style:square" filled="t">
                  <v:fill o:detectmouseclick="t"/>
                  <v:path o:connecttype="none"/>
                </v:shape>
                <v:line id="直接连接符 71729625" o:spid="_x0000_s1109" style="position:absolute;flip:x;visibility:visible;mso-wrap-style:square" from="44976,34709" to="61386,64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" strokecolor="black [3200]" strokeweight="2.25pt">
                  <v:stroke joinstyle="miter"/>
                </v:line>
                <v:rect id="矩形 1581082467" o:spid="_x0000_s1110" style="position:absolute;left:38766;top:39797;width:15907;height:7239;rotation:-39666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173662006" o:spid="_x0000_s1111" type="#_x0000_t116" style="position:absolute;left:47426;top:37216;width:4334;height:1619;rotation:189996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" filled="f" strokecolor="black [3200]">
                  <v:stroke joinstyle="round"/>
                </v:shape>
                <v:rect id="矩形 1512836750" o:spid="_x0000_s1112" style="position:absolute;left:31899;top:33009;width:9620;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" filled="f" strokecolor="black [3200]">
                  <v:stroke joinstyle="round"/>
                </v:rect>
                <v:rect id="矩形 1523365101" o:spid="_x0000_s1113" style="position:absolute;left:26764;top:13453;width:18669;height:18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" filled="f" strokecolor="black [3200]">
                  <v:stroke joinstyle="round"/>
                </v:rect>
                <v:rect id="矩形 917822908" o:spid="_x0000_s1114" style="position:absolute;left:30679;top:19057;width:1809;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" filled="f" strokecolor="black [3200]">
                  <v:stroke joinstyle="round"/>
                </v:rect>
                <v:rect id="矩形 517252143" o:spid="_x0000_s1115" style="position:absolute;left:30869;top:28858;width:1810;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" filled="f" strokecolor="black [3200]">
                  <v:stroke joinstyle="round"/>
                </v:rect>
                <v:rect id="矩形 1137229042" o:spid="_x0000_s1116" style="position:absolute;left:38755;top:24286;width:1810;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" filled="f" strokecolor="black [3200]">
                  <v:stroke joinstyle="round"/>
                </v:rect>
                <v:rect id="矩形 1963847749" o:spid="_x0000_s1117" style="position:absolute;left:30679;top:24286;width:1809;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" filled="f" strokecolor="black [3200]">
                  <v:stroke joinstyle="round"/>
                </v:rect>
                <v:rect id="矩形 1139378729" o:spid="_x0000_s1118" style="position:absolute;left:38755;top:19057;width:1810;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" filled="f" strokecolor="black [3200]">
                  <v:stroke joinstyle="round"/>
                </v:rect>
                <v:rect id="矩形 195076778" o:spid="_x0000_s1119" style="position:absolute;left:38755;top:28858;width:1810;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" filled="f" strokecolor="black [3200]">
                  <v:stroke joinstyle="round"/>
                </v:rect>
                <v:shape id="流程图: 终止 1257495519" o:spid="_x0000_s1120" type="#_x0000_t116" style="position:absolute;left:46370;top:39107;width:4331;height:1619;rotation:188472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" filled="f" strokecolor="black [3200]">
                  <v:stroke joinstyle="round"/>
                </v:shape>
                <v:shape id="流程图: 终止 1530238843" o:spid="_x0000_s1121" type="#_x0000_t116" style="position:absolute;left:45264;top:41018;width:4331;height:1619;rotation:190066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" filled="f" strokecolor="black [3200]">
                  <v:stroke joinstyle="round"/>
                </v:shape>
                <v:shape id="流程图: 终止 1718157012" o:spid="_x0000_s1122" type="#_x0000_t116" style="position:absolute;left:44053;top:43200;width:4330;height:1619;rotation:187677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" filled="f" strokecolor="black [3200]">
                  <v:stroke joinstyle="round"/>
                </v:shape>
                <v:shape id="流程图: 终止 1350770161" o:spid="_x0000_s1123" type="#_x0000_t116" style="position:absolute;left:42944;top:45146;width:4330;height:1619;rotation:19514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" filled="f" strokecolor="black [3200]">
                  <v:stroke joinstyle="round"/>
                </v:shape>
                <v:shape id="流程图: 终止 689628479" o:spid="_x0000_s1124" type="#_x0000_t116" style="position:absolute;left:41739;top:47182;width:4330;height:1620;rotation:18198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" filled="f" strokecolor="black [3200]">
                  <v:stroke joinstyle="round"/>
                </v:shape>
                <v:rect id="矩形 2023047010" o:spid="_x0000_s1125" style="position:absolute;left:51907;top:31376;width:3238;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" filled="f" strokecolor="black [3200]">
                  <v:stroke joinstyle="round"/>
                </v:rect>
                <v:rect id="矩形 1416228545" o:spid="_x0000_s1126" style="position:absolute;left:768;top:50023;width:7143;height:141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" filled="f" strokecolor="black [3200]">
                  <v:stroke joinstyle="round"/>
                </v:rect>
                <v:rect id="矩形 944473172" o:spid="_x0000_s1127" style="position:absolute;left:10467;top:50035;width:6001;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" filled="f" strokecolor="black [3200]">
                  <v:stroke joinstyle="round"/>
                </v:rect>
                <v:rect id="矩形 2059658993" o:spid="_x0000_s1128" style="position:absolute;left:10467;top:50035;width:14383;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" filled="f" strokecolor="black [3200]">
                  <v:stroke dashstyle="dashDot" joinstyle="round"/>
                </v:rect>
                <v:rect id="矩形 37475321" o:spid="_x0000_s1129" style="position:absolute;left:304;top:13400;width:15240;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" filled="f" strokecolor="black [3200]">
                  <v:stroke joinstyle="round"/>
                </v:rect>
                <v:line id="直接连接符 480658219" o:spid="_x0000_s1130" style="position:absolute;visibility:visible;mso-wrap-style:square" from="113,12766" to="61359,1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" strokecolor="black [3200]" strokeweight=".5pt">
                  <v:stroke joinstyle="miter"/>
                </v:line>
                <v:line id="直接连接符 12452754" o:spid="_x0000_s1131" style="position:absolute;visibility:visible;mso-wrap-style:square" from="113,11239" to="61359,11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" strokecolor="black [3200]">
                  <v:stroke dashstyle="dash"/>
                </v:line>
                <v:line id="直接连接符 1860295288" o:spid="_x0000_s1132" style="position:absolute;visibility:visible;mso-wrap-style:square" from="19304,10086" to="61614,10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" strokecolor="black [3200]" strokeweight=".5pt">
                  <v:stroke joinstyle="miter"/>
                </v:line>
                <v:line id="直接连接符 1899770323" o:spid="_x0000_s1133" style="position:absolute;visibility:visible;mso-wrap-style:square" from="20085,7133" to="61601,7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" strokecolor="black [3200]" strokeweight=".5pt">
                  <v:stroke joinstyle="miter"/>
                </v:line>
                <v:line id="直接连接符 860344325" o:spid="_x0000_s1134" style="position:absolute;visibility:visible;mso-wrap-style:square" from="0,-778" to="61245,-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" strokecolor="black [3200]" strokeweight=".5pt">
                  <v:stroke joinstyle="miter"/>
                </v:line>
                <v:line id="直接连接符 341129771" o:spid="_x0000_s1135" style="position:absolute;visibility:visible;mso-wrap-style:square" from="571,3038" to="61245,3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" strokecolor="black [3200]">
                  <v:stroke dashstyle="dash"/>
                </v:line>
                <v:shape id="文本框 1508461710" o:spid="_x0000_s1136" type="#_x0000_t202" style="position:absolute;left:46509;top:44073;width:5425;height:2184;rotation:777716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" filled="f" stroked="f">
                  <v:textbox>
                    <w:txbxContent>
                      <w:p w14:paraId="73918BD0" w14:textId="77777777" w:rsidR="00502148" w:rsidRDefault="00000000">
                        <w:pPr>
                          <w:spacing w:line="240" w:lineRule="auto"/>
                          <w:ind w:firstLineChars="0" w:firstLine="0"/>
                          <w:rPr>
                            <w:rFonts w:eastAsiaTheme="minorEastAsia" w:hint="eastAsia"/>
                            <w:spacing w:val="-20"/>
                            <w:sz w:val="18"/>
                            <w:szCs w:val="18"/>
                          </w:rPr>
                        </w:pPr>
                        <w:r>
                          <w:rPr>
                            <w:rFonts w:eastAsiaTheme="minorEastAsia" w:hint="eastAsia"/>
                            <w:spacing w:val="-20"/>
                            <w:sz w:val="18"/>
                            <w:szCs w:val="18"/>
                          </w:rPr>
                          <w:t>。。。。。。</w:t>
                        </w:r>
                      </w:p>
                    </w:txbxContent>
                  </v:textbox>
                </v:shape>
                <v:rect id="矩形 141282545" o:spid="_x0000_s1137" style="position:absolute;left:50366;top:43583;width:1579;height:1227;rotation:-403490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" filled="f" strokecolor="black [3200]">
                  <v:stroke joinstyle="round"/>
                </v:rect>
                <v:shape id="直接箭头连接符 1841942923" o:spid="_x0000_s1138" type="#_x0000_t32" style="position:absolute;left:54384;top:359;width:5495;height:207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" strokecolor="black [3200]" strokeweight=".5pt">
                  <v:stroke endarrow="block" joinstyle="miter"/>
                </v:shape>
                <v:shape id="文本框 36004330" o:spid="_x0000_s1139" type="#_x0000_t202" style="position:absolute;left:34365;top:35104;width:5525;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" filled="f" stroked="f">
                  <v:textbox>
                    <w:txbxContent>
                      <w:p w14:paraId="6BFBEFB6"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站房</w:t>
                        </w:r>
                      </w:p>
                    </w:txbxContent>
                  </v:textbox>
                </v:shape>
                <v:shape id="文本框 1" o:spid="_x0000_s1140" type="#_x0000_t202" style="position:absolute;left:27181;top:24978;width:9755;height:4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" filled="f" stroked="f">
                  <v:textbox>
                    <w:txbxContent>
                      <w:p w14:paraId="0C0CD45D"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车用乙醇汽油加油机</w:t>
                        </w:r>
                      </w:p>
                    </w:txbxContent>
                  </v:textbox>
                </v:shape>
                <v:shape id="文本框 1" o:spid="_x0000_s1141" type="#_x0000_t202" style="position:absolute;left:41412;top:43587;width:7916;height:2486;rotation:-399967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" filled="f" stroked="f">
                  <v:textbox>
                    <w:txbxContent>
                      <w:p w14:paraId="053B881B"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柴油储罐</w:t>
                        </w:r>
                      </w:p>
                    </w:txbxContent>
                  </v:textbox>
                </v:shape>
                <v:shape id="文本框 1" o:spid="_x0000_s1142" type="#_x0000_t202" style="position:absolute;left:45839;top:36315;width:7630;height:4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" filled="f" stroked="f">
                  <v:textbox>
                    <w:txbxContent>
                      <w:p w14:paraId="757BB85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车用乙醇汽油储罐</w:t>
                        </w:r>
                      </w:p>
                    </w:txbxContent>
                  </v:textbox>
                </v:shape>
                <v:shape id="文本框 1" o:spid="_x0000_s1143" type="#_x0000_t202" style="position:absolute;left:49198;top:45256;width:7706;height:4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" filled="f" stroked="f">
                  <v:textbox>
                    <w:txbxContent>
                      <w:p w14:paraId="546D78D2"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预留三次油气回收</w:t>
                        </w:r>
                      </w:p>
                    </w:txbxContent>
                  </v:textbox>
                </v:shape>
                <v:shape id="文本框 1" o:spid="_x0000_s1144" type="#_x0000_t202" style="position:absolute;left:10467;top:51172;width:7269;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" filled="f" stroked="f">
                  <v:textbox>
                    <w:txbxContent>
                      <w:p w14:paraId="3321D74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消防泵房</w:t>
                        </w:r>
                      </w:p>
                    </w:txbxContent>
                  </v:textbox>
                </v:shape>
                <v:shape id="文本框 1" o:spid="_x0000_s1145" type="#_x0000_t202" style="position:absolute;left:36003;top:21905;width:10287;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" filled="f" stroked="f">
                  <v:textbox>
                    <w:txbxContent>
                      <w:p w14:paraId="22255CC1"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46" type="#_x0000_t202" style="position:absolute;left:16249;top:55048;width:8001;height:2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" filled="f" stroked="f">
                  <v:textbox>
                    <w:txbxContent>
                      <w:p w14:paraId="31A9F42C"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消防水池</w:t>
                        </w:r>
                      </w:p>
                    </w:txbxContent>
                  </v:textbox>
                </v:shape>
                <v:shape id="文本框 1" o:spid="_x0000_s1147" type="#_x0000_t202" style="position:absolute;left:853;top:52189;width:7058;height:7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" filled="f" stroked="f">
                  <v:textbox>
                    <w:txbxContent>
                      <w:p w14:paraId="554F8B94"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宿舍楼（三类保护物）</w:t>
                        </w:r>
                      </w:p>
                    </w:txbxContent>
                  </v:textbox>
                </v:shape>
                <v:shape id="文本框 1" o:spid="_x0000_s1148" type="#_x0000_t202" style="position:absolute;left:2392;top:22297;width:11344;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" filled="f" stroked="f">
                  <v:textbox>
                    <w:txbxContent>
                      <w:p w14:paraId="12CCE790"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服务区停车场（三类保护物）</w:t>
                        </w:r>
                      </w:p>
                    </w:txbxContent>
                  </v:textbox>
                </v:shape>
                <v:shape id="文本框 1" o:spid="_x0000_s1149" type="#_x0000_t202" style="position:absolute;left:24860;top:9991;width:12763;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" filled="f" stroked="f">
                  <v:textbox>
                    <w:txbxContent>
                      <w:p w14:paraId="711F0F56"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服务区内部道路</w:t>
                        </w:r>
                      </w:p>
                    </w:txbxContent>
                  </v:textbox>
                </v:shape>
                <v:shape id="文本框 1" o:spid="_x0000_s1150" type="#_x0000_t202" style="position:absolute;left:21326;top:1028;width:20193;height:2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" filled="f" stroked="f">
                  <v:textbox>
                    <w:txbxContent>
                      <w:p w14:paraId="377CF57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sz w:val="21"/>
                            <w:szCs w:val="21"/>
                          </w:rPr>
                          <w:t>本溪至集安高速公路（</w:t>
                        </w:r>
                        <w:r>
                          <w:rPr>
                            <w:rFonts w:ascii="Times New Roman" w:eastAsia="宋体" w:hAnsi="Times New Roman" w:cs="Times New Roman"/>
                            <w:sz w:val="21"/>
                            <w:szCs w:val="21"/>
                          </w:rPr>
                          <w:t>G9111</w:t>
                        </w:r>
                        <w:r>
                          <w:rPr>
                            <w:rFonts w:ascii="Times New Roman" w:eastAsia="宋体" w:hAnsi="Times New Roman" w:cs="Times New Roman"/>
                            <w:sz w:val="21"/>
                            <w:szCs w:val="21"/>
                          </w:rPr>
                          <w:t>）</w:t>
                        </w:r>
                      </w:p>
                    </w:txbxContent>
                  </v:textbox>
                </v:shape>
                <v:shape id="文本框 1" o:spid="_x0000_s1151" type="#_x0000_t202" style="position:absolute;left:49716;top:32342;width:9630;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" filled="f" stroked="f">
                  <v:textbox>
                    <w:txbxContent>
                      <w:p w14:paraId="2E15F3F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密闭卸油口</w:t>
                        </w:r>
                      </w:p>
                    </w:txbxContent>
                  </v:textbox>
                </v:shape>
                <v:shape id="文本框 1" o:spid="_x0000_s1152" type="#_x0000_t202" style="position:absolute;left:55204;top:2435;width:3810;height:2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" filled="f" stroked="f">
                  <v:textbox>
                    <w:txbxContent>
                      <w:p w14:paraId="2451E72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N</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153" type="#_x0000_t41" style="position:absolute;left:51221;top:55707;width:8658;height:2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" adj="-2050,-16437,1529,10968" filled="f" strokecolor="black [3200]">
                  <v:stroke joinstyle="round"/>
                  <v:textbox>
                    <w:txbxContent>
                      <w:p w14:paraId="33C2FEC0"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服务区围墙</w:t>
                        </w:r>
                      </w:p>
                    </w:txbxContent>
                  </v:textbox>
                </v:shape>
                <v:shape id="文本框 1" o:spid="_x0000_s1154" type="#_x0000_t41" style="position:absolute;left:50823;top:39386;width:8067;height:2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" adj="-3689,30740,1515,12637" filled="f" strokecolor="black [3200]">
                  <v:stroke joinstyle="round"/>
                  <v:textbox>
                    <w:txbxContent>
                      <w:p w14:paraId="40A9F87A"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通气管口</w:t>
                        </w:r>
                      </w:p>
                    </w:txbxContent>
                  </v:textbox>
                  <o:callout v:ext="edit" minusy="t"/>
                </v:shape>
                <v:shape id="文本框 1" o:spid="_x0000_s1155" type="#_x0000_t202" style="position:absolute;left:27487;top:16277;width:8973;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" filled="f" stroked="f">
                  <v:textbox>
                    <w:txbxContent>
                      <w:p w14:paraId="6038EEB3"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6" type="#_x0000_t202" style="position:absolute;left:36460;top:16485;width:8516;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" filled="f" stroked="f">
                  <v:textbox>
                    <w:txbxContent>
                      <w:p w14:paraId="056E0EF5"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7" type="#_x0000_t202" style="position:absolute;left:27189;top:21549;width:881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" filled="f" stroked="f">
                  <v:textbox>
                    <w:txbxContent>
                      <w:p w14:paraId="4920453E" w14:textId="77777777" w:rsidR="00502148"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8" type="#_x0000_t202" style="position:absolute;left:35679;top:24978;width:9754;height:4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" filled="f" stroked="f">
                  <v:textbox>
                    <w:txbxContent>
                      <w:p w14:paraId="7593CDA2"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车用乙醇汽油加油</w:t>
                        </w:r>
                        <w:r>
                          <w:rPr>
                            <w:rFonts w:ascii="Times New Roman" w:cs="Times New Roman" w:hint="eastAsia"/>
                            <w:sz w:val="21"/>
                            <w:szCs w:val="21"/>
                          </w:rPr>
                          <w:t>机</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446574423" o:spid="_x0000_s1159" type="#_x0000_t13" style="position:absolute;left:20627;top:19015;width:3906;height:2467;rotation:14194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" adj="14778" filled="f" strokecolor="black [3200]">
                  <v:stroke joinstyle="round"/>
                </v:shape>
                <v:shape id="箭头: 右 1640833755" o:spid="_x0000_s1160" type="#_x0000_t13" style="position:absolute;left:47043;top:19648;width:3905;height:2464;rotation:-260557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" adj="14786" filled="f" strokecolor="black [3200]">
                  <v:stroke joinstyle="round"/>
                </v:shape>
                <v:line id="直接连接符 1311922493" o:spid="_x0000_s1161" style="position:absolute;flip:y;visibility:visible;mso-wrap-style:square" from="317,9991" to="15677,9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" strokecolor="black [3200]" strokeweight=".5pt">
                  <v:stroke joinstyle="miter"/>
                </v:line>
                <v:line id="直接连接符 943083444" o:spid="_x0000_s1162" style="position:absolute;flip:x;visibility:visible;mso-wrap-style:square" from="15544,7038" to="16325,9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" strokecolor="black [3200]" strokeweight=".5pt">
                  <v:stroke joinstyle="miter"/>
                </v:line>
                <v:line id="直接连接符 1975599977" o:spid="_x0000_s1163" style="position:absolute;flip:x;visibility:visible;mso-wrap-style:square" from="19304,7229" to="20085,10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" strokecolor="black [3200]" strokeweight=".5pt">
                  <v:stroke joinstyle="miter"/>
                </v:line>
                <v:line id="直接连接符 729676946" o:spid="_x0000_s1164" style="position:absolute;visibility:visible;mso-wrap-style:square" from="437,7133" to="16156,7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" strokecolor="black [3200]" strokeweight=".5pt">
                  <v:stroke joinstyle="miter"/>
                </v:line>
                <v:line id="直接连接符 444272281" o:spid="_x0000_s1165" style="position:absolute;flip:x;visibility:visible;mso-wrap-style:square" from="17449,3038" to="19840,11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" strokecolor="black [3200]">
                  <v:stroke dashstyle="dash"/>
                </v:line>
                <v:shape id="文本框 1" o:spid="_x0000_s1166" type="#_x0000_t202" style="position:absolute;left:19687;top:21770;width:5163;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" filled="f" stroked="f">
                  <v:textbox>
                    <w:txbxContent>
                      <w:p w14:paraId="60C83F02"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入口</w:t>
                        </w:r>
                      </w:p>
                    </w:txbxContent>
                  </v:textbox>
                </v:shape>
                <v:shape id="文本框 1" o:spid="_x0000_s1167" type="#_x0000_t202" style="position:absolute;left:46603;top:22683;width:5278;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" filled="f" stroked="f">
                  <v:textbox>
                    <w:txbxContent>
                      <w:p w14:paraId="36DF7622"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出口</w:t>
                        </w:r>
                      </w:p>
                    </w:txbxContent>
                  </v:textbox>
                </v:shape>
                <v:shape id="文本框 1" o:spid="_x0000_s1168" type="#_x0000_t202" style="position:absolute;left:53371;top:52540;width:5417;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" filled="f" stroked="f">
                  <v:textbox>
                    <w:txbxContent>
                      <w:p w14:paraId="33E2FBCD" w14:textId="77777777" w:rsidR="00502148" w:rsidRDefault="00000000">
                        <w:pPr>
                          <w:spacing w:line="240" w:lineRule="auto"/>
                          <w:ind w:firstLineChars="0" w:firstLine="0"/>
                          <w:rPr>
                            <w:sz w:val="21"/>
                            <w:szCs w:val="21"/>
                            <w14:ligatures w14:val="none"/>
                          </w:rPr>
                        </w:pPr>
                        <w:r>
                          <w:rPr>
                            <w:rFonts w:ascii="Times New Roman" w:eastAsia="宋体" w:hAnsi="Times New Roman" w:cs="Times New Roman" w:hint="eastAsia"/>
                            <w:sz w:val="21"/>
                            <w:szCs w:val="21"/>
                          </w:rPr>
                          <w:t>农田</w:t>
                        </w:r>
                      </w:p>
                    </w:txbxContent>
                  </v:textbox>
                </v:shape>
                <v:rect id="矩形 664686722" o:spid="_x0000_s1169" style="position:absolute;left:333;top:38297;width:15240;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" filled="f" strokecolor="black [3200]">
                  <v:stroke joinstyle="round"/>
                </v:rect>
                <v:rect id="矩形 1392807483" o:spid="_x0000_s1170" style="position:absolute;top:21769;width:15240;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" filled="f" strokecolor="black [3200]">
                  <v:stroke joinstyle="round"/>
                </v:rect>
                <v:shape id="文本框 1" o:spid="_x0000_s1171" type="#_x0000_t202" style="position:absolute;left:4697;top:14924;width:6677;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" filled="f" stroked="f">
                  <v:textbox>
                    <w:txbxContent>
                      <w:p w14:paraId="06ABF0E9"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停车位</w:t>
                        </w:r>
                      </w:p>
                    </w:txbxContent>
                  </v:textbox>
                </v:shape>
                <v:shape id="文本框 1" o:spid="_x0000_s1172" type="#_x0000_t202" style="position:absolute;left:4697;top:39138;width:667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" filled="f" stroked="f">
                  <v:textbox>
                    <w:txbxContent>
                      <w:p w14:paraId="4BA4FA0D" w14:textId="77777777" w:rsidR="00502148"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停车位</w:t>
                        </w:r>
                      </w:p>
                    </w:txbxContent>
                  </v:textbox>
                </v:shape>
                <v:line id="直接连接符 1359764468" o:spid="_x0000_s1173" style="position:absolute;flip:x y;visibility:visible;mso-wrap-style:square" from="29622,44061" to="49716,55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" strokecolor="black [3200]" strokeweight=".5pt">
                  <v:stroke joinstyle="miter"/>
                </v:line>
                <v:line id="直接连接符 792805320" o:spid="_x0000_s1174" style="position:absolute;visibility:visible;mso-wrap-style:square" from="29622,45758" to="49078,57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" strokecolor="black [3200]">
                  <v:stroke dashstyle="dash"/>
                </v:line>
                <v:line id="直接连接符 1978212249" o:spid="_x0000_s1175" style="position:absolute;visibility:visible;mso-wrap-style:square" from="28670,47448" to="47867,58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" strokecolor="black [3200]" strokeweight=".5pt">
                  <v:stroke joinstyle="miter"/>
                </v:line>
                <v:line id="直接连接符 1944584636" o:spid="_x0000_s1176" style="position:absolute;flip:x;visibility:visible;mso-wrap-style:square" from="483,47448" to="28716,47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" strokecolor="black [3200]" strokeweight=".5pt">
                  <v:stroke joinstyle="miter"/>
                </v:line>
                <v:line id="直接连接符 232694434" o:spid="_x0000_s1177" style="position:absolute;flip:x;visibility:visible;mso-wrap-style:square" from="571,45758" to="29622,45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" strokecolor="black [3200]">
                  <v:stroke dashstyle="dash"/>
                </v:line>
                <v:line id="直接连接符 1645837718" o:spid="_x0000_s1178" style="position:absolute;flip:x;visibility:visible;mso-wrap-style:square" from="0,44178" to="29622,44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" strokecolor="black [3200]" strokeweight=".5pt">
                  <v:stroke joinstyle="miter"/>
                </v:line>
                <v:rect id="矩形 1999453351" o:spid="_x0000_s1179" style="position:absolute;left:1;top:29955;width:15240;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" filled="f" strokecolor="black [3200]">
                  <v:stroke joinstyle="round"/>
                </v:rect>
                <v:shape id="文本框 1" o:spid="_x0000_s1180" type="#_x0000_t202" style="position:absolute;left:4701;top:31374;width:667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" filled="f" stroked="f">
                  <v:textbox>
                    <w:txbxContent>
                      <w:p w14:paraId="5AA537CF"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停车位</w:t>
                        </w:r>
                      </w:p>
                    </w:txbxContent>
                  </v:textbox>
                </v:shape>
                <v:shape id="直接箭头连接符 1530548894" o:spid="_x0000_s1181" type="#_x0000_t32" style="position:absolute;left:41519;top:38340;width:4017;height:24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" strokecolor="black [3200]" strokeweight=".5pt">
                  <v:stroke startarrow="block" endarrow="block" joinstyle="miter"/>
                </v:shape>
                <v:shape id="直接箭头连接符 1461163150" o:spid="_x0000_s1182" type="#_x0000_t32" style="position:absolute;left:39656;top:29266;width:0;height:41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" strokecolor="black [3200]" strokeweight=".5pt">
                  <v:stroke startarrow="block" endarrow="block" joinstyle="miter"/>
                </v:shape>
                <v:shape id="直接箭头连接符 162634328" o:spid="_x0000_s1183" type="#_x0000_t32" style="position:absolute;left:16325;top:29112;width:15574;height:209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" strokecolor="black [3200]" strokeweight=".5pt">
                  <v:stroke startarrow="block" endarrow="block" joinstyle="miter"/>
                </v:shape>
                <v:shape id="直接箭头连接符 694038745" o:spid="_x0000_s1184" type="#_x0000_t32" style="position:absolute;left:15208;top:24978;width:16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" strokecolor="black [3200]" strokeweight=".5pt">
                  <v:stroke startarrow="block" endarrow="block" joinstyle="miter"/>
                </v:shape>
                <v:shape id="直接箭头连接符 880098549" o:spid="_x0000_s1185" type="#_x0000_t32" style="position:absolute;left:31658;top:12765;width:0;height:69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" strokecolor="black [3200]" strokeweight=".5pt">
                  <v:stroke startarrow="block" endarrow="block" joinstyle="miter"/>
                </v:shape>
                <v:shape id="直接箭头连接符 1384473313" o:spid="_x0000_s1186" type="#_x0000_t32" style="position:absolute;left:39604;top:7038;width:0;height:126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" strokecolor="black [3200]" strokeweight=".5pt">
                  <v:stroke startarrow="block" endarrow="block" joinstyle="miter"/>
                </v:shape>
                <v:shape id="直接箭头连接符 568822457" o:spid="_x0000_s1187" type="#_x0000_t32" style="position:absolute;left:42005;top:48773;width:1522;height:24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" strokecolor="black [3200]" strokeweight=".5pt">
                  <v:stroke startarrow="block" endarrow="block" joinstyle="miter"/>
                </v:shape>
                <v:shape id="直接箭头连接符 1861805733" o:spid="_x0000_s1188" type="#_x0000_t32" style="position:absolute;left:16468;top:47730;width:25143;height:34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" strokecolor="black [3200]" strokeweight=".5pt">
                  <v:stroke startarrow="block" endarrow="block" joinstyle="miter"/>
                </v:shape>
                <v:shape id="文本框 1" o:spid="_x0000_s1189" type="#_x0000_t202" style="position:absolute;left:18792;top:44188;width:11887;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" filled="f" stroked="f">
                  <v:textbox>
                    <w:txbxContent>
                      <w:p w14:paraId="2CBEB40C" w14:textId="77777777" w:rsidR="00502148"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服务区内部道路</w:t>
                        </w:r>
                      </w:p>
                    </w:txbxContent>
                  </v:textbox>
                </v:shape>
                <v:shape id="文本框 1" o:spid="_x0000_s1190" type="#_x0000_t202" style="position:absolute;left:39451;top:10218;width:5525;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" filled="f" stroked="f">
                  <v:textbox>
                    <w:txbxContent>
                      <w:p w14:paraId="50B645B9" w14:textId="77777777" w:rsidR="00502148" w:rsidRDefault="00000000">
                        <w:pPr>
                          <w:spacing w:line="240" w:lineRule="auto"/>
                          <w:ind w:firstLineChars="0" w:firstLine="0"/>
                          <w:rPr>
                            <w:rFonts w:ascii="Times New Roman" w:eastAsiaTheme="minorEastAsia" w:cs="Times New Roman" w:hint="eastAsia"/>
                            <w:sz w:val="21"/>
                            <w:szCs w:val="21"/>
                            <w14:ligatures w14:val="none"/>
                          </w:rPr>
                        </w:pPr>
                        <w:r>
                          <w:rPr>
                            <w:rFonts w:ascii="Times New Roman" w:eastAsiaTheme="minorEastAsia" w:cs="Times New Roman" w:hint="eastAsia"/>
                            <w:sz w:val="21"/>
                            <w:szCs w:val="21"/>
                          </w:rPr>
                          <w:t>27.9m</w:t>
                        </w:r>
                      </w:p>
                    </w:txbxContent>
                  </v:textbox>
                </v:shape>
                <v:shape id="文本框 1" o:spid="_x0000_s1191" type="#_x0000_t202" style="position:absolute;left:27189;top:13473;width:5373;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" filled="f" stroked="f">
                  <v:textbox>
                    <w:txbxContent>
                      <w:p w14:paraId="6885FF38"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w:t>
                        </w:r>
                        <w:r>
                          <w:rPr>
                            <w:rFonts w:ascii="Times New Roman" w:eastAsia="宋体" w:hAnsi="Times New Roman" w:cs="Times New Roman" w:hint="eastAsia"/>
                            <w:sz w:val="21"/>
                            <w:szCs w:val="21"/>
                          </w:rPr>
                          <w:t>1</w:t>
                        </w:r>
                        <w:r>
                          <w:rPr>
                            <w:rFonts w:ascii="Times New Roman" w:eastAsia="宋体" w:hAnsi="Times New Roman" w:cs="Times New Roman"/>
                            <w:sz w:val="21"/>
                            <w:szCs w:val="21"/>
                          </w:rPr>
                          <w:t>m</w:t>
                        </w:r>
                      </w:p>
                    </w:txbxContent>
                  </v:textbox>
                </v:shape>
                <v:shape id="文本框 1" o:spid="_x0000_s1192" type="#_x0000_t202" style="position:absolute;left:19065;top:24377;width:5785;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" filled="f" stroked="f">
                  <v:textbox>
                    <w:txbxContent>
                      <w:p w14:paraId="5DE6DB27"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42.5</w:t>
                        </w:r>
                        <w:r>
                          <w:rPr>
                            <w:rFonts w:ascii="Times New Roman" w:eastAsia="等线" w:hAnsi="Times New Roman" w:cs="Times New Roman"/>
                            <w:sz w:val="21"/>
                            <w:szCs w:val="21"/>
                          </w:rPr>
                          <w:t>m</w:t>
                        </w:r>
                      </w:p>
                    </w:txbxContent>
                  </v:textbox>
                </v:shape>
                <v:shape id="文本框 1" o:spid="_x0000_s1193" type="#_x0000_t202" style="position:absolute;left:35764;top:30177;width:4996;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" filled="f" stroked="f">
                  <v:textbox>
                    <w:txbxContent>
                      <w:p w14:paraId="4634BB66"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6.2</w:t>
                        </w:r>
                        <w:r>
                          <w:rPr>
                            <w:rFonts w:ascii="Times New Roman" w:eastAsia="等线" w:hAnsi="Times New Roman" w:cs="Times New Roman"/>
                            <w:sz w:val="21"/>
                            <w:szCs w:val="21"/>
                          </w:rPr>
                          <w:t>m</w:t>
                        </w:r>
                      </w:p>
                    </w:txbxContent>
                  </v:textbox>
                </v:shape>
                <v:shape id="文本框 1" o:spid="_x0000_s1194" type="#_x0000_t202" style="position:absolute;left:20310;top:36480;width:568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" filled="f" stroked="f">
                  <v:textbox>
                    <w:txbxContent>
                      <w:p w14:paraId="33DDD062"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42.4</w:t>
                        </w:r>
                        <w:r>
                          <w:rPr>
                            <w:rFonts w:ascii="Times New Roman" w:eastAsia="等线" w:hAnsi="Times New Roman" w:cs="Times New Roman"/>
                            <w:sz w:val="21"/>
                            <w:szCs w:val="21"/>
                          </w:rPr>
                          <w:t>m</w:t>
                        </w:r>
                      </w:p>
                    </w:txbxContent>
                  </v:textbox>
                </v:shape>
                <v:shape id="文本框 1" o:spid="_x0000_s1195" type="#_x0000_t202" style="position:absolute;left:25156;top:49454;width:4466;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" filled="f" stroked="f">
                  <v:textbox>
                    <w:txbxContent>
                      <w:p w14:paraId="32D9FC01"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宋体" w:hAnsi="Times New Roman" w:cs="Times New Roman" w:hint="eastAsia"/>
                            <w:sz w:val="21"/>
                            <w:szCs w:val="21"/>
                          </w:rPr>
                          <w:t>28</w:t>
                        </w:r>
                        <w:r>
                          <w:rPr>
                            <w:rFonts w:ascii="Times New Roman" w:eastAsia="宋体" w:hAnsi="Times New Roman" w:cs="Times New Roman"/>
                            <w:sz w:val="21"/>
                            <w:szCs w:val="21"/>
                          </w:rPr>
                          <w:t>m</w:t>
                        </w:r>
                      </w:p>
                    </w:txbxContent>
                  </v:textbox>
                </v:shape>
                <v:shape id="文本框 1" o:spid="_x0000_s1196" type="#_x0000_t202" style="position:absolute;left:41915;top:37181;width:5455;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" filled="f" stroked="f">
                  <v:textbox>
                    <w:txbxContent>
                      <w:p w14:paraId="3BC446CA"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8.8</w:t>
                        </w:r>
                        <w:r>
                          <w:rPr>
                            <w:rFonts w:ascii="Times New Roman" w:eastAsia="等线" w:hAnsi="Times New Roman" w:cs="Times New Roman"/>
                            <w:sz w:val="21"/>
                            <w:szCs w:val="21"/>
                          </w:rPr>
                          <w:t>m</w:t>
                        </w:r>
                      </w:p>
                    </w:txbxContent>
                  </v:textbox>
                </v:shape>
                <v:shape id="文本框 1" o:spid="_x0000_s1197" type="#_x0000_t202" style="position:absolute;left:42291;top:50001;width:4076;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" filled="f" stroked="f">
                  <v:textbox>
                    <w:txbxContent>
                      <w:p w14:paraId="6E03224F"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9</w:t>
                        </w:r>
                        <w:r>
                          <w:rPr>
                            <w:rFonts w:ascii="Times New Roman" w:eastAsia="等线" w:hAnsi="Times New Roman" w:cs="Times New Roman"/>
                            <w:sz w:val="21"/>
                            <w:szCs w:val="21"/>
                          </w:rPr>
                          <w:t>m</w:t>
                        </w:r>
                      </w:p>
                    </w:txbxContent>
                  </v:textbox>
                </v:shape>
                <v:shape id="直接箭头连接符 383034154" o:spid="_x0000_s1198" type="#_x0000_t32" style="position:absolute;left:41519;top:31929;width:11059;height:14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" strokecolor="black [3200]" strokeweight=".5pt">
                  <v:stroke startarrow="block" endarrow="block" joinstyle="miter"/>
                </v:shape>
                <v:shape id="文本框 1" o:spid="_x0000_s1199" type="#_x0000_t202" style="position:absolute;left:44976;top:30704;width:541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" filled="f" stroked="f">
                  <v:textbox>
                    <w:txbxContent>
                      <w:p w14:paraId="3001F141" w14:textId="77777777" w:rsidR="00502148"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20.3</w:t>
                        </w:r>
                        <w:r>
                          <w:rPr>
                            <w:rFonts w:ascii="Times New Roman" w:eastAsia="等线" w:hAnsi="Times New Roman" w:cs="Times New Roman"/>
                            <w:sz w:val="21"/>
                            <w:szCs w:val="21"/>
                          </w:rPr>
                          <w:t>m</w:t>
                        </w:r>
                      </w:p>
                    </w:txbxContent>
                  </v:textbox>
                </v:shape>
                <v:line id="直接连接符 1611782296" o:spid="_x0000_s1200" style="position:absolute;visibility:visible;mso-wrap-style:square" from="25994,13228" to="25994,4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" strokecolor="#e00" strokeweight="1.5pt">
                  <v:stroke joinstyle="miter"/>
                </v:line>
                <v:line id="直接连接符 869949067" o:spid="_x0000_s1201" style="position:absolute;visibility:visible;mso-wrap-style:square" from="25994,13227" to="46707,13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" strokecolor="#e00" strokeweight="1.5pt">
                  <v:stroke joinstyle="miter"/>
                </v:line>
                <v:line id="直接连接符 345351819" o:spid="_x0000_s1202" style="position:absolute;visibility:visible;mso-wrap-style:square" from="25994,41658" to="40760,416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" strokecolor="#e00" strokeweight="1.5pt">
                  <v:stroke joinstyle="miter"/>
                </v:line>
                <v:line id="直接连接符 1740783430" o:spid="_x0000_s1203" style="position:absolute;flip:x;visibility:visible;mso-wrap-style:square" from="37623,41662" to="40760,47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" strokecolor="#e00" strokeweight="1.5pt">
                  <v:stroke joinstyle="miter"/>
                </v:line>
                <v:line id="直接连接符 181746225" o:spid="_x0000_s1204" style="position:absolute;visibility:visible;mso-wrap-style:square" from="46683,13266" to="46683,30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" strokecolor="#e00" strokeweight="1.5pt">
                  <v:stroke joinstyle="miter"/>
                </v:line>
                <v:line id="直接连接符 496235490" o:spid="_x0000_s1205" style="position:absolute;visibility:visible;mso-wrap-style:square" from="46738,30175" to="60674,30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" strokecolor="#e00" strokeweight="1.5pt">
                  <v:stroke joinstyle="miter"/>
                </v:line>
                <v:line id="直接连接符 1470830788" o:spid="_x0000_s1206" style="position:absolute;flip:y;visibility:visible;mso-wrap-style:square" from="47370,30175" to="60674,53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" strokecolor="#e00" strokeweight="1.5pt">
                  <v:stroke joinstyle="miter"/>
                </v:line>
                <v:line id="直接连接符 1804532288" o:spid="_x0000_s1207" style="position:absolute;flip:x y;visibility:visible;mso-wrap-style:square" from="37623,47726" to="47466,53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" strokecolor="#e00" strokeweight="1.5pt">
                  <v:stroke joinstyle="miter"/>
                </v:line>
                <v:shape id="文本框 1" o:spid="_x0000_s1208" type="#_x0000_t202" style="position:absolute;left:9728;top:61368;width:1894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" filled="f" stroked="f">
                  <v:textbox>
                    <w:txbxContent>
                      <w:p w14:paraId="3AEB766D" w14:textId="77777777" w:rsidR="00502148"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注：</w:t>
                        </w:r>
                        <w:r>
                          <w:rPr>
                            <w:rFonts w:ascii="Times New Roman" w:eastAsia="宋体" w:hAnsi="Times New Roman" w:cs="Times New Roman" w:hint="eastAsia"/>
                            <w:sz w:val="21"/>
                            <w:szCs w:val="21"/>
                          </w:rPr>
                          <w:t>红色区域为本次评价范围</w:t>
                        </w:r>
                      </w:p>
                    </w:txbxContent>
                  </v:textbox>
                </v:shape>
                <w10:anchorlock/>
              </v:group>
            </w:pict>
          </mc:Fallback>
        </mc:AlternateContent>
      </w:r>
    </w:p>
    <w:p w14:paraId="6ADA2CBD" w14:textId="77777777" w:rsidR="00502148" w:rsidRDefault="00000000">
      <w:pPr>
        <w:pStyle w:val="aff7"/>
        <w:ind w:firstLine="482"/>
        <w:rPr>
          <w:rFonts w:eastAsia="黑体"/>
          <w:sz w:val="24"/>
        </w:rPr>
      </w:pPr>
      <w:r>
        <w:rPr>
          <w:rFonts w:eastAsia="黑体"/>
          <w:sz w:val="24"/>
        </w:rPr>
        <w:t>图</w:t>
      </w:r>
      <w:r>
        <w:rPr>
          <w:rFonts w:eastAsia="黑体"/>
          <w:sz w:val="24"/>
        </w:rPr>
        <w:t>2.6-5</w:t>
      </w:r>
      <w:r>
        <w:rPr>
          <w:rFonts w:eastAsia="黑体" w:hint="eastAsia"/>
          <w:sz w:val="24"/>
        </w:rPr>
        <w:t xml:space="preserve"> </w:t>
      </w:r>
      <w:r>
        <w:rPr>
          <w:rFonts w:eastAsia="黑体"/>
          <w:sz w:val="24"/>
        </w:rPr>
        <w:t xml:space="preserve"> </w:t>
      </w:r>
      <w:r>
        <w:rPr>
          <w:rFonts w:eastAsia="黑体" w:hint="eastAsia"/>
          <w:sz w:val="24"/>
        </w:rPr>
        <w:t>周边环境及总平面布置</w:t>
      </w:r>
      <w:r>
        <w:rPr>
          <w:rFonts w:eastAsia="黑体"/>
          <w:sz w:val="24"/>
        </w:rPr>
        <w:t>图</w:t>
      </w:r>
    </w:p>
    <w:p w14:paraId="4EF33D1B" w14:textId="77777777" w:rsidR="00502148" w:rsidRDefault="00000000">
      <w:pPr>
        <w:ind w:firstLineChars="0" w:firstLine="0"/>
        <w:rPr>
          <w:rFonts w:ascii="Times New Roman" w:eastAsia="宋体" w:hAnsi="Times New Roman" w:cs="宋体"/>
          <w:szCs w:val="28"/>
          <w:lang w:bidi="ar"/>
          <w14:ligatures w14:val="none"/>
        </w:rPr>
      </w:pPr>
      <w:r>
        <w:rPr>
          <w:rFonts w:ascii="Times New Roman" w:eastAsia="宋体" w:hAnsi="Times New Roman" w:cs="宋体" w:hint="eastAsia"/>
          <w:noProof/>
          <w:szCs w:val="28"/>
          <w:lang w:bidi="ar"/>
        </w:rPr>
        <w:lastRenderedPageBreak/>
        <mc:AlternateContent>
          <mc:Choice Requires="wpc">
            <w:drawing>
              <wp:inline distT="0" distB="0" distL="0" distR="0" wp14:anchorId="27041F1D" wp14:editId="642A5C32">
                <wp:extent cx="5876925" cy="2279015"/>
                <wp:effectExtent l="0" t="0" r="9525" b="26035"/>
                <wp:docPr id="262320194" name="画布 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762870162" name="直接连接符 1762870162"/>
                        <wps:cNvCnPr/>
                        <wps:spPr>
                          <a:xfrm>
                            <a:off x="1257299" y="63735"/>
                            <a:ext cx="0" cy="2219325"/>
                          </a:xfrm>
                          <a:prstGeom prst="line">
                            <a:avLst/>
                          </a:prstGeom>
                        </wps:spPr>
                        <wps:style>
                          <a:lnRef idx="1">
                            <a:schemeClr val="dk1"/>
                          </a:lnRef>
                          <a:fillRef idx="0">
                            <a:schemeClr val="dk1"/>
                          </a:fillRef>
                          <a:effectRef idx="0">
                            <a:schemeClr val="dk1"/>
                          </a:effectRef>
                          <a:fontRef idx="minor">
                            <a:schemeClr val="tx1"/>
                          </a:fontRef>
                        </wps:style>
                        <wps:bodyPr/>
                      </wps:wsp>
                      <wps:wsp>
                        <wps:cNvPr id="1998734621" name="直接连接符 1998734621"/>
                        <wps:cNvCnPr/>
                        <wps:spPr>
                          <a:xfrm>
                            <a:off x="1257299" y="2283062"/>
                            <a:ext cx="3324225" cy="0"/>
                          </a:xfrm>
                          <a:prstGeom prst="line">
                            <a:avLst/>
                          </a:prstGeom>
                        </wps:spPr>
                        <wps:style>
                          <a:lnRef idx="1">
                            <a:schemeClr val="dk1"/>
                          </a:lnRef>
                          <a:fillRef idx="0">
                            <a:schemeClr val="dk1"/>
                          </a:fillRef>
                          <a:effectRef idx="0">
                            <a:schemeClr val="dk1"/>
                          </a:effectRef>
                          <a:fontRef idx="minor">
                            <a:schemeClr val="tx1"/>
                          </a:fontRef>
                        </wps:style>
                        <wps:bodyPr/>
                      </wps:wsp>
                      <wps:wsp>
                        <wps:cNvPr id="1374600044" name="直接连接符 1374600044"/>
                        <wps:cNvCnPr/>
                        <wps:spPr>
                          <a:xfrm>
                            <a:off x="3914774" y="63737"/>
                            <a:ext cx="657225" cy="0"/>
                          </a:xfrm>
                          <a:prstGeom prst="line">
                            <a:avLst/>
                          </a:prstGeom>
                        </wps:spPr>
                        <wps:style>
                          <a:lnRef idx="1">
                            <a:schemeClr val="dk1"/>
                          </a:lnRef>
                          <a:fillRef idx="0">
                            <a:schemeClr val="dk1"/>
                          </a:fillRef>
                          <a:effectRef idx="0">
                            <a:schemeClr val="dk1"/>
                          </a:effectRef>
                          <a:fontRef idx="minor">
                            <a:schemeClr val="tx1"/>
                          </a:fontRef>
                        </wps:style>
                        <wps:bodyPr/>
                      </wps:wsp>
                      <wps:wsp>
                        <wps:cNvPr id="1957829334" name="直接连接符 1957829334"/>
                        <wps:cNvCnPr/>
                        <wps:spPr>
                          <a:xfrm flipV="1">
                            <a:off x="3371849" y="424074"/>
                            <a:ext cx="0" cy="629283"/>
                          </a:xfrm>
                          <a:prstGeom prst="line">
                            <a:avLst/>
                          </a:prstGeom>
                        </wps:spPr>
                        <wps:style>
                          <a:lnRef idx="1">
                            <a:schemeClr val="dk1"/>
                          </a:lnRef>
                          <a:fillRef idx="0">
                            <a:schemeClr val="dk1"/>
                          </a:fillRef>
                          <a:effectRef idx="0">
                            <a:schemeClr val="dk1"/>
                          </a:effectRef>
                          <a:fontRef idx="minor">
                            <a:schemeClr val="tx1"/>
                          </a:fontRef>
                        </wps:style>
                        <wps:bodyPr/>
                      </wps:wsp>
                      <wps:wsp>
                        <wps:cNvPr id="1759437071" name="直接连接符 1759437071"/>
                        <wps:cNvCnPr/>
                        <wps:spPr>
                          <a:xfrm>
                            <a:off x="3371849" y="416162"/>
                            <a:ext cx="542925" cy="0"/>
                          </a:xfrm>
                          <a:prstGeom prst="line">
                            <a:avLst/>
                          </a:prstGeom>
                        </wps:spPr>
                        <wps:style>
                          <a:lnRef idx="1">
                            <a:schemeClr val="dk1"/>
                          </a:lnRef>
                          <a:fillRef idx="0">
                            <a:schemeClr val="dk1"/>
                          </a:fillRef>
                          <a:effectRef idx="0">
                            <a:schemeClr val="dk1"/>
                          </a:effectRef>
                          <a:fontRef idx="minor">
                            <a:schemeClr val="tx1"/>
                          </a:fontRef>
                        </wps:style>
                        <wps:bodyPr/>
                      </wps:wsp>
                      <wps:wsp>
                        <wps:cNvPr id="1072710798" name="直接连接符 1072710798"/>
                        <wps:cNvCnPr/>
                        <wps:spPr>
                          <a:xfrm>
                            <a:off x="2867024" y="63737"/>
                            <a:ext cx="504825" cy="352425"/>
                          </a:xfrm>
                          <a:prstGeom prst="line">
                            <a:avLst/>
                          </a:prstGeom>
                        </wps:spPr>
                        <wps:style>
                          <a:lnRef idx="1">
                            <a:schemeClr val="dk1"/>
                          </a:lnRef>
                          <a:fillRef idx="0">
                            <a:schemeClr val="dk1"/>
                          </a:fillRef>
                          <a:effectRef idx="0">
                            <a:schemeClr val="dk1"/>
                          </a:effectRef>
                          <a:fontRef idx="minor">
                            <a:schemeClr val="tx1"/>
                          </a:fontRef>
                        </wps:style>
                        <wps:bodyPr/>
                      </wps:wsp>
                      <wps:wsp>
                        <wps:cNvPr id="1917777079" name="直接连接符 1917777079"/>
                        <wps:cNvCnPr/>
                        <wps:spPr>
                          <a:xfrm>
                            <a:off x="1257299" y="63737"/>
                            <a:ext cx="1609725" cy="0"/>
                          </a:xfrm>
                          <a:prstGeom prst="line">
                            <a:avLst/>
                          </a:prstGeom>
                        </wps:spPr>
                        <wps:style>
                          <a:lnRef idx="1">
                            <a:schemeClr val="dk1"/>
                          </a:lnRef>
                          <a:fillRef idx="0">
                            <a:schemeClr val="dk1"/>
                          </a:fillRef>
                          <a:effectRef idx="0">
                            <a:schemeClr val="dk1"/>
                          </a:effectRef>
                          <a:fontRef idx="minor">
                            <a:schemeClr val="tx1"/>
                          </a:fontRef>
                        </wps:style>
                        <wps:bodyPr/>
                      </wps:wsp>
                      <wps:wsp>
                        <wps:cNvPr id="1642165573" name="直接连接符 1642165573"/>
                        <wps:cNvCnPr/>
                        <wps:spPr>
                          <a:xfrm>
                            <a:off x="4581524" y="63735"/>
                            <a:ext cx="0" cy="2219325"/>
                          </a:xfrm>
                          <a:prstGeom prst="line">
                            <a:avLst/>
                          </a:prstGeom>
                        </wps:spPr>
                        <wps:style>
                          <a:lnRef idx="1">
                            <a:schemeClr val="dk1"/>
                          </a:lnRef>
                          <a:fillRef idx="0">
                            <a:schemeClr val="dk1"/>
                          </a:fillRef>
                          <a:effectRef idx="0">
                            <a:schemeClr val="dk1"/>
                          </a:effectRef>
                          <a:fontRef idx="minor">
                            <a:schemeClr val="tx1"/>
                          </a:fontRef>
                        </wps:style>
                        <wps:bodyPr/>
                      </wps:wsp>
                      <wps:wsp>
                        <wps:cNvPr id="578198247" name="直接连接符 578198247"/>
                        <wps:cNvCnPr/>
                        <wps:spPr>
                          <a:xfrm>
                            <a:off x="1257299" y="1480361"/>
                            <a:ext cx="2171701" cy="0"/>
                          </a:xfrm>
                          <a:prstGeom prst="line">
                            <a:avLst/>
                          </a:prstGeom>
                        </wps:spPr>
                        <wps:style>
                          <a:lnRef idx="1">
                            <a:schemeClr val="dk1"/>
                          </a:lnRef>
                          <a:fillRef idx="0">
                            <a:schemeClr val="dk1"/>
                          </a:fillRef>
                          <a:effectRef idx="0">
                            <a:schemeClr val="dk1"/>
                          </a:effectRef>
                          <a:fontRef idx="minor">
                            <a:schemeClr val="tx1"/>
                          </a:fontRef>
                        </wps:style>
                        <wps:bodyPr/>
                      </wps:wsp>
                      <wps:wsp>
                        <wps:cNvPr id="1140960286" name="直接连接符 1140960286"/>
                        <wps:cNvCnPr/>
                        <wps:spPr>
                          <a:xfrm>
                            <a:off x="3905248" y="63735"/>
                            <a:ext cx="0" cy="989622"/>
                          </a:xfrm>
                          <a:prstGeom prst="line">
                            <a:avLst/>
                          </a:prstGeom>
                        </wps:spPr>
                        <wps:style>
                          <a:lnRef idx="1">
                            <a:schemeClr val="dk1"/>
                          </a:lnRef>
                          <a:fillRef idx="0">
                            <a:schemeClr val="dk1"/>
                          </a:fillRef>
                          <a:effectRef idx="0">
                            <a:schemeClr val="dk1"/>
                          </a:effectRef>
                          <a:fontRef idx="minor">
                            <a:schemeClr val="tx1"/>
                          </a:fontRef>
                        </wps:style>
                        <wps:bodyPr/>
                      </wps:wsp>
                      <wps:wsp>
                        <wps:cNvPr id="55671332" name="直接连接符 55671332"/>
                        <wps:cNvCnPr/>
                        <wps:spPr>
                          <a:xfrm>
                            <a:off x="3905248" y="624097"/>
                            <a:ext cx="666750" cy="0"/>
                          </a:xfrm>
                          <a:prstGeom prst="line">
                            <a:avLst/>
                          </a:prstGeom>
                        </wps:spPr>
                        <wps:style>
                          <a:lnRef idx="1">
                            <a:schemeClr val="dk1"/>
                          </a:lnRef>
                          <a:fillRef idx="0">
                            <a:schemeClr val="dk1"/>
                          </a:fillRef>
                          <a:effectRef idx="0">
                            <a:schemeClr val="dk1"/>
                          </a:effectRef>
                          <a:fontRef idx="minor">
                            <a:schemeClr val="tx1"/>
                          </a:fontRef>
                        </wps:style>
                        <wps:bodyPr/>
                      </wps:wsp>
                      <wps:wsp>
                        <wps:cNvPr id="307806085" name="直接连接符 307806085"/>
                        <wps:cNvCnPr/>
                        <wps:spPr>
                          <a:xfrm flipV="1">
                            <a:off x="2638424" y="1472450"/>
                            <a:ext cx="0" cy="810610"/>
                          </a:xfrm>
                          <a:prstGeom prst="line">
                            <a:avLst/>
                          </a:prstGeom>
                        </wps:spPr>
                        <wps:style>
                          <a:lnRef idx="1">
                            <a:schemeClr val="dk1"/>
                          </a:lnRef>
                          <a:fillRef idx="0">
                            <a:schemeClr val="dk1"/>
                          </a:fillRef>
                          <a:effectRef idx="0">
                            <a:schemeClr val="dk1"/>
                          </a:effectRef>
                          <a:fontRef idx="minor">
                            <a:schemeClr val="tx1"/>
                          </a:fontRef>
                        </wps:style>
                        <wps:bodyPr/>
                      </wps:wsp>
                      <wps:wsp>
                        <wps:cNvPr id="2137306335" name="直接连接符 2137306335"/>
                        <wps:cNvCnPr/>
                        <wps:spPr>
                          <a:xfrm flipV="1">
                            <a:off x="3429000" y="1480361"/>
                            <a:ext cx="0" cy="802699"/>
                          </a:xfrm>
                          <a:prstGeom prst="line">
                            <a:avLst/>
                          </a:prstGeom>
                        </wps:spPr>
                        <wps:style>
                          <a:lnRef idx="1">
                            <a:schemeClr val="dk1"/>
                          </a:lnRef>
                          <a:fillRef idx="0">
                            <a:schemeClr val="dk1"/>
                          </a:fillRef>
                          <a:effectRef idx="0">
                            <a:schemeClr val="dk1"/>
                          </a:effectRef>
                          <a:fontRef idx="minor">
                            <a:schemeClr val="tx1"/>
                          </a:fontRef>
                        </wps:style>
                        <wps:bodyPr/>
                      </wps:wsp>
                      <wps:wsp>
                        <wps:cNvPr id="1008756933" name="直接连接符 1008756933"/>
                        <wps:cNvCnPr/>
                        <wps:spPr>
                          <a:xfrm>
                            <a:off x="1257299" y="1053357"/>
                            <a:ext cx="3314699" cy="0"/>
                          </a:xfrm>
                          <a:prstGeom prst="line">
                            <a:avLst/>
                          </a:prstGeom>
                        </wps:spPr>
                        <wps:style>
                          <a:lnRef idx="1">
                            <a:schemeClr val="dk1"/>
                          </a:lnRef>
                          <a:fillRef idx="0">
                            <a:schemeClr val="dk1"/>
                          </a:fillRef>
                          <a:effectRef idx="0">
                            <a:schemeClr val="dk1"/>
                          </a:effectRef>
                          <a:fontRef idx="minor">
                            <a:schemeClr val="tx1"/>
                          </a:fontRef>
                        </wps:style>
                        <wps:bodyPr/>
                      </wps:wsp>
                      <wps:wsp>
                        <wps:cNvPr id="1169337792" name="直接连接符 1169337792"/>
                        <wps:cNvCnPr/>
                        <wps:spPr>
                          <a:xfrm flipV="1">
                            <a:off x="1943098" y="1480361"/>
                            <a:ext cx="0" cy="799124"/>
                          </a:xfrm>
                          <a:prstGeom prst="line">
                            <a:avLst/>
                          </a:prstGeom>
                        </wps:spPr>
                        <wps:style>
                          <a:lnRef idx="1">
                            <a:schemeClr val="dk1"/>
                          </a:lnRef>
                          <a:fillRef idx="0">
                            <a:schemeClr val="dk1"/>
                          </a:fillRef>
                          <a:effectRef idx="0">
                            <a:schemeClr val="dk1"/>
                          </a:effectRef>
                          <a:fontRef idx="minor">
                            <a:schemeClr val="tx1"/>
                          </a:fontRef>
                        </wps:style>
                        <wps:bodyPr/>
                      </wps:wsp>
                      <wps:wsp>
                        <wps:cNvPr id="894950682" name="直接连接符 894950682"/>
                        <wps:cNvCnPr/>
                        <wps:spPr>
                          <a:xfrm flipV="1">
                            <a:off x="2867024" y="63735"/>
                            <a:ext cx="0" cy="989622"/>
                          </a:xfrm>
                          <a:prstGeom prst="line">
                            <a:avLst/>
                          </a:prstGeom>
                        </wps:spPr>
                        <wps:style>
                          <a:lnRef idx="1">
                            <a:schemeClr val="dk1"/>
                          </a:lnRef>
                          <a:fillRef idx="0">
                            <a:schemeClr val="dk1"/>
                          </a:fillRef>
                          <a:effectRef idx="0">
                            <a:schemeClr val="dk1"/>
                          </a:effectRef>
                          <a:fontRef idx="minor">
                            <a:schemeClr val="tx1"/>
                          </a:fontRef>
                        </wps:style>
                        <wps:bodyPr/>
                      </wps:wsp>
                      <wps:wsp>
                        <wps:cNvPr id="115698344" name="直接连接符 115698344"/>
                        <wps:cNvCnPr/>
                        <wps:spPr>
                          <a:xfrm>
                            <a:off x="1857374" y="63735"/>
                            <a:ext cx="0" cy="989622"/>
                          </a:xfrm>
                          <a:prstGeom prst="line">
                            <a:avLst/>
                          </a:prstGeom>
                        </wps:spPr>
                        <wps:style>
                          <a:lnRef idx="1">
                            <a:schemeClr val="dk1"/>
                          </a:lnRef>
                          <a:fillRef idx="0">
                            <a:schemeClr val="dk1"/>
                          </a:fillRef>
                          <a:effectRef idx="0">
                            <a:schemeClr val="dk1"/>
                          </a:effectRef>
                          <a:fontRef idx="minor">
                            <a:schemeClr val="tx1"/>
                          </a:fontRef>
                        </wps:style>
                        <wps:bodyPr/>
                      </wps:wsp>
                      <wps:wsp>
                        <wps:cNvPr id="237435890" name="直接连接符 237435890"/>
                        <wps:cNvCnPr/>
                        <wps:spPr>
                          <a:xfrm>
                            <a:off x="1257299" y="406639"/>
                            <a:ext cx="600075" cy="0"/>
                          </a:xfrm>
                          <a:prstGeom prst="line">
                            <a:avLst/>
                          </a:prstGeom>
                        </wps:spPr>
                        <wps:style>
                          <a:lnRef idx="1">
                            <a:schemeClr val="dk1"/>
                          </a:lnRef>
                          <a:fillRef idx="0">
                            <a:schemeClr val="dk1"/>
                          </a:fillRef>
                          <a:effectRef idx="0">
                            <a:schemeClr val="dk1"/>
                          </a:effectRef>
                          <a:fontRef idx="minor">
                            <a:schemeClr val="tx1"/>
                          </a:fontRef>
                        </wps:style>
                        <wps:bodyPr/>
                      </wps:wsp>
                      <wps:wsp>
                        <wps:cNvPr id="29172857" name="直接箭头连接符 29172857"/>
                        <wps:cNvCnPr/>
                        <wps:spPr>
                          <a:xfrm flipH="1" flipV="1">
                            <a:off x="514350" y="180000"/>
                            <a:ext cx="549275" cy="2070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729784" name="文本框 1"/>
                        <wps:cNvSpPr txBox="1"/>
                        <wps:spPr>
                          <a:xfrm>
                            <a:off x="514350" y="428285"/>
                            <a:ext cx="381000"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D6A2AF3" w14:textId="77777777" w:rsidR="00502148" w:rsidRDefault="00000000">
                              <w:pPr>
                                <w:spacing w:line="240" w:lineRule="auto"/>
                                <w:ind w:firstLineChars="0" w:firstLine="0"/>
                                <w:rPr>
                                  <w:rFonts w:ascii="Times New Roman" w:hAnsi="Times New Roman" w:cs="Times New Roman"/>
                                  <w:sz w:val="21"/>
                                  <w:szCs w:val="21"/>
                                  <w14:ligatures w14:val="none"/>
                                </w:rPr>
                              </w:pPr>
                              <w:r>
                                <w:rPr>
                                  <w:rFonts w:ascii="Times New Roman" w:hAnsi="Times New Roman" w:cs="Times New Roman"/>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696211848" name="文本框 1"/>
                        <wps:cNvSpPr txBox="1"/>
                        <wps:spPr>
                          <a:xfrm>
                            <a:off x="3675192" y="1555641"/>
                            <a:ext cx="611058"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373BE9"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营业厅</w:t>
                              </w:r>
                            </w:p>
                          </w:txbxContent>
                        </wps:txbx>
                        <wps:bodyPr rot="0" spcFirstLastPara="0" vert="horz" wrap="square" lIns="91440" tIns="45720" rIns="91440" bIns="45720" numCol="1" spcCol="0" rtlCol="0" fromWordArt="0" anchor="t" anchorCtr="0" forceAA="0" compatLnSpc="1">
                          <a:noAutofit/>
                        </wps:bodyPr>
                      </wps:wsp>
                      <wps:wsp>
                        <wps:cNvPr id="1065126364" name="文本框 1"/>
                        <wps:cNvSpPr txBox="1"/>
                        <wps:spPr>
                          <a:xfrm>
                            <a:off x="2745158" y="1763483"/>
                            <a:ext cx="685793"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BF5CDB"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收银室</w:t>
                              </w:r>
                            </w:p>
                          </w:txbxContent>
                        </wps:txbx>
                        <wps:bodyPr rot="0" spcFirstLastPara="0" vert="horz" wrap="square" lIns="91440" tIns="45720" rIns="91440" bIns="45720" numCol="1" spcCol="0" rtlCol="0" fromWordArt="0" anchor="t" anchorCtr="0" forceAA="0" compatLnSpc="1">
                          <a:noAutofit/>
                        </wps:bodyPr>
                      </wps:wsp>
                      <wps:wsp>
                        <wps:cNvPr id="2121952609" name="文本框 1"/>
                        <wps:cNvSpPr txBox="1"/>
                        <wps:spPr>
                          <a:xfrm>
                            <a:off x="1943098" y="1761872"/>
                            <a:ext cx="629627"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72F8D86"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财务室</w:t>
                              </w:r>
                            </w:p>
                          </w:txbxContent>
                        </wps:txbx>
                        <wps:bodyPr rot="0" spcFirstLastPara="0" vert="horz" wrap="square" lIns="91440" tIns="45720" rIns="91440" bIns="45720" numCol="1" spcCol="0" rtlCol="0" fromWordArt="0" anchor="t" anchorCtr="0" forceAA="0" compatLnSpc="1">
                          <a:noAutofit/>
                        </wps:bodyPr>
                      </wps:wsp>
                      <wps:wsp>
                        <wps:cNvPr id="1535482025" name="文本框 1"/>
                        <wps:cNvSpPr txBox="1"/>
                        <wps:spPr>
                          <a:xfrm>
                            <a:off x="2801334" y="524984"/>
                            <a:ext cx="64965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6FBB48"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值班室</w:t>
                              </w:r>
                            </w:p>
                          </w:txbxContent>
                        </wps:txbx>
                        <wps:bodyPr rot="0" spcFirstLastPara="0" vert="horz" wrap="square" lIns="91440" tIns="45720" rIns="91440" bIns="45720" numCol="1" spcCol="0" rtlCol="0" fromWordArt="0" anchor="t" anchorCtr="0" forceAA="0" compatLnSpc="1">
                          <a:noAutofit/>
                        </wps:bodyPr>
                      </wps:wsp>
                      <wps:wsp>
                        <wps:cNvPr id="1843325253" name="文本框 1"/>
                        <wps:cNvSpPr txBox="1"/>
                        <wps:spPr>
                          <a:xfrm>
                            <a:off x="2379305" y="1146010"/>
                            <a:ext cx="47819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C66FBA"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走廊</w:t>
                              </w:r>
                            </w:p>
                          </w:txbxContent>
                        </wps:txbx>
                        <wps:bodyPr rot="0" spcFirstLastPara="0" vert="horz" wrap="square" lIns="91440" tIns="45720" rIns="91440" bIns="45720" numCol="1" spcCol="0" rtlCol="0" fromWordArt="0" anchor="t" anchorCtr="0" forceAA="0" compatLnSpc="1">
                          <a:noAutofit/>
                        </wps:bodyPr>
                      </wps:wsp>
                      <wps:wsp>
                        <wps:cNvPr id="1200065726" name="文本框 1"/>
                        <wps:cNvSpPr txBox="1"/>
                        <wps:spPr>
                          <a:xfrm>
                            <a:off x="4037142" y="700007"/>
                            <a:ext cx="47507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8EB2D1"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598591921" name="文本框 1"/>
                        <wps:cNvSpPr txBox="1"/>
                        <wps:spPr>
                          <a:xfrm>
                            <a:off x="4096924" y="224040"/>
                            <a:ext cx="47507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883160"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wps:txbx>
                        <wps:bodyPr rot="0" spcFirstLastPara="0" vert="horz" wrap="square" lIns="91440" tIns="45720" rIns="91440" bIns="45720" numCol="1" spcCol="0" rtlCol="0" fromWordArt="0" anchor="t" anchorCtr="0" forceAA="0" compatLnSpc="1">
                          <a:noAutofit/>
                        </wps:bodyPr>
                      </wps:wsp>
                      <wps:wsp>
                        <wps:cNvPr id="171034412" name="文本框 1"/>
                        <wps:cNvSpPr txBox="1"/>
                        <wps:spPr>
                          <a:xfrm>
                            <a:off x="3411900" y="624097"/>
                            <a:ext cx="468435"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86B4E0"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门斗</w:t>
                              </w:r>
                            </w:p>
                          </w:txbxContent>
                        </wps:txbx>
                        <wps:bodyPr rot="0" spcFirstLastPara="0" vert="horz" wrap="square" lIns="91440" tIns="45720" rIns="91440" bIns="45720" numCol="1" spcCol="0" rtlCol="0" fromWordArt="0" anchor="t" anchorCtr="0" forceAA="0" compatLnSpc="1">
                          <a:noAutofit/>
                        </wps:bodyPr>
                      </wps:wsp>
                      <wps:wsp>
                        <wps:cNvPr id="1224837341" name="文本框 1"/>
                        <wps:cNvSpPr txBox="1"/>
                        <wps:spPr>
                          <a:xfrm>
                            <a:off x="1268038" y="1781931"/>
                            <a:ext cx="589336"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5097865"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48749489" name="文本框 1"/>
                        <wps:cNvSpPr txBox="1"/>
                        <wps:spPr>
                          <a:xfrm>
                            <a:off x="2134580" y="524984"/>
                            <a:ext cx="610578"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EE893D"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办公室</w:t>
                              </w:r>
                            </w:p>
                          </w:txbxContent>
                        </wps:txbx>
                        <wps:bodyPr rot="0" spcFirstLastPara="0" vert="horz" wrap="square" lIns="91440" tIns="45720" rIns="91440" bIns="45720" numCol="1" spcCol="0" rtlCol="0" fromWordArt="0" anchor="t" anchorCtr="0" forceAA="0" compatLnSpc="1">
                          <a:noAutofit/>
                        </wps:bodyPr>
                      </wps:wsp>
                      <wps:wsp>
                        <wps:cNvPr id="2045651661" name="文本框 1"/>
                        <wps:cNvSpPr txBox="1"/>
                        <wps:spPr>
                          <a:xfrm>
                            <a:off x="1332523" y="681590"/>
                            <a:ext cx="486750"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03E7F4"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161276024" name="文本框 1"/>
                        <wps:cNvSpPr txBox="1"/>
                        <wps:spPr>
                          <a:xfrm>
                            <a:off x="1332523" y="138320"/>
                            <a:ext cx="524851" cy="28575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A534DE7"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27041F1D" id="画布 78" o:spid="_x0000_s1209" editas="canvas" style="width:462.75pt;height:179.45pt;mso-position-horizontal-relative:char;mso-position-vertical-relative:line" coordsize="58769,22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">
                <v:shape id="_x0000_s1210" type="#_x0000_t75" style="position:absolute;width:58769;height:22790;visibility:visible;mso-wrap-style:square" filled="t">
                  <v:fill o:detectmouseclick="t"/>
                  <v:path o:connecttype="none"/>
                </v:shape>
                <v:line id="直接连接符 1762870162" o:spid="_x0000_s1211" style="position:absolute;visibility:visible;mso-wrap-style:square" from="12572,637" to="12572,2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" strokecolor="black [3200]" strokeweight=".5pt">
                  <v:stroke joinstyle="miter"/>
                </v:line>
                <v:line id="直接连接符 1998734621" o:spid="_x0000_s1212" style="position:absolute;visibility:visible;mso-wrap-style:square" from="12572,22830" to="45815,2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" strokecolor="black [3200]" strokeweight=".5pt">
                  <v:stroke joinstyle="miter"/>
                </v:line>
                <v:line id="直接连接符 1374600044" o:spid="_x0000_s1213" style="position:absolute;visibility:visible;mso-wrap-style:square" from="39147,637" to="45719,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" strokecolor="black [3200]" strokeweight=".5pt">
                  <v:stroke joinstyle="miter"/>
                </v:line>
                <v:line id="直接连接符 1957829334" o:spid="_x0000_s1214" style="position:absolute;flip:y;visibility:visible;mso-wrap-style:square" from="33718,4240" to="33718,10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" strokecolor="black [3200]" strokeweight=".5pt">
                  <v:stroke joinstyle="miter"/>
                </v:line>
                <v:line id="直接连接符 1759437071" o:spid="_x0000_s1215" style="position:absolute;visibility:visible;mso-wrap-style:square" from="33718,4161" to="39147,41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" strokecolor="black [3200]" strokeweight=".5pt">
                  <v:stroke joinstyle="miter"/>
                </v:line>
                <v:line id="直接连接符 1072710798" o:spid="_x0000_s1216" style="position:absolute;visibility:visible;mso-wrap-style:square" from="28670,637" to="33718,41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" strokecolor="black [3200]" strokeweight=".5pt">
                  <v:stroke joinstyle="miter"/>
                </v:line>
                <v:line id="直接连接符 1917777079" o:spid="_x0000_s1217" style="position:absolute;visibility:visible;mso-wrap-style:square" from="12572,637" to="28670,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" strokecolor="black [3200]" strokeweight=".5pt">
                  <v:stroke joinstyle="miter"/>
                </v:line>
                <v:line id="直接连接符 1642165573" o:spid="_x0000_s1218" style="position:absolute;visibility:visible;mso-wrap-style:square" from="45815,637" to="45815,2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" strokecolor="black [3200]" strokeweight=".5pt">
                  <v:stroke joinstyle="miter"/>
                </v:line>
                <v:line id="直接连接符 578198247" o:spid="_x0000_s1219" style="position:absolute;visibility:visible;mso-wrap-style:square" from="12572,14803" to="34290,14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" strokecolor="black [3200]" strokeweight=".5pt">
                  <v:stroke joinstyle="miter"/>
                </v:line>
                <v:line id="直接连接符 1140960286" o:spid="_x0000_s1220" style="position:absolute;visibility:visible;mso-wrap-style:square" from="39052,637" to="39052,10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" strokecolor="black [3200]" strokeweight=".5pt">
                  <v:stroke joinstyle="miter"/>
                </v:line>
                <v:line id="直接连接符 55671332" o:spid="_x0000_s1221" style="position:absolute;visibility:visible;mso-wrap-style:square" from="39052,6240" to="45719,6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" strokecolor="black [3200]" strokeweight=".5pt">
                  <v:stroke joinstyle="miter"/>
                </v:line>
                <v:line id="直接连接符 307806085" o:spid="_x0000_s1222" style="position:absolute;flip:y;visibility:visible;mso-wrap-style:square" from="26384,14724" to="26384,2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" strokecolor="black [3200]" strokeweight=".5pt">
                  <v:stroke joinstyle="miter"/>
                </v:line>
                <v:line id="直接连接符 2137306335" o:spid="_x0000_s1223" style="position:absolute;flip:y;visibility:visible;mso-wrap-style:square" from="34290,14803" to="34290,2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" strokecolor="black [3200]" strokeweight=".5pt">
                  <v:stroke joinstyle="miter"/>
                </v:line>
                <v:line id="直接连接符 1008756933" o:spid="_x0000_s1224" style="position:absolute;visibility:visible;mso-wrap-style:square" from="12572,10533" to="45719,10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" strokecolor="black [3200]" strokeweight=".5pt">
                  <v:stroke joinstyle="miter"/>
                </v:line>
                <v:line id="直接连接符 1169337792" o:spid="_x0000_s1225" style="position:absolute;flip:y;visibility:visible;mso-wrap-style:square" from="19430,14803" to="19430,22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" strokecolor="black [3200]" strokeweight=".5pt">
                  <v:stroke joinstyle="miter"/>
                </v:line>
                <v:line id="直接连接符 894950682" o:spid="_x0000_s1226" style="position:absolute;flip:y;visibility:visible;mso-wrap-style:square" from="28670,637" to="28670,10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" strokecolor="black [3200]" strokeweight=".5pt">
                  <v:stroke joinstyle="miter"/>
                </v:line>
                <v:line id="直接连接符 115698344" o:spid="_x0000_s1227" style="position:absolute;visibility:visible;mso-wrap-style:square" from="18573,637" to="18573,10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" strokecolor="black [3200]" strokeweight=".5pt">
                  <v:stroke joinstyle="miter"/>
                </v:line>
                <v:line id="直接连接符 237435890" o:spid="_x0000_s1228" style="position:absolute;visibility:visible;mso-wrap-style:square" from="12572,4066" to="18573,4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" strokecolor="black [3200]" strokeweight=".5pt">
                  <v:stroke joinstyle="miter"/>
                </v:line>
                <v:shape id="直接箭头连接符 29172857" o:spid="_x0000_s1229" type="#_x0000_t32" style="position:absolute;left:5143;top:1800;width:5493;height:207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" strokecolor="black [3200]" strokeweight=".5pt">
                  <v:stroke endarrow="block" joinstyle="miter"/>
                </v:shape>
                <v:shape id="文本框 1" o:spid="_x0000_s1230" type="#_x0000_t202" style="position:absolute;left:5143;top:4282;width:3810;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" filled="f" stroked="f">
                  <v:textbox>
                    <w:txbxContent>
                      <w:p w14:paraId="6D6A2AF3" w14:textId="77777777" w:rsidR="00502148" w:rsidRDefault="00000000">
                        <w:pPr>
                          <w:spacing w:line="240" w:lineRule="auto"/>
                          <w:ind w:firstLineChars="0" w:firstLine="0"/>
                          <w:rPr>
                            <w:rFonts w:ascii="Times New Roman" w:hAnsi="Times New Roman" w:cs="Times New Roman"/>
                            <w:sz w:val="21"/>
                            <w:szCs w:val="21"/>
                            <w14:ligatures w14:val="none"/>
                          </w:rPr>
                        </w:pPr>
                        <w:r>
                          <w:rPr>
                            <w:rFonts w:ascii="Times New Roman" w:hAnsi="Times New Roman" w:cs="Times New Roman"/>
                            <w:sz w:val="21"/>
                            <w:szCs w:val="21"/>
                          </w:rPr>
                          <w:t>N</w:t>
                        </w:r>
                      </w:p>
                    </w:txbxContent>
                  </v:textbox>
                </v:shape>
                <v:shape id="文本框 1" o:spid="_x0000_s1231" type="#_x0000_t202" style="position:absolute;left:36751;top:15556;width:611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" filled="f" stroked="f">
                  <v:textbox>
                    <w:txbxContent>
                      <w:p w14:paraId="71373BE9"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营业厅</w:t>
                        </w:r>
                      </w:p>
                    </w:txbxContent>
                  </v:textbox>
                </v:shape>
                <v:shape id="文本框 1" o:spid="_x0000_s1232" type="#_x0000_t202" style="position:absolute;left:27451;top:17634;width:6858;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" filled="f" stroked="f">
                  <v:textbox>
                    <w:txbxContent>
                      <w:p w14:paraId="46BF5CDB"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收银室</w:t>
                        </w:r>
                      </w:p>
                    </w:txbxContent>
                  </v:textbox>
                </v:shape>
                <v:shape id="文本框 1" o:spid="_x0000_s1233" type="#_x0000_t202" style="position:absolute;left:19430;top:17618;width:6297;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" filled="f" stroked="f">
                  <v:textbox>
                    <w:txbxContent>
                      <w:p w14:paraId="372F8D86"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财务室</w:t>
                        </w:r>
                      </w:p>
                    </w:txbxContent>
                  </v:textbox>
                </v:shape>
                <v:shape id="文本框 1" o:spid="_x0000_s1234" type="#_x0000_t202" style="position:absolute;left:28013;top:5249;width:6496;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" filled="f" stroked="f">
                  <v:textbox>
                    <w:txbxContent>
                      <w:p w14:paraId="7A6FBB48"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值班室</w:t>
                        </w:r>
                      </w:p>
                    </w:txbxContent>
                  </v:textbox>
                </v:shape>
                <v:shape id="文本框 1" o:spid="_x0000_s1235" type="#_x0000_t202" style="position:absolute;left:23793;top:11460;width:4781;height:2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" filled="f" stroked="f">
                  <v:textbox>
                    <w:txbxContent>
                      <w:p w14:paraId="1BC66FBA"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走廊</w:t>
                        </w:r>
                      </w:p>
                    </w:txbxContent>
                  </v:textbox>
                </v:shape>
                <v:shape id="文本框 1" o:spid="_x0000_s1236" type="#_x0000_t202" style="position:absolute;left:40371;top:7000;width:4751;height:2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" filled="f" stroked="f">
                  <v:textbox>
                    <w:txbxContent>
                      <w:p w14:paraId="208EB2D1"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v:textbox>
                </v:shape>
                <v:shape id="文本框 1" o:spid="_x0000_s1237" type="#_x0000_t202" style="position:absolute;left:40969;top:2240;width:4750;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" filled="f" stroked="f">
                  <v:textbox>
                    <w:txbxContent>
                      <w:p w14:paraId="3A883160"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v:textbox>
                </v:shape>
                <v:shape id="文本框 1" o:spid="_x0000_s1238" type="#_x0000_t202" style="position:absolute;left:34119;top:6240;width:4684;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" filled="f" stroked="f">
                  <v:textbox>
                    <w:txbxContent>
                      <w:p w14:paraId="0D86B4E0"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门斗</w:t>
                        </w:r>
                      </w:p>
                    </w:txbxContent>
                  </v:textbox>
                </v:shape>
                <v:shape id="文本框 1" o:spid="_x0000_s1239" type="#_x0000_t202" style="position:absolute;left:12680;top:17819;width:5893;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" filled="f" stroked="f">
                  <v:textbox>
                    <w:txbxContent>
                      <w:p w14:paraId="35097865"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控制室</w:t>
                        </w:r>
                      </w:p>
                    </w:txbxContent>
                  </v:textbox>
                </v:shape>
                <v:shape id="文本框 1" o:spid="_x0000_s1240" type="#_x0000_t202" style="position:absolute;left:21345;top:5249;width:6106;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" filled="f" stroked="f">
                  <v:textbox>
                    <w:txbxContent>
                      <w:p w14:paraId="46EE893D"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办公室</w:t>
                        </w:r>
                      </w:p>
                    </w:txbxContent>
                  </v:textbox>
                </v:shape>
                <v:shape id="文本框 1" o:spid="_x0000_s1241" type="#_x0000_t202" style="position:absolute;left:13325;top:6815;width:4867;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" filled="f" stroked="f">
                  <v:textbox>
                    <w:txbxContent>
                      <w:p w14:paraId="3C03E7F4"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v:textbox>
                </v:shape>
                <v:shape id="文本框 1" o:spid="_x0000_s1242" type="#_x0000_t202" style="position:absolute;left:13325;top:1383;width:5248;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" filled="f" stroked="f">
                  <v:textbox>
                    <w:txbxContent>
                      <w:p w14:paraId="2A534DE7"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v:textbox>
                </v:shape>
                <w10:anchorlock/>
              </v:group>
            </w:pict>
          </mc:Fallback>
        </mc:AlternateContent>
      </w:r>
    </w:p>
    <w:p w14:paraId="647C04C1" w14:textId="77777777" w:rsidR="00502148" w:rsidRDefault="00000000">
      <w:pPr>
        <w:pStyle w:val="aff7"/>
        <w:ind w:firstLine="482"/>
        <w:rPr>
          <w:rFonts w:eastAsia="黑体"/>
          <w:sz w:val="24"/>
        </w:rPr>
      </w:pPr>
      <w:r>
        <w:rPr>
          <w:rFonts w:eastAsia="黑体"/>
          <w:sz w:val="24"/>
        </w:rPr>
        <w:t>图</w:t>
      </w:r>
      <w:r>
        <w:rPr>
          <w:rFonts w:eastAsia="黑体"/>
          <w:sz w:val="24"/>
        </w:rPr>
        <w:t>2.6-</w:t>
      </w:r>
      <w:r>
        <w:rPr>
          <w:rFonts w:eastAsia="黑体" w:hint="eastAsia"/>
          <w:sz w:val="24"/>
        </w:rPr>
        <w:t xml:space="preserve">6 </w:t>
      </w:r>
      <w:r>
        <w:rPr>
          <w:rFonts w:eastAsia="黑体"/>
          <w:sz w:val="24"/>
        </w:rPr>
        <w:t xml:space="preserve"> </w:t>
      </w:r>
      <w:r>
        <w:rPr>
          <w:rFonts w:eastAsia="黑体" w:hint="eastAsia"/>
          <w:sz w:val="24"/>
        </w:rPr>
        <w:t>站房内部平面布置</w:t>
      </w:r>
      <w:r>
        <w:rPr>
          <w:rFonts w:eastAsia="黑体"/>
          <w:sz w:val="24"/>
        </w:rPr>
        <w:t>图</w:t>
      </w:r>
    </w:p>
    <w:p w14:paraId="04CF590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该站主要建（构）筑物如表</w:t>
      </w:r>
      <w:r>
        <w:rPr>
          <w:rFonts w:ascii="Times New Roman" w:eastAsia="宋体" w:hAnsi="Times New Roman" w:cs="宋体" w:hint="eastAsia"/>
          <w:szCs w:val="28"/>
          <w:lang w:bidi="ar"/>
          <w14:ligatures w14:val="none"/>
        </w:rPr>
        <w:t>2.6-1</w:t>
      </w:r>
      <w:r>
        <w:rPr>
          <w:rFonts w:ascii="Times New Roman" w:eastAsia="宋体" w:hAnsi="Times New Roman" w:cs="宋体" w:hint="eastAsia"/>
          <w:szCs w:val="28"/>
          <w:lang w:bidi="ar"/>
          <w14:ligatures w14:val="none"/>
        </w:rPr>
        <w:t>所示。</w:t>
      </w:r>
    </w:p>
    <w:p w14:paraId="219801A5" w14:textId="77777777" w:rsidR="00502148"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2.6-1  </w:t>
      </w:r>
      <w:r>
        <w:rPr>
          <w:rFonts w:eastAsia="黑体"/>
          <w:sz w:val="24"/>
        </w:rPr>
        <w:t>主要建（构）筑物一览表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657"/>
        <w:gridCol w:w="712"/>
        <w:gridCol w:w="1136"/>
        <w:gridCol w:w="1101"/>
        <w:gridCol w:w="950"/>
        <w:gridCol w:w="1180"/>
        <w:gridCol w:w="1015"/>
        <w:gridCol w:w="826"/>
        <w:gridCol w:w="958"/>
      </w:tblGrid>
      <w:tr w:rsidR="00502148" w14:paraId="452A7640" w14:textId="77777777" w:rsidTr="00656435">
        <w:trPr>
          <w:trHeight w:val="454"/>
          <w:jc w:val="center"/>
        </w:trPr>
        <w:tc>
          <w:tcPr>
            <w:tcW w:w="348" w:type="pct"/>
            <w:vAlign w:val="center"/>
          </w:tcPr>
          <w:p w14:paraId="5F83DA13"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358" w:type="pct"/>
            <w:vAlign w:val="center"/>
          </w:tcPr>
          <w:p w14:paraId="60520183"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名称</w:t>
            </w:r>
          </w:p>
        </w:tc>
        <w:tc>
          <w:tcPr>
            <w:tcW w:w="388" w:type="pct"/>
            <w:vAlign w:val="center"/>
          </w:tcPr>
          <w:p w14:paraId="4510ED09"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层数</w:t>
            </w:r>
          </w:p>
        </w:tc>
        <w:tc>
          <w:tcPr>
            <w:tcW w:w="619" w:type="pct"/>
            <w:vAlign w:val="center"/>
          </w:tcPr>
          <w:p w14:paraId="35624212"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占地</w:t>
            </w:r>
            <w:r>
              <w:rPr>
                <w:rFonts w:ascii="Times New Roman" w:eastAsia="宋体" w:hAnsi="Times New Roman" w:cs="Times New Roman"/>
                <w:bCs/>
                <w:sz w:val="21"/>
                <w:szCs w:val="21"/>
                <w14:ligatures w14:val="none"/>
              </w:rPr>
              <w:t>面积（</w:t>
            </w:r>
            <w:r>
              <w:rPr>
                <w:rFonts w:ascii="Times New Roman" w:eastAsia="宋体" w:hAnsi="Times New Roman" w:cs="Times New Roman"/>
                <w:bCs/>
                <w:sz w:val="21"/>
                <w:szCs w:val="21"/>
                <w14:ligatures w14:val="none"/>
              </w:rPr>
              <w:t>m</w:t>
            </w:r>
            <w:r>
              <w:rPr>
                <w:rFonts w:ascii="Times New Roman" w:eastAsia="宋体" w:hAnsi="Times New Roman" w:cs="Times New Roman"/>
                <w:bCs/>
                <w:sz w:val="21"/>
                <w:szCs w:val="21"/>
                <w:vertAlign w:val="superscript"/>
                <w14:ligatures w14:val="none"/>
              </w:rPr>
              <w:t>2</w:t>
            </w:r>
            <w:r>
              <w:rPr>
                <w:rFonts w:ascii="Times New Roman" w:eastAsia="宋体" w:hAnsi="Times New Roman" w:cs="Times New Roman"/>
                <w:bCs/>
                <w:sz w:val="21"/>
                <w:szCs w:val="21"/>
                <w14:ligatures w14:val="none"/>
              </w:rPr>
              <w:t>）</w:t>
            </w:r>
          </w:p>
        </w:tc>
        <w:tc>
          <w:tcPr>
            <w:tcW w:w="600" w:type="pct"/>
            <w:vAlign w:val="center"/>
          </w:tcPr>
          <w:p w14:paraId="158D712D"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建筑面积（</w:t>
            </w:r>
            <w:r>
              <w:rPr>
                <w:rFonts w:ascii="Times New Roman" w:eastAsia="宋体" w:hAnsi="Times New Roman" w:cs="Times New Roman"/>
                <w:bCs/>
                <w:sz w:val="21"/>
                <w:szCs w:val="21"/>
                <w14:ligatures w14:val="none"/>
              </w:rPr>
              <w:t>m</w:t>
            </w:r>
            <w:r>
              <w:rPr>
                <w:rFonts w:ascii="Times New Roman" w:eastAsia="宋体" w:hAnsi="Times New Roman" w:cs="Times New Roman"/>
                <w:bCs/>
                <w:sz w:val="21"/>
                <w:szCs w:val="21"/>
                <w:vertAlign w:val="superscript"/>
                <w14:ligatures w14:val="none"/>
              </w:rPr>
              <w:t>2</w:t>
            </w:r>
            <w:r>
              <w:rPr>
                <w:rFonts w:ascii="Times New Roman" w:eastAsia="宋体" w:hAnsi="Times New Roman" w:cs="Times New Roman"/>
                <w:bCs/>
                <w:sz w:val="21"/>
                <w:szCs w:val="21"/>
                <w14:ligatures w14:val="none"/>
              </w:rPr>
              <w:t>）</w:t>
            </w:r>
          </w:p>
        </w:tc>
        <w:tc>
          <w:tcPr>
            <w:tcW w:w="518" w:type="pct"/>
            <w:vAlign w:val="center"/>
          </w:tcPr>
          <w:p w14:paraId="6E3B8D82"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高度（</w:t>
            </w:r>
            <w:r>
              <w:rPr>
                <w:rFonts w:ascii="Times New Roman" w:eastAsia="宋体" w:hAnsi="Times New Roman" w:cs="Times New Roman" w:hint="eastAsia"/>
                <w:bCs/>
                <w:sz w:val="21"/>
                <w:szCs w:val="21"/>
                <w14:ligatures w14:val="none"/>
              </w:rPr>
              <w:t>m</w:t>
            </w:r>
            <w:r>
              <w:rPr>
                <w:rFonts w:ascii="Times New Roman" w:eastAsia="宋体" w:hAnsi="Times New Roman" w:cs="Times New Roman" w:hint="eastAsia"/>
                <w:bCs/>
                <w:sz w:val="21"/>
                <w:szCs w:val="21"/>
                <w14:ligatures w14:val="none"/>
              </w:rPr>
              <w:t>）</w:t>
            </w:r>
          </w:p>
        </w:tc>
        <w:tc>
          <w:tcPr>
            <w:tcW w:w="643" w:type="pct"/>
            <w:vAlign w:val="center"/>
          </w:tcPr>
          <w:p w14:paraId="7DB09CF9"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结构形式</w:t>
            </w:r>
          </w:p>
        </w:tc>
        <w:tc>
          <w:tcPr>
            <w:tcW w:w="553" w:type="pct"/>
            <w:vAlign w:val="center"/>
          </w:tcPr>
          <w:p w14:paraId="7B82FA42"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火灾危险性</w:t>
            </w:r>
          </w:p>
        </w:tc>
        <w:tc>
          <w:tcPr>
            <w:tcW w:w="450" w:type="pct"/>
            <w:vAlign w:val="center"/>
          </w:tcPr>
          <w:p w14:paraId="6AC7B547"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耐火等级</w:t>
            </w:r>
          </w:p>
        </w:tc>
        <w:tc>
          <w:tcPr>
            <w:tcW w:w="522" w:type="pct"/>
            <w:vAlign w:val="center"/>
          </w:tcPr>
          <w:p w14:paraId="0A825603"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备注</w:t>
            </w:r>
          </w:p>
        </w:tc>
      </w:tr>
      <w:tr w:rsidR="00502148" w14:paraId="537DDD8D" w14:textId="77777777" w:rsidTr="00656435">
        <w:trPr>
          <w:trHeight w:val="454"/>
          <w:jc w:val="center"/>
        </w:trPr>
        <w:tc>
          <w:tcPr>
            <w:tcW w:w="348" w:type="pct"/>
            <w:vAlign w:val="center"/>
          </w:tcPr>
          <w:p w14:paraId="090741D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58" w:type="pct"/>
            <w:vAlign w:val="center"/>
          </w:tcPr>
          <w:p w14:paraId="76752DE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站房</w:t>
            </w:r>
          </w:p>
        </w:tc>
        <w:tc>
          <w:tcPr>
            <w:tcW w:w="388" w:type="pct"/>
            <w:vAlign w:val="center"/>
          </w:tcPr>
          <w:p w14:paraId="086F6A4A"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单层</w:t>
            </w:r>
          </w:p>
        </w:tc>
        <w:tc>
          <w:tcPr>
            <w:tcW w:w="619" w:type="pct"/>
            <w:vAlign w:val="center"/>
          </w:tcPr>
          <w:p w14:paraId="354D4B2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189.98</w:t>
            </w:r>
          </w:p>
        </w:tc>
        <w:tc>
          <w:tcPr>
            <w:tcW w:w="600" w:type="pct"/>
            <w:vAlign w:val="center"/>
          </w:tcPr>
          <w:p w14:paraId="7149392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189.98</w:t>
            </w:r>
          </w:p>
        </w:tc>
        <w:tc>
          <w:tcPr>
            <w:tcW w:w="518" w:type="pct"/>
            <w:vAlign w:val="center"/>
          </w:tcPr>
          <w:p w14:paraId="2122CED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43" w:type="pct"/>
            <w:vAlign w:val="center"/>
          </w:tcPr>
          <w:p w14:paraId="4F66963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框架结构</w:t>
            </w:r>
          </w:p>
        </w:tc>
        <w:tc>
          <w:tcPr>
            <w:tcW w:w="553" w:type="pct"/>
            <w:vAlign w:val="center"/>
          </w:tcPr>
          <w:p w14:paraId="2D9E13C6"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民建</w:t>
            </w:r>
          </w:p>
        </w:tc>
        <w:tc>
          <w:tcPr>
            <w:tcW w:w="450" w:type="pct"/>
            <w:vAlign w:val="center"/>
          </w:tcPr>
          <w:p w14:paraId="24697191"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二级</w:t>
            </w:r>
          </w:p>
        </w:tc>
        <w:tc>
          <w:tcPr>
            <w:tcW w:w="522" w:type="pct"/>
            <w:vAlign w:val="center"/>
          </w:tcPr>
          <w:p w14:paraId="7C368AF5" w14:textId="77777777" w:rsidR="00502148" w:rsidRDefault="00502148">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502148" w14:paraId="56A09CE0" w14:textId="77777777" w:rsidTr="00656435">
        <w:trPr>
          <w:trHeight w:val="454"/>
          <w:jc w:val="center"/>
        </w:trPr>
        <w:tc>
          <w:tcPr>
            <w:tcW w:w="348" w:type="pct"/>
            <w:vAlign w:val="center"/>
          </w:tcPr>
          <w:p w14:paraId="1EA95081"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58" w:type="pct"/>
            <w:vAlign w:val="center"/>
          </w:tcPr>
          <w:p w14:paraId="6082160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w:t>
            </w:r>
          </w:p>
        </w:tc>
        <w:tc>
          <w:tcPr>
            <w:tcW w:w="388" w:type="pct"/>
            <w:vAlign w:val="center"/>
          </w:tcPr>
          <w:p w14:paraId="7993774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19" w:type="pct"/>
            <w:vAlign w:val="center"/>
          </w:tcPr>
          <w:p w14:paraId="2954119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840</w:t>
            </w:r>
          </w:p>
        </w:tc>
        <w:tc>
          <w:tcPr>
            <w:tcW w:w="600" w:type="pct"/>
            <w:vAlign w:val="center"/>
          </w:tcPr>
          <w:p w14:paraId="1932F72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420</w:t>
            </w:r>
          </w:p>
        </w:tc>
        <w:tc>
          <w:tcPr>
            <w:tcW w:w="518" w:type="pct"/>
            <w:vAlign w:val="center"/>
          </w:tcPr>
          <w:p w14:paraId="5340DA07" w14:textId="4CDDF7E5" w:rsidR="00502148" w:rsidRDefault="0065643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8.4</w:t>
            </w:r>
          </w:p>
        </w:tc>
        <w:tc>
          <w:tcPr>
            <w:tcW w:w="643" w:type="pct"/>
            <w:vAlign w:val="center"/>
          </w:tcPr>
          <w:p w14:paraId="79F91B3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网架结构</w:t>
            </w:r>
          </w:p>
        </w:tc>
        <w:tc>
          <w:tcPr>
            <w:tcW w:w="553" w:type="pct"/>
            <w:vAlign w:val="center"/>
          </w:tcPr>
          <w:p w14:paraId="6496745B" w14:textId="77777777" w:rsidR="00502148"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甲类</w:t>
            </w:r>
          </w:p>
        </w:tc>
        <w:tc>
          <w:tcPr>
            <w:tcW w:w="450" w:type="pct"/>
            <w:vAlign w:val="center"/>
          </w:tcPr>
          <w:p w14:paraId="7AFAC3A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522" w:type="pct"/>
            <w:vAlign w:val="center"/>
          </w:tcPr>
          <w:p w14:paraId="01312D39" w14:textId="77777777" w:rsidR="00502148" w:rsidRDefault="00502148">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82631A" w:rsidRPr="0082631A" w14:paraId="7F3808C9" w14:textId="77777777" w:rsidTr="00656435">
        <w:trPr>
          <w:trHeight w:val="454"/>
          <w:jc w:val="center"/>
        </w:trPr>
        <w:tc>
          <w:tcPr>
            <w:tcW w:w="348" w:type="pct"/>
            <w:vAlign w:val="center"/>
          </w:tcPr>
          <w:p w14:paraId="40CEB826" w14:textId="7C5AAB6C" w:rsidR="00656435" w:rsidRPr="0082631A" w:rsidRDefault="00656435" w:rsidP="00656435">
            <w:pPr>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3</w:t>
            </w:r>
          </w:p>
        </w:tc>
        <w:tc>
          <w:tcPr>
            <w:tcW w:w="358" w:type="pct"/>
            <w:vAlign w:val="center"/>
          </w:tcPr>
          <w:p w14:paraId="557B5029" w14:textId="3D6F3B68" w:rsidR="00656435" w:rsidRPr="0082631A" w:rsidRDefault="00656435" w:rsidP="00656435">
            <w:pPr>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罐区</w:t>
            </w:r>
          </w:p>
        </w:tc>
        <w:tc>
          <w:tcPr>
            <w:tcW w:w="388" w:type="pct"/>
            <w:vAlign w:val="center"/>
          </w:tcPr>
          <w:p w14:paraId="76BF243C" w14:textId="6F46D148" w:rsidR="00656435" w:rsidRPr="0082631A" w:rsidRDefault="00656435" w:rsidP="00656435">
            <w:pPr>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619" w:type="pct"/>
            <w:vAlign w:val="center"/>
          </w:tcPr>
          <w:p w14:paraId="1DDE0EDB" w14:textId="0AD7A275" w:rsidR="00656435" w:rsidRPr="0082631A" w:rsidRDefault="00656435" w:rsidP="00656435">
            <w:pPr>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164.82</w:t>
            </w:r>
          </w:p>
        </w:tc>
        <w:tc>
          <w:tcPr>
            <w:tcW w:w="600" w:type="pct"/>
            <w:vAlign w:val="center"/>
          </w:tcPr>
          <w:p w14:paraId="6AECA12D" w14:textId="0D801A2E" w:rsidR="00656435" w:rsidRPr="0082631A" w:rsidRDefault="00656435" w:rsidP="00656435">
            <w:pPr>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518" w:type="pct"/>
            <w:vAlign w:val="center"/>
          </w:tcPr>
          <w:p w14:paraId="12F02F57" w14:textId="0679089E" w:rsidR="00656435" w:rsidRPr="0082631A" w:rsidRDefault="00656435" w:rsidP="00656435">
            <w:pPr>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643" w:type="pct"/>
            <w:vAlign w:val="center"/>
          </w:tcPr>
          <w:p w14:paraId="2354D6FA" w14:textId="6C4C47D3" w:rsidR="00656435" w:rsidRPr="0082631A" w:rsidRDefault="00656435" w:rsidP="00656435">
            <w:pPr>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553" w:type="pct"/>
            <w:vAlign w:val="center"/>
          </w:tcPr>
          <w:p w14:paraId="08C7FB68" w14:textId="456C4CDB" w:rsidR="00656435" w:rsidRPr="0082631A" w:rsidRDefault="00656435" w:rsidP="00656435">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甲类</w:t>
            </w:r>
          </w:p>
        </w:tc>
        <w:tc>
          <w:tcPr>
            <w:tcW w:w="450" w:type="pct"/>
            <w:vAlign w:val="center"/>
          </w:tcPr>
          <w:p w14:paraId="7B047C4D" w14:textId="66CD5A47" w:rsidR="00656435" w:rsidRPr="0082631A" w:rsidRDefault="00656435" w:rsidP="00656435">
            <w:pPr>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522" w:type="pct"/>
            <w:vAlign w:val="center"/>
          </w:tcPr>
          <w:p w14:paraId="762186A9" w14:textId="77777777" w:rsidR="00656435" w:rsidRPr="0082631A" w:rsidRDefault="00656435" w:rsidP="00656435">
            <w:pPr>
              <w:adjustRightInd/>
              <w:snapToGrid/>
              <w:spacing w:line="240" w:lineRule="auto"/>
              <w:ind w:firstLineChars="0" w:firstLine="0"/>
              <w:jc w:val="center"/>
              <w:rPr>
                <w:rFonts w:ascii="Times New Roman" w:eastAsia="宋体" w:hAnsi="Times New Roman" w:cs="Times New Roman"/>
                <w:sz w:val="21"/>
                <w:szCs w:val="21"/>
                <w14:ligatures w14:val="none"/>
              </w:rPr>
            </w:pPr>
          </w:p>
        </w:tc>
      </w:tr>
    </w:tbl>
    <w:p w14:paraId="6AAF2DEB" w14:textId="77777777" w:rsidR="00502148"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5" w:name="_Toc10046"/>
      <w:bookmarkStart w:id="36" w:name="_Toc22074"/>
      <w:r>
        <w:rPr>
          <w:rFonts w:ascii="Times New Roman" w:eastAsia="楷体" w:hAnsi="Times New Roman" w:cs="宋体"/>
          <w:b/>
          <w:bCs/>
          <w:sz w:val="32"/>
          <w:szCs w:val="28"/>
          <w:lang w:bidi="ar"/>
          <w14:ligatures w14:val="none"/>
        </w:rPr>
        <w:t>2.7</w:t>
      </w:r>
      <w:r>
        <w:rPr>
          <w:rFonts w:ascii="Times New Roman" w:eastAsia="楷体" w:hAnsi="Times New Roman" w:cs="宋体"/>
          <w:b/>
          <w:bCs/>
          <w:sz w:val="32"/>
          <w:szCs w:val="28"/>
          <w:lang w:bidi="ar"/>
          <w14:ligatures w14:val="none"/>
        </w:rPr>
        <w:t>配套和辅助工程</w:t>
      </w:r>
      <w:bookmarkEnd w:id="35"/>
      <w:bookmarkEnd w:id="36"/>
    </w:p>
    <w:p w14:paraId="5D816EEE"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37" w:name="_Toc2526"/>
      <w:bookmarkStart w:id="38" w:name="_Toc20315"/>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1</w:t>
      </w:r>
      <w:r>
        <w:rPr>
          <w:rFonts w:ascii="Times New Roman" w:eastAsia="黑体" w:hAnsi="Times New Roman" w:cs="Times New Roman"/>
          <w:b/>
          <w:bCs/>
          <w:kern w:val="0"/>
          <w:szCs w:val="20"/>
          <w14:ligatures w14:val="none"/>
        </w:rPr>
        <w:t>给排水</w:t>
      </w:r>
      <w:bookmarkEnd w:id="37"/>
    </w:p>
    <w:p w14:paraId="49898324" w14:textId="77777777" w:rsidR="00502148" w:rsidRDefault="00000000">
      <w:pPr>
        <w:ind w:firstLine="560"/>
        <w:rPr>
          <w:rFonts w:ascii="Times New Roman" w:eastAsia="宋体" w:hAnsi="Times New Roman" w:cs="宋体"/>
          <w:szCs w:val="28"/>
          <w:lang w:bidi="ar"/>
          <w14:ligatures w14:val="none"/>
        </w:rPr>
      </w:pPr>
      <w:bookmarkStart w:id="39" w:name="_Toc32464"/>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）给</w:t>
      </w:r>
      <w:r>
        <w:rPr>
          <w:rFonts w:ascii="Times New Roman" w:eastAsia="宋体" w:hAnsi="Times New Roman" w:cs="宋体"/>
          <w:szCs w:val="28"/>
          <w:lang w:bidi="ar"/>
          <w14:ligatures w14:val="none"/>
        </w:rPr>
        <w:t>水</w:t>
      </w:r>
      <w:bookmarkEnd w:id="39"/>
    </w:p>
    <w:p w14:paraId="3B78DE62" w14:textId="77777777" w:rsidR="00502148" w:rsidRDefault="00000000">
      <w:pPr>
        <w:ind w:firstLine="560"/>
        <w:rPr>
          <w:rFonts w:ascii="Times New Roman" w:eastAsia="宋体" w:hAnsi="Times New Roman" w:cs="宋体"/>
          <w:szCs w:val="28"/>
          <w:lang w:bidi="ar"/>
          <w14:ligatures w14:val="none"/>
        </w:rPr>
      </w:pPr>
      <w:bookmarkStart w:id="40" w:name="_Toc7395"/>
      <w:r>
        <w:rPr>
          <w:rFonts w:ascii="Times New Roman" w:eastAsia="宋体" w:hAnsi="Times New Roman" w:cs="宋体"/>
          <w:szCs w:val="28"/>
          <w:lang w:bidi="ar"/>
          <w14:ligatures w14:val="none"/>
        </w:rPr>
        <w:t>站内给水</w:t>
      </w:r>
      <w:r>
        <w:rPr>
          <w:rFonts w:ascii="Times New Roman" w:eastAsia="宋体" w:hAnsi="Times New Roman" w:cs="宋体" w:hint="eastAsia"/>
          <w:szCs w:val="28"/>
          <w:lang w:bidi="ar"/>
          <w14:ligatures w14:val="none"/>
        </w:rPr>
        <w:t>依托服务区</w:t>
      </w: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主要为生活用水，</w:t>
      </w:r>
      <w:r>
        <w:rPr>
          <w:rFonts w:ascii="Times New Roman" w:eastAsia="宋体" w:hAnsi="Times New Roman" w:cs="宋体"/>
          <w:szCs w:val="28"/>
          <w:lang w:bidi="ar"/>
          <w14:ligatures w14:val="none"/>
        </w:rPr>
        <w:t>水质及水压满足站内用水要求</w:t>
      </w:r>
      <w:r>
        <w:rPr>
          <w:rFonts w:ascii="Times New Roman" w:eastAsia="宋体" w:hAnsi="Times New Roman" w:cs="宋体" w:hint="eastAsia"/>
          <w:szCs w:val="28"/>
          <w:lang w:bidi="ar"/>
          <w14:ligatures w14:val="none"/>
        </w:rPr>
        <w:t>。</w:t>
      </w:r>
    </w:p>
    <w:p w14:paraId="26F83B6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排水</w:t>
      </w:r>
      <w:bookmarkEnd w:id="40"/>
    </w:p>
    <w:p w14:paraId="1C0CBF08"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排水系统包括生产污水系统</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雨水系统及生活污水系统。</w:t>
      </w:r>
    </w:p>
    <w:p w14:paraId="3009681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生产污水主要源自储罐清洗</w:t>
      </w:r>
      <w:r>
        <w:rPr>
          <w:rFonts w:ascii="Times New Roman" w:eastAsia="宋体" w:hAnsi="Times New Roman" w:cs="宋体" w:hint="eastAsia"/>
          <w:szCs w:val="28"/>
          <w:lang w:bidi="ar"/>
          <w14:ligatures w14:val="none"/>
        </w:rPr>
        <w:t>，五年左右清洗一次油罐，清洗</w:t>
      </w:r>
      <w:r>
        <w:rPr>
          <w:rFonts w:ascii="Times New Roman" w:eastAsia="宋体" w:hAnsi="Times New Roman" w:cs="宋体"/>
          <w:szCs w:val="28"/>
          <w:lang w:bidi="ar"/>
          <w14:ligatures w14:val="none"/>
        </w:rPr>
        <w:t>油罐产生的废水集中收集并由清洗公司用车运至污水处理厂处理</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站内雨水散排</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收集的生活污水排入污水池，定期清掏。</w:t>
      </w:r>
    </w:p>
    <w:p w14:paraId="73EB913F" w14:textId="77777777" w:rsidR="00502148" w:rsidRDefault="00000000" w:rsidP="00BD08B8">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lastRenderedPageBreak/>
        <w:t>2.7.</w:t>
      </w:r>
      <w:bookmarkEnd w:id="38"/>
      <w:r>
        <w:rPr>
          <w:rFonts w:ascii="Times New Roman" w:eastAsia="黑体" w:hAnsi="Times New Roman" w:cs="Times New Roman" w:hint="eastAsia"/>
          <w:b/>
          <w:bCs/>
          <w:kern w:val="0"/>
          <w:szCs w:val="20"/>
          <w14:ligatures w14:val="none"/>
        </w:rPr>
        <w:t>2</w:t>
      </w:r>
      <w:r>
        <w:rPr>
          <w:rFonts w:ascii="Times New Roman" w:eastAsia="黑体" w:hAnsi="Times New Roman" w:cs="Times New Roman"/>
          <w:b/>
          <w:bCs/>
          <w:kern w:val="0"/>
          <w:szCs w:val="20"/>
          <w14:ligatures w14:val="none"/>
        </w:rPr>
        <w:t>供电</w:t>
      </w:r>
    </w:p>
    <w:p w14:paraId="2F301BFE" w14:textId="77777777" w:rsidR="00502148" w:rsidRDefault="00000000">
      <w:pPr>
        <w:ind w:firstLine="560"/>
        <w:rPr>
          <w:rFonts w:ascii="Times New Roman" w:eastAsia="宋体" w:hAnsi="Times New Roman" w:cs="宋体"/>
          <w:szCs w:val="28"/>
          <w:lang w:bidi="ar"/>
          <w14:ligatures w14:val="none"/>
        </w:rPr>
      </w:pPr>
      <w:bookmarkStart w:id="41" w:name="_Toc310"/>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供电</w:t>
      </w:r>
      <w:bookmarkEnd w:id="41"/>
      <w:r>
        <w:rPr>
          <w:rFonts w:ascii="Times New Roman" w:eastAsia="宋体" w:hAnsi="Times New Roman" w:cs="宋体" w:hint="eastAsia"/>
          <w:szCs w:val="28"/>
          <w:lang w:bidi="ar"/>
          <w14:ligatures w14:val="none"/>
        </w:rPr>
        <w:t>方案及用电负荷</w:t>
      </w:r>
    </w:p>
    <w:p w14:paraId="63AEADB9" w14:textId="77777777" w:rsidR="00502148" w:rsidRDefault="00000000">
      <w:pPr>
        <w:ind w:firstLine="560"/>
        <w:rPr>
          <w:rFonts w:ascii="Times New Roman" w:eastAsia="宋体" w:hAnsi="Times New Roman" w:cs="宋体"/>
          <w:szCs w:val="28"/>
          <w:lang w:bidi="ar"/>
          <w14:ligatures w14:val="none"/>
        </w:rPr>
      </w:pPr>
      <w:bookmarkStart w:id="42" w:name="_Toc22757"/>
      <w:r>
        <w:rPr>
          <w:rFonts w:ascii="Times New Roman" w:eastAsia="宋体" w:hAnsi="Times New Roman" w:cs="宋体" w:hint="eastAsia"/>
          <w:szCs w:val="28"/>
          <w:lang w:bidi="ar"/>
          <w14:ligatures w14:val="none"/>
        </w:rPr>
        <w:t>供电方案：</w:t>
      </w:r>
      <w:r>
        <w:rPr>
          <w:rFonts w:ascii="Times New Roman" w:eastAsia="宋体" w:hAnsi="Times New Roman" w:cs="宋体"/>
          <w:szCs w:val="28"/>
          <w:lang w:bidi="ar"/>
          <w14:ligatures w14:val="none"/>
        </w:rPr>
        <w:t>该站用电</w:t>
      </w:r>
      <w:r>
        <w:rPr>
          <w:rFonts w:ascii="Times New Roman" w:eastAsia="宋体" w:hAnsi="Times New Roman" w:cs="宋体" w:hint="eastAsia"/>
          <w:szCs w:val="28"/>
          <w:lang w:bidi="ar"/>
          <w14:ligatures w14:val="none"/>
        </w:rPr>
        <w:t>电源引自</w:t>
      </w:r>
      <w:r>
        <w:rPr>
          <w:rFonts w:ascii="Times New Roman" w:eastAsia="宋体" w:hAnsi="Times New Roman" w:cs="宋体"/>
          <w:szCs w:val="28"/>
          <w:lang w:bidi="ar"/>
          <w14:ligatures w14:val="none"/>
        </w:rPr>
        <w:t>市政低压供电系统（箱变）。主电源电压</w:t>
      </w:r>
      <w:r>
        <w:rPr>
          <w:rFonts w:ascii="Times New Roman" w:eastAsia="宋体" w:hAnsi="Times New Roman" w:cs="宋体"/>
          <w:szCs w:val="28"/>
          <w:lang w:bidi="ar"/>
          <w14:ligatures w14:val="none"/>
        </w:rPr>
        <w:t>380/220V</w:t>
      </w:r>
      <w:r>
        <w:rPr>
          <w:rFonts w:ascii="Times New Roman" w:eastAsia="宋体" w:hAnsi="Times New Roman" w:cs="宋体"/>
          <w:szCs w:val="28"/>
          <w:lang w:bidi="ar"/>
          <w14:ligatures w14:val="none"/>
        </w:rPr>
        <w:t>，配电系统接地型式采用</w:t>
      </w:r>
      <w:r>
        <w:rPr>
          <w:rFonts w:ascii="Times New Roman" w:eastAsia="宋体" w:hAnsi="Times New Roman" w:cs="宋体"/>
          <w:szCs w:val="28"/>
          <w:lang w:bidi="ar"/>
          <w14:ligatures w14:val="none"/>
        </w:rPr>
        <w:t>TN-S</w:t>
      </w:r>
      <w:r>
        <w:rPr>
          <w:rFonts w:ascii="Times New Roman" w:eastAsia="宋体" w:hAnsi="Times New Roman" w:cs="宋体"/>
          <w:szCs w:val="28"/>
          <w:lang w:bidi="ar"/>
          <w14:ligatures w14:val="none"/>
        </w:rPr>
        <w:t>系统，总配电柜内引出的配电线路</w:t>
      </w:r>
      <w:r>
        <w:rPr>
          <w:rFonts w:ascii="Times New Roman" w:eastAsia="宋体" w:hAnsi="Times New Roman" w:cs="宋体"/>
          <w:szCs w:val="28"/>
          <w:lang w:bidi="ar"/>
          <w14:ligatures w14:val="none"/>
        </w:rPr>
        <w:t>PE</w:t>
      </w:r>
      <w:r>
        <w:rPr>
          <w:rFonts w:ascii="Times New Roman" w:eastAsia="宋体" w:hAnsi="Times New Roman" w:cs="宋体"/>
          <w:szCs w:val="28"/>
          <w:lang w:bidi="ar"/>
          <w14:ligatures w14:val="none"/>
        </w:rPr>
        <w:t>线与</w:t>
      </w:r>
      <w:r>
        <w:rPr>
          <w:rFonts w:ascii="Times New Roman" w:eastAsia="宋体" w:hAnsi="Times New Roman" w:cs="宋体"/>
          <w:szCs w:val="28"/>
          <w:lang w:bidi="ar"/>
          <w14:ligatures w14:val="none"/>
        </w:rPr>
        <w:t>N</w:t>
      </w:r>
      <w:r>
        <w:rPr>
          <w:rFonts w:ascii="Times New Roman" w:eastAsia="宋体" w:hAnsi="Times New Roman" w:cs="宋体"/>
          <w:szCs w:val="28"/>
          <w:lang w:bidi="ar"/>
          <w14:ligatures w14:val="none"/>
        </w:rPr>
        <w:t>线分开设置；采用放射式供电方式。总动力配电箱安装于站房控制室内，各分配电箱电源均引自站内总动力配电箱。</w:t>
      </w:r>
    </w:p>
    <w:p w14:paraId="3F4B72DD"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用电负荷：</w:t>
      </w:r>
      <w:r>
        <w:rPr>
          <w:rFonts w:ascii="Times New Roman" w:eastAsia="宋体" w:hAnsi="Times New Roman" w:cs="宋体"/>
          <w:szCs w:val="28"/>
          <w:lang w:bidi="ar"/>
          <w14:ligatures w14:val="none"/>
        </w:rPr>
        <w:t>该站消防应急照明</w:t>
      </w:r>
      <w:r>
        <w:rPr>
          <w:rFonts w:ascii="Times New Roman" w:eastAsia="宋体" w:hAnsi="Times New Roman" w:cs="宋体" w:hint="eastAsia"/>
          <w:szCs w:val="28"/>
          <w:lang w:bidi="ar"/>
          <w14:ligatures w14:val="none"/>
        </w:rPr>
        <w:t>系统、仪表系统的用电负荷为一级负荷中的特别重要负荷，其他</w:t>
      </w:r>
      <w:r>
        <w:rPr>
          <w:rFonts w:ascii="Times New Roman" w:eastAsia="宋体" w:hAnsi="Times New Roman" w:cs="宋体"/>
          <w:szCs w:val="28"/>
          <w:lang w:bidi="ar"/>
          <w14:ligatures w14:val="none"/>
        </w:rPr>
        <w:t>为三级负荷。</w:t>
      </w:r>
    </w:p>
    <w:p w14:paraId="4C826E4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该站罩棚、便利店、值班室、控制室设置应急照明，应急照明持续供电时间不少于</w:t>
      </w:r>
      <w:r>
        <w:rPr>
          <w:rFonts w:ascii="Times New Roman" w:eastAsia="宋体" w:hAnsi="Times New Roman" w:cs="宋体"/>
          <w:szCs w:val="28"/>
          <w:lang w:bidi="ar"/>
          <w14:ligatures w14:val="none"/>
        </w:rPr>
        <w:t>90min</w:t>
      </w:r>
      <w:r>
        <w:rPr>
          <w:rFonts w:ascii="Times New Roman" w:eastAsia="宋体" w:hAnsi="Times New Roman" w:cs="宋体"/>
          <w:szCs w:val="28"/>
          <w:lang w:bidi="ar"/>
          <w14:ligatures w14:val="none"/>
        </w:rPr>
        <w:t>。</w:t>
      </w:r>
    </w:p>
    <w:p w14:paraId="42CCE259" w14:textId="31EAB2E8"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该加油站</w:t>
      </w:r>
      <w:r>
        <w:rPr>
          <w:rFonts w:ascii="Times New Roman" w:eastAsia="宋体" w:hAnsi="Times New Roman" w:cs="宋体" w:hint="eastAsia"/>
          <w:szCs w:val="28"/>
          <w:lang w:bidi="ar"/>
          <w14:ligatures w14:val="none"/>
        </w:rPr>
        <w:t>自控、仪表系统</w:t>
      </w:r>
      <w:r>
        <w:rPr>
          <w:rFonts w:ascii="Times New Roman" w:eastAsia="宋体" w:hAnsi="Times New Roman" w:cs="宋体"/>
          <w:szCs w:val="28"/>
          <w:lang w:bidi="ar"/>
          <w14:ligatures w14:val="none"/>
        </w:rPr>
        <w:t>采用</w:t>
      </w:r>
      <w:r>
        <w:rPr>
          <w:rFonts w:ascii="Times New Roman" w:eastAsia="宋体" w:hAnsi="Times New Roman" w:cs="宋体"/>
          <w:szCs w:val="28"/>
          <w:lang w:bidi="ar"/>
          <w14:ligatures w14:val="none"/>
        </w:rPr>
        <w:t>UPS</w:t>
      </w:r>
      <w:r>
        <w:rPr>
          <w:rFonts w:ascii="Times New Roman" w:eastAsia="宋体" w:hAnsi="Times New Roman" w:cs="宋体"/>
          <w:szCs w:val="28"/>
          <w:lang w:bidi="ar"/>
          <w14:ligatures w14:val="none"/>
        </w:rPr>
        <w:t>不间断电源</w:t>
      </w:r>
      <w:r w:rsidR="00BD08B8" w:rsidRPr="0082631A">
        <w:rPr>
          <w:rFonts w:ascii="Times New Roman" w:eastAsia="宋体" w:hAnsi="Times New Roman" w:cs="宋体"/>
          <w:szCs w:val="28"/>
          <w:lang w:bidi="ar"/>
          <w14:ligatures w14:val="none"/>
        </w:rPr>
        <w:t>，供电时间不少于</w:t>
      </w:r>
      <w:r w:rsidR="00BD08B8" w:rsidRPr="0082631A">
        <w:rPr>
          <w:rFonts w:ascii="Times New Roman" w:eastAsia="宋体" w:hAnsi="Times New Roman" w:cs="宋体"/>
          <w:szCs w:val="28"/>
          <w:lang w:bidi="ar"/>
          <w14:ligatures w14:val="none"/>
        </w:rPr>
        <w:t>60min</w:t>
      </w:r>
      <w:r>
        <w:rPr>
          <w:rFonts w:ascii="Times New Roman" w:eastAsia="宋体" w:hAnsi="Times New Roman" w:cs="宋体"/>
          <w:szCs w:val="28"/>
          <w:lang w:bidi="ar"/>
          <w14:ligatures w14:val="none"/>
        </w:rPr>
        <w:t>。</w:t>
      </w:r>
    </w:p>
    <w:p w14:paraId="49143A49"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加油站内爆炸危险区域以外的站房、罩棚等建筑物内的照明灯具，选用非防爆型，罩棚下的灯具选用防护等级不低于</w:t>
      </w:r>
      <w:r>
        <w:rPr>
          <w:rFonts w:ascii="Times New Roman" w:eastAsia="宋体" w:hAnsi="Times New Roman" w:cs="宋体"/>
          <w:szCs w:val="28"/>
          <w:lang w:bidi="ar"/>
          <w14:ligatures w14:val="none"/>
        </w:rPr>
        <w:t>IP55</w:t>
      </w:r>
      <w:r>
        <w:rPr>
          <w:rFonts w:ascii="Times New Roman" w:eastAsia="宋体" w:hAnsi="Times New Roman" w:cs="宋体"/>
          <w:szCs w:val="28"/>
          <w:lang w:bidi="ar"/>
          <w14:ligatures w14:val="none"/>
        </w:rPr>
        <w:t>的节能型照明灯具。</w:t>
      </w:r>
    </w:p>
    <w:bookmarkEnd w:id="42"/>
    <w:p w14:paraId="280CE71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防雷、防静电及接地</w:t>
      </w:r>
    </w:p>
    <w:p w14:paraId="1209949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埋地储罐区、罩棚按照二类防雷建筑物进行设防</w:t>
      </w:r>
      <w:r>
        <w:rPr>
          <w:rFonts w:ascii="Times New Roman" w:eastAsia="宋体" w:hAnsi="Times New Roman" w:cs="宋体" w:hint="eastAsia"/>
          <w:szCs w:val="28"/>
          <w:lang w:bidi="ar"/>
          <w14:ligatures w14:val="none"/>
        </w:rPr>
        <w:t>，站房</w:t>
      </w:r>
      <w:r>
        <w:rPr>
          <w:rFonts w:ascii="Times New Roman" w:eastAsia="宋体" w:hAnsi="Times New Roman" w:cs="宋体"/>
          <w:szCs w:val="28"/>
          <w:lang w:bidi="ar"/>
          <w14:ligatures w14:val="none"/>
        </w:rPr>
        <w:t>按照</w:t>
      </w:r>
      <w:r>
        <w:rPr>
          <w:rFonts w:ascii="Times New Roman" w:eastAsia="宋体" w:hAnsi="Times New Roman" w:cs="宋体" w:hint="eastAsia"/>
          <w:szCs w:val="28"/>
          <w:lang w:bidi="ar"/>
          <w14:ligatures w14:val="none"/>
        </w:rPr>
        <w:t>三</w:t>
      </w:r>
      <w:r>
        <w:rPr>
          <w:rFonts w:ascii="Times New Roman" w:eastAsia="宋体" w:hAnsi="Times New Roman" w:cs="宋体"/>
          <w:szCs w:val="28"/>
          <w:lang w:bidi="ar"/>
          <w14:ligatures w14:val="none"/>
        </w:rPr>
        <w:t>类防雷建筑物进行设防。</w:t>
      </w:r>
    </w:p>
    <w:p w14:paraId="1496A37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防雷接地、防静电接地、电气设备的工作接地、保护接地及信息系统的接地等，共用接地装置，电阻不大于</w:t>
      </w:r>
      <w:r>
        <w:rPr>
          <w:rFonts w:ascii="Times New Roman" w:eastAsia="宋体" w:hAnsi="Times New Roman" w:cs="宋体"/>
          <w:szCs w:val="28"/>
          <w:lang w:bidi="ar"/>
          <w14:ligatures w14:val="none"/>
        </w:rPr>
        <w:t>1Ω</w:t>
      </w:r>
      <w:r>
        <w:rPr>
          <w:rFonts w:ascii="Times New Roman" w:eastAsia="宋体" w:hAnsi="Times New Roman" w:cs="宋体"/>
          <w:szCs w:val="28"/>
          <w:lang w:bidi="ar"/>
          <w14:ligatures w14:val="none"/>
        </w:rPr>
        <w:t>。</w:t>
      </w:r>
    </w:p>
    <w:p w14:paraId="720A366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）防雷</w:t>
      </w:r>
    </w:p>
    <w:p w14:paraId="0CD5879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在供配电系统的电源端安装与设备耐压水平相适应的过电压（电涌）保护器。信息系统的配电线路首、末端与电子器件连接时，装设与电子器件耐压水平相适应的过电压（电涌）保护器。</w:t>
      </w:r>
    </w:p>
    <w:p w14:paraId="76BEE5F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罩棚采用带难燃物质的金属夹芯板，顶层金属板厚度不小于</w:t>
      </w:r>
      <w:r>
        <w:rPr>
          <w:rFonts w:ascii="Times New Roman" w:eastAsia="宋体" w:hAnsi="Times New Roman" w:cs="宋体"/>
          <w:szCs w:val="28"/>
          <w:lang w:bidi="ar"/>
          <w14:ligatures w14:val="none"/>
        </w:rPr>
        <w:t>0.5mm</w:t>
      </w:r>
      <w:r>
        <w:rPr>
          <w:rFonts w:ascii="Times New Roman" w:eastAsia="宋体" w:hAnsi="Times New Roman" w:cs="宋体"/>
          <w:szCs w:val="28"/>
          <w:lang w:bidi="ar"/>
          <w14:ligatures w14:val="none"/>
        </w:rPr>
        <w:t>，利用其金属顶板做为接闪器防雷，利用其金属结构柱体作为引下线。</w:t>
      </w:r>
    </w:p>
    <w:p w14:paraId="1488631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信息系统，在其电源、信号输入输出端均加装相应等级的防浪涌设备，</w:t>
      </w:r>
      <w:r>
        <w:rPr>
          <w:rFonts w:ascii="Times New Roman" w:eastAsia="宋体" w:hAnsi="Times New Roman" w:cs="宋体"/>
          <w:szCs w:val="28"/>
          <w:lang w:bidi="ar"/>
          <w14:ligatures w14:val="none"/>
        </w:rPr>
        <w:lastRenderedPageBreak/>
        <w:t>用以防止雷电感应对信息系统的破坏；各类电缆进出信息系统时电缆金属外皮均与就近的接地系统连接，防止雷电波的浸入。</w:t>
      </w:r>
    </w:p>
    <w:p w14:paraId="4F4D10E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埋地油罐两端设接地测试卡。</w:t>
      </w:r>
    </w:p>
    <w:p w14:paraId="5A8DB785"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）防静电</w:t>
      </w:r>
    </w:p>
    <w:p w14:paraId="09C6481B"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罐区防雷接地装置兼作防静电接地装置。埋地管沟敷设管路始末端，作防静电和防感应雷的联合接地装置，其接地电阻不大于</w:t>
      </w:r>
      <w:r>
        <w:rPr>
          <w:rFonts w:ascii="Times New Roman" w:eastAsia="宋体" w:hAnsi="Times New Roman" w:cs="宋体"/>
          <w:szCs w:val="28"/>
          <w:lang w:bidi="ar"/>
          <w14:ligatures w14:val="none"/>
        </w:rPr>
        <w:t>30Ω</w:t>
      </w:r>
      <w:r>
        <w:rPr>
          <w:rFonts w:ascii="Times New Roman" w:eastAsia="宋体" w:hAnsi="Times New Roman" w:cs="宋体"/>
          <w:szCs w:val="28"/>
          <w:lang w:bidi="ar"/>
          <w14:ligatures w14:val="none"/>
        </w:rPr>
        <w:t>。埋地储罐及管件等金属物体进行电气连接并接地，其接地电阻不大于</w:t>
      </w:r>
      <w:r>
        <w:rPr>
          <w:rFonts w:ascii="Times New Roman" w:eastAsia="宋体" w:hAnsi="Times New Roman" w:cs="宋体"/>
          <w:szCs w:val="28"/>
          <w:lang w:bidi="ar"/>
          <w14:ligatures w14:val="none"/>
        </w:rPr>
        <w:t>10Ω</w:t>
      </w:r>
      <w:r>
        <w:rPr>
          <w:rFonts w:ascii="Times New Roman" w:eastAsia="宋体" w:hAnsi="Times New Roman" w:cs="宋体"/>
          <w:szCs w:val="28"/>
          <w:lang w:bidi="ar"/>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宋体"/>
          <w:szCs w:val="28"/>
          <w:lang w:bidi="ar"/>
          <w14:ligatures w14:val="none"/>
        </w:rPr>
        <w:t>0.03</w:t>
      </w:r>
      <w:r>
        <w:rPr>
          <w:rFonts w:ascii="Times New Roman" w:eastAsia="宋体" w:hAnsi="Times New Roman" w:cs="宋体" w:hint="eastAsia"/>
          <w:szCs w:val="28"/>
          <w:lang w:bidi="ar"/>
          <w14:ligatures w14:val="none"/>
        </w:rPr>
        <w:t>Ω</w:t>
      </w:r>
      <w:r>
        <w:rPr>
          <w:rFonts w:ascii="Times New Roman" w:eastAsia="宋体" w:hAnsi="Times New Roman" w:cs="宋体"/>
          <w:szCs w:val="28"/>
          <w:lang w:bidi="ar"/>
          <w14:ligatures w14:val="none"/>
        </w:rPr>
        <w:t>。</w:t>
      </w:r>
    </w:p>
    <w:p w14:paraId="16C8DEAC"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油罐车卸车场地设置卸车时专用的防静电接地报警仪</w:t>
      </w:r>
      <w:r>
        <w:rPr>
          <w:rFonts w:ascii="Times New Roman" w:eastAsia="宋体" w:hAnsi="Times New Roman" w:cs="宋体" w:hint="eastAsia"/>
          <w:szCs w:val="28"/>
          <w:lang w:bidi="ar"/>
          <w14:ligatures w14:val="none"/>
        </w:rPr>
        <w:t>。</w:t>
      </w:r>
    </w:p>
    <w:p w14:paraId="33131C1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）接地</w:t>
      </w:r>
    </w:p>
    <w:p w14:paraId="7F2878C3"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油罐接地：地下油罐采用环形接地，每个油罐两点与主接地干线连接，罐进油管始端接地，把接地支线引至操作井内，与油管、电缆保护管做电气连接。</w:t>
      </w:r>
    </w:p>
    <w:p w14:paraId="19AC34E8" w14:textId="78E9668D" w:rsidR="00CC40EC" w:rsidRDefault="00CC40EC">
      <w:pPr>
        <w:ind w:firstLine="560"/>
        <w:rPr>
          <w:rFonts w:ascii="Times New Roman" w:eastAsia="宋体" w:hAnsi="Times New Roman" w:cs="宋体"/>
          <w:szCs w:val="28"/>
          <w:lang w:bidi="ar"/>
          <w14:ligatures w14:val="none"/>
        </w:rPr>
      </w:pPr>
      <w:r w:rsidRPr="00CC40EC">
        <w:rPr>
          <w:rFonts w:ascii="Times New Roman" w:eastAsia="宋体" w:hAnsi="Times New Roman" w:cs="宋体"/>
          <w:szCs w:val="28"/>
          <w:lang w:bidi="ar"/>
          <w14:ligatures w14:val="none"/>
        </w:rPr>
        <w:t>雷电防护装置经过辽宁雷电防护工程有限责任公司检测合格，报告编号：（</w:t>
      </w:r>
      <w:r>
        <w:rPr>
          <w:rFonts w:ascii="Times New Roman" w:eastAsia="宋体" w:hAnsi="Times New Roman" w:cs="宋体" w:hint="eastAsia"/>
          <w:szCs w:val="28"/>
          <w:lang w:bidi="ar"/>
          <w14:ligatures w14:val="none"/>
        </w:rPr>
        <w:t>18104941110</w:t>
      </w:r>
      <w:r w:rsidRPr="00CC40EC">
        <w:rPr>
          <w:rFonts w:ascii="Times New Roman" w:eastAsia="宋体" w:hAnsi="Times New Roman" w:cs="宋体"/>
          <w:szCs w:val="28"/>
          <w:lang w:bidi="ar"/>
          <w14:ligatures w14:val="none"/>
        </w:rPr>
        <w:t>）</w:t>
      </w:r>
      <w:r w:rsidRPr="00CC40EC">
        <w:rPr>
          <w:rFonts w:ascii="Times New Roman" w:eastAsia="宋体" w:hAnsi="Times New Roman" w:cs="宋体"/>
          <w:szCs w:val="28"/>
          <w:lang w:bidi="ar"/>
          <w14:ligatures w14:val="none"/>
        </w:rPr>
        <w:t>-[2025]-BX</w:t>
      </w:r>
      <w:r>
        <w:rPr>
          <w:rFonts w:ascii="Times New Roman" w:eastAsia="宋体" w:hAnsi="Times New Roman" w:cs="宋体" w:hint="eastAsia"/>
          <w:szCs w:val="28"/>
          <w:lang w:bidi="ar"/>
          <w14:ligatures w14:val="none"/>
        </w:rPr>
        <w:t>02</w:t>
      </w:r>
      <w:r w:rsidRPr="00CC40EC">
        <w:rPr>
          <w:rFonts w:ascii="Times New Roman" w:eastAsia="宋体" w:hAnsi="Times New Roman" w:cs="宋体"/>
          <w:szCs w:val="28"/>
          <w:lang w:bidi="ar"/>
          <w14:ligatures w14:val="none"/>
        </w:rPr>
        <w:t>，检测结论：所检雷电防护装置全部符合上述标准要求，该项目整体雷电防护装置综合评定为符合标准。相关文件详见附件。</w:t>
      </w:r>
    </w:p>
    <w:p w14:paraId="4EADC0B5"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bookmarkStart w:id="43" w:name="_Toc24162"/>
      <w:r>
        <w:rPr>
          <w:rFonts w:ascii="Times New Roman" w:eastAsia="黑体" w:hAnsi="Times New Roman" w:cs="Times New Roman"/>
          <w:b/>
          <w:bCs/>
          <w:kern w:val="0"/>
          <w:szCs w:val="20"/>
          <w14:ligatures w14:val="none"/>
        </w:rPr>
        <w:t>2.7.3</w:t>
      </w:r>
      <w:bookmarkStart w:id="44" w:name="_Toc11233"/>
      <w:bookmarkEnd w:id="43"/>
      <w:r>
        <w:rPr>
          <w:rFonts w:ascii="Times New Roman" w:eastAsia="黑体" w:hAnsi="Times New Roman" w:cs="Times New Roman"/>
          <w:b/>
          <w:bCs/>
          <w:kern w:val="0"/>
          <w:szCs w:val="20"/>
          <w14:ligatures w14:val="none"/>
        </w:rPr>
        <w:t>消防</w:t>
      </w:r>
      <w:bookmarkEnd w:id="44"/>
    </w:p>
    <w:p w14:paraId="7AC6C0EF"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根据《汽车加油加气加氢站技术标准》（</w:t>
      </w:r>
      <w:r>
        <w:rPr>
          <w:rFonts w:ascii="Times New Roman" w:eastAsia="宋体" w:hAnsi="Times New Roman" w:cs="宋体"/>
          <w:szCs w:val="28"/>
          <w:lang w:bidi="ar"/>
          <w14:ligatures w14:val="none"/>
        </w:rPr>
        <w:t>GB50156-2021</w:t>
      </w:r>
      <w:r>
        <w:rPr>
          <w:rFonts w:ascii="Times New Roman" w:eastAsia="宋体" w:hAnsi="Times New Roman" w:cs="宋体"/>
          <w:szCs w:val="28"/>
          <w:lang w:bidi="ar"/>
          <w14:ligatures w14:val="none"/>
        </w:rPr>
        <w:t>）第</w:t>
      </w:r>
      <w:r>
        <w:rPr>
          <w:rFonts w:ascii="Times New Roman" w:eastAsia="宋体" w:hAnsi="Times New Roman" w:cs="宋体"/>
          <w:szCs w:val="28"/>
          <w:lang w:bidi="ar"/>
          <w14:ligatures w14:val="none"/>
        </w:rPr>
        <w:t>12.2.3</w:t>
      </w:r>
      <w:r>
        <w:rPr>
          <w:rFonts w:ascii="Times New Roman" w:eastAsia="宋体" w:hAnsi="Times New Roman" w:cs="宋体"/>
          <w:szCs w:val="28"/>
          <w:lang w:bidi="ar"/>
          <w14:ligatures w14:val="none"/>
        </w:rPr>
        <w:t>条规定，</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可不设消防</w:t>
      </w:r>
      <w:r>
        <w:rPr>
          <w:rFonts w:ascii="Times New Roman" w:eastAsia="宋体" w:hAnsi="Times New Roman" w:cs="宋体" w:hint="eastAsia"/>
          <w:szCs w:val="28"/>
          <w:lang w:bidi="ar"/>
          <w14:ligatures w14:val="none"/>
        </w:rPr>
        <w:t>给水系统</w:t>
      </w:r>
      <w:r>
        <w:rPr>
          <w:rFonts w:ascii="Times New Roman" w:eastAsia="宋体" w:hAnsi="Times New Roman" w:cs="宋体"/>
          <w:szCs w:val="28"/>
          <w:lang w:bidi="ar"/>
          <w14:ligatures w14:val="none"/>
        </w:rPr>
        <w:t>。站</w:t>
      </w:r>
      <w:r>
        <w:rPr>
          <w:rFonts w:ascii="Times New Roman" w:eastAsia="宋体" w:hAnsi="Times New Roman" w:cs="宋体" w:hint="eastAsia"/>
          <w:szCs w:val="28"/>
          <w:lang w:bidi="ar"/>
          <w14:ligatures w14:val="none"/>
        </w:rPr>
        <w:t>内</w:t>
      </w:r>
      <w:r>
        <w:rPr>
          <w:rFonts w:ascii="Times New Roman" w:eastAsia="宋体" w:hAnsi="Times New Roman" w:cs="宋体"/>
          <w:szCs w:val="28"/>
          <w:lang w:bidi="ar"/>
          <w14:ligatures w14:val="none"/>
        </w:rPr>
        <w:t>消防救援器材详见表</w:t>
      </w:r>
      <w:r>
        <w:rPr>
          <w:rFonts w:ascii="Times New Roman" w:eastAsia="宋体" w:hAnsi="Times New Roman" w:cs="宋体"/>
          <w:szCs w:val="28"/>
          <w:lang w:bidi="ar"/>
          <w14:ligatures w14:val="none"/>
        </w:rPr>
        <w:t>2.7-1</w:t>
      </w:r>
      <w:r>
        <w:rPr>
          <w:rFonts w:ascii="Times New Roman" w:eastAsia="宋体" w:hAnsi="Times New Roman" w:cs="宋体"/>
          <w:szCs w:val="28"/>
          <w:lang w:bidi="ar"/>
          <w14:ligatures w14:val="none"/>
        </w:rPr>
        <w:t>。</w:t>
      </w:r>
    </w:p>
    <w:p w14:paraId="35E48138" w14:textId="77777777" w:rsidR="00502148"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2.7-1  </w:t>
      </w:r>
      <w:r>
        <w:rPr>
          <w:rFonts w:eastAsia="黑体"/>
          <w:sz w:val="24"/>
        </w:rPr>
        <w:t>消防救援器材一览表</w:t>
      </w:r>
    </w:p>
    <w:tbl>
      <w:tblPr>
        <w:tblW w:w="934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16"/>
        <w:gridCol w:w="3050"/>
        <w:gridCol w:w="1261"/>
        <w:gridCol w:w="1985"/>
        <w:gridCol w:w="2231"/>
      </w:tblGrid>
      <w:tr w:rsidR="007739ED" w14:paraId="16259A07" w14:textId="77777777" w:rsidTr="000C3CA4">
        <w:trPr>
          <w:trHeight w:val="454"/>
          <w:tblHeader/>
          <w:jc w:val="center"/>
        </w:trPr>
        <w:tc>
          <w:tcPr>
            <w:tcW w:w="816" w:type="dxa"/>
            <w:vAlign w:val="center"/>
          </w:tcPr>
          <w:p w14:paraId="6BE097C2"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bookmarkStart w:id="45" w:name="_Toc7344"/>
            <w:r>
              <w:rPr>
                <w:rFonts w:ascii="Times New Roman" w:eastAsia="宋体" w:hAnsi="Times New Roman" w:cs="Times New Roman"/>
                <w:sz w:val="21"/>
                <w:szCs w:val="21"/>
                <w14:ligatures w14:val="none"/>
              </w:rPr>
              <w:t>序号</w:t>
            </w:r>
          </w:p>
        </w:tc>
        <w:tc>
          <w:tcPr>
            <w:tcW w:w="3050" w:type="dxa"/>
            <w:vAlign w:val="center"/>
          </w:tcPr>
          <w:p w14:paraId="222ACD9D"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消防器材类型</w:t>
            </w:r>
          </w:p>
        </w:tc>
        <w:tc>
          <w:tcPr>
            <w:tcW w:w="1261" w:type="dxa"/>
            <w:vAlign w:val="center"/>
          </w:tcPr>
          <w:p w14:paraId="5F1EB54F"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数量</w:t>
            </w:r>
          </w:p>
        </w:tc>
        <w:tc>
          <w:tcPr>
            <w:tcW w:w="1985" w:type="dxa"/>
            <w:vAlign w:val="center"/>
          </w:tcPr>
          <w:p w14:paraId="381E7729"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规格</w:t>
            </w:r>
          </w:p>
        </w:tc>
        <w:tc>
          <w:tcPr>
            <w:tcW w:w="2231" w:type="dxa"/>
            <w:vAlign w:val="center"/>
          </w:tcPr>
          <w:p w14:paraId="03CE231C"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放置地点</w:t>
            </w:r>
          </w:p>
        </w:tc>
      </w:tr>
      <w:tr w:rsidR="007739ED" w14:paraId="3B2DEF0D" w14:textId="77777777" w:rsidTr="000C3CA4">
        <w:trPr>
          <w:trHeight w:val="454"/>
          <w:jc w:val="center"/>
        </w:trPr>
        <w:tc>
          <w:tcPr>
            <w:tcW w:w="816" w:type="dxa"/>
            <w:vAlign w:val="center"/>
          </w:tcPr>
          <w:p w14:paraId="3B92C281"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050" w:type="dxa"/>
            <w:vAlign w:val="center"/>
          </w:tcPr>
          <w:p w14:paraId="083C9F0A"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推车式干粉灭火器</w:t>
            </w:r>
          </w:p>
        </w:tc>
        <w:tc>
          <w:tcPr>
            <w:tcW w:w="1261" w:type="dxa"/>
            <w:vAlign w:val="center"/>
          </w:tcPr>
          <w:p w14:paraId="18AE03C0"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具</w:t>
            </w:r>
          </w:p>
        </w:tc>
        <w:tc>
          <w:tcPr>
            <w:tcW w:w="1985" w:type="dxa"/>
            <w:vAlign w:val="center"/>
          </w:tcPr>
          <w:p w14:paraId="66D28A4E"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35kg</w:t>
            </w:r>
          </w:p>
        </w:tc>
        <w:tc>
          <w:tcPr>
            <w:tcW w:w="2231" w:type="dxa"/>
            <w:vAlign w:val="center"/>
          </w:tcPr>
          <w:p w14:paraId="3610BCF6"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储罐区</w:t>
            </w:r>
          </w:p>
        </w:tc>
      </w:tr>
      <w:tr w:rsidR="007739ED" w14:paraId="67A77EF2" w14:textId="77777777" w:rsidTr="000C3CA4">
        <w:trPr>
          <w:trHeight w:val="454"/>
          <w:jc w:val="center"/>
        </w:trPr>
        <w:tc>
          <w:tcPr>
            <w:tcW w:w="816" w:type="dxa"/>
            <w:vAlign w:val="center"/>
          </w:tcPr>
          <w:p w14:paraId="6C389CB6"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050" w:type="dxa"/>
            <w:vAlign w:val="center"/>
          </w:tcPr>
          <w:p w14:paraId="52E0EDE6"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手提式干粉灭火器</w:t>
            </w:r>
          </w:p>
        </w:tc>
        <w:tc>
          <w:tcPr>
            <w:tcW w:w="1261" w:type="dxa"/>
            <w:vAlign w:val="center"/>
          </w:tcPr>
          <w:p w14:paraId="1A136D18"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w:t>
            </w:r>
            <w:r>
              <w:rPr>
                <w:rFonts w:ascii="Times New Roman" w:eastAsia="宋体" w:hAnsi="Times New Roman" w:cs="Times New Roman"/>
                <w:sz w:val="21"/>
                <w:szCs w:val="21"/>
                <w14:ligatures w14:val="none"/>
              </w:rPr>
              <w:t>具</w:t>
            </w:r>
          </w:p>
        </w:tc>
        <w:tc>
          <w:tcPr>
            <w:tcW w:w="1985" w:type="dxa"/>
            <w:vAlign w:val="center"/>
          </w:tcPr>
          <w:p w14:paraId="764CF1B4"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5kg</w:t>
            </w:r>
          </w:p>
        </w:tc>
        <w:tc>
          <w:tcPr>
            <w:tcW w:w="2231" w:type="dxa"/>
            <w:vAlign w:val="center"/>
          </w:tcPr>
          <w:p w14:paraId="00E18B3E"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储罐区、</w:t>
            </w:r>
            <w:r>
              <w:rPr>
                <w:rFonts w:ascii="Times New Roman" w:eastAsia="宋体" w:hAnsi="Times New Roman" w:cs="Times New Roman"/>
                <w:sz w:val="21"/>
                <w:szCs w:val="21"/>
                <w14:ligatures w14:val="none"/>
              </w:rPr>
              <w:t>加油区</w:t>
            </w:r>
            <w:r>
              <w:rPr>
                <w:rFonts w:ascii="Times New Roman" w:eastAsia="宋体" w:hAnsi="Times New Roman" w:cs="Times New Roman" w:hint="eastAsia"/>
                <w:sz w:val="21"/>
                <w:szCs w:val="21"/>
                <w14:ligatures w14:val="none"/>
              </w:rPr>
              <w:t>、卸油区、站房内</w:t>
            </w:r>
          </w:p>
        </w:tc>
      </w:tr>
      <w:tr w:rsidR="007739ED" w14:paraId="47FA78B8" w14:textId="77777777" w:rsidTr="000C3CA4">
        <w:trPr>
          <w:trHeight w:val="454"/>
          <w:jc w:val="center"/>
        </w:trPr>
        <w:tc>
          <w:tcPr>
            <w:tcW w:w="816" w:type="dxa"/>
            <w:vAlign w:val="center"/>
          </w:tcPr>
          <w:p w14:paraId="1FBDF750"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3</w:t>
            </w:r>
          </w:p>
        </w:tc>
        <w:tc>
          <w:tcPr>
            <w:tcW w:w="3050" w:type="dxa"/>
            <w:vAlign w:val="center"/>
          </w:tcPr>
          <w:p w14:paraId="55C57E7E"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CO</w:t>
            </w:r>
            <w:r w:rsidRPr="00124D54">
              <w:rPr>
                <w:rFonts w:ascii="Times New Roman" w:eastAsia="宋体" w:hAnsi="Times New Roman" w:cs="Times New Roman" w:hint="eastAsia"/>
                <w:sz w:val="21"/>
                <w:szCs w:val="21"/>
                <w:vertAlign w:val="subscript"/>
                <w14:ligatures w14:val="none"/>
              </w:rPr>
              <w:t>2</w:t>
            </w:r>
            <w:r>
              <w:rPr>
                <w:rFonts w:ascii="Times New Roman" w:eastAsia="宋体" w:hAnsi="Times New Roman" w:cs="Times New Roman" w:hint="eastAsia"/>
                <w:sz w:val="21"/>
                <w:szCs w:val="21"/>
                <w14:ligatures w14:val="none"/>
              </w:rPr>
              <w:t>灭火器</w:t>
            </w:r>
          </w:p>
        </w:tc>
        <w:tc>
          <w:tcPr>
            <w:tcW w:w="1261" w:type="dxa"/>
            <w:vAlign w:val="center"/>
          </w:tcPr>
          <w:p w14:paraId="14929E17"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具</w:t>
            </w:r>
          </w:p>
        </w:tc>
        <w:tc>
          <w:tcPr>
            <w:tcW w:w="1985" w:type="dxa"/>
            <w:vAlign w:val="center"/>
          </w:tcPr>
          <w:p w14:paraId="57C78490"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5kg</w:t>
            </w:r>
          </w:p>
        </w:tc>
        <w:tc>
          <w:tcPr>
            <w:tcW w:w="2231" w:type="dxa"/>
            <w:vAlign w:val="center"/>
          </w:tcPr>
          <w:p w14:paraId="1C356899"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站房内</w:t>
            </w:r>
          </w:p>
        </w:tc>
      </w:tr>
      <w:tr w:rsidR="007739ED" w14:paraId="223E654A" w14:textId="77777777" w:rsidTr="000C3CA4">
        <w:trPr>
          <w:trHeight w:val="454"/>
          <w:jc w:val="center"/>
        </w:trPr>
        <w:tc>
          <w:tcPr>
            <w:tcW w:w="816" w:type="dxa"/>
            <w:vAlign w:val="center"/>
          </w:tcPr>
          <w:p w14:paraId="6EF5FB17"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3050" w:type="dxa"/>
            <w:vAlign w:val="center"/>
          </w:tcPr>
          <w:p w14:paraId="6DAE8FCC"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灭火毯</w:t>
            </w:r>
          </w:p>
        </w:tc>
        <w:tc>
          <w:tcPr>
            <w:tcW w:w="1261" w:type="dxa"/>
            <w:vAlign w:val="center"/>
          </w:tcPr>
          <w:p w14:paraId="5CCF7B6B"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r>
              <w:rPr>
                <w:rFonts w:ascii="Times New Roman" w:eastAsia="宋体" w:hAnsi="Times New Roman" w:cs="Times New Roman"/>
                <w:sz w:val="21"/>
                <w:szCs w:val="21"/>
                <w14:ligatures w14:val="none"/>
              </w:rPr>
              <w:t>块</w:t>
            </w:r>
          </w:p>
        </w:tc>
        <w:tc>
          <w:tcPr>
            <w:tcW w:w="1985" w:type="dxa"/>
            <w:vAlign w:val="center"/>
          </w:tcPr>
          <w:p w14:paraId="1EBEB0E2"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14948EFE"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消防器材箱内</w:t>
            </w:r>
          </w:p>
        </w:tc>
      </w:tr>
      <w:tr w:rsidR="007739ED" w14:paraId="581163C8" w14:textId="77777777" w:rsidTr="000C3CA4">
        <w:trPr>
          <w:trHeight w:val="454"/>
          <w:jc w:val="center"/>
        </w:trPr>
        <w:tc>
          <w:tcPr>
            <w:tcW w:w="816" w:type="dxa"/>
            <w:vAlign w:val="center"/>
          </w:tcPr>
          <w:p w14:paraId="4EC09881"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3050" w:type="dxa"/>
            <w:vAlign w:val="center"/>
          </w:tcPr>
          <w:p w14:paraId="4DA777C9"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消防沙</w:t>
            </w:r>
          </w:p>
        </w:tc>
        <w:tc>
          <w:tcPr>
            <w:tcW w:w="1261" w:type="dxa"/>
            <w:vAlign w:val="center"/>
          </w:tcPr>
          <w:p w14:paraId="2CAB3B94"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vertAlign w:val="superscript"/>
                <w14:ligatures w14:val="none"/>
              </w:rPr>
              <w:t>3</w:t>
            </w:r>
          </w:p>
        </w:tc>
        <w:tc>
          <w:tcPr>
            <w:tcW w:w="1985" w:type="dxa"/>
            <w:vAlign w:val="center"/>
          </w:tcPr>
          <w:p w14:paraId="40196346"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29024B59"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消防沙箱内、</w:t>
            </w:r>
            <w:r>
              <w:rPr>
                <w:rFonts w:ascii="Times New Roman" w:eastAsia="宋体" w:hAnsi="Times New Roman" w:cs="Times New Roman"/>
                <w:sz w:val="21"/>
                <w:szCs w:val="21"/>
                <w14:ligatures w14:val="none"/>
              </w:rPr>
              <w:t>卸油口附近</w:t>
            </w:r>
          </w:p>
        </w:tc>
      </w:tr>
      <w:tr w:rsidR="007739ED" w14:paraId="2D648C11" w14:textId="77777777" w:rsidTr="000C3CA4">
        <w:trPr>
          <w:trHeight w:val="454"/>
          <w:jc w:val="center"/>
        </w:trPr>
        <w:tc>
          <w:tcPr>
            <w:tcW w:w="816" w:type="dxa"/>
            <w:vAlign w:val="center"/>
          </w:tcPr>
          <w:p w14:paraId="2E2DD051"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3050" w:type="dxa"/>
            <w:vAlign w:val="center"/>
          </w:tcPr>
          <w:p w14:paraId="2E9D730B"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消防桶</w:t>
            </w:r>
          </w:p>
        </w:tc>
        <w:tc>
          <w:tcPr>
            <w:tcW w:w="1261" w:type="dxa"/>
            <w:vAlign w:val="center"/>
          </w:tcPr>
          <w:p w14:paraId="695328A3"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个</w:t>
            </w:r>
          </w:p>
        </w:tc>
        <w:tc>
          <w:tcPr>
            <w:tcW w:w="1985" w:type="dxa"/>
            <w:vAlign w:val="center"/>
          </w:tcPr>
          <w:p w14:paraId="364AE589"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725476F5"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7739ED" w14:paraId="34EC5A7C" w14:textId="77777777" w:rsidTr="000C3CA4">
        <w:trPr>
          <w:trHeight w:val="454"/>
          <w:jc w:val="center"/>
        </w:trPr>
        <w:tc>
          <w:tcPr>
            <w:tcW w:w="816" w:type="dxa"/>
            <w:vAlign w:val="center"/>
          </w:tcPr>
          <w:p w14:paraId="055E33C8"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3050" w:type="dxa"/>
            <w:vAlign w:val="center"/>
          </w:tcPr>
          <w:p w14:paraId="09F53DB3"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消防锹</w:t>
            </w:r>
          </w:p>
        </w:tc>
        <w:tc>
          <w:tcPr>
            <w:tcW w:w="1261" w:type="dxa"/>
            <w:vAlign w:val="center"/>
          </w:tcPr>
          <w:p w14:paraId="204CBECA"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把</w:t>
            </w:r>
          </w:p>
        </w:tc>
        <w:tc>
          <w:tcPr>
            <w:tcW w:w="1985" w:type="dxa"/>
            <w:vAlign w:val="center"/>
          </w:tcPr>
          <w:p w14:paraId="3B401F27"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25F7F7DB" w14:textId="77777777" w:rsidR="007739ED" w:rsidRDefault="007739ED" w:rsidP="000C3CA4">
            <w:pPr>
              <w:adjustRightInd/>
              <w:snapToGrid/>
              <w:spacing w:line="240" w:lineRule="auto"/>
              <w:ind w:firstLineChars="0" w:firstLine="0"/>
              <w:jc w:val="center"/>
              <w:rPr>
                <w:rFonts w:ascii="Times New Roman" w:eastAsia="宋体" w:hAnsi="Times New Roman" w:cs="Times New Roman"/>
                <w:sz w:val="21"/>
                <w:szCs w:val="21"/>
                <w14:ligatures w14:val="none"/>
              </w:rPr>
            </w:pPr>
          </w:p>
        </w:tc>
      </w:tr>
    </w:tbl>
    <w:p w14:paraId="7EDB1C40"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46" w:name="_Toc20238"/>
      <w:bookmarkEnd w:id="45"/>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4</w:t>
      </w:r>
      <w:r>
        <w:rPr>
          <w:rFonts w:ascii="Times New Roman" w:eastAsia="黑体" w:hAnsi="Times New Roman" w:cs="Times New Roman"/>
          <w:b/>
          <w:bCs/>
          <w:kern w:val="0"/>
          <w:szCs w:val="20"/>
          <w14:ligatures w14:val="none"/>
        </w:rPr>
        <w:t>采暖</w:t>
      </w:r>
      <w:bookmarkEnd w:id="46"/>
      <w:r>
        <w:rPr>
          <w:rFonts w:ascii="Times New Roman" w:eastAsia="黑体" w:hAnsi="Times New Roman" w:cs="Times New Roman" w:hint="eastAsia"/>
          <w:b/>
          <w:bCs/>
          <w:kern w:val="0"/>
          <w:szCs w:val="20"/>
          <w14:ligatures w14:val="none"/>
        </w:rPr>
        <w:t>、通风</w:t>
      </w:r>
    </w:p>
    <w:p w14:paraId="36D7B644"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站房</w:t>
      </w:r>
      <w:r>
        <w:rPr>
          <w:rFonts w:ascii="Times New Roman" w:eastAsia="宋体" w:hAnsi="Times New Roman" w:cs="宋体" w:hint="eastAsia"/>
          <w:szCs w:val="28"/>
          <w:lang w:bidi="ar"/>
          <w14:ligatures w14:val="none"/>
        </w:rPr>
        <w:t>采暖</w:t>
      </w:r>
      <w:r>
        <w:rPr>
          <w:rFonts w:ascii="Times New Roman" w:eastAsia="宋体" w:hAnsi="Times New Roman" w:cs="宋体"/>
          <w:szCs w:val="28"/>
          <w:lang w:bidi="ar"/>
          <w14:ligatures w14:val="none"/>
        </w:rPr>
        <w:t>热源热水由五里甸子服务区提供。室内</w:t>
      </w:r>
      <w:r>
        <w:rPr>
          <w:rFonts w:ascii="Times New Roman" w:eastAsia="宋体" w:hAnsi="Times New Roman" w:cs="宋体" w:hint="eastAsia"/>
          <w:szCs w:val="28"/>
          <w:lang w:bidi="ar"/>
          <w14:ligatures w14:val="none"/>
        </w:rPr>
        <w:t>采用</w:t>
      </w:r>
      <w:r>
        <w:rPr>
          <w:rFonts w:ascii="Times New Roman" w:eastAsia="宋体" w:hAnsi="Times New Roman" w:cs="宋体"/>
          <w:szCs w:val="28"/>
          <w:lang w:bidi="ar"/>
          <w14:ligatures w14:val="none"/>
        </w:rPr>
        <w:t>地面辐射供暖系统。办公室、财务室等房间利用可开启外窗自然通风</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卫生间采用机械排风，自然补风，换气次数按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次</w:t>
      </w:r>
      <w:r>
        <w:rPr>
          <w:rFonts w:ascii="Times New Roman" w:eastAsia="宋体" w:hAnsi="Times New Roman" w:cs="宋体"/>
          <w:szCs w:val="28"/>
          <w:lang w:bidi="ar"/>
          <w14:ligatures w14:val="none"/>
        </w:rPr>
        <w:t>/h</w:t>
      </w:r>
      <w:r>
        <w:rPr>
          <w:rFonts w:ascii="Times New Roman" w:eastAsia="宋体" w:hAnsi="Times New Roman" w:cs="宋体"/>
          <w:szCs w:val="28"/>
          <w:lang w:bidi="ar"/>
          <w14:ligatures w14:val="none"/>
        </w:rPr>
        <w:t>计。</w:t>
      </w:r>
    </w:p>
    <w:p w14:paraId="0C7821A7"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bookmarkStart w:id="47" w:name="_Toc1392"/>
      <w:bookmarkStart w:id="48" w:name="_Toc14211"/>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5</w:t>
      </w:r>
      <w:r>
        <w:rPr>
          <w:rFonts w:ascii="Times New Roman" w:eastAsia="黑体" w:hAnsi="Times New Roman" w:cs="Times New Roman"/>
          <w:b/>
          <w:bCs/>
          <w:kern w:val="0"/>
          <w:szCs w:val="20"/>
          <w14:ligatures w14:val="none"/>
        </w:rPr>
        <w:t>自动化</w:t>
      </w:r>
      <w:bookmarkEnd w:id="47"/>
      <w:bookmarkEnd w:id="48"/>
      <w:r>
        <w:rPr>
          <w:rFonts w:ascii="Times New Roman" w:eastAsia="黑体" w:hAnsi="Times New Roman" w:cs="Times New Roman"/>
          <w:b/>
          <w:bCs/>
          <w:kern w:val="0"/>
          <w:szCs w:val="20"/>
          <w14:ligatures w14:val="none"/>
        </w:rPr>
        <w:t>控制</w:t>
      </w:r>
    </w:p>
    <w:p w14:paraId="77AFBA1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设置信息管理系统。包括油罐液位监测系统、防渗检测</w:t>
      </w:r>
      <w:r>
        <w:rPr>
          <w:rFonts w:ascii="Times New Roman" w:eastAsia="宋体" w:hAnsi="Times New Roman" w:cs="宋体" w:hint="eastAsia"/>
          <w:szCs w:val="28"/>
          <w:lang w:bidi="ar"/>
          <w14:ligatures w14:val="none"/>
        </w:rPr>
        <w:t>系统</w:t>
      </w:r>
      <w:r>
        <w:rPr>
          <w:rFonts w:ascii="Times New Roman" w:eastAsia="宋体" w:hAnsi="Times New Roman" w:cs="宋体"/>
          <w:szCs w:val="28"/>
          <w:lang w:bidi="ar"/>
          <w14:ligatures w14:val="none"/>
        </w:rPr>
        <w:t>、紧急</w:t>
      </w:r>
      <w:r>
        <w:rPr>
          <w:rFonts w:ascii="Times New Roman" w:eastAsia="宋体" w:hAnsi="Times New Roman" w:cs="宋体" w:hint="eastAsia"/>
          <w:szCs w:val="28"/>
          <w:lang w:bidi="ar"/>
          <w14:ligatures w14:val="none"/>
        </w:rPr>
        <w:t>停车系统及视频监控系统</w:t>
      </w:r>
      <w:r>
        <w:rPr>
          <w:rFonts w:ascii="Times New Roman" w:eastAsia="宋体" w:hAnsi="Times New Roman" w:cs="宋体"/>
          <w:szCs w:val="28"/>
          <w:lang w:bidi="ar"/>
          <w14:ligatures w14:val="none"/>
        </w:rPr>
        <w:t>。</w:t>
      </w:r>
    </w:p>
    <w:p w14:paraId="2B81F31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）油罐液位监测系统</w:t>
      </w:r>
    </w:p>
    <w:p w14:paraId="3356CBBD" w14:textId="186E656B"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设置液位仪，</w:t>
      </w:r>
      <w:r w:rsidR="0068579D" w:rsidRPr="0082631A">
        <w:rPr>
          <w:rFonts w:ascii="Times New Roman" w:eastAsia="宋体" w:hAnsi="Times New Roman" w:cs="宋体"/>
          <w:szCs w:val="28"/>
          <w:lang w:bidi="ar"/>
          <w14:ligatures w14:val="none"/>
        </w:rPr>
        <w:t>共设</w:t>
      </w:r>
      <w:r w:rsidR="0068579D" w:rsidRPr="0082631A">
        <w:rPr>
          <w:rFonts w:ascii="Times New Roman" w:eastAsia="宋体" w:hAnsi="Times New Roman" w:cs="宋体"/>
          <w:szCs w:val="28"/>
          <w:lang w:bidi="ar"/>
          <w14:ligatures w14:val="none"/>
        </w:rPr>
        <w:t>6</w:t>
      </w:r>
      <w:r w:rsidR="0068579D" w:rsidRPr="0082631A">
        <w:rPr>
          <w:rFonts w:ascii="Times New Roman" w:eastAsia="宋体" w:hAnsi="Times New Roman" w:cs="宋体"/>
          <w:szCs w:val="28"/>
          <w:lang w:bidi="ar"/>
          <w14:ligatures w14:val="none"/>
        </w:rPr>
        <w:t>个点位，</w:t>
      </w:r>
      <w:r>
        <w:rPr>
          <w:rFonts w:ascii="Times New Roman" w:eastAsia="宋体" w:hAnsi="Times New Roman" w:cs="宋体"/>
          <w:szCs w:val="28"/>
          <w:lang w:bidi="ar"/>
          <w14:ligatures w14:val="none"/>
        </w:rPr>
        <w:t>每个油罐内装设</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根防爆型磁致伸缩液位探棒（精度不低于</w:t>
      </w:r>
      <w:r>
        <w:rPr>
          <w:rFonts w:ascii="Times New Roman" w:eastAsia="宋体" w:hAnsi="Times New Roman" w:cs="宋体"/>
          <w:szCs w:val="28"/>
          <w:lang w:bidi="ar"/>
          <w14:ligatures w14:val="none"/>
        </w:rPr>
        <w:t>±0.5mm</w:t>
      </w:r>
      <w:r>
        <w:rPr>
          <w:rFonts w:ascii="Times New Roman" w:eastAsia="宋体" w:hAnsi="Times New Roman" w:cs="宋体"/>
          <w:szCs w:val="28"/>
          <w:lang w:bidi="ar"/>
          <w14:ligatures w14:val="none"/>
        </w:rPr>
        <w:t>）及</w:t>
      </w:r>
      <w:r>
        <w:rPr>
          <w:rFonts w:ascii="Times New Roman" w:eastAsia="宋体" w:hAnsi="Times New Roman" w:cs="宋体" w:hint="eastAsia"/>
          <w:szCs w:val="28"/>
          <w:lang w:bidi="ar"/>
          <w14:ligatures w14:val="none"/>
        </w:rPr>
        <w:t>机械式</w:t>
      </w:r>
      <w:r>
        <w:rPr>
          <w:rFonts w:ascii="Times New Roman" w:eastAsia="宋体" w:hAnsi="Times New Roman" w:cs="宋体"/>
          <w:szCs w:val="28"/>
          <w:lang w:bidi="ar"/>
          <w14:ligatures w14:val="none"/>
        </w:rPr>
        <w:t>卸油防溢阀，油品达到油罐容量的</w:t>
      </w:r>
      <w:r>
        <w:rPr>
          <w:rFonts w:ascii="Times New Roman" w:eastAsia="宋体" w:hAnsi="Times New Roman" w:cs="宋体"/>
          <w:szCs w:val="28"/>
          <w:lang w:bidi="ar"/>
          <w14:ligatures w14:val="none"/>
        </w:rPr>
        <w:t>90%</w:t>
      </w:r>
      <w:r>
        <w:rPr>
          <w:rFonts w:ascii="Times New Roman" w:eastAsia="宋体" w:hAnsi="Times New Roman" w:cs="宋体"/>
          <w:szCs w:val="28"/>
          <w:lang w:bidi="ar"/>
          <w14:ligatures w14:val="none"/>
        </w:rPr>
        <w:t>时，出动高液位报警装置，油品达到油罐容量的</w:t>
      </w:r>
      <w:r>
        <w:rPr>
          <w:rFonts w:ascii="Times New Roman" w:eastAsia="宋体" w:hAnsi="Times New Roman" w:cs="宋体"/>
          <w:szCs w:val="28"/>
          <w:lang w:bidi="ar"/>
          <w14:ligatures w14:val="none"/>
        </w:rPr>
        <w:t>95%</w:t>
      </w:r>
      <w:r>
        <w:rPr>
          <w:rFonts w:ascii="Times New Roman" w:eastAsia="宋体" w:hAnsi="Times New Roman" w:cs="宋体"/>
          <w:szCs w:val="28"/>
          <w:lang w:bidi="ar"/>
          <w14:ligatures w14:val="none"/>
        </w:rPr>
        <w:t>时，自动停止油品进罐。在站房内安装液位仪控制器，监测每个油罐的实时库存数据变化（总体积、液位、水位、温偿体积、油品温度），可设定每个油罐的高低液位报警参数并进行报警。</w:t>
      </w:r>
    </w:p>
    <w:p w14:paraId="23D2CF1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）防渗检测系统</w:t>
      </w:r>
    </w:p>
    <w:p w14:paraId="695FF02F" w14:textId="33B87491"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双层油罐设置渗漏检测立管，</w:t>
      </w:r>
      <w:r w:rsidR="00AF6CF6" w:rsidRPr="0082631A">
        <w:rPr>
          <w:rFonts w:ascii="Times New Roman" w:eastAsia="宋体" w:hAnsi="Times New Roman" w:cs="宋体"/>
          <w:szCs w:val="28"/>
          <w:lang w:bidi="ar"/>
          <w14:ligatures w14:val="none"/>
        </w:rPr>
        <w:t>共设</w:t>
      </w:r>
      <w:r w:rsidR="00AF6CF6" w:rsidRPr="0082631A">
        <w:rPr>
          <w:rFonts w:ascii="Times New Roman" w:eastAsia="宋体" w:hAnsi="Times New Roman" w:cs="宋体"/>
          <w:szCs w:val="28"/>
          <w:lang w:bidi="ar"/>
          <w14:ligatures w14:val="none"/>
        </w:rPr>
        <w:t>6</w:t>
      </w:r>
      <w:r w:rsidR="00AF6CF6" w:rsidRPr="0082631A">
        <w:rPr>
          <w:rFonts w:ascii="Times New Roman" w:eastAsia="宋体" w:hAnsi="Times New Roman" w:cs="宋体"/>
          <w:szCs w:val="28"/>
          <w:lang w:bidi="ar"/>
          <w14:ligatures w14:val="none"/>
        </w:rPr>
        <w:t>个点位，</w:t>
      </w:r>
      <w:r>
        <w:rPr>
          <w:rFonts w:ascii="Times New Roman" w:eastAsia="宋体" w:hAnsi="Times New Roman" w:cs="宋体"/>
          <w:szCs w:val="28"/>
          <w:lang w:bidi="ar"/>
          <w14:ligatures w14:val="none"/>
        </w:rPr>
        <w:t>并设置在线监测系统，保证油罐内、外壁任何部位出现渗漏均能被发现。双层管道系统的最低点设置检漏点，</w:t>
      </w:r>
      <w:r w:rsidR="00AF6CF6" w:rsidRPr="0082631A">
        <w:rPr>
          <w:rFonts w:ascii="Times New Roman" w:eastAsia="宋体" w:hAnsi="Times New Roman" w:cs="宋体"/>
          <w:szCs w:val="28"/>
          <w:lang w:bidi="ar"/>
          <w14:ligatures w14:val="none"/>
        </w:rPr>
        <w:t>共设</w:t>
      </w:r>
      <w:r w:rsidR="00AF6CF6" w:rsidRPr="0082631A">
        <w:rPr>
          <w:rFonts w:ascii="Times New Roman" w:eastAsia="宋体" w:hAnsi="Times New Roman" w:cs="宋体"/>
          <w:szCs w:val="28"/>
          <w:lang w:bidi="ar"/>
          <w14:ligatures w14:val="none"/>
        </w:rPr>
        <w:t>6</w:t>
      </w:r>
      <w:r w:rsidR="00AF6CF6" w:rsidRPr="0082631A">
        <w:rPr>
          <w:rFonts w:ascii="Times New Roman" w:eastAsia="宋体" w:hAnsi="Times New Roman" w:cs="宋体"/>
          <w:szCs w:val="28"/>
          <w:lang w:bidi="ar"/>
          <w14:ligatures w14:val="none"/>
        </w:rPr>
        <w:t>个点位，</w:t>
      </w:r>
      <w:r>
        <w:rPr>
          <w:rFonts w:ascii="Times New Roman" w:eastAsia="宋体" w:hAnsi="Times New Roman" w:cs="宋体"/>
          <w:szCs w:val="28"/>
          <w:lang w:bidi="ar"/>
          <w14:ligatures w14:val="none"/>
        </w:rPr>
        <w:t>并设置在线检测系统，保证内、外层管任何部位出现泄漏均能在检漏点处被发现。</w:t>
      </w:r>
    </w:p>
    <w:p w14:paraId="208E2FD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lastRenderedPageBreak/>
        <w:t>（</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）紧急切断系统</w:t>
      </w:r>
    </w:p>
    <w:p w14:paraId="09CD184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该系统在事故状态下迅速切断配电系统电源，紧急切断系统具有失效保护功能，紧急切断系统只能手动复位。在</w:t>
      </w:r>
      <w:r>
        <w:rPr>
          <w:rFonts w:ascii="Times New Roman" w:eastAsia="宋体" w:hAnsi="Times New Roman" w:cs="宋体" w:hint="eastAsia"/>
          <w:szCs w:val="28"/>
          <w:lang w:bidi="ar"/>
          <w14:ligatures w14:val="none"/>
        </w:rPr>
        <w:t>控制室内</w:t>
      </w:r>
      <w:r>
        <w:rPr>
          <w:rFonts w:ascii="Times New Roman" w:eastAsia="宋体" w:hAnsi="Times New Roman" w:cs="宋体"/>
          <w:szCs w:val="28"/>
          <w:lang w:bidi="ar"/>
          <w14:ligatures w14:val="none"/>
        </w:rPr>
        <w:t>设置紧急切断按钮</w:t>
      </w:r>
      <w:r>
        <w:rPr>
          <w:rFonts w:ascii="Times New Roman" w:eastAsia="宋体" w:hAnsi="Times New Roman" w:cs="宋体" w:hint="eastAsia"/>
          <w:szCs w:val="28"/>
          <w:lang w:bidi="ar"/>
          <w14:ligatures w14:val="none"/>
        </w:rPr>
        <w:t>，在</w:t>
      </w:r>
      <w:r>
        <w:rPr>
          <w:rFonts w:ascii="Times New Roman" w:eastAsia="宋体" w:hAnsi="Times New Roman" w:cs="宋体"/>
          <w:szCs w:val="28"/>
          <w:lang w:bidi="ar"/>
          <w14:ligatures w14:val="none"/>
        </w:rPr>
        <w:t>加油区、卸油口附近</w:t>
      </w:r>
      <w:r>
        <w:rPr>
          <w:rFonts w:ascii="Times New Roman" w:eastAsia="宋体" w:hAnsi="Times New Roman" w:cs="宋体" w:hint="eastAsia"/>
          <w:szCs w:val="28"/>
          <w:lang w:bidi="ar"/>
          <w14:ligatures w14:val="none"/>
        </w:rPr>
        <w:t>设置</w:t>
      </w:r>
      <w:r>
        <w:rPr>
          <w:rFonts w:ascii="Times New Roman" w:eastAsia="宋体" w:hAnsi="Times New Roman" w:cs="宋体"/>
          <w:szCs w:val="28"/>
          <w:lang w:bidi="ar"/>
          <w14:ligatures w14:val="none"/>
        </w:rPr>
        <w:t>急停防爆操作柱</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卸油口旁设置声光报警器。</w:t>
      </w:r>
    </w:p>
    <w:p w14:paraId="1C28395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）视频监控系统</w:t>
      </w:r>
    </w:p>
    <w:p w14:paraId="4E2CECF7"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该站在</w:t>
      </w:r>
      <w:r>
        <w:rPr>
          <w:rFonts w:ascii="Times New Roman" w:eastAsia="宋体" w:hAnsi="Times New Roman" w:cs="宋体"/>
          <w:szCs w:val="28"/>
          <w:lang w:bidi="ar"/>
          <w14:ligatures w14:val="none"/>
        </w:rPr>
        <w:t>卸车点、罩棚区、站房出入口、进出口、营业厅等处</w:t>
      </w:r>
      <w:r>
        <w:rPr>
          <w:rFonts w:ascii="Times New Roman" w:eastAsia="宋体" w:hAnsi="Times New Roman" w:cs="宋体" w:hint="eastAsia"/>
          <w:szCs w:val="28"/>
          <w:lang w:bidi="ar"/>
          <w14:ligatures w14:val="none"/>
        </w:rPr>
        <w:t>安装摄像头</w:t>
      </w:r>
      <w:r>
        <w:rPr>
          <w:rFonts w:ascii="Times New Roman" w:eastAsia="宋体" w:hAnsi="Times New Roman" w:cs="宋体"/>
          <w:szCs w:val="28"/>
          <w:lang w:bidi="ar"/>
          <w14:ligatures w14:val="none"/>
        </w:rPr>
        <w:t>。室外</w:t>
      </w:r>
      <w:r>
        <w:rPr>
          <w:rFonts w:ascii="Times New Roman" w:eastAsia="宋体" w:hAnsi="Times New Roman" w:cs="宋体" w:hint="eastAsia"/>
          <w:szCs w:val="28"/>
          <w:lang w:bidi="ar"/>
          <w14:ligatures w14:val="none"/>
        </w:rPr>
        <w:t>摄像头</w:t>
      </w:r>
      <w:r>
        <w:rPr>
          <w:rFonts w:ascii="Times New Roman" w:eastAsia="宋体" w:hAnsi="Times New Roman" w:cs="宋体"/>
          <w:szCs w:val="28"/>
          <w:lang w:bidi="ar"/>
          <w14:ligatures w14:val="none"/>
        </w:rPr>
        <w:t>安装高度不低于</w:t>
      </w:r>
      <w:r>
        <w:rPr>
          <w:rFonts w:ascii="Times New Roman" w:eastAsia="宋体" w:hAnsi="Times New Roman" w:cs="宋体"/>
          <w:szCs w:val="28"/>
          <w:lang w:bidi="ar"/>
          <w14:ligatures w14:val="none"/>
        </w:rPr>
        <w:t>3.5m</w:t>
      </w:r>
      <w:r>
        <w:rPr>
          <w:rFonts w:ascii="Times New Roman" w:eastAsia="宋体" w:hAnsi="Times New Roman" w:cs="宋体"/>
          <w:szCs w:val="28"/>
          <w:lang w:bidi="ar"/>
          <w14:ligatures w14:val="none"/>
        </w:rPr>
        <w:t>，安装方式立柱式</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室内</w:t>
      </w:r>
      <w:r>
        <w:rPr>
          <w:rFonts w:ascii="Times New Roman" w:eastAsia="宋体" w:hAnsi="Times New Roman" w:cs="宋体" w:hint="eastAsia"/>
          <w:szCs w:val="28"/>
          <w:lang w:bidi="ar"/>
          <w14:ligatures w14:val="none"/>
        </w:rPr>
        <w:t>摄像头</w:t>
      </w:r>
      <w:r>
        <w:rPr>
          <w:rFonts w:ascii="Times New Roman" w:eastAsia="宋体" w:hAnsi="Times New Roman" w:cs="宋体"/>
          <w:szCs w:val="28"/>
          <w:lang w:bidi="ar"/>
          <w14:ligatures w14:val="none"/>
        </w:rPr>
        <w:t>安装高度不低于</w:t>
      </w:r>
      <w:r>
        <w:rPr>
          <w:rFonts w:ascii="Times New Roman" w:eastAsia="宋体" w:hAnsi="Times New Roman" w:cs="宋体"/>
          <w:szCs w:val="28"/>
          <w:lang w:bidi="ar"/>
          <w14:ligatures w14:val="none"/>
        </w:rPr>
        <w:t>2.5m</w:t>
      </w:r>
      <w:r>
        <w:rPr>
          <w:rFonts w:ascii="Times New Roman" w:eastAsia="宋体" w:hAnsi="Times New Roman" w:cs="宋体"/>
          <w:szCs w:val="28"/>
          <w:lang w:bidi="ar"/>
          <w14:ligatures w14:val="none"/>
        </w:rPr>
        <w:t>，安装方式为壁挂式</w:t>
      </w:r>
      <w:r>
        <w:rPr>
          <w:rFonts w:ascii="Times New Roman" w:eastAsia="宋体" w:hAnsi="Times New Roman" w:cs="宋体" w:hint="eastAsia"/>
          <w:szCs w:val="28"/>
          <w:lang w:bidi="ar"/>
          <w14:ligatures w14:val="none"/>
        </w:rPr>
        <w:t>，均位于爆炸危险区域以外</w:t>
      </w:r>
      <w:r>
        <w:rPr>
          <w:rFonts w:ascii="Times New Roman" w:eastAsia="宋体" w:hAnsi="Times New Roman" w:cs="宋体"/>
          <w:szCs w:val="28"/>
          <w:lang w:bidi="ar"/>
          <w14:ligatures w14:val="none"/>
        </w:rPr>
        <w:t>。视频监视主机及显示器设置在营业厅</w:t>
      </w:r>
      <w:r>
        <w:rPr>
          <w:rFonts w:ascii="Times New Roman" w:eastAsia="宋体" w:hAnsi="Times New Roman" w:cs="宋体" w:hint="eastAsia"/>
          <w:szCs w:val="28"/>
          <w:lang w:bidi="ar"/>
          <w14:ligatures w14:val="none"/>
        </w:rPr>
        <w:t>内</w:t>
      </w:r>
      <w:r>
        <w:rPr>
          <w:rFonts w:ascii="Times New Roman" w:eastAsia="宋体" w:hAnsi="Times New Roman" w:cs="宋体"/>
          <w:szCs w:val="28"/>
          <w:lang w:bidi="ar"/>
          <w14:ligatures w14:val="none"/>
        </w:rPr>
        <w:t>。</w:t>
      </w:r>
    </w:p>
    <w:p w14:paraId="2C8B8D35" w14:textId="77777777" w:rsidR="00502148"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6</w:t>
      </w:r>
      <w:r>
        <w:rPr>
          <w:rFonts w:ascii="Times New Roman" w:eastAsia="黑体" w:hAnsi="Times New Roman" w:cs="Times New Roman" w:hint="eastAsia"/>
          <w:b/>
          <w:bCs/>
          <w:kern w:val="0"/>
          <w:szCs w:val="20"/>
          <w14:ligatures w14:val="none"/>
        </w:rPr>
        <w:t>运输</w:t>
      </w:r>
    </w:p>
    <w:p w14:paraId="00B4FD0E"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项目</w:t>
      </w:r>
      <w:r>
        <w:rPr>
          <w:rFonts w:ascii="Times New Roman" w:eastAsia="宋体" w:hAnsi="Times New Roman" w:cs="宋体"/>
          <w:szCs w:val="28"/>
          <w:lang w:bidi="ar"/>
          <w14:ligatures w14:val="none"/>
        </w:rPr>
        <w:t>不负责所经营的</w:t>
      </w:r>
      <w:r>
        <w:rPr>
          <w:rFonts w:ascii="Times New Roman" w:eastAsia="宋体" w:hAnsi="Times New Roman" w:cs="宋体" w:hint="eastAsia"/>
          <w:szCs w:val="28"/>
          <w:lang w:bidi="ar"/>
          <w14:ligatures w14:val="none"/>
        </w:rPr>
        <w:t>车用乙醇</w:t>
      </w:r>
      <w:r>
        <w:rPr>
          <w:rFonts w:ascii="Times New Roman" w:eastAsia="宋体" w:hAnsi="Times New Roman" w:cs="宋体"/>
          <w:szCs w:val="28"/>
          <w:lang w:bidi="ar"/>
          <w14:ligatures w14:val="none"/>
        </w:rPr>
        <w:t>汽油、柴油运输，委托有危险化学品运输资质的企业负责运输。</w:t>
      </w:r>
    </w:p>
    <w:p w14:paraId="3A5CAA8C" w14:textId="77777777" w:rsidR="00502148"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49" w:name="_Toc16821"/>
      <w:r>
        <w:rPr>
          <w:rFonts w:ascii="Times New Roman" w:eastAsia="楷体" w:hAnsi="Times New Roman" w:cs="宋体"/>
          <w:b/>
          <w:bCs/>
          <w:sz w:val="32"/>
          <w:szCs w:val="28"/>
          <w:lang w:bidi="ar"/>
          <w14:ligatures w14:val="none"/>
        </w:rPr>
        <w:t>2.8</w:t>
      </w:r>
      <w:r>
        <w:rPr>
          <w:rFonts w:ascii="Times New Roman" w:eastAsia="楷体" w:hAnsi="Times New Roman" w:cs="宋体"/>
          <w:b/>
          <w:bCs/>
          <w:sz w:val="32"/>
          <w:szCs w:val="28"/>
          <w:lang w:bidi="ar"/>
          <w14:ligatures w14:val="none"/>
        </w:rPr>
        <w:t>主要装置（设备）和设施</w:t>
      </w:r>
      <w:bookmarkEnd w:id="49"/>
    </w:p>
    <w:p w14:paraId="10079A00"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站内涉及的主要设备详见表</w:t>
      </w:r>
      <w:r>
        <w:rPr>
          <w:rFonts w:ascii="Times New Roman" w:eastAsia="宋体" w:hAnsi="Times New Roman" w:cs="宋体"/>
          <w:szCs w:val="28"/>
          <w:lang w:bidi="ar"/>
          <w14:ligatures w14:val="none"/>
        </w:rPr>
        <w:t>2.8-1</w:t>
      </w:r>
      <w:r>
        <w:rPr>
          <w:rFonts w:ascii="Times New Roman" w:eastAsia="宋体" w:hAnsi="Times New Roman" w:cs="宋体"/>
          <w:szCs w:val="28"/>
          <w:lang w:bidi="ar"/>
          <w14:ligatures w14:val="none"/>
        </w:rPr>
        <w:t>，站内不涉及特种设备。</w:t>
      </w:r>
    </w:p>
    <w:p w14:paraId="0EABA87A" w14:textId="77777777" w:rsidR="00502148"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2.8-1  </w:t>
      </w:r>
      <w:r>
        <w:rPr>
          <w:rFonts w:eastAsia="黑体"/>
          <w:sz w:val="24"/>
        </w:rPr>
        <w:t>主要设备一览表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2220"/>
        <w:gridCol w:w="2563"/>
        <w:gridCol w:w="853"/>
        <w:gridCol w:w="2859"/>
      </w:tblGrid>
      <w:tr w:rsidR="00502148" w14:paraId="7CA95756" w14:textId="77777777" w:rsidTr="00A66FFA">
        <w:trPr>
          <w:trHeight w:val="454"/>
          <w:tblHeader/>
          <w:jc w:val="center"/>
        </w:trPr>
        <w:tc>
          <w:tcPr>
            <w:tcW w:w="370" w:type="pct"/>
            <w:vAlign w:val="center"/>
          </w:tcPr>
          <w:p w14:paraId="6A6B05D1"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序号</w:t>
            </w:r>
          </w:p>
        </w:tc>
        <w:tc>
          <w:tcPr>
            <w:tcW w:w="1210" w:type="pct"/>
            <w:vAlign w:val="center"/>
          </w:tcPr>
          <w:p w14:paraId="26CB174B"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设备名称</w:t>
            </w:r>
          </w:p>
        </w:tc>
        <w:tc>
          <w:tcPr>
            <w:tcW w:w="1397" w:type="pct"/>
            <w:vAlign w:val="center"/>
          </w:tcPr>
          <w:p w14:paraId="58494F18"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vertAlign w:val="superscript"/>
                <w14:ligatures w14:val="none"/>
              </w:rPr>
            </w:pPr>
            <w:r>
              <w:rPr>
                <w:rFonts w:ascii="Times New Roman" w:eastAsia="宋体" w:hAnsi="Times New Roman" w:cs="Times New Roman"/>
                <w:kern w:val="28"/>
                <w:sz w:val="21"/>
                <w:szCs w:val="21"/>
                <w14:ligatures w14:val="none"/>
              </w:rPr>
              <w:t>规格型号</w:t>
            </w:r>
          </w:p>
        </w:tc>
        <w:tc>
          <w:tcPr>
            <w:tcW w:w="465" w:type="pct"/>
            <w:vAlign w:val="center"/>
          </w:tcPr>
          <w:p w14:paraId="0F6C2410"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数量</w:t>
            </w:r>
          </w:p>
        </w:tc>
        <w:tc>
          <w:tcPr>
            <w:tcW w:w="1558" w:type="pct"/>
            <w:vAlign w:val="center"/>
          </w:tcPr>
          <w:p w14:paraId="42B03335"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备注</w:t>
            </w:r>
          </w:p>
        </w:tc>
      </w:tr>
      <w:tr w:rsidR="00502148" w14:paraId="59341766" w14:textId="77777777" w:rsidTr="00A66FFA">
        <w:trPr>
          <w:trHeight w:val="454"/>
          <w:jc w:val="center"/>
        </w:trPr>
        <w:tc>
          <w:tcPr>
            <w:tcW w:w="370" w:type="pct"/>
            <w:vAlign w:val="center"/>
          </w:tcPr>
          <w:p w14:paraId="07886B57"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178AAE11"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车用乙醇汽油埋地油罐</w:t>
            </w:r>
          </w:p>
        </w:tc>
        <w:tc>
          <w:tcPr>
            <w:tcW w:w="1397" w:type="pct"/>
            <w:vAlign w:val="center"/>
          </w:tcPr>
          <w:p w14:paraId="3E448443"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Pr>
                <w:rFonts w:ascii="Times New Roman" w:eastAsia="宋体" w:hAnsi="Times New Roman" w:cs="Times New Roman"/>
                <w:color w:val="000000"/>
                <w:kern w:val="0"/>
                <w:sz w:val="21"/>
                <w:szCs w:val="21"/>
                <w14:ligatures w14:val="none"/>
              </w:rPr>
              <w:t>0m</w:t>
            </w:r>
            <w:r>
              <w:rPr>
                <w:rFonts w:ascii="Times New Roman" w:eastAsia="宋体" w:hAnsi="Times New Roman" w:cs="Times New Roman"/>
                <w:color w:val="000000"/>
                <w:kern w:val="0"/>
                <w:sz w:val="21"/>
                <w:szCs w:val="21"/>
                <w:vertAlign w:val="superscript"/>
                <w14:ligatures w14:val="none"/>
              </w:rPr>
              <w:t>3</w:t>
            </w:r>
            <w:r>
              <w:rPr>
                <w:rFonts w:ascii="Times New Roman" w:eastAsia="宋体" w:hAnsi="Times New Roman" w:cs="Times New Roman"/>
                <w:color w:val="000000"/>
                <w:kern w:val="0"/>
                <w:sz w:val="21"/>
                <w:szCs w:val="21"/>
                <w14:ligatures w14:val="none"/>
              </w:rPr>
              <w:t>、卧式、</w:t>
            </w:r>
            <w:r>
              <w:rPr>
                <w:rFonts w:ascii="Times New Roman" w:eastAsia="宋体" w:hAnsi="Times New Roman" w:cs="Times New Roman"/>
                <w:color w:val="000000"/>
                <w:kern w:val="0"/>
                <w:sz w:val="21"/>
                <w:szCs w:val="21"/>
                <w14:ligatures w14:val="none"/>
              </w:rPr>
              <w:t>SF</w:t>
            </w:r>
            <w:r>
              <w:rPr>
                <w:rFonts w:ascii="Times New Roman" w:eastAsia="宋体" w:hAnsi="Times New Roman" w:cs="Times New Roman"/>
                <w:color w:val="000000"/>
                <w:kern w:val="0"/>
                <w:sz w:val="21"/>
                <w:szCs w:val="21"/>
                <w14:ligatures w14:val="none"/>
              </w:rPr>
              <w:t>双层</w:t>
            </w:r>
          </w:p>
        </w:tc>
        <w:tc>
          <w:tcPr>
            <w:tcW w:w="465" w:type="pct"/>
            <w:vAlign w:val="center"/>
          </w:tcPr>
          <w:p w14:paraId="6592E01F"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color w:val="000000"/>
                <w:kern w:val="0"/>
                <w:sz w:val="21"/>
                <w:szCs w:val="21"/>
                <w14:ligatures w14:val="none"/>
              </w:rPr>
              <w:t>座</w:t>
            </w:r>
          </w:p>
        </w:tc>
        <w:tc>
          <w:tcPr>
            <w:tcW w:w="1558" w:type="pct"/>
            <w:vAlign w:val="center"/>
          </w:tcPr>
          <w:p w14:paraId="4EACE0AC"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内层钢外玻璃纤维增强塑料（</w:t>
            </w:r>
            <w:r>
              <w:rPr>
                <w:rFonts w:ascii="Times New Roman" w:eastAsia="宋体" w:hAnsi="Times New Roman" w:cs="Times New Roman"/>
                <w:sz w:val="21"/>
                <w:szCs w:val="21"/>
                <w14:ligatures w14:val="none"/>
              </w:rPr>
              <w:t>SF</w:t>
            </w:r>
            <w:r>
              <w:rPr>
                <w:rFonts w:ascii="Times New Roman" w:eastAsia="宋体" w:hAnsi="Times New Roman" w:cs="Times New Roman"/>
                <w:sz w:val="21"/>
                <w:szCs w:val="21"/>
                <w14:ligatures w14:val="none"/>
              </w:rPr>
              <w:t>）</w:t>
            </w:r>
          </w:p>
        </w:tc>
      </w:tr>
      <w:tr w:rsidR="00502148" w14:paraId="0640AFED" w14:textId="77777777" w:rsidTr="00A66FFA">
        <w:trPr>
          <w:trHeight w:val="454"/>
          <w:jc w:val="center"/>
        </w:trPr>
        <w:tc>
          <w:tcPr>
            <w:tcW w:w="370" w:type="pct"/>
            <w:vAlign w:val="center"/>
          </w:tcPr>
          <w:p w14:paraId="3E7299FE"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D8A7B5E"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柴油埋地油罐</w:t>
            </w:r>
          </w:p>
        </w:tc>
        <w:tc>
          <w:tcPr>
            <w:tcW w:w="1397" w:type="pct"/>
            <w:vAlign w:val="center"/>
          </w:tcPr>
          <w:p w14:paraId="54AB93AC"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Pr>
                <w:rFonts w:ascii="Times New Roman" w:eastAsia="宋体" w:hAnsi="Times New Roman" w:cs="Times New Roman"/>
                <w:color w:val="000000"/>
                <w:kern w:val="0"/>
                <w:sz w:val="21"/>
                <w:szCs w:val="21"/>
                <w14:ligatures w14:val="none"/>
              </w:rPr>
              <w:t>0m</w:t>
            </w:r>
            <w:r>
              <w:rPr>
                <w:rFonts w:ascii="Times New Roman" w:eastAsia="宋体" w:hAnsi="Times New Roman" w:cs="Times New Roman"/>
                <w:color w:val="000000"/>
                <w:kern w:val="0"/>
                <w:sz w:val="21"/>
                <w:szCs w:val="21"/>
                <w:vertAlign w:val="superscript"/>
                <w14:ligatures w14:val="none"/>
              </w:rPr>
              <w:t>3</w:t>
            </w:r>
            <w:r>
              <w:rPr>
                <w:rFonts w:ascii="Times New Roman" w:eastAsia="宋体" w:hAnsi="Times New Roman" w:cs="Times New Roman"/>
                <w:color w:val="000000"/>
                <w:kern w:val="0"/>
                <w:sz w:val="21"/>
                <w:szCs w:val="21"/>
                <w14:ligatures w14:val="none"/>
              </w:rPr>
              <w:t>、卧式、</w:t>
            </w:r>
            <w:r>
              <w:rPr>
                <w:rFonts w:ascii="Times New Roman" w:eastAsia="宋体" w:hAnsi="Times New Roman" w:cs="Times New Roman"/>
                <w:color w:val="000000"/>
                <w:kern w:val="0"/>
                <w:sz w:val="21"/>
                <w:szCs w:val="21"/>
                <w14:ligatures w14:val="none"/>
              </w:rPr>
              <w:t>SF</w:t>
            </w:r>
            <w:r>
              <w:rPr>
                <w:rFonts w:ascii="Times New Roman" w:eastAsia="宋体" w:hAnsi="Times New Roman" w:cs="Times New Roman"/>
                <w:color w:val="000000"/>
                <w:kern w:val="0"/>
                <w:sz w:val="21"/>
                <w:szCs w:val="21"/>
                <w14:ligatures w14:val="none"/>
              </w:rPr>
              <w:t>双层</w:t>
            </w:r>
          </w:p>
        </w:tc>
        <w:tc>
          <w:tcPr>
            <w:tcW w:w="465" w:type="pct"/>
            <w:vAlign w:val="center"/>
          </w:tcPr>
          <w:p w14:paraId="554D151C"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color w:val="000000"/>
                <w:kern w:val="0"/>
                <w:sz w:val="21"/>
                <w:szCs w:val="21"/>
                <w14:ligatures w14:val="none"/>
              </w:rPr>
              <w:t>座</w:t>
            </w:r>
          </w:p>
        </w:tc>
        <w:tc>
          <w:tcPr>
            <w:tcW w:w="1558" w:type="pct"/>
            <w:vAlign w:val="center"/>
          </w:tcPr>
          <w:p w14:paraId="092FB508"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内层钢外玻璃纤维增强塑料（</w:t>
            </w:r>
            <w:r>
              <w:rPr>
                <w:rFonts w:ascii="Times New Roman" w:eastAsia="宋体" w:hAnsi="Times New Roman" w:cs="Times New Roman"/>
                <w:sz w:val="21"/>
                <w:szCs w:val="21"/>
                <w14:ligatures w14:val="none"/>
              </w:rPr>
              <w:t>SF</w:t>
            </w:r>
            <w:r>
              <w:rPr>
                <w:rFonts w:ascii="Times New Roman" w:eastAsia="宋体" w:hAnsi="Times New Roman" w:cs="Times New Roman"/>
                <w:sz w:val="21"/>
                <w:szCs w:val="21"/>
                <w14:ligatures w14:val="none"/>
              </w:rPr>
              <w:t>）</w:t>
            </w:r>
          </w:p>
        </w:tc>
      </w:tr>
      <w:tr w:rsidR="00502148" w14:paraId="309CA272" w14:textId="77777777" w:rsidTr="00A66FFA">
        <w:trPr>
          <w:trHeight w:val="454"/>
          <w:jc w:val="center"/>
        </w:trPr>
        <w:tc>
          <w:tcPr>
            <w:tcW w:w="370" w:type="pct"/>
            <w:vAlign w:val="center"/>
          </w:tcPr>
          <w:p w14:paraId="7AA9DD87"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61A47A5A"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车用乙醇汽油加油机</w:t>
            </w:r>
          </w:p>
        </w:tc>
        <w:tc>
          <w:tcPr>
            <w:tcW w:w="1397" w:type="pct"/>
            <w:vAlign w:val="center"/>
          </w:tcPr>
          <w:p w14:paraId="7DF6C7B3"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kern w:val="0"/>
                <w:sz w:val="21"/>
                <w:szCs w:val="21"/>
                <w14:ligatures w14:val="none"/>
              </w:rPr>
              <w:t>四</w:t>
            </w:r>
            <w:r>
              <w:rPr>
                <w:rFonts w:ascii="Times New Roman" w:eastAsia="宋体" w:hAnsi="Times New Roman" w:cs="Times New Roman"/>
                <w:kern w:val="0"/>
                <w:sz w:val="21"/>
                <w:szCs w:val="21"/>
                <w14:ligatures w14:val="none"/>
              </w:rPr>
              <w:t>枪</w:t>
            </w:r>
            <w:r>
              <w:rPr>
                <w:rFonts w:ascii="Times New Roman" w:eastAsia="宋体" w:hAnsi="Times New Roman" w:cs="Times New Roman" w:hint="eastAsia"/>
                <w:kern w:val="0"/>
                <w:sz w:val="21"/>
                <w:szCs w:val="21"/>
                <w14:ligatures w14:val="none"/>
              </w:rPr>
              <w:t>双</w:t>
            </w:r>
            <w:r>
              <w:rPr>
                <w:rFonts w:ascii="Times New Roman" w:eastAsia="宋体" w:hAnsi="Times New Roman" w:cs="Times New Roman"/>
                <w:kern w:val="0"/>
                <w:sz w:val="21"/>
                <w:szCs w:val="21"/>
                <w14:ligatures w14:val="none"/>
              </w:rPr>
              <w:t>油品</w:t>
            </w:r>
            <w:r>
              <w:rPr>
                <w:rFonts w:ascii="Times New Roman" w:eastAsia="宋体" w:hAnsi="Times New Roman" w:cs="Times New Roman" w:hint="eastAsia"/>
                <w:kern w:val="0"/>
                <w:sz w:val="21"/>
                <w:szCs w:val="21"/>
                <w14:ligatures w14:val="none"/>
              </w:rPr>
              <w:t>潜油泵式</w:t>
            </w:r>
          </w:p>
        </w:tc>
        <w:tc>
          <w:tcPr>
            <w:tcW w:w="465" w:type="pct"/>
            <w:vAlign w:val="center"/>
          </w:tcPr>
          <w:p w14:paraId="7F582BA3"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color w:val="000000"/>
                <w:kern w:val="0"/>
                <w:sz w:val="21"/>
                <w:szCs w:val="21"/>
                <w14:ligatures w14:val="none"/>
              </w:rPr>
              <w:t>台</w:t>
            </w:r>
          </w:p>
        </w:tc>
        <w:tc>
          <w:tcPr>
            <w:tcW w:w="1558" w:type="pct"/>
            <w:vAlign w:val="center"/>
          </w:tcPr>
          <w:p w14:paraId="748F181A"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Q=5</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50L/min</w:t>
            </w:r>
          </w:p>
        </w:tc>
      </w:tr>
      <w:tr w:rsidR="00502148" w14:paraId="68099A3F" w14:textId="77777777" w:rsidTr="00A66FFA">
        <w:trPr>
          <w:trHeight w:val="454"/>
          <w:jc w:val="center"/>
        </w:trPr>
        <w:tc>
          <w:tcPr>
            <w:tcW w:w="370" w:type="pct"/>
            <w:vAlign w:val="center"/>
          </w:tcPr>
          <w:p w14:paraId="0410B2C7"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FA73B16"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柴油加油机</w:t>
            </w:r>
          </w:p>
        </w:tc>
        <w:tc>
          <w:tcPr>
            <w:tcW w:w="1397" w:type="pct"/>
            <w:vAlign w:val="center"/>
          </w:tcPr>
          <w:p w14:paraId="1D9276B6"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双枪</w:t>
            </w:r>
            <w:r>
              <w:rPr>
                <w:rFonts w:ascii="Times New Roman" w:eastAsia="宋体" w:hAnsi="Times New Roman" w:cs="Times New Roman" w:hint="eastAsia"/>
                <w:kern w:val="0"/>
                <w:sz w:val="21"/>
                <w:szCs w:val="21"/>
                <w14:ligatures w14:val="none"/>
              </w:rPr>
              <w:t>双</w:t>
            </w:r>
            <w:r>
              <w:rPr>
                <w:rFonts w:ascii="Times New Roman" w:eastAsia="宋体" w:hAnsi="Times New Roman" w:cs="Times New Roman"/>
                <w:kern w:val="0"/>
                <w:sz w:val="21"/>
                <w:szCs w:val="21"/>
                <w14:ligatures w14:val="none"/>
              </w:rPr>
              <w:t>油品</w:t>
            </w:r>
            <w:r>
              <w:rPr>
                <w:rFonts w:ascii="Times New Roman" w:eastAsia="宋体" w:hAnsi="Times New Roman" w:cs="Times New Roman" w:hint="eastAsia"/>
                <w:kern w:val="0"/>
                <w:sz w:val="21"/>
                <w:szCs w:val="21"/>
                <w14:ligatures w14:val="none"/>
              </w:rPr>
              <w:t>潜油泵式</w:t>
            </w:r>
          </w:p>
        </w:tc>
        <w:tc>
          <w:tcPr>
            <w:tcW w:w="465" w:type="pct"/>
            <w:vAlign w:val="center"/>
          </w:tcPr>
          <w:p w14:paraId="16E0F50B"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color w:val="000000"/>
                <w:kern w:val="0"/>
                <w:sz w:val="21"/>
                <w:szCs w:val="21"/>
                <w14:ligatures w14:val="none"/>
              </w:rPr>
              <w:t>台</w:t>
            </w:r>
          </w:p>
        </w:tc>
        <w:tc>
          <w:tcPr>
            <w:tcW w:w="1558" w:type="pct"/>
            <w:vAlign w:val="center"/>
          </w:tcPr>
          <w:p w14:paraId="4F256111"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Q=5</w:t>
            </w:r>
            <w:r>
              <w:rPr>
                <w:rFonts w:ascii="Times New Roman" w:eastAsia="宋体" w:hAnsi="Times New Roman" w:cs="Times New Roman"/>
                <w:color w:val="000000"/>
                <w:kern w:val="0"/>
                <w:sz w:val="21"/>
                <w:szCs w:val="21"/>
                <w14:ligatures w14:val="none"/>
              </w:rPr>
              <w:t>～</w:t>
            </w:r>
            <w:r>
              <w:rPr>
                <w:rFonts w:ascii="Times New Roman" w:eastAsia="宋体" w:hAnsi="Times New Roman" w:cs="Times New Roman"/>
                <w:color w:val="000000"/>
                <w:kern w:val="0"/>
                <w:sz w:val="21"/>
                <w:szCs w:val="21"/>
                <w14:ligatures w14:val="none"/>
              </w:rPr>
              <w:t>50L/min</w:t>
            </w:r>
          </w:p>
        </w:tc>
      </w:tr>
      <w:tr w:rsidR="00502148" w14:paraId="3818AB54" w14:textId="77777777" w:rsidTr="00A66FFA">
        <w:trPr>
          <w:trHeight w:val="454"/>
          <w:jc w:val="center"/>
        </w:trPr>
        <w:tc>
          <w:tcPr>
            <w:tcW w:w="370" w:type="pct"/>
            <w:vAlign w:val="center"/>
          </w:tcPr>
          <w:p w14:paraId="536F5141"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08D19CE"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车用乙醇汽油通气管</w:t>
            </w:r>
          </w:p>
        </w:tc>
        <w:tc>
          <w:tcPr>
            <w:tcW w:w="1397" w:type="pct"/>
            <w:vAlign w:val="center"/>
          </w:tcPr>
          <w:p w14:paraId="7023E2F4"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w:t>
            </w:r>
          </w:p>
        </w:tc>
        <w:tc>
          <w:tcPr>
            <w:tcW w:w="465" w:type="pct"/>
            <w:vAlign w:val="center"/>
          </w:tcPr>
          <w:p w14:paraId="2BC692DE"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hint="eastAsia"/>
                <w:color w:val="000000"/>
                <w:kern w:val="0"/>
                <w:sz w:val="21"/>
                <w:szCs w:val="21"/>
                <w14:ligatures w14:val="none"/>
              </w:rPr>
              <w:t>根</w:t>
            </w:r>
          </w:p>
        </w:tc>
        <w:tc>
          <w:tcPr>
            <w:tcW w:w="1558" w:type="pct"/>
            <w:vAlign w:val="center"/>
          </w:tcPr>
          <w:p w14:paraId="7BFD1B99" w14:textId="77777777" w:rsidR="00502148" w:rsidRDefault="00502148">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p>
        </w:tc>
      </w:tr>
      <w:tr w:rsidR="00502148" w14:paraId="0AF769B4" w14:textId="77777777" w:rsidTr="00A66FFA">
        <w:trPr>
          <w:trHeight w:val="454"/>
          <w:jc w:val="center"/>
        </w:trPr>
        <w:tc>
          <w:tcPr>
            <w:tcW w:w="370" w:type="pct"/>
            <w:vAlign w:val="center"/>
          </w:tcPr>
          <w:p w14:paraId="25717AFA"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D878AE9"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柴油通气管</w:t>
            </w:r>
          </w:p>
        </w:tc>
        <w:tc>
          <w:tcPr>
            <w:tcW w:w="1397" w:type="pct"/>
            <w:vAlign w:val="center"/>
          </w:tcPr>
          <w:p w14:paraId="23E8C811"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w:t>
            </w:r>
          </w:p>
        </w:tc>
        <w:tc>
          <w:tcPr>
            <w:tcW w:w="465" w:type="pct"/>
            <w:vAlign w:val="center"/>
          </w:tcPr>
          <w:p w14:paraId="344FE93A" w14:textId="77777777" w:rsidR="00502148"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hint="eastAsia"/>
                <w:color w:val="000000"/>
                <w:kern w:val="0"/>
                <w:sz w:val="21"/>
                <w:szCs w:val="21"/>
                <w14:ligatures w14:val="none"/>
              </w:rPr>
              <w:t>根</w:t>
            </w:r>
          </w:p>
        </w:tc>
        <w:tc>
          <w:tcPr>
            <w:tcW w:w="1558" w:type="pct"/>
            <w:vAlign w:val="center"/>
          </w:tcPr>
          <w:p w14:paraId="78B3209F" w14:textId="77777777" w:rsidR="00502148" w:rsidRDefault="00502148">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p>
        </w:tc>
      </w:tr>
      <w:tr w:rsidR="0082631A" w:rsidRPr="0082631A" w14:paraId="008125EA" w14:textId="77777777" w:rsidTr="00A66FFA">
        <w:trPr>
          <w:trHeight w:val="454"/>
          <w:jc w:val="center"/>
        </w:trPr>
        <w:tc>
          <w:tcPr>
            <w:tcW w:w="370" w:type="pct"/>
            <w:vAlign w:val="center"/>
          </w:tcPr>
          <w:p w14:paraId="509ECE45" w14:textId="77777777" w:rsidR="00502148" w:rsidRPr="0082631A"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75C0986" w14:textId="77777777" w:rsidR="00502148" w:rsidRPr="0082631A"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631A">
              <w:rPr>
                <w:rFonts w:ascii="Times New Roman" w:eastAsia="宋体" w:hAnsi="Times New Roman" w:cs="Times New Roman"/>
                <w:kern w:val="28"/>
                <w:sz w:val="21"/>
                <w:szCs w:val="21"/>
                <w14:ligatures w14:val="none"/>
              </w:rPr>
              <w:t>紧急切断</w:t>
            </w:r>
            <w:r w:rsidRPr="0082631A">
              <w:rPr>
                <w:rFonts w:ascii="Times New Roman" w:eastAsia="宋体" w:hAnsi="Times New Roman" w:cs="Times New Roman" w:hint="eastAsia"/>
                <w:kern w:val="28"/>
                <w:sz w:val="21"/>
                <w:szCs w:val="21"/>
                <w14:ligatures w14:val="none"/>
              </w:rPr>
              <w:t>按钮</w:t>
            </w:r>
          </w:p>
        </w:tc>
        <w:tc>
          <w:tcPr>
            <w:tcW w:w="1397" w:type="pct"/>
            <w:vAlign w:val="center"/>
          </w:tcPr>
          <w:p w14:paraId="20E65F6E" w14:textId="77777777" w:rsidR="00502148" w:rsidRPr="0082631A"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631A">
              <w:rPr>
                <w:rFonts w:ascii="Times New Roman" w:eastAsia="宋体" w:hAnsi="Times New Roman" w:cs="Times New Roman" w:hint="eastAsia"/>
                <w:kern w:val="28"/>
                <w:sz w:val="21"/>
                <w:szCs w:val="21"/>
                <w14:ligatures w14:val="none"/>
              </w:rPr>
              <w:t>-</w:t>
            </w:r>
          </w:p>
        </w:tc>
        <w:tc>
          <w:tcPr>
            <w:tcW w:w="465" w:type="pct"/>
            <w:vAlign w:val="center"/>
          </w:tcPr>
          <w:p w14:paraId="40E7BB47" w14:textId="5A03C380" w:rsidR="00502148" w:rsidRPr="0082631A" w:rsidRDefault="00AF6CF6">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631A">
              <w:rPr>
                <w:rFonts w:ascii="Times New Roman" w:eastAsia="宋体" w:hAnsi="Times New Roman" w:cs="Times New Roman" w:hint="eastAsia"/>
                <w:kern w:val="28"/>
                <w:sz w:val="21"/>
                <w:szCs w:val="21"/>
                <w14:ligatures w14:val="none"/>
              </w:rPr>
              <w:t>3</w:t>
            </w:r>
            <w:r w:rsidRPr="0082631A">
              <w:rPr>
                <w:rFonts w:ascii="Times New Roman" w:eastAsia="宋体" w:hAnsi="Times New Roman" w:cs="Times New Roman" w:hint="eastAsia"/>
                <w:kern w:val="28"/>
                <w:sz w:val="21"/>
                <w:szCs w:val="21"/>
                <w14:ligatures w14:val="none"/>
              </w:rPr>
              <w:t>个</w:t>
            </w:r>
          </w:p>
        </w:tc>
        <w:tc>
          <w:tcPr>
            <w:tcW w:w="1558" w:type="pct"/>
            <w:vAlign w:val="center"/>
          </w:tcPr>
          <w:p w14:paraId="1508751A" w14:textId="0C13F433" w:rsidR="00502148" w:rsidRPr="0082631A" w:rsidRDefault="00AF6CF6">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sz w:val="21"/>
                <w:szCs w:val="21"/>
                <w14:ligatures w14:val="none"/>
              </w:rPr>
              <w:t>站房内、罩棚支柱、密闭卸油口处</w:t>
            </w:r>
          </w:p>
        </w:tc>
      </w:tr>
      <w:tr w:rsidR="00502148" w14:paraId="21D7DAB0" w14:textId="77777777" w:rsidTr="00A66FFA">
        <w:trPr>
          <w:trHeight w:val="454"/>
          <w:jc w:val="center"/>
        </w:trPr>
        <w:tc>
          <w:tcPr>
            <w:tcW w:w="370" w:type="pct"/>
            <w:vAlign w:val="center"/>
          </w:tcPr>
          <w:p w14:paraId="6AB87B86"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267BDE3"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液位</w:t>
            </w:r>
            <w:r>
              <w:rPr>
                <w:rFonts w:ascii="Times New Roman" w:eastAsia="宋体" w:hAnsi="Times New Roman" w:cs="Times New Roman" w:hint="eastAsia"/>
                <w:kern w:val="28"/>
                <w:sz w:val="21"/>
                <w:szCs w:val="21"/>
                <w14:ligatures w14:val="none"/>
              </w:rPr>
              <w:t>报警</w:t>
            </w:r>
            <w:r>
              <w:rPr>
                <w:rFonts w:ascii="Times New Roman" w:eastAsia="宋体" w:hAnsi="Times New Roman" w:cs="Times New Roman"/>
                <w:kern w:val="28"/>
                <w:sz w:val="21"/>
                <w:szCs w:val="21"/>
                <w14:ligatures w14:val="none"/>
              </w:rPr>
              <w:t>仪</w:t>
            </w:r>
          </w:p>
        </w:tc>
        <w:tc>
          <w:tcPr>
            <w:tcW w:w="1397" w:type="pct"/>
            <w:vAlign w:val="center"/>
          </w:tcPr>
          <w:p w14:paraId="20EC911F"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2E881C11"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1</w:t>
            </w:r>
            <w:r>
              <w:rPr>
                <w:rFonts w:ascii="Times New Roman" w:eastAsia="宋体" w:hAnsi="Times New Roman" w:cs="Times New Roman" w:hint="eastAsia"/>
                <w:kern w:val="28"/>
                <w:sz w:val="21"/>
                <w:szCs w:val="21"/>
                <w14:ligatures w14:val="none"/>
              </w:rPr>
              <w:t>套</w:t>
            </w:r>
          </w:p>
        </w:tc>
        <w:tc>
          <w:tcPr>
            <w:tcW w:w="1558" w:type="pct"/>
            <w:vAlign w:val="center"/>
          </w:tcPr>
          <w:p w14:paraId="36A98ECB" w14:textId="77777777" w:rsidR="00502148" w:rsidRDefault="00502148">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502148" w14:paraId="3792A83E" w14:textId="77777777" w:rsidTr="00A66FFA">
        <w:trPr>
          <w:trHeight w:val="454"/>
          <w:jc w:val="center"/>
        </w:trPr>
        <w:tc>
          <w:tcPr>
            <w:tcW w:w="370" w:type="pct"/>
            <w:vAlign w:val="center"/>
          </w:tcPr>
          <w:p w14:paraId="70ED5CB7"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5D0ABCF5"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渗漏</w:t>
            </w:r>
            <w:r>
              <w:rPr>
                <w:rFonts w:ascii="Times New Roman" w:eastAsia="宋体" w:hAnsi="Times New Roman" w:cs="Times New Roman"/>
                <w:kern w:val="28"/>
                <w:sz w:val="21"/>
                <w:szCs w:val="21"/>
                <w14:ligatures w14:val="none"/>
              </w:rPr>
              <w:t>检</w:t>
            </w:r>
            <w:r>
              <w:rPr>
                <w:rFonts w:ascii="Times New Roman" w:eastAsia="宋体" w:hAnsi="Times New Roman" w:cs="Times New Roman" w:hint="eastAsia"/>
                <w:kern w:val="28"/>
                <w:sz w:val="21"/>
                <w:szCs w:val="21"/>
                <w14:ligatures w14:val="none"/>
              </w:rPr>
              <w:t>测</w:t>
            </w:r>
            <w:r>
              <w:rPr>
                <w:rFonts w:ascii="Times New Roman" w:eastAsia="宋体" w:hAnsi="Times New Roman" w:cs="Times New Roman"/>
                <w:kern w:val="28"/>
                <w:sz w:val="21"/>
                <w:szCs w:val="21"/>
                <w14:ligatures w14:val="none"/>
              </w:rPr>
              <w:t>仪</w:t>
            </w:r>
          </w:p>
        </w:tc>
        <w:tc>
          <w:tcPr>
            <w:tcW w:w="1397" w:type="pct"/>
            <w:vAlign w:val="center"/>
          </w:tcPr>
          <w:p w14:paraId="7FFFF32B"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1920B59B"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套</w:t>
            </w:r>
          </w:p>
        </w:tc>
        <w:tc>
          <w:tcPr>
            <w:tcW w:w="1558" w:type="pct"/>
            <w:vAlign w:val="center"/>
          </w:tcPr>
          <w:p w14:paraId="16E3ADE3" w14:textId="77777777" w:rsidR="00502148"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油罐和管道各</w:t>
            </w: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套</w:t>
            </w:r>
          </w:p>
        </w:tc>
      </w:tr>
      <w:tr w:rsidR="00502148" w14:paraId="7C97D9B4" w14:textId="77777777" w:rsidTr="00A66FFA">
        <w:trPr>
          <w:trHeight w:val="454"/>
          <w:jc w:val="center"/>
        </w:trPr>
        <w:tc>
          <w:tcPr>
            <w:tcW w:w="370" w:type="pct"/>
            <w:vAlign w:val="center"/>
          </w:tcPr>
          <w:p w14:paraId="104D3701"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D43EB17"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UPS</w:t>
            </w:r>
            <w:r>
              <w:rPr>
                <w:rFonts w:ascii="Times New Roman" w:eastAsia="宋体" w:hAnsi="Times New Roman" w:cs="Times New Roman"/>
                <w:kern w:val="28"/>
                <w:sz w:val="21"/>
                <w:szCs w:val="21"/>
                <w14:ligatures w14:val="none"/>
              </w:rPr>
              <w:t>电源</w:t>
            </w:r>
          </w:p>
        </w:tc>
        <w:tc>
          <w:tcPr>
            <w:tcW w:w="1397" w:type="pct"/>
            <w:vAlign w:val="center"/>
          </w:tcPr>
          <w:p w14:paraId="319EC75E"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33533E49" w14:textId="77777777" w:rsidR="00502148"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1</w:t>
            </w:r>
            <w:r>
              <w:rPr>
                <w:rFonts w:ascii="Times New Roman" w:eastAsia="宋体" w:hAnsi="Times New Roman" w:cs="Times New Roman"/>
                <w:kern w:val="28"/>
                <w:sz w:val="21"/>
                <w:szCs w:val="21"/>
                <w14:ligatures w14:val="none"/>
              </w:rPr>
              <w:t>台</w:t>
            </w:r>
          </w:p>
        </w:tc>
        <w:tc>
          <w:tcPr>
            <w:tcW w:w="1558" w:type="pct"/>
            <w:vAlign w:val="center"/>
          </w:tcPr>
          <w:p w14:paraId="1B8947E5" w14:textId="77777777" w:rsidR="00502148"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供电时间不小于</w:t>
            </w:r>
            <w:r>
              <w:rPr>
                <w:rFonts w:ascii="Times New Roman" w:eastAsia="宋体" w:hAnsi="Times New Roman" w:cs="Times New Roman" w:hint="eastAsia"/>
                <w:sz w:val="21"/>
                <w:szCs w:val="21"/>
                <w14:ligatures w14:val="none"/>
              </w:rPr>
              <w:t>90</w:t>
            </w:r>
            <w:r>
              <w:rPr>
                <w:rFonts w:ascii="Times New Roman" w:eastAsia="宋体" w:hAnsi="Times New Roman" w:cs="Times New Roman"/>
                <w:sz w:val="21"/>
                <w:szCs w:val="21"/>
                <w14:ligatures w14:val="none"/>
              </w:rPr>
              <w:t>min</w:t>
            </w:r>
          </w:p>
        </w:tc>
      </w:tr>
      <w:tr w:rsidR="00502148" w14:paraId="4414D4A4" w14:textId="77777777" w:rsidTr="00A66FFA">
        <w:trPr>
          <w:trHeight w:val="454"/>
          <w:jc w:val="center"/>
        </w:trPr>
        <w:tc>
          <w:tcPr>
            <w:tcW w:w="370" w:type="pct"/>
            <w:vAlign w:val="center"/>
          </w:tcPr>
          <w:p w14:paraId="6887D376"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3DC8467C"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sz w:val="21"/>
                <w:szCs w:val="21"/>
                <w14:ligatures w14:val="none"/>
              </w:rPr>
              <w:t>防雨型</w:t>
            </w:r>
            <w:r>
              <w:rPr>
                <w:rFonts w:ascii="Times New Roman" w:eastAsia="宋体" w:hAnsi="Times New Roman" w:cs="宋体" w:hint="eastAsia"/>
                <w:kern w:val="0"/>
                <w:sz w:val="21"/>
                <w:szCs w:val="21"/>
                <w14:ligatures w14:val="none"/>
              </w:rPr>
              <w:t>阻火器</w:t>
            </w:r>
          </w:p>
        </w:tc>
        <w:tc>
          <w:tcPr>
            <w:tcW w:w="1397" w:type="pct"/>
            <w:vAlign w:val="center"/>
          </w:tcPr>
          <w:p w14:paraId="4744DD1C"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DN50</w:t>
            </w:r>
          </w:p>
        </w:tc>
        <w:tc>
          <w:tcPr>
            <w:tcW w:w="465" w:type="pct"/>
            <w:vAlign w:val="center"/>
          </w:tcPr>
          <w:p w14:paraId="37E361C0"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1558" w:type="pct"/>
            <w:vAlign w:val="center"/>
          </w:tcPr>
          <w:p w14:paraId="2929CFC7" w14:textId="77777777" w:rsidR="00502148" w:rsidRDefault="00502148">
            <w:pPr>
              <w:widowControl/>
              <w:spacing w:line="240" w:lineRule="auto"/>
              <w:ind w:firstLineChars="0" w:firstLine="0"/>
              <w:jc w:val="center"/>
              <w:rPr>
                <w:rFonts w:ascii="Times New Roman" w:eastAsia="宋体" w:hAnsi="Times New Roman" w:cs="宋体"/>
                <w:kern w:val="0"/>
                <w:sz w:val="21"/>
                <w:szCs w:val="21"/>
                <w14:ligatures w14:val="none"/>
              </w:rPr>
            </w:pPr>
          </w:p>
        </w:tc>
      </w:tr>
      <w:tr w:rsidR="00502148" w14:paraId="7FC5AD24" w14:textId="77777777" w:rsidTr="00A66FFA">
        <w:trPr>
          <w:trHeight w:val="454"/>
          <w:jc w:val="center"/>
        </w:trPr>
        <w:tc>
          <w:tcPr>
            <w:tcW w:w="370" w:type="pct"/>
            <w:vAlign w:val="center"/>
          </w:tcPr>
          <w:p w14:paraId="6E2E7F20"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8CFEFE1" w14:textId="77777777" w:rsidR="00502148" w:rsidRDefault="00000000">
            <w:pPr>
              <w:widowControl/>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阻火呼吸阀</w:t>
            </w:r>
          </w:p>
        </w:tc>
        <w:tc>
          <w:tcPr>
            <w:tcW w:w="1397" w:type="pct"/>
            <w:vAlign w:val="center"/>
          </w:tcPr>
          <w:p w14:paraId="2C324AF4"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DN50</w:t>
            </w:r>
          </w:p>
        </w:tc>
        <w:tc>
          <w:tcPr>
            <w:tcW w:w="465" w:type="pct"/>
            <w:vAlign w:val="center"/>
          </w:tcPr>
          <w:p w14:paraId="20723FAB"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1558" w:type="pct"/>
            <w:vAlign w:val="center"/>
          </w:tcPr>
          <w:p w14:paraId="5A015278" w14:textId="77777777" w:rsidR="00502148" w:rsidRDefault="00502148">
            <w:pPr>
              <w:widowControl/>
              <w:spacing w:line="240" w:lineRule="auto"/>
              <w:ind w:firstLineChars="0" w:firstLine="0"/>
              <w:jc w:val="center"/>
              <w:rPr>
                <w:rFonts w:ascii="Times New Roman" w:eastAsia="宋体" w:hAnsi="Times New Roman" w:cs="宋体"/>
                <w:kern w:val="0"/>
                <w:sz w:val="21"/>
                <w:szCs w:val="21"/>
                <w14:ligatures w14:val="none"/>
              </w:rPr>
            </w:pPr>
          </w:p>
        </w:tc>
      </w:tr>
      <w:tr w:rsidR="00502148" w14:paraId="063D7605" w14:textId="77777777" w:rsidTr="00A66FFA">
        <w:trPr>
          <w:trHeight w:val="454"/>
          <w:jc w:val="center"/>
        </w:trPr>
        <w:tc>
          <w:tcPr>
            <w:tcW w:w="370" w:type="pct"/>
            <w:vAlign w:val="center"/>
          </w:tcPr>
          <w:p w14:paraId="5D903F54"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1DA6019"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sz w:val="21"/>
                <w:szCs w:val="21"/>
                <w14:ligatures w14:val="none"/>
              </w:rPr>
              <w:t>静电接地报警仪</w:t>
            </w:r>
          </w:p>
        </w:tc>
        <w:tc>
          <w:tcPr>
            <w:tcW w:w="1397" w:type="pct"/>
            <w:vAlign w:val="center"/>
          </w:tcPr>
          <w:p w14:paraId="31A545BF" w14:textId="77777777" w:rsidR="00502148" w:rsidRDefault="00000000">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2C717FBD"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台</w:t>
            </w:r>
          </w:p>
        </w:tc>
        <w:tc>
          <w:tcPr>
            <w:tcW w:w="1558" w:type="pct"/>
            <w:vAlign w:val="center"/>
          </w:tcPr>
          <w:p w14:paraId="193E4DDA" w14:textId="77777777" w:rsidR="00502148" w:rsidRDefault="00502148">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502148" w14:paraId="79DAB6BE" w14:textId="77777777" w:rsidTr="00A66FFA">
        <w:trPr>
          <w:trHeight w:val="454"/>
          <w:jc w:val="center"/>
        </w:trPr>
        <w:tc>
          <w:tcPr>
            <w:tcW w:w="370" w:type="pct"/>
            <w:vAlign w:val="center"/>
          </w:tcPr>
          <w:p w14:paraId="7EE55EC7"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071E4A4"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本安型人体静电消除器</w:t>
            </w:r>
          </w:p>
        </w:tc>
        <w:tc>
          <w:tcPr>
            <w:tcW w:w="1397" w:type="pct"/>
            <w:vAlign w:val="center"/>
          </w:tcPr>
          <w:p w14:paraId="6C5D343A"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4EA98E4E"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台</w:t>
            </w:r>
          </w:p>
        </w:tc>
        <w:tc>
          <w:tcPr>
            <w:tcW w:w="1558" w:type="pct"/>
            <w:vAlign w:val="center"/>
          </w:tcPr>
          <w:p w14:paraId="59C51C47" w14:textId="77777777" w:rsidR="00502148" w:rsidRDefault="00502148">
            <w:pPr>
              <w:widowControl/>
              <w:spacing w:line="240" w:lineRule="auto"/>
              <w:ind w:firstLineChars="0" w:firstLine="0"/>
              <w:jc w:val="center"/>
              <w:rPr>
                <w:rFonts w:ascii="Times New Roman" w:eastAsia="宋体" w:hAnsi="Times New Roman" w:cs="Times New Roman"/>
                <w:sz w:val="21"/>
                <w:szCs w:val="21"/>
                <w14:ligatures w14:val="none"/>
              </w:rPr>
            </w:pPr>
          </w:p>
        </w:tc>
      </w:tr>
      <w:tr w:rsidR="00502148" w14:paraId="1EFB6B78" w14:textId="77777777" w:rsidTr="00A66FFA">
        <w:trPr>
          <w:trHeight w:val="454"/>
          <w:jc w:val="center"/>
        </w:trPr>
        <w:tc>
          <w:tcPr>
            <w:tcW w:w="370" w:type="pct"/>
            <w:vAlign w:val="center"/>
          </w:tcPr>
          <w:p w14:paraId="56A186E4"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DC0BA03"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磁致伸缩探棒</w:t>
            </w:r>
          </w:p>
        </w:tc>
        <w:tc>
          <w:tcPr>
            <w:tcW w:w="1397" w:type="pct"/>
            <w:vAlign w:val="center"/>
          </w:tcPr>
          <w:p w14:paraId="35ACCF1F" w14:textId="77777777" w:rsidR="00502148" w:rsidRDefault="00000000">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41929D6C"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套</w:t>
            </w:r>
          </w:p>
        </w:tc>
        <w:tc>
          <w:tcPr>
            <w:tcW w:w="1558" w:type="pct"/>
            <w:vAlign w:val="center"/>
          </w:tcPr>
          <w:p w14:paraId="30AE04D0" w14:textId="77777777" w:rsidR="00502148" w:rsidRDefault="00502148">
            <w:pPr>
              <w:widowControl/>
              <w:spacing w:line="240" w:lineRule="auto"/>
              <w:ind w:firstLineChars="0" w:firstLine="0"/>
              <w:jc w:val="center"/>
              <w:rPr>
                <w:rFonts w:ascii="Times New Roman" w:eastAsia="宋体" w:hAnsi="Times New Roman" w:cs="Times New Roman"/>
                <w:sz w:val="21"/>
                <w:szCs w:val="21"/>
                <w14:ligatures w14:val="none"/>
              </w:rPr>
            </w:pPr>
          </w:p>
        </w:tc>
      </w:tr>
      <w:tr w:rsidR="0082631A" w:rsidRPr="0082631A" w14:paraId="3E74F693" w14:textId="77777777" w:rsidTr="00A66FFA">
        <w:trPr>
          <w:trHeight w:val="454"/>
          <w:jc w:val="center"/>
        </w:trPr>
        <w:tc>
          <w:tcPr>
            <w:tcW w:w="370" w:type="pct"/>
            <w:vAlign w:val="center"/>
          </w:tcPr>
          <w:p w14:paraId="2E568E25" w14:textId="77777777" w:rsidR="00502148" w:rsidRPr="0082631A"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997FA15" w14:textId="77777777" w:rsidR="00502148" w:rsidRPr="0082631A"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sidRPr="0082631A">
              <w:rPr>
                <w:rFonts w:ascii="Times New Roman" w:eastAsia="宋体" w:hAnsi="Times New Roman" w:cs="宋体" w:hint="eastAsia"/>
                <w:kern w:val="0"/>
                <w:sz w:val="21"/>
                <w:szCs w:val="21"/>
                <w14:ligatures w14:val="none"/>
              </w:rPr>
              <w:t>剪切阀</w:t>
            </w:r>
          </w:p>
        </w:tc>
        <w:tc>
          <w:tcPr>
            <w:tcW w:w="1397" w:type="pct"/>
            <w:vAlign w:val="center"/>
          </w:tcPr>
          <w:p w14:paraId="6661CCE5" w14:textId="77777777" w:rsidR="00502148" w:rsidRPr="0082631A"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w:t>
            </w:r>
          </w:p>
        </w:tc>
        <w:tc>
          <w:tcPr>
            <w:tcW w:w="465" w:type="pct"/>
            <w:vAlign w:val="center"/>
          </w:tcPr>
          <w:p w14:paraId="50FE6227" w14:textId="67D9E461" w:rsidR="00502148" w:rsidRPr="0082631A" w:rsidRDefault="00AF6CF6">
            <w:pPr>
              <w:widowControl/>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11</w:t>
            </w:r>
            <w:r w:rsidRPr="0082631A">
              <w:rPr>
                <w:rFonts w:ascii="Times New Roman" w:eastAsia="宋体" w:hAnsi="Times New Roman" w:cs="Times New Roman" w:hint="eastAsia"/>
                <w:sz w:val="21"/>
                <w:szCs w:val="21"/>
                <w14:ligatures w14:val="none"/>
              </w:rPr>
              <w:t>个</w:t>
            </w:r>
          </w:p>
        </w:tc>
        <w:tc>
          <w:tcPr>
            <w:tcW w:w="1558" w:type="pct"/>
            <w:vAlign w:val="center"/>
          </w:tcPr>
          <w:p w14:paraId="4A0860C3" w14:textId="77777777" w:rsidR="00502148" w:rsidRPr="0082631A" w:rsidRDefault="00502148">
            <w:pPr>
              <w:widowControl/>
              <w:spacing w:line="240" w:lineRule="auto"/>
              <w:ind w:firstLineChars="0" w:firstLine="0"/>
              <w:jc w:val="center"/>
              <w:rPr>
                <w:rFonts w:ascii="Times New Roman" w:eastAsia="宋体" w:hAnsi="Times New Roman" w:cs="Times New Roman"/>
                <w:sz w:val="21"/>
                <w:szCs w:val="21"/>
                <w14:ligatures w14:val="none"/>
              </w:rPr>
            </w:pPr>
          </w:p>
        </w:tc>
      </w:tr>
      <w:tr w:rsidR="00502148" w14:paraId="07092346" w14:textId="77777777" w:rsidTr="00A66FFA">
        <w:trPr>
          <w:trHeight w:val="454"/>
          <w:jc w:val="center"/>
        </w:trPr>
        <w:tc>
          <w:tcPr>
            <w:tcW w:w="370" w:type="pct"/>
            <w:vAlign w:val="center"/>
          </w:tcPr>
          <w:p w14:paraId="28244829"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12F10FCF"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拉断阀</w:t>
            </w:r>
          </w:p>
        </w:tc>
        <w:tc>
          <w:tcPr>
            <w:tcW w:w="1397" w:type="pct"/>
            <w:vAlign w:val="center"/>
          </w:tcPr>
          <w:p w14:paraId="44F8338B" w14:textId="77777777" w:rsidR="00502148"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00DE2FF2"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w:t>
            </w:r>
            <w:r>
              <w:rPr>
                <w:rFonts w:ascii="Times New Roman" w:eastAsia="宋体" w:hAnsi="Times New Roman" w:cs="Times New Roman" w:hint="eastAsia"/>
                <w:sz w:val="21"/>
                <w:szCs w:val="21"/>
                <w14:ligatures w14:val="none"/>
              </w:rPr>
              <w:t>个</w:t>
            </w:r>
          </w:p>
        </w:tc>
        <w:tc>
          <w:tcPr>
            <w:tcW w:w="1558" w:type="pct"/>
            <w:vAlign w:val="center"/>
          </w:tcPr>
          <w:p w14:paraId="66E1FF39" w14:textId="77777777" w:rsidR="00502148" w:rsidRDefault="00502148">
            <w:pPr>
              <w:widowControl/>
              <w:spacing w:line="240" w:lineRule="auto"/>
              <w:ind w:firstLineChars="0" w:firstLine="0"/>
              <w:jc w:val="center"/>
              <w:rPr>
                <w:rFonts w:ascii="Times New Roman" w:eastAsia="宋体" w:hAnsi="Times New Roman" w:cs="Times New Roman"/>
                <w:sz w:val="21"/>
                <w:szCs w:val="21"/>
                <w14:ligatures w14:val="none"/>
              </w:rPr>
            </w:pPr>
          </w:p>
        </w:tc>
      </w:tr>
      <w:tr w:rsidR="00502148" w14:paraId="56B3FA7E" w14:textId="77777777" w:rsidTr="00A66FFA">
        <w:trPr>
          <w:trHeight w:val="454"/>
          <w:jc w:val="center"/>
        </w:trPr>
        <w:tc>
          <w:tcPr>
            <w:tcW w:w="370" w:type="pct"/>
            <w:vAlign w:val="center"/>
          </w:tcPr>
          <w:p w14:paraId="049AF326" w14:textId="77777777" w:rsidR="00502148" w:rsidRDefault="0050214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76EAD8E"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卸油防溢阀</w:t>
            </w:r>
          </w:p>
        </w:tc>
        <w:tc>
          <w:tcPr>
            <w:tcW w:w="1397" w:type="pct"/>
            <w:vAlign w:val="center"/>
          </w:tcPr>
          <w:p w14:paraId="7C04F5A0" w14:textId="77777777" w:rsidR="00502148"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6550018B"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个</w:t>
            </w:r>
          </w:p>
        </w:tc>
        <w:tc>
          <w:tcPr>
            <w:tcW w:w="1558" w:type="pct"/>
            <w:vAlign w:val="center"/>
          </w:tcPr>
          <w:p w14:paraId="49582C9A" w14:textId="77777777" w:rsidR="00502148" w:rsidRDefault="00502148">
            <w:pPr>
              <w:widowControl/>
              <w:spacing w:line="240" w:lineRule="auto"/>
              <w:ind w:firstLineChars="0" w:firstLine="0"/>
              <w:jc w:val="center"/>
              <w:rPr>
                <w:rFonts w:ascii="Times New Roman" w:eastAsia="宋体" w:hAnsi="Times New Roman" w:cs="Times New Roman"/>
                <w:sz w:val="21"/>
                <w:szCs w:val="21"/>
                <w14:ligatures w14:val="none"/>
              </w:rPr>
            </w:pPr>
          </w:p>
        </w:tc>
      </w:tr>
      <w:tr w:rsidR="00A66FFA" w14:paraId="766DDA57" w14:textId="77777777" w:rsidTr="00A66FFA">
        <w:trPr>
          <w:trHeight w:val="454"/>
          <w:jc w:val="center"/>
        </w:trPr>
        <w:tc>
          <w:tcPr>
            <w:tcW w:w="370" w:type="pct"/>
            <w:vAlign w:val="center"/>
          </w:tcPr>
          <w:p w14:paraId="4D9FD6C4" w14:textId="77777777" w:rsidR="00A66FFA" w:rsidRDefault="00A66FFA">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7FF0941" w14:textId="3419E9BF" w:rsidR="00A66FFA" w:rsidRDefault="00A66FFA">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油气回收主管</w:t>
            </w:r>
          </w:p>
        </w:tc>
        <w:tc>
          <w:tcPr>
            <w:tcW w:w="1397" w:type="pct"/>
            <w:vAlign w:val="center"/>
          </w:tcPr>
          <w:p w14:paraId="5E12B33E" w14:textId="612921E5" w:rsidR="00A66FFA" w:rsidRDefault="00A66FFA">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DN100</w:t>
            </w:r>
          </w:p>
        </w:tc>
        <w:tc>
          <w:tcPr>
            <w:tcW w:w="465" w:type="pct"/>
            <w:vAlign w:val="center"/>
          </w:tcPr>
          <w:p w14:paraId="0E7326F2" w14:textId="452E5F0E" w:rsidR="00A66FFA" w:rsidRDefault="00A66FFA">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根</w:t>
            </w:r>
          </w:p>
        </w:tc>
        <w:tc>
          <w:tcPr>
            <w:tcW w:w="1558" w:type="pct"/>
            <w:vAlign w:val="center"/>
          </w:tcPr>
          <w:p w14:paraId="72A9C816" w14:textId="77777777" w:rsidR="00A66FFA" w:rsidRDefault="00A66FFA">
            <w:pPr>
              <w:widowControl/>
              <w:spacing w:line="240" w:lineRule="auto"/>
              <w:ind w:firstLineChars="0" w:firstLine="0"/>
              <w:jc w:val="center"/>
              <w:rPr>
                <w:rFonts w:ascii="Times New Roman" w:eastAsia="宋体" w:hAnsi="Times New Roman" w:cs="Times New Roman"/>
                <w:sz w:val="21"/>
                <w:szCs w:val="21"/>
                <w14:ligatures w14:val="none"/>
              </w:rPr>
            </w:pPr>
          </w:p>
        </w:tc>
      </w:tr>
      <w:tr w:rsidR="0082631A" w:rsidRPr="0082631A" w14:paraId="5C94A915" w14:textId="77777777" w:rsidTr="00A66FFA">
        <w:trPr>
          <w:trHeight w:val="454"/>
          <w:jc w:val="center"/>
        </w:trPr>
        <w:tc>
          <w:tcPr>
            <w:tcW w:w="370" w:type="pct"/>
            <w:vAlign w:val="center"/>
          </w:tcPr>
          <w:p w14:paraId="3D3A61D0" w14:textId="77777777" w:rsidR="00321178" w:rsidRPr="0082631A" w:rsidRDefault="00321178" w:rsidP="0032117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3C74A93" w14:textId="3BCE8141" w:rsidR="00321178" w:rsidRPr="0082631A" w:rsidRDefault="00321178" w:rsidP="00321178">
            <w:pPr>
              <w:widowControl/>
              <w:spacing w:line="240" w:lineRule="auto"/>
              <w:ind w:firstLineChars="0" w:firstLine="0"/>
              <w:jc w:val="center"/>
              <w:rPr>
                <w:rFonts w:ascii="Times New Roman" w:eastAsia="宋体" w:hAnsi="Times New Roman" w:cs="宋体"/>
                <w:kern w:val="0"/>
                <w:sz w:val="21"/>
                <w:szCs w:val="21"/>
                <w14:ligatures w14:val="none"/>
              </w:rPr>
            </w:pPr>
            <w:r w:rsidRPr="0082631A">
              <w:rPr>
                <w:rFonts w:ascii="Times New Roman" w:eastAsia="宋体" w:hAnsi="Times New Roman" w:cs="宋体" w:hint="eastAsia"/>
                <w:kern w:val="0"/>
                <w:sz w:val="21"/>
                <w:szCs w:val="21"/>
                <w14:ligatures w14:val="none"/>
              </w:rPr>
              <w:t>潜油泵</w:t>
            </w:r>
          </w:p>
        </w:tc>
        <w:tc>
          <w:tcPr>
            <w:tcW w:w="1397" w:type="pct"/>
            <w:vAlign w:val="center"/>
          </w:tcPr>
          <w:p w14:paraId="0F848CFF" w14:textId="7C416324" w:rsidR="00321178" w:rsidRPr="0082631A" w:rsidRDefault="00321178" w:rsidP="00321178">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220V/0.75P</w:t>
            </w:r>
            <w:r w:rsidRPr="0082631A">
              <w:rPr>
                <w:rFonts w:ascii="Times New Roman" w:eastAsia="宋体" w:hAnsi="Times New Roman" w:cs="Times New Roman" w:hint="eastAsia"/>
                <w:sz w:val="21"/>
                <w:szCs w:val="21"/>
                <w14:ligatures w14:val="none"/>
              </w:rPr>
              <w:t>；</w:t>
            </w:r>
            <w:r w:rsidRPr="0082631A">
              <w:rPr>
                <w:rFonts w:ascii="Times New Roman" w:eastAsia="宋体" w:hAnsi="Times New Roman" w:cs="Times New Roman" w:hint="eastAsia"/>
                <w:sz w:val="21"/>
                <w:szCs w:val="21"/>
                <w14:ligatures w14:val="none"/>
              </w:rPr>
              <w:t>200L/min</w:t>
            </w:r>
          </w:p>
        </w:tc>
        <w:tc>
          <w:tcPr>
            <w:tcW w:w="465" w:type="pct"/>
            <w:vAlign w:val="center"/>
          </w:tcPr>
          <w:p w14:paraId="6B21D0D3" w14:textId="738555AF" w:rsidR="00321178" w:rsidRPr="0082631A" w:rsidRDefault="00321178" w:rsidP="00321178">
            <w:pPr>
              <w:widowControl/>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5</w:t>
            </w:r>
            <w:r w:rsidRPr="0082631A">
              <w:rPr>
                <w:rFonts w:ascii="Times New Roman" w:eastAsia="宋体" w:hAnsi="Times New Roman" w:cs="Times New Roman" w:hint="eastAsia"/>
                <w:sz w:val="21"/>
                <w:szCs w:val="21"/>
                <w14:ligatures w14:val="none"/>
              </w:rPr>
              <w:t>台</w:t>
            </w:r>
          </w:p>
        </w:tc>
        <w:tc>
          <w:tcPr>
            <w:tcW w:w="1558" w:type="pct"/>
            <w:vAlign w:val="center"/>
          </w:tcPr>
          <w:p w14:paraId="0B5525B8" w14:textId="5D351348" w:rsidR="00321178" w:rsidRPr="0082631A" w:rsidRDefault="00321178" w:rsidP="00321178">
            <w:pPr>
              <w:widowControl/>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sz w:val="21"/>
                <w:szCs w:val="21"/>
                <w14:ligatures w14:val="none"/>
              </w:rPr>
              <w:t>一泵带双枪</w:t>
            </w:r>
            <w:r w:rsidRPr="0082631A">
              <w:rPr>
                <w:rFonts w:ascii="Times New Roman" w:eastAsia="宋体" w:hAnsi="Times New Roman" w:cs="Times New Roman" w:hint="eastAsia"/>
                <w:sz w:val="21"/>
                <w:szCs w:val="21"/>
                <w14:ligatures w14:val="none"/>
              </w:rPr>
              <w:t>，车用乙醇汽油罐</w:t>
            </w:r>
            <w:r w:rsidRPr="0082631A">
              <w:rPr>
                <w:rFonts w:ascii="Times New Roman" w:eastAsia="宋体" w:hAnsi="Times New Roman" w:cs="Times New Roman" w:hint="eastAsia"/>
                <w:sz w:val="21"/>
                <w:szCs w:val="21"/>
                <w14:ligatures w14:val="none"/>
              </w:rPr>
              <w:t>2</w:t>
            </w:r>
            <w:r w:rsidRPr="0082631A">
              <w:rPr>
                <w:rFonts w:ascii="Times New Roman" w:eastAsia="宋体" w:hAnsi="Times New Roman" w:cs="Times New Roman" w:hint="eastAsia"/>
                <w:sz w:val="21"/>
                <w:szCs w:val="21"/>
                <w14:ligatures w14:val="none"/>
              </w:rPr>
              <w:t>台，柴油罐</w:t>
            </w:r>
            <w:r w:rsidRPr="0082631A">
              <w:rPr>
                <w:rFonts w:ascii="Times New Roman" w:eastAsia="宋体" w:hAnsi="Times New Roman" w:cs="Times New Roman" w:hint="eastAsia"/>
                <w:sz w:val="21"/>
                <w:szCs w:val="21"/>
                <w14:ligatures w14:val="none"/>
              </w:rPr>
              <w:t>3</w:t>
            </w:r>
            <w:r w:rsidRPr="0082631A">
              <w:rPr>
                <w:rFonts w:ascii="Times New Roman" w:eastAsia="宋体" w:hAnsi="Times New Roman" w:cs="Times New Roman" w:hint="eastAsia"/>
                <w:sz w:val="21"/>
                <w:szCs w:val="21"/>
                <w14:ligatures w14:val="none"/>
              </w:rPr>
              <w:t>台</w:t>
            </w:r>
          </w:p>
        </w:tc>
      </w:tr>
      <w:tr w:rsidR="0082631A" w:rsidRPr="0082631A" w14:paraId="477EF1E8" w14:textId="77777777" w:rsidTr="00A66FFA">
        <w:trPr>
          <w:trHeight w:val="454"/>
          <w:jc w:val="center"/>
        </w:trPr>
        <w:tc>
          <w:tcPr>
            <w:tcW w:w="370" w:type="pct"/>
            <w:vAlign w:val="center"/>
          </w:tcPr>
          <w:p w14:paraId="4E276F08" w14:textId="77777777" w:rsidR="00321178" w:rsidRPr="0082631A" w:rsidRDefault="00321178" w:rsidP="00321178">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59DB6F08" w14:textId="5831A2F9" w:rsidR="00321178" w:rsidRPr="0082631A" w:rsidRDefault="00321178" w:rsidP="00321178">
            <w:pPr>
              <w:widowControl/>
              <w:spacing w:line="240" w:lineRule="auto"/>
              <w:ind w:firstLineChars="0" w:firstLine="0"/>
              <w:jc w:val="center"/>
              <w:rPr>
                <w:rFonts w:ascii="Times New Roman" w:eastAsia="宋体" w:hAnsi="Times New Roman" w:cs="宋体"/>
                <w:kern w:val="0"/>
                <w:sz w:val="21"/>
                <w:szCs w:val="21"/>
                <w14:ligatures w14:val="none"/>
              </w:rPr>
            </w:pPr>
            <w:r w:rsidRPr="0082631A">
              <w:rPr>
                <w:rFonts w:ascii="Times New Roman" w:eastAsia="宋体" w:hAnsi="Times New Roman" w:cs="宋体" w:hint="eastAsia"/>
                <w:kern w:val="0"/>
                <w:sz w:val="21"/>
                <w:szCs w:val="21"/>
                <w14:ligatures w14:val="none"/>
              </w:rPr>
              <w:t>潜油泵</w:t>
            </w:r>
          </w:p>
        </w:tc>
        <w:tc>
          <w:tcPr>
            <w:tcW w:w="1397" w:type="pct"/>
            <w:vAlign w:val="center"/>
          </w:tcPr>
          <w:p w14:paraId="523F59AD" w14:textId="034600EE" w:rsidR="00321178" w:rsidRPr="0082631A" w:rsidRDefault="00321178" w:rsidP="00321178">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sz w:val="21"/>
                <w:szCs w:val="21"/>
                <w14:ligatures w14:val="none"/>
              </w:rPr>
              <w:t>220V/</w:t>
            </w:r>
            <w:r w:rsidRPr="0082631A">
              <w:rPr>
                <w:rFonts w:ascii="Times New Roman" w:eastAsia="宋体" w:hAnsi="Times New Roman" w:cs="Times New Roman" w:hint="eastAsia"/>
                <w:sz w:val="21"/>
                <w:szCs w:val="21"/>
                <w14:ligatures w14:val="none"/>
              </w:rPr>
              <w:t>1.5</w:t>
            </w:r>
            <w:r w:rsidRPr="0082631A">
              <w:rPr>
                <w:rFonts w:ascii="Times New Roman" w:eastAsia="宋体" w:hAnsi="Times New Roman" w:cs="Times New Roman"/>
                <w:sz w:val="21"/>
                <w:szCs w:val="21"/>
                <w14:ligatures w14:val="none"/>
              </w:rPr>
              <w:t>P</w:t>
            </w:r>
            <w:r w:rsidRPr="0082631A">
              <w:rPr>
                <w:rFonts w:ascii="Times New Roman" w:eastAsia="宋体" w:hAnsi="Times New Roman" w:cs="Times New Roman"/>
                <w:sz w:val="21"/>
                <w:szCs w:val="21"/>
                <w14:ligatures w14:val="none"/>
              </w:rPr>
              <w:t>；</w:t>
            </w:r>
            <w:r w:rsidRPr="0082631A">
              <w:rPr>
                <w:rFonts w:ascii="Times New Roman" w:eastAsia="宋体" w:hAnsi="Times New Roman" w:cs="Times New Roman" w:hint="eastAsia"/>
                <w:sz w:val="21"/>
                <w:szCs w:val="21"/>
                <w14:ligatures w14:val="none"/>
              </w:rPr>
              <w:t>380</w:t>
            </w:r>
            <w:r w:rsidRPr="0082631A">
              <w:rPr>
                <w:rFonts w:ascii="Times New Roman" w:eastAsia="宋体" w:hAnsi="Times New Roman" w:cs="Times New Roman"/>
                <w:sz w:val="21"/>
                <w:szCs w:val="21"/>
                <w14:ligatures w14:val="none"/>
              </w:rPr>
              <w:t>L/min</w:t>
            </w:r>
          </w:p>
        </w:tc>
        <w:tc>
          <w:tcPr>
            <w:tcW w:w="465" w:type="pct"/>
            <w:vAlign w:val="center"/>
          </w:tcPr>
          <w:p w14:paraId="63601E88" w14:textId="2F9E4F1A" w:rsidR="00321178" w:rsidRPr="0082631A" w:rsidRDefault="00321178" w:rsidP="00321178">
            <w:pPr>
              <w:widowControl/>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2</w:t>
            </w:r>
            <w:r w:rsidRPr="0082631A">
              <w:rPr>
                <w:rFonts w:ascii="Times New Roman" w:eastAsia="宋体" w:hAnsi="Times New Roman" w:cs="Times New Roman" w:hint="eastAsia"/>
                <w:sz w:val="21"/>
                <w:szCs w:val="21"/>
                <w14:ligatures w14:val="none"/>
              </w:rPr>
              <w:t>台</w:t>
            </w:r>
          </w:p>
        </w:tc>
        <w:tc>
          <w:tcPr>
            <w:tcW w:w="1558" w:type="pct"/>
            <w:vAlign w:val="center"/>
          </w:tcPr>
          <w:p w14:paraId="79803BB1" w14:textId="674D6B77" w:rsidR="00321178" w:rsidRPr="0082631A" w:rsidRDefault="00321178" w:rsidP="00321178">
            <w:pPr>
              <w:widowControl/>
              <w:spacing w:line="240" w:lineRule="auto"/>
              <w:ind w:firstLineChars="0" w:firstLine="0"/>
              <w:jc w:val="center"/>
              <w:rPr>
                <w:rFonts w:ascii="Times New Roman" w:eastAsia="宋体" w:hAnsi="Times New Roman" w:cs="Times New Roman"/>
                <w:sz w:val="21"/>
                <w:szCs w:val="21"/>
                <w14:ligatures w14:val="none"/>
              </w:rPr>
            </w:pPr>
            <w:r w:rsidRPr="0082631A">
              <w:rPr>
                <w:rFonts w:ascii="Times New Roman" w:eastAsia="宋体" w:hAnsi="Times New Roman" w:cs="Times New Roman" w:hint="eastAsia"/>
                <w:sz w:val="21"/>
                <w:szCs w:val="21"/>
                <w14:ligatures w14:val="none"/>
              </w:rPr>
              <w:t>一泵带四枪，车用乙醇汽油罐</w:t>
            </w:r>
            <w:r w:rsidRPr="0082631A">
              <w:rPr>
                <w:rFonts w:ascii="Times New Roman" w:eastAsia="宋体" w:hAnsi="Times New Roman" w:cs="Times New Roman" w:hint="eastAsia"/>
                <w:sz w:val="21"/>
                <w:szCs w:val="21"/>
                <w14:ligatures w14:val="none"/>
              </w:rPr>
              <w:t>1</w:t>
            </w:r>
            <w:r w:rsidRPr="0082631A">
              <w:rPr>
                <w:rFonts w:ascii="Times New Roman" w:eastAsia="宋体" w:hAnsi="Times New Roman" w:cs="Times New Roman" w:hint="eastAsia"/>
                <w:sz w:val="21"/>
                <w:szCs w:val="21"/>
                <w14:ligatures w14:val="none"/>
              </w:rPr>
              <w:t>台，柴油罐</w:t>
            </w:r>
            <w:r w:rsidRPr="0082631A">
              <w:rPr>
                <w:rFonts w:ascii="Times New Roman" w:eastAsia="宋体" w:hAnsi="Times New Roman" w:cs="Times New Roman" w:hint="eastAsia"/>
                <w:sz w:val="21"/>
                <w:szCs w:val="21"/>
                <w14:ligatures w14:val="none"/>
              </w:rPr>
              <w:t>1</w:t>
            </w:r>
            <w:r w:rsidRPr="0082631A">
              <w:rPr>
                <w:rFonts w:ascii="Times New Roman" w:eastAsia="宋体" w:hAnsi="Times New Roman" w:cs="Times New Roman" w:hint="eastAsia"/>
                <w:sz w:val="21"/>
                <w:szCs w:val="21"/>
                <w14:ligatures w14:val="none"/>
              </w:rPr>
              <w:t>台</w:t>
            </w:r>
          </w:p>
        </w:tc>
      </w:tr>
    </w:tbl>
    <w:p w14:paraId="519D98DA"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0" w:name="_Toc17949"/>
      <w:r>
        <w:rPr>
          <w:rFonts w:ascii="Times New Roman" w:eastAsia="楷体" w:hAnsi="Times New Roman" w:cs="宋体"/>
          <w:b/>
          <w:bCs/>
          <w:sz w:val="32"/>
          <w:szCs w:val="28"/>
          <w:lang w:bidi="ar"/>
          <w14:ligatures w14:val="none"/>
        </w:rPr>
        <w:t>2.9</w:t>
      </w:r>
      <w:r>
        <w:rPr>
          <w:rFonts w:ascii="Times New Roman" w:eastAsia="楷体" w:hAnsi="Times New Roman" w:cs="宋体"/>
          <w:b/>
          <w:bCs/>
          <w:sz w:val="32"/>
          <w:szCs w:val="28"/>
          <w:lang w:bidi="ar"/>
          <w14:ligatures w14:val="none"/>
        </w:rPr>
        <w:t>劳动定员</w:t>
      </w:r>
      <w:bookmarkEnd w:id="50"/>
    </w:p>
    <w:p w14:paraId="25FDBE4F" w14:textId="7C6B8B05"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该站劳动定员为</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人</w:t>
      </w:r>
      <w:r>
        <w:rPr>
          <w:rFonts w:ascii="Times New Roman" w:eastAsia="宋体" w:hAnsi="Times New Roman" w:cs="宋体"/>
          <w:szCs w:val="28"/>
          <w:lang w:bidi="ar"/>
          <w14:ligatures w14:val="none"/>
        </w:rPr>
        <w:t>，其中主要负责人</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人、专职安全管理人员</w:t>
      </w:r>
      <w:r w:rsidR="007739ED">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人，加油员</w:t>
      </w:r>
      <w:r w:rsidR="007739ED">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人。</w:t>
      </w:r>
      <w:r>
        <w:rPr>
          <w:rFonts w:ascii="Times New Roman" w:eastAsia="宋体" w:hAnsi="Times New Roman" w:cs="宋体" w:hint="eastAsia"/>
          <w:szCs w:val="28"/>
          <w:lang w:bidi="ar"/>
          <w14:ligatures w14:val="none"/>
        </w:rPr>
        <w:t>加油员采用两班制。</w:t>
      </w:r>
      <w:r>
        <w:rPr>
          <w:rFonts w:ascii="Times New Roman" w:eastAsia="宋体" w:hAnsi="Times New Roman" w:cs="宋体"/>
          <w:szCs w:val="28"/>
          <w:lang w:bidi="ar"/>
          <w14:ligatures w14:val="none"/>
        </w:rPr>
        <w:br w:type="page"/>
      </w:r>
    </w:p>
    <w:p w14:paraId="127AB1BF" w14:textId="77777777" w:rsidR="00502148"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51" w:name="_Toc26889"/>
      <w:r>
        <w:rPr>
          <w:rFonts w:ascii="Times New Roman" w:eastAsia="黑体" w:hAnsi="Times New Roman" w:cs="宋体"/>
          <w:b/>
          <w:bCs/>
          <w:sz w:val="32"/>
          <w:szCs w:val="28"/>
          <w:lang w:bidi="ar"/>
          <w14:ligatures w14:val="none"/>
        </w:rPr>
        <w:lastRenderedPageBreak/>
        <w:t>3</w:t>
      </w:r>
      <w:r>
        <w:rPr>
          <w:rFonts w:ascii="Times New Roman" w:eastAsia="黑体" w:hAnsi="Times New Roman" w:cs="宋体"/>
          <w:b/>
          <w:bCs/>
          <w:sz w:val="32"/>
          <w:szCs w:val="28"/>
          <w:lang w:bidi="ar"/>
          <w14:ligatures w14:val="none"/>
        </w:rPr>
        <w:t>危险、有害因素和固有的危险、有害程度</w:t>
      </w:r>
      <w:bookmarkEnd w:id="51"/>
    </w:p>
    <w:p w14:paraId="0801A616"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2" w:name="_Toc8650"/>
      <w:r>
        <w:rPr>
          <w:rFonts w:ascii="Times New Roman" w:eastAsia="楷体" w:hAnsi="Times New Roman" w:cs="宋体"/>
          <w:b/>
          <w:bCs/>
          <w:sz w:val="32"/>
          <w:szCs w:val="28"/>
          <w:lang w:bidi="ar"/>
          <w14:ligatures w14:val="none"/>
        </w:rPr>
        <w:t>3.1</w:t>
      </w:r>
      <w:r>
        <w:rPr>
          <w:rFonts w:ascii="Times New Roman" w:eastAsia="楷体" w:hAnsi="Times New Roman" w:cs="宋体"/>
          <w:b/>
          <w:bCs/>
          <w:sz w:val="32"/>
          <w:szCs w:val="28"/>
          <w:lang w:bidi="ar"/>
          <w14:ligatures w14:val="none"/>
        </w:rPr>
        <w:t>物料的危险、有害因素分析</w:t>
      </w:r>
      <w:bookmarkEnd w:id="52"/>
    </w:p>
    <w:p w14:paraId="424D4839"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储存经营过程中所涉及的化学品为车用乙醇汽油、柴油。</w:t>
      </w:r>
    </w:p>
    <w:p w14:paraId="29D88F52"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版）》（国家安全生产监督管理总局等十部委公告</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5</w:t>
      </w:r>
      <w:r>
        <w:rPr>
          <w:rFonts w:ascii="Times New Roman" w:eastAsia="宋体" w:hAnsi="Times New Roman" w:cs="宋体"/>
          <w:szCs w:val="28"/>
          <w:lang w:bidi="ar"/>
          <w14:ligatures w14:val="none"/>
        </w:rPr>
        <w:t>号）及《应急管理部等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部门关于调整</w:t>
      </w:r>
      <w:r>
        <w:rPr>
          <w:rFonts w:ascii="Times New Roman" w:eastAsia="宋体" w:hAnsi="Times New Roman" w:cs="宋体"/>
          <w:szCs w:val="28"/>
          <w:lang w:bidi="ar"/>
          <w14:ligatures w14:val="none"/>
        </w:rPr>
        <w:t>&lt;</w:t>
      </w:r>
      <w:r>
        <w:rPr>
          <w:rFonts w:ascii="Times New Roman" w:eastAsia="宋体" w:hAnsi="Times New Roman" w:cs="宋体"/>
          <w:szCs w:val="28"/>
          <w:lang w:bidi="ar"/>
          <w14:ligatures w14:val="none"/>
        </w:rPr>
        <w:t>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w:t>
      </w:r>
      <w:r>
        <w:rPr>
          <w:rFonts w:ascii="Times New Roman" w:eastAsia="宋体" w:hAnsi="Times New Roman" w:cs="宋体"/>
          <w:szCs w:val="28"/>
          <w:lang w:bidi="ar"/>
          <w14:ligatures w14:val="none"/>
        </w:rPr>
        <w:t>&gt;</w:t>
      </w:r>
      <w:r>
        <w:rPr>
          <w:rFonts w:ascii="Times New Roman" w:eastAsia="宋体" w:hAnsi="Times New Roman" w:cs="宋体"/>
          <w:szCs w:val="28"/>
          <w:lang w:bidi="ar"/>
          <w14:ligatures w14:val="none"/>
        </w:rPr>
        <w:t>的公告》（应急管理部等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部门公告</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8</w:t>
      </w:r>
      <w:r>
        <w:rPr>
          <w:rFonts w:ascii="Times New Roman" w:eastAsia="宋体" w:hAnsi="Times New Roman" w:cs="宋体"/>
          <w:szCs w:val="28"/>
          <w:lang w:bidi="ar"/>
          <w14:ligatures w14:val="none"/>
        </w:rPr>
        <w:t>号，</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日施行），站内储存经营过程中涉及的车用乙醇汽油、柴油为危险化学品。</w:t>
      </w:r>
    </w:p>
    <w:p w14:paraId="73FF03BE" w14:textId="77777777" w:rsidR="00502148" w:rsidRDefault="00000000">
      <w:pPr>
        <w:ind w:firstLine="560"/>
        <w:rPr>
          <w:rFonts w:ascii="Times New Roman" w:eastAsia="宋体" w:hAnsi="Times New Roman" w:cs="宋体"/>
          <w:szCs w:val="28"/>
          <w:lang w:bidi="ar"/>
          <w14:ligatures w14:val="none"/>
        </w:rPr>
        <w:sectPr w:rsidR="00502148">
          <w:pgSz w:w="11906" w:h="16838"/>
          <w:pgMar w:top="1418" w:right="1134" w:bottom="1134" w:left="1588" w:header="851" w:footer="992" w:gutter="0"/>
          <w:cols w:space="425"/>
          <w:docGrid w:type="lines" w:linePitch="312"/>
        </w:sectPr>
      </w:pPr>
      <w:r>
        <w:rPr>
          <w:rFonts w:ascii="Times New Roman" w:eastAsia="宋体" w:hAnsi="Times New Roman" w:cs="宋体"/>
          <w:szCs w:val="28"/>
          <w:lang w:bidi="ar"/>
          <w14:ligatures w14:val="none"/>
        </w:rPr>
        <w:t>理化性质表和危险特性及其数据来源见附件</w:t>
      </w: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F3.1</w:t>
      </w:r>
      <w:r>
        <w:rPr>
          <w:rFonts w:ascii="Times New Roman" w:eastAsia="宋体" w:hAnsi="Times New Roman" w:cs="宋体"/>
          <w:szCs w:val="28"/>
          <w:lang w:bidi="ar"/>
          <w14:ligatures w14:val="none"/>
        </w:rPr>
        <w:t>）。</w:t>
      </w:r>
    </w:p>
    <w:p w14:paraId="193F90C1" w14:textId="77777777" w:rsidR="00502148" w:rsidRDefault="00000000">
      <w:pPr>
        <w:pStyle w:val="aff7"/>
        <w:keepNext/>
        <w:spacing w:beforeLines="50" w:before="190" w:afterLines="50" w:after="190"/>
        <w:ind w:firstLine="480"/>
        <w:rPr>
          <w:rFonts w:eastAsia="黑体"/>
          <w:sz w:val="24"/>
        </w:rPr>
      </w:pPr>
      <w:r>
        <w:rPr>
          <w:rFonts w:eastAsia="黑体"/>
          <w:sz w:val="24"/>
        </w:rPr>
        <w:lastRenderedPageBreak/>
        <w:t>表</w:t>
      </w:r>
      <w:r>
        <w:rPr>
          <w:rFonts w:eastAsia="黑体"/>
          <w:sz w:val="24"/>
        </w:rPr>
        <w:t xml:space="preserve">3.1-1  </w:t>
      </w:r>
      <w:r>
        <w:rPr>
          <w:rFonts w:eastAsia="黑体"/>
          <w:sz w:val="24"/>
        </w:rPr>
        <w:t>站内涉及的危险化学品的理化性质分析结果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803"/>
        <w:gridCol w:w="811"/>
        <w:gridCol w:w="683"/>
        <w:gridCol w:w="686"/>
        <w:gridCol w:w="803"/>
        <w:gridCol w:w="2242"/>
        <w:gridCol w:w="1154"/>
        <w:gridCol w:w="852"/>
        <w:gridCol w:w="852"/>
        <w:gridCol w:w="1084"/>
        <w:gridCol w:w="781"/>
        <w:gridCol w:w="549"/>
        <w:gridCol w:w="724"/>
        <w:gridCol w:w="771"/>
        <w:gridCol w:w="712"/>
      </w:tblGrid>
      <w:tr w:rsidR="00A66FFA" w14:paraId="15F40D56" w14:textId="77777777" w:rsidTr="00D303F2">
        <w:trPr>
          <w:trHeight w:val="454"/>
          <w:tblHeader/>
          <w:jc w:val="center"/>
        </w:trPr>
        <w:tc>
          <w:tcPr>
            <w:tcW w:w="276" w:type="pct"/>
            <w:vAlign w:val="center"/>
          </w:tcPr>
          <w:p w14:paraId="1F34A917"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物料名称</w:t>
            </w:r>
          </w:p>
        </w:tc>
        <w:tc>
          <w:tcPr>
            <w:tcW w:w="288" w:type="pct"/>
            <w:vAlign w:val="center"/>
          </w:tcPr>
          <w:p w14:paraId="42479253"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危险化学品目录序号</w:t>
            </w:r>
          </w:p>
        </w:tc>
        <w:tc>
          <w:tcPr>
            <w:tcW w:w="284" w:type="pct"/>
            <w:vAlign w:val="center"/>
          </w:tcPr>
          <w:p w14:paraId="4EC5521E"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C</w:t>
            </w:r>
            <w:r>
              <w:rPr>
                <w:rFonts w:ascii="Times New Roman" w:eastAsia="宋体" w:hAnsi="Times New Roman" w:cs="Times New Roman"/>
                <w:sz w:val="21"/>
                <w:szCs w:val="21"/>
                <w14:ligatures w14:val="none"/>
              </w:rPr>
              <w:t>AS</w:t>
            </w:r>
            <w:r>
              <w:rPr>
                <w:rFonts w:ascii="Times New Roman" w:eastAsia="宋体" w:hAnsi="Times New Roman" w:cs="Times New Roman" w:hint="eastAsia"/>
                <w:sz w:val="21"/>
                <w:szCs w:val="21"/>
                <w14:ligatures w14:val="none"/>
              </w:rPr>
              <w:t>号</w:t>
            </w:r>
          </w:p>
        </w:tc>
        <w:tc>
          <w:tcPr>
            <w:tcW w:w="246" w:type="pct"/>
            <w:vAlign w:val="center"/>
          </w:tcPr>
          <w:p w14:paraId="02EC2C2F"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UN</w:t>
            </w:r>
            <w:r>
              <w:rPr>
                <w:rFonts w:ascii="Times New Roman" w:eastAsia="宋体" w:hAnsi="Times New Roman" w:cs="Times New Roman" w:hint="eastAsia"/>
                <w:sz w:val="21"/>
                <w:szCs w:val="21"/>
                <w14:ligatures w14:val="none"/>
              </w:rPr>
              <w:t>编号</w:t>
            </w:r>
          </w:p>
        </w:tc>
        <w:tc>
          <w:tcPr>
            <w:tcW w:w="247" w:type="pct"/>
            <w:vAlign w:val="center"/>
          </w:tcPr>
          <w:p w14:paraId="3967AE0A"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包装类别</w:t>
            </w:r>
          </w:p>
        </w:tc>
        <w:tc>
          <w:tcPr>
            <w:tcW w:w="288" w:type="pct"/>
            <w:vAlign w:val="center"/>
          </w:tcPr>
          <w:p w14:paraId="598C7A7E"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主要危险性</w:t>
            </w:r>
          </w:p>
        </w:tc>
        <w:tc>
          <w:tcPr>
            <w:tcW w:w="792" w:type="pct"/>
            <w:vAlign w:val="center"/>
          </w:tcPr>
          <w:p w14:paraId="7D4421D7"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w:t>
            </w:r>
          </w:p>
          <w:p w14:paraId="39D32ECA"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分类</w:t>
            </w:r>
          </w:p>
        </w:tc>
        <w:tc>
          <w:tcPr>
            <w:tcW w:w="411" w:type="pct"/>
            <w:vAlign w:val="center"/>
          </w:tcPr>
          <w:p w14:paraId="75B6D49F"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密度（</w:t>
            </w:r>
            <w:r>
              <w:rPr>
                <w:rFonts w:ascii="Times New Roman" w:eastAsia="宋体" w:hAnsi="Times New Roman" w:cs="Times New Roman" w:hint="eastAsia"/>
                <w:sz w:val="21"/>
                <w:szCs w:val="21"/>
                <w14:ligatures w14:val="none"/>
              </w:rPr>
              <w:t>t/m</w:t>
            </w:r>
            <w:r>
              <w:rPr>
                <w:rFonts w:ascii="Times New Roman" w:eastAsia="宋体" w:hAnsi="Times New Roman" w:cs="Times New Roman" w:hint="eastAsia"/>
                <w:sz w:val="21"/>
                <w:szCs w:val="21"/>
                <w:vertAlign w:val="superscript"/>
                <w14:ligatures w14:val="none"/>
              </w:rPr>
              <w:t>3</w:t>
            </w:r>
            <w:r>
              <w:rPr>
                <w:rFonts w:ascii="Times New Roman" w:eastAsia="宋体" w:hAnsi="Times New Roman" w:cs="Times New Roman"/>
                <w:sz w:val="21"/>
                <w:szCs w:val="21"/>
                <w14:ligatures w14:val="none"/>
              </w:rPr>
              <w:t>）</w:t>
            </w:r>
          </w:p>
        </w:tc>
        <w:tc>
          <w:tcPr>
            <w:tcW w:w="299" w:type="pct"/>
            <w:vAlign w:val="center"/>
          </w:tcPr>
          <w:p w14:paraId="0207BE6B"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沸点</w:t>
            </w:r>
          </w:p>
          <w:p w14:paraId="7E20BCA6"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tc>
        <w:tc>
          <w:tcPr>
            <w:tcW w:w="298" w:type="pct"/>
            <w:vAlign w:val="center"/>
          </w:tcPr>
          <w:p w14:paraId="48F22BD6"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闪点（</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tc>
        <w:tc>
          <w:tcPr>
            <w:tcW w:w="293" w:type="pct"/>
            <w:vAlign w:val="center"/>
          </w:tcPr>
          <w:p w14:paraId="0D888125"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职业接触限值</w:t>
            </w:r>
          </w:p>
        </w:tc>
        <w:tc>
          <w:tcPr>
            <w:tcW w:w="286" w:type="pct"/>
            <w:vAlign w:val="center"/>
          </w:tcPr>
          <w:p w14:paraId="48CF1818"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防爆级别组别</w:t>
            </w:r>
          </w:p>
        </w:tc>
        <w:tc>
          <w:tcPr>
            <w:tcW w:w="199" w:type="pct"/>
            <w:vAlign w:val="center"/>
          </w:tcPr>
          <w:p w14:paraId="4BDC3EA3"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毒性等级</w:t>
            </w:r>
          </w:p>
        </w:tc>
        <w:tc>
          <w:tcPr>
            <w:tcW w:w="254" w:type="pct"/>
            <w:vAlign w:val="center"/>
          </w:tcPr>
          <w:p w14:paraId="5B5BDEF6"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爆炸极限</w:t>
            </w:r>
          </w:p>
        </w:tc>
        <w:tc>
          <w:tcPr>
            <w:tcW w:w="283" w:type="pct"/>
            <w:vAlign w:val="center"/>
          </w:tcPr>
          <w:p w14:paraId="6E8564D9"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火灾危险性分类</w:t>
            </w:r>
          </w:p>
        </w:tc>
        <w:tc>
          <w:tcPr>
            <w:tcW w:w="256" w:type="pct"/>
            <w:vAlign w:val="center"/>
          </w:tcPr>
          <w:p w14:paraId="0E7ABEBD"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危害特性</w:t>
            </w:r>
          </w:p>
        </w:tc>
      </w:tr>
      <w:tr w:rsidR="00A66FFA" w14:paraId="18DA035A" w14:textId="77777777" w:rsidTr="00D303F2">
        <w:trPr>
          <w:trHeight w:val="454"/>
          <w:jc w:val="center"/>
        </w:trPr>
        <w:tc>
          <w:tcPr>
            <w:tcW w:w="276" w:type="pct"/>
            <w:vAlign w:val="center"/>
          </w:tcPr>
          <w:p w14:paraId="4EB06A51"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p>
        </w:tc>
        <w:tc>
          <w:tcPr>
            <w:tcW w:w="288" w:type="pct"/>
            <w:vAlign w:val="center"/>
          </w:tcPr>
          <w:p w14:paraId="60EB899A" w14:textId="77777777" w:rsidR="00A66FFA" w:rsidRDefault="00A66FFA" w:rsidP="00D303F2">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1630</w:t>
            </w:r>
          </w:p>
        </w:tc>
        <w:tc>
          <w:tcPr>
            <w:tcW w:w="284" w:type="pct"/>
            <w:vAlign w:val="center"/>
          </w:tcPr>
          <w:p w14:paraId="470AD387"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szCs w:val="21"/>
                <w14:ligatures w14:val="none"/>
              </w:rPr>
              <w:t>86290-81-5</w:t>
            </w:r>
          </w:p>
        </w:tc>
        <w:tc>
          <w:tcPr>
            <w:tcW w:w="246" w:type="pct"/>
            <w:vAlign w:val="center"/>
          </w:tcPr>
          <w:p w14:paraId="0561C22E"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1203</w:t>
            </w:r>
          </w:p>
        </w:tc>
        <w:tc>
          <w:tcPr>
            <w:tcW w:w="247" w:type="pct"/>
            <w:vAlign w:val="center"/>
          </w:tcPr>
          <w:p w14:paraId="126313EA"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宋体" w:eastAsia="宋体" w:hAnsi="宋体" w:cs="Times New Roman" w:hint="eastAsia"/>
                <w:sz w:val="21"/>
                <w14:ligatures w14:val="none"/>
              </w:rPr>
              <w:t>Ⅱ</w:t>
            </w:r>
          </w:p>
        </w:tc>
        <w:tc>
          <w:tcPr>
            <w:tcW w:w="288" w:type="pct"/>
            <w:vAlign w:val="center"/>
          </w:tcPr>
          <w:p w14:paraId="7DFFAA22"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92" w:type="pct"/>
            <w:vAlign w:val="center"/>
          </w:tcPr>
          <w:p w14:paraId="542EC80C" w14:textId="77777777" w:rsidR="00A66FFA" w:rsidRDefault="00A66FFA" w:rsidP="00D303F2">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2</w:t>
            </w:r>
            <w:r>
              <w:rPr>
                <w:rFonts w:ascii="Times New Roman" w:eastAsia="宋体" w:hAnsi="Times New Roman" w:cs="Times New Roman"/>
                <w:kern w:val="0"/>
                <w:sz w:val="21"/>
                <w14:ligatures w14:val="none"/>
              </w:rPr>
              <w:t>*</w:t>
            </w:r>
          </w:p>
          <w:p w14:paraId="21BD4B34" w14:textId="77777777" w:rsidR="00A66FFA" w:rsidRDefault="00A66FFA" w:rsidP="00D303F2">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生殖细胞致突变性</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1B</w:t>
            </w:r>
          </w:p>
          <w:p w14:paraId="75FAD15F" w14:textId="77777777" w:rsidR="00A66FFA" w:rsidRDefault="00A66FFA" w:rsidP="00D303F2">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致癌性</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p w14:paraId="323F0E4B" w14:textId="77777777" w:rsidR="00A66FFA" w:rsidRDefault="00A66FFA" w:rsidP="00D303F2">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危害水生环境</w:t>
            </w:r>
            <w:r>
              <w:rPr>
                <w:rFonts w:ascii="Times New Roman" w:eastAsia="宋体" w:hAnsi="Times New Roman" w:cs="Times New Roman"/>
                <w:kern w:val="0"/>
                <w:sz w:val="21"/>
                <w14:ligatures w14:val="none"/>
              </w:rPr>
              <w:t>-</w:t>
            </w:r>
            <w:r>
              <w:rPr>
                <w:rFonts w:ascii="Times New Roman" w:eastAsia="宋体" w:hAnsi="Times New Roman" w:cs="Times New Roman"/>
                <w:kern w:val="0"/>
                <w:sz w:val="21"/>
                <w14:ligatures w14:val="none"/>
              </w:rPr>
              <w:t>急性危害</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p w14:paraId="38141290" w14:textId="77777777" w:rsidR="00A66FFA" w:rsidRDefault="00A66FFA" w:rsidP="00D303F2">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kern w:val="0"/>
                <w:sz w:val="21"/>
                <w14:ligatures w14:val="none"/>
              </w:rPr>
              <w:t>危害水生环境</w:t>
            </w:r>
            <w:r>
              <w:rPr>
                <w:rFonts w:ascii="Times New Roman" w:eastAsia="宋体" w:hAnsi="Times New Roman" w:cs="Times New Roman"/>
                <w:kern w:val="0"/>
                <w:sz w:val="21"/>
                <w14:ligatures w14:val="none"/>
              </w:rPr>
              <w:t>-</w:t>
            </w:r>
            <w:r>
              <w:rPr>
                <w:rFonts w:ascii="Times New Roman" w:eastAsia="宋体" w:hAnsi="Times New Roman" w:cs="Times New Roman"/>
                <w:kern w:val="0"/>
                <w:sz w:val="21"/>
                <w14:ligatures w14:val="none"/>
              </w:rPr>
              <w:t>长期危害</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tc>
        <w:tc>
          <w:tcPr>
            <w:tcW w:w="411" w:type="pct"/>
            <w:vAlign w:val="center"/>
          </w:tcPr>
          <w:p w14:paraId="7518E471" w14:textId="77777777" w:rsidR="00A66FFA" w:rsidRDefault="00A66FFA" w:rsidP="00D303F2">
            <w:pPr>
              <w:spacing w:line="240" w:lineRule="auto"/>
              <w:ind w:firstLineChars="0" w:firstLine="22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2"/>
                <w14:ligatures w14:val="none"/>
              </w:rPr>
              <w:t>0.70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0.80</w:t>
            </w:r>
          </w:p>
        </w:tc>
        <w:tc>
          <w:tcPr>
            <w:tcW w:w="299" w:type="pct"/>
            <w:vAlign w:val="center"/>
          </w:tcPr>
          <w:p w14:paraId="5700C3DA" w14:textId="77777777" w:rsidR="00A66FFA" w:rsidRDefault="00A66FFA" w:rsidP="00D303F2">
            <w:pPr>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30-205</w:t>
            </w:r>
          </w:p>
        </w:tc>
        <w:tc>
          <w:tcPr>
            <w:tcW w:w="298" w:type="pct"/>
            <w:vAlign w:val="center"/>
          </w:tcPr>
          <w:p w14:paraId="53666553"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-46</w:t>
            </w:r>
          </w:p>
        </w:tc>
        <w:tc>
          <w:tcPr>
            <w:tcW w:w="293" w:type="pct"/>
            <w:vAlign w:val="center"/>
          </w:tcPr>
          <w:p w14:paraId="1A4A06E8"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PC-TWA</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300mg/m³</w:t>
            </w:r>
          </w:p>
        </w:tc>
        <w:tc>
          <w:tcPr>
            <w:tcW w:w="286" w:type="pct"/>
            <w:vAlign w:val="center"/>
          </w:tcPr>
          <w:p w14:paraId="24F7BF62"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Ⅱ</w:t>
            </w:r>
            <w:r>
              <w:rPr>
                <w:rFonts w:ascii="Times New Roman" w:eastAsia="宋体" w:hAnsi="Times New Roman" w:cs="Times New Roman" w:hint="eastAsia"/>
                <w:sz w:val="21"/>
                <w:szCs w:val="21"/>
                <w14:ligatures w14:val="none"/>
              </w:rPr>
              <w:t>AT3</w:t>
            </w:r>
          </w:p>
        </w:tc>
        <w:tc>
          <w:tcPr>
            <w:tcW w:w="199" w:type="pct"/>
            <w:vAlign w:val="center"/>
          </w:tcPr>
          <w:p w14:paraId="4F75E8EB"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低毒</w:t>
            </w:r>
          </w:p>
        </w:tc>
        <w:tc>
          <w:tcPr>
            <w:tcW w:w="254" w:type="pct"/>
            <w:vAlign w:val="center"/>
          </w:tcPr>
          <w:p w14:paraId="797562CC"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1.4</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7.6%</w:t>
            </w:r>
          </w:p>
        </w:tc>
        <w:tc>
          <w:tcPr>
            <w:tcW w:w="283" w:type="pct"/>
            <w:vAlign w:val="center"/>
          </w:tcPr>
          <w:p w14:paraId="275C2DBD"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甲类</w:t>
            </w:r>
          </w:p>
        </w:tc>
        <w:tc>
          <w:tcPr>
            <w:tcW w:w="256" w:type="pct"/>
            <w:vAlign w:val="center"/>
          </w:tcPr>
          <w:p w14:paraId="1653686E"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高度易燃液体</w:t>
            </w:r>
          </w:p>
        </w:tc>
      </w:tr>
      <w:tr w:rsidR="00A66FFA" w14:paraId="75B9D662" w14:textId="77777777" w:rsidTr="00D303F2">
        <w:trPr>
          <w:trHeight w:val="454"/>
          <w:jc w:val="center"/>
        </w:trPr>
        <w:tc>
          <w:tcPr>
            <w:tcW w:w="276" w:type="pct"/>
            <w:vAlign w:val="center"/>
          </w:tcPr>
          <w:p w14:paraId="7EBF60CB"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288" w:type="pct"/>
            <w:vAlign w:val="center"/>
          </w:tcPr>
          <w:p w14:paraId="0EF1486E" w14:textId="77777777" w:rsidR="00A66FFA" w:rsidRDefault="00A66FFA" w:rsidP="00D303F2">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1674</w:t>
            </w:r>
          </w:p>
        </w:tc>
        <w:tc>
          <w:tcPr>
            <w:tcW w:w="284" w:type="pct"/>
            <w:vAlign w:val="center"/>
          </w:tcPr>
          <w:p w14:paraId="59746107" w14:textId="77777777" w:rsidR="00A66FFA" w:rsidRDefault="00A66FFA" w:rsidP="00D303F2">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68334-30-5</w:t>
            </w:r>
          </w:p>
        </w:tc>
        <w:tc>
          <w:tcPr>
            <w:tcW w:w="246" w:type="pct"/>
            <w:vAlign w:val="center"/>
          </w:tcPr>
          <w:p w14:paraId="60BB24CE"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1202</w:t>
            </w:r>
          </w:p>
        </w:tc>
        <w:tc>
          <w:tcPr>
            <w:tcW w:w="247" w:type="pct"/>
            <w:vAlign w:val="center"/>
          </w:tcPr>
          <w:p w14:paraId="067FD5D2" w14:textId="77777777" w:rsidR="00A66FFA" w:rsidRDefault="00A66FFA" w:rsidP="00D303F2">
            <w:pPr>
              <w:widowControl/>
              <w:spacing w:line="240" w:lineRule="auto"/>
              <w:ind w:firstLineChars="0" w:firstLine="0"/>
              <w:jc w:val="center"/>
              <w:rPr>
                <w:rFonts w:ascii="宋体" w:eastAsia="宋体" w:hAnsi="宋体" w:cs="Times New Roman" w:hint="eastAsia"/>
                <w:sz w:val="21"/>
                <w14:ligatures w14:val="none"/>
              </w:rPr>
            </w:pPr>
            <w:r>
              <w:rPr>
                <w:rFonts w:ascii="宋体" w:eastAsia="宋体" w:hAnsi="宋体" w:cs="Times New Roman" w:hint="eastAsia"/>
                <w:sz w:val="21"/>
                <w14:ligatures w14:val="none"/>
              </w:rPr>
              <w:t>Ⅲ</w:t>
            </w:r>
          </w:p>
        </w:tc>
        <w:tc>
          <w:tcPr>
            <w:tcW w:w="288" w:type="pct"/>
            <w:vAlign w:val="center"/>
          </w:tcPr>
          <w:p w14:paraId="713A8ABD" w14:textId="77777777" w:rsidR="00A66FFA" w:rsidRDefault="00A66FFA" w:rsidP="00D303F2">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92" w:type="pct"/>
            <w:vAlign w:val="center"/>
          </w:tcPr>
          <w:p w14:paraId="6DE9705D" w14:textId="77777777" w:rsidR="00A66FFA" w:rsidRDefault="00A66FFA" w:rsidP="00D303F2">
            <w:pPr>
              <w:widowControl/>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3</w:t>
            </w:r>
          </w:p>
        </w:tc>
        <w:tc>
          <w:tcPr>
            <w:tcW w:w="411" w:type="pct"/>
            <w:vAlign w:val="center"/>
          </w:tcPr>
          <w:p w14:paraId="2F889BCB" w14:textId="77777777" w:rsidR="00A66FFA" w:rsidRDefault="00A66FFA" w:rsidP="00D303F2">
            <w:pPr>
              <w:spacing w:line="240" w:lineRule="auto"/>
              <w:ind w:firstLineChars="0" w:firstLine="220"/>
              <w:jc w:val="center"/>
              <w:rPr>
                <w:rFonts w:ascii="Times New Roman" w:eastAsia="宋体" w:hAnsi="Times New Roman" w:cs="Times New Roman"/>
                <w:kern w:val="0"/>
                <w:sz w:val="21"/>
                <w:szCs w:val="22"/>
                <w14:ligatures w14:val="none"/>
              </w:rPr>
            </w:pPr>
            <w:r>
              <w:rPr>
                <w:rFonts w:ascii="Times New Roman" w:eastAsia="宋体" w:hAnsi="Times New Roman" w:cs="Times New Roman"/>
                <w:kern w:val="0"/>
                <w:sz w:val="21"/>
                <w:szCs w:val="22"/>
                <w14:ligatures w14:val="none"/>
              </w:rPr>
              <w:t>0.79</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0.85</w:t>
            </w:r>
          </w:p>
        </w:tc>
        <w:tc>
          <w:tcPr>
            <w:tcW w:w="299" w:type="pct"/>
            <w:vAlign w:val="center"/>
          </w:tcPr>
          <w:p w14:paraId="26CD85E7" w14:textId="77777777" w:rsidR="00A66FFA" w:rsidRDefault="00A66FFA" w:rsidP="00D303F2">
            <w:pPr>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282-338</w:t>
            </w:r>
          </w:p>
        </w:tc>
        <w:tc>
          <w:tcPr>
            <w:tcW w:w="298" w:type="pct"/>
            <w:vAlign w:val="center"/>
          </w:tcPr>
          <w:p w14:paraId="3596A983"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≥45</w:t>
            </w:r>
          </w:p>
        </w:tc>
        <w:tc>
          <w:tcPr>
            <w:tcW w:w="293" w:type="pct"/>
            <w:vAlign w:val="center"/>
          </w:tcPr>
          <w:p w14:paraId="6FF1E213"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86" w:type="pct"/>
            <w:vAlign w:val="center"/>
          </w:tcPr>
          <w:p w14:paraId="2D7AEACA"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199" w:type="pct"/>
            <w:vAlign w:val="center"/>
          </w:tcPr>
          <w:p w14:paraId="5F8E12D6"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低毒</w:t>
            </w:r>
          </w:p>
        </w:tc>
        <w:tc>
          <w:tcPr>
            <w:tcW w:w="254" w:type="pct"/>
            <w:vAlign w:val="center"/>
          </w:tcPr>
          <w:p w14:paraId="68757235"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0.6%-6.5%</w:t>
            </w:r>
          </w:p>
        </w:tc>
        <w:tc>
          <w:tcPr>
            <w:tcW w:w="283" w:type="pct"/>
            <w:vAlign w:val="center"/>
          </w:tcPr>
          <w:p w14:paraId="7CAB4C9E"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乙类</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丙类</w:t>
            </w:r>
          </w:p>
        </w:tc>
        <w:tc>
          <w:tcPr>
            <w:tcW w:w="256" w:type="pct"/>
            <w:vAlign w:val="center"/>
          </w:tcPr>
          <w:p w14:paraId="52A742C8" w14:textId="77777777" w:rsidR="00A66FFA" w:rsidRDefault="00A66FFA" w:rsidP="00D303F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易燃、刺激性</w:t>
            </w:r>
          </w:p>
        </w:tc>
      </w:tr>
      <w:tr w:rsidR="00A66FFA" w14:paraId="5ABF794E" w14:textId="77777777" w:rsidTr="00D303F2">
        <w:trPr>
          <w:trHeight w:val="454"/>
          <w:jc w:val="center"/>
        </w:trPr>
        <w:tc>
          <w:tcPr>
            <w:tcW w:w="5000" w:type="pct"/>
            <w:gridSpan w:val="16"/>
            <w:vAlign w:val="center"/>
          </w:tcPr>
          <w:p w14:paraId="756264BC" w14:textId="77777777" w:rsidR="00A66FFA" w:rsidRDefault="00A66FFA" w:rsidP="00D303F2">
            <w:pPr>
              <w:spacing w:line="240" w:lineRule="auto"/>
              <w:ind w:firstLineChars="0" w:firstLine="0"/>
              <w:jc w:val="left"/>
              <w:rPr>
                <w:rFonts w:ascii="Times New Roman" w:eastAsia="宋体" w:hAnsi="Times New Roman" w:cs="Times New Roman"/>
                <w:color w:val="FF0000"/>
                <w:sz w:val="21"/>
                <w:szCs w:val="21"/>
                <w14:ligatures w14:val="none"/>
              </w:rPr>
            </w:pPr>
            <w:r>
              <w:rPr>
                <w:rFonts w:ascii="Times New Roman" w:eastAsia="宋体" w:hAnsi="Times New Roman" w:cs="Times New Roman" w:hint="eastAsia"/>
                <w:sz w:val="21"/>
                <w:szCs w:val="21"/>
                <w14:ligatures w14:val="none"/>
              </w:rPr>
              <w:t>注：根据《危险货物品名表》（</w:t>
            </w:r>
            <w:r>
              <w:rPr>
                <w:rFonts w:ascii="Times New Roman" w:eastAsia="宋体" w:hAnsi="Times New Roman" w:cs="Times New Roman" w:hint="eastAsia"/>
                <w:sz w:val="21"/>
                <w:szCs w:val="21"/>
                <w14:ligatures w14:val="none"/>
              </w:rPr>
              <w:t>GB 12268-2012</w:t>
            </w:r>
            <w:r>
              <w:rPr>
                <w:rFonts w:ascii="Times New Roman" w:eastAsia="宋体" w:hAnsi="Times New Roman" w:cs="Times New Roman" w:hint="eastAsia"/>
                <w:sz w:val="21"/>
                <w:szCs w:val="21"/>
                <w14:ligatures w14:val="none"/>
              </w:rPr>
              <w:t>）辨识出柴油、车用乙醇汽油的</w:t>
            </w:r>
            <w:r>
              <w:rPr>
                <w:rFonts w:ascii="Times New Roman" w:eastAsia="宋体" w:hAnsi="Times New Roman" w:cs="Times New Roman" w:hint="eastAsia"/>
                <w:sz w:val="21"/>
                <w:szCs w:val="21"/>
                <w14:ligatures w14:val="none"/>
              </w:rPr>
              <w:t>UN</w:t>
            </w:r>
            <w:r>
              <w:rPr>
                <w:rFonts w:ascii="Times New Roman" w:eastAsia="宋体" w:hAnsi="Times New Roman" w:cs="Times New Roman" w:hint="eastAsia"/>
                <w:sz w:val="21"/>
                <w:szCs w:val="21"/>
                <w14:ligatures w14:val="none"/>
              </w:rPr>
              <w:t>编号、包装类别及主要危险性。</w:t>
            </w:r>
          </w:p>
        </w:tc>
      </w:tr>
    </w:tbl>
    <w:p w14:paraId="4F4F53B6" w14:textId="77777777" w:rsidR="00502148" w:rsidRDefault="00502148">
      <w:pPr>
        <w:ind w:firstLineChars="0" w:firstLine="0"/>
        <w:rPr>
          <w:rFonts w:ascii="Times New Roman" w:eastAsia="黑体" w:hAnsi="Times New Roman" w:cs="Times New Roman"/>
          <w:sz w:val="24"/>
          <w:szCs w:val="28"/>
        </w:rPr>
      </w:pPr>
    </w:p>
    <w:p w14:paraId="314B3A5F" w14:textId="77777777" w:rsidR="00502148" w:rsidRDefault="00502148">
      <w:pPr>
        <w:ind w:firstLine="560"/>
        <w:rPr>
          <w:rFonts w:eastAsia="黑体" w:hint="eastAsia"/>
        </w:rPr>
        <w:sectPr w:rsidR="00502148">
          <w:pgSz w:w="16838" w:h="11906" w:orient="landscape"/>
          <w:pgMar w:top="1588" w:right="1418" w:bottom="1134" w:left="1134" w:header="851" w:footer="992" w:gutter="0"/>
          <w:cols w:space="425"/>
          <w:docGrid w:type="lines" w:linePitch="381"/>
        </w:sectPr>
      </w:pPr>
    </w:p>
    <w:p w14:paraId="2E0B0C67"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3" w:name="_Toc15658"/>
      <w:r>
        <w:rPr>
          <w:rFonts w:ascii="Times New Roman" w:eastAsia="楷体" w:hAnsi="Times New Roman" w:cs="宋体"/>
          <w:b/>
          <w:bCs/>
          <w:sz w:val="32"/>
          <w:szCs w:val="28"/>
          <w:lang w:bidi="ar"/>
          <w14:ligatures w14:val="none"/>
        </w:rPr>
        <w:lastRenderedPageBreak/>
        <w:t>3.2</w:t>
      </w:r>
      <w:r>
        <w:rPr>
          <w:rFonts w:ascii="Times New Roman" w:eastAsia="楷体" w:hAnsi="Times New Roman" w:cs="宋体" w:hint="eastAsia"/>
          <w:b/>
          <w:bCs/>
          <w:sz w:val="32"/>
          <w:szCs w:val="28"/>
          <w:lang w:bidi="ar"/>
          <w14:ligatures w14:val="none"/>
        </w:rPr>
        <w:t>储存、经营</w:t>
      </w:r>
      <w:r>
        <w:rPr>
          <w:rFonts w:ascii="Times New Roman" w:eastAsia="楷体" w:hAnsi="Times New Roman" w:cs="宋体"/>
          <w:b/>
          <w:bCs/>
          <w:sz w:val="32"/>
          <w:szCs w:val="28"/>
          <w:lang w:bidi="ar"/>
          <w14:ligatures w14:val="none"/>
        </w:rPr>
        <w:t>过程中的危险、有害因素分析</w:t>
      </w:r>
      <w:bookmarkEnd w:id="53"/>
    </w:p>
    <w:p w14:paraId="78E7A69A"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根据《生产过程危险和有害因素分类与代码》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GB/T 13861-2022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和《企业职工伤亡事故分类》（</w:t>
      </w:r>
      <w:r>
        <w:rPr>
          <w:rFonts w:ascii="Times New Roman" w:eastAsia="宋体" w:hAnsi="Times New Roman" w:cs="宋体"/>
          <w:szCs w:val="28"/>
          <w:lang w:bidi="ar"/>
          <w14:ligatures w14:val="none"/>
        </w:rPr>
        <w:t>GB 6441-1986</w:t>
      </w:r>
      <w:r>
        <w:rPr>
          <w:rFonts w:ascii="Times New Roman" w:eastAsia="宋体" w:hAnsi="Times New Roman" w:cs="宋体"/>
          <w:szCs w:val="28"/>
          <w:lang w:bidi="ar"/>
          <w14:ligatures w14:val="none"/>
        </w:rPr>
        <w:t>）等有关规定，参照同类企业情况，对</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危险、有害因素进行辨识和分析。主要存在的危险、有害因素有：火灾、爆炸、中毒和窒息、触电、车辆伤害、高处坠落、物体打击、坍塌、机械伤害、噪声及振动。危险有害因素详细分析过程见附件</w:t>
      </w: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F3.2</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F3.3</w:t>
      </w:r>
      <w:r>
        <w:rPr>
          <w:rFonts w:ascii="Times New Roman" w:eastAsia="宋体" w:hAnsi="Times New Roman" w:cs="宋体"/>
          <w:szCs w:val="28"/>
          <w:lang w:bidi="ar"/>
          <w14:ligatures w14:val="none"/>
        </w:rPr>
        <w:t>）。</w:t>
      </w:r>
    </w:p>
    <w:p w14:paraId="69EF6451" w14:textId="77777777" w:rsidR="00502148"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的危险、有害因素的分布见下表</w:t>
      </w:r>
      <w:r>
        <w:rPr>
          <w:rFonts w:ascii="Times New Roman" w:eastAsia="宋体" w:hAnsi="Times New Roman" w:cs="宋体"/>
          <w:szCs w:val="28"/>
          <w:lang w:bidi="ar"/>
          <w14:ligatures w14:val="none"/>
        </w:rPr>
        <w:t>3.2-1</w:t>
      </w:r>
      <w:r>
        <w:rPr>
          <w:rFonts w:ascii="Times New Roman" w:eastAsia="宋体" w:hAnsi="Times New Roman" w:cs="宋体"/>
          <w:szCs w:val="28"/>
          <w:lang w:bidi="ar"/>
          <w14:ligatures w14:val="none"/>
        </w:rPr>
        <w:t>。</w:t>
      </w:r>
    </w:p>
    <w:p w14:paraId="1FE879BA" w14:textId="77777777" w:rsidR="00502148"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3.2-1  </w:t>
      </w:r>
      <w:r>
        <w:rPr>
          <w:rFonts w:eastAsia="黑体"/>
          <w:sz w:val="24"/>
        </w:rPr>
        <w:t>危险、有害因素的分布表</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124"/>
        <w:gridCol w:w="7056"/>
      </w:tblGrid>
      <w:tr w:rsidR="00502148" w14:paraId="15391F6D" w14:textId="77777777">
        <w:trPr>
          <w:trHeight w:val="454"/>
          <w:tblHeader/>
          <w:jc w:val="center"/>
        </w:trPr>
        <w:tc>
          <w:tcPr>
            <w:tcW w:w="1157" w:type="pct"/>
            <w:vAlign w:val="center"/>
          </w:tcPr>
          <w:p w14:paraId="3492A98A"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危险、有害因素类型</w:t>
            </w:r>
          </w:p>
        </w:tc>
        <w:tc>
          <w:tcPr>
            <w:tcW w:w="3843" w:type="pct"/>
            <w:vAlign w:val="center"/>
          </w:tcPr>
          <w:p w14:paraId="797EEC38"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分布场所</w:t>
            </w:r>
            <w:r>
              <w:rPr>
                <w:rFonts w:ascii="Times New Roman" w:eastAsia="宋体" w:hAnsi="Times New Roman" w:cs="Times New Roman" w:hint="eastAsia"/>
                <w:sz w:val="21"/>
                <w:szCs w:val="21"/>
                <w14:ligatures w14:val="none"/>
              </w:rPr>
              <w:t>或作业过程</w:t>
            </w:r>
          </w:p>
        </w:tc>
      </w:tr>
      <w:tr w:rsidR="00502148" w14:paraId="13A38B4C" w14:textId="77777777">
        <w:trPr>
          <w:trHeight w:val="454"/>
          <w:jc w:val="center"/>
        </w:trPr>
        <w:tc>
          <w:tcPr>
            <w:tcW w:w="1157" w:type="pct"/>
            <w:vAlign w:val="center"/>
          </w:tcPr>
          <w:p w14:paraId="4B774E7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w:t>
            </w:r>
            <w:r>
              <w:rPr>
                <w:rFonts w:ascii="Times New Roman" w:eastAsia="宋体" w:hAnsi="Times New Roman" w:cs="Times New Roman" w:hint="eastAsia"/>
                <w:sz w:val="21"/>
                <w:szCs w:val="21"/>
                <w14:ligatures w14:val="none"/>
              </w:rPr>
              <w:t>、爆炸</w:t>
            </w:r>
          </w:p>
        </w:tc>
        <w:tc>
          <w:tcPr>
            <w:tcW w:w="3843" w:type="pct"/>
            <w:vAlign w:val="center"/>
          </w:tcPr>
          <w:p w14:paraId="3B0A4270"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埋地储油</w:t>
            </w:r>
            <w:r>
              <w:rPr>
                <w:rFonts w:ascii="Times New Roman" w:eastAsia="宋体" w:hAnsi="Times New Roman" w:cs="Times New Roman"/>
                <w:sz w:val="21"/>
                <w:szCs w:val="21"/>
                <w14:ligatures w14:val="none"/>
              </w:rPr>
              <w:t>罐区</w:t>
            </w:r>
            <w:r>
              <w:rPr>
                <w:rFonts w:ascii="Times New Roman" w:eastAsia="宋体" w:hAnsi="Times New Roman" w:cs="Times New Roman" w:hint="eastAsia"/>
                <w:sz w:val="21"/>
                <w:szCs w:val="21"/>
                <w14:ligatures w14:val="none"/>
              </w:rPr>
              <w:t>、加油作业区、配电柜等</w:t>
            </w:r>
            <w:r>
              <w:rPr>
                <w:rFonts w:ascii="Times New Roman" w:eastAsia="宋体" w:hAnsi="Times New Roman" w:cs="Times New Roman"/>
                <w:sz w:val="21"/>
                <w:szCs w:val="21"/>
                <w14:ligatures w14:val="none"/>
              </w:rPr>
              <w:t>。</w:t>
            </w:r>
          </w:p>
        </w:tc>
      </w:tr>
      <w:tr w:rsidR="00502148" w14:paraId="6B5DB399" w14:textId="77777777">
        <w:trPr>
          <w:trHeight w:val="454"/>
          <w:jc w:val="center"/>
        </w:trPr>
        <w:tc>
          <w:tcPr>
            <w:tcW w:w="1157" w:type="pct"/>
            <w:vAlign w:val="center"/>
          </w:tcPr>
          <w:p w14:paraId="04239677"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中毒和窒息</w:t>
            </w:r>
          </w:p>
        </w:tc>
        <w:tc>
          <w:tcPr>
            <w:tcW w:w="3843" w:type="pct"/>
            <w:vAlign w:val="center"/>
          </w:tcPr>
          <w:p w14:paraId="644FFB04"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储罐内清罐作业、加油作业时油品泄漏、卸油作业时油品泄漏挥发</w:t>
            </w:r>
            <w:r>
              <w:rPr>
                <w:rFonts w:ascii="Times New Roman" w:eastAsia="宋体" w:hAnsi="Times New Roman" w:cs="Times New Roman" w:hint="eastAsia"/>
                <w:sz w:val="21"/>
                <w:szCs w:val="21"/>
                <w14:ligatures w14:val="none"/>
              </w:rPr>
              <w:t>、操作井内进行计量作业时油品泄漏</w:t>
            </w:r>
            <w:r>
              <w:rPr>
                <w:rFonts w:ascii="Times New Roman" w:eastAsia="宋体" w:hAnsi="Times New Roman" w:cs="Times New Roman"/>
                <w:sz w:val="21"/>
                <w:szCs w:val="21"/>
                <w14:ligatures w14:val="none"/>
              </w:rPr>
              <w:t>等。</w:t>
            </w:r>
          </w:p>
        </w:tc>
      </w:tr>
      <w:tr w:rsidR="00502148" w14:paraId="577C3DC6" w14:textId="77777777">
        <w:trPr>
          <w:trHeight w:val="454"/>
          <w:jc w:val="center"/>
        </w:trPr>
        <w:tc>
          <w:tcPr>
            <w:tcW w:w="1157" w:type="pct"/>
            <w:vAlign w:val="center"/>
          </w:tcPr>
          <w:p w14:paraId="04BFEB0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触电</w:t>
            </w:r>
          </w:p>
        </w:tc>
        <w:tc>
          <w:tcPr>
            <w:tcW w:w="3843" w:type="pct"/>
            <w:vAlign w:val="center"/>
          </w:tcPr>
          <w:p w14:paraId="51A8E594"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用电设备、电线、电缆等。</w:t>
            </w:r>
          </w:p>
        </w:tc>
      </w:tr>
      <w:tr w:rsidR="00502148" w14:paraId="67260C9E" w14:textId="77777777">
        <w:trPr>
          <w:trHeight w:val="454"/>
          <w:jc w:val="center"/>
        </w:trPr>
        <w:tc>
          <w:tcPr>
            <w:tcW w:w="1157" w:type="pct"/>
            <w:vAlign w:val="center"/>
          </w:tcPr>
          <w:p w14:paraId="545ABB0E"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车辆伤害</w:t>
            </w:r>
          </w:p>
        </w:tc>
        <w:tc>
          <w:tcPr>
            <w:tcW w:w="3843" w:type="pct"/>
            <w:vAlign w:val="center"/>
          </w:tcPr>
          <w:p w14:paraId="37C6F808"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过往频繁的</w:t>
            </w:r>
            <w:r>
              <w:rPr>
                <w:rFonts w:ascii="Times New Roman" w:eastAsia="宋体" w:hAnsi="Times New Roman" w:cs="Times New Roman" w:hint="eastAsia"/>
                <w:sz w:val="21"/>
                <w:szCs w:val="21"/>
                <w14:ligatures w14:val="none"/>
              </w:rPr>
              <w:t>加油</w:t>
            </w:r>
            <w:r>
              <w:rPr>
                <w:rFonts w:ascii="Times New Roman" w:eastAsia="宋体" w:hAnsi="Times New Roman" w:cs="Times New Roman"/>
                <w:sz w:val="21"/>
                <w:szCs w:val="21"/>
                <w14:ligatures w14:val="none"/>
              </w:rPr>
              <w:t>车辆</w:t>
            </w:r>
            <w:r>
              <w:rPr>
                <w:rFonts w:ascii="Times New Roman" w:eastAsia="宋体" w:hAnsi="Times New Roman" w:cs="Times New Roman" w:hint="eastAsia"/>
                <w:sz w:val="21"/>
                <w:szCs w:val="21"/>
                <w14:ligatures w14:val="none"/>
              </w:rPr>
              <w:t>、卸油区进行卸油作业时</w:t>
            </w:r>
            <w:r>
              <w:rPr>
                <w:rFonts w:ascii="Times New Roman" w:eastAsia="宋体" w:hAnsi="Times New Roman" w:cs="Times New Roman"/>
                <w:sz w:val="21"/>
                <w:szCs w:val="21"/>
                <w14:ligatures w14:val="none"/>
              </w:rPr>
              <w:t>。</w:t>
            </w:r>
          </w:p>
        </w:tc>
      </w:tr>
      <w:tr w:rsidR="00502148" w14:paraId="3E114A0A" w14:textId="77777777">
        <w:trPr>
          <w:trHeight w:val="454"/>
          <w:jc w:val="center"/>
        </w:trPr>
        <w:tc>
          <w:tcPr>
            <w:tcW w:w="1157" w:type="pct"/>
            <w:vAlign w:val="center"/>
          </w:tcPr>
          <w:p w14:paraId="39BEEEB4"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高处坠落</w:t>
            </w:r>
          </w:p>
        </w:tc>
        <w:tc>
          <w:tcPr>
            <w:tcW w:w="3843" w:type="pct"/>
            <w:vAlign w:val="center"/>
          </w:tcPr>
          <w:p w14:paraId="6CD8390B"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罩棚等高处作业场所。</w:t>
            </w:r>
          </w:p>
        </w:tc>
      </w:tr>
      <w:tr w:rsidR="00502148" w14:paraId="1415F0F2" w14:textId="77777777">
        <w:trPr>
          <w:trHeight w:val="454"/>
          <w:jc w:val="center"/>
        </w:trPr>
        <w:tc>
          <w:tcPr>
            <w:tcW w:w="1157" w:type="pct"/>
            <w:vAlign w:val="center"/>
          </w:tcPr>
          <w:p w14:paraId="385242F7"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物体打击</w:t>
            </w:r>
          </w:p>
        </w:tc>
        <w:tc>
          <w:tcPr>
            <w:tcW w:w="3843" w:type="pct"/>
            <w:vAlign w:val="center"/>
          </w:tcPr>
          <w:p w14:paraId="46DFD5B2" w14:textId="77777777" w:rsidR="00502148"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卸油区作业过程、</w:t>
            </w:r>
            <w:r>
              <w:rPr>
                <w:rFonts w:ascii="Times New Roman" w:eastAsia="宋体" w:hAnsi="Times New Roman" w:cs="Times New Roman"/>
                <w:sz w:val="21"/>
                <w:szCs w:val="21"/>
                <w14:ligatures w14:val="none"/>
              </w:rPr>
              <w:t>罩棚等高处作业场所维修处。</w:t>
            </w:r>
          </w:p>
        </w:tc>
      </w:tr>
      <w:tr w:rsidR="00502148" w14:paraId="525A02AB" w14:textId="77777777">
        <w:trPr>
          <w:trHeight w:val="454"/>
          <w:jc w:val="center"/>
        </w:trPr>
        <w:tc>
          <w:tcPr>
            <w:tcW w:w="1157" w:type="pct"/>
            <w:vAlign w:val="center"/>
          </w:tcPr>
          <w:p w14:paraId="28C9413E"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坍塌</w:t>
            </w:r>
          </w:p>
        </w:tc>
        <w:tc>
          <w:tcPr>
            <w:tcW w:w="3843" w:type="pct"/>
            <w:vAlign w:val="center"/>
          </w:tcPr>
          <w:p w14:paraId="4BD8AC62" w14:textId="77777777" w:rsidR="00502148"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罩棚等建（构）筑物。</w:t>
            </w:r>
          </w:p>
        </w:tc>
      </w:tr>
      <w:tr w:rsidR="00502148" w14:paraId="144B074F" w14:textId="77777777">
        <w:trPr>
          <w:trHeight w:val="454"/>
          <w:jc w:val="center"/>
        </w:trPr>
        <w:tc>
          <w:tcPr>
            <w:tcW w:w="1157" w:type="pct"/>
            <w:vAlign w:val="center"/>
          </w:tcPr>
          <w:p w14:paraId="6225368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机械伤害</w:t>
            </w:r>
          </w:p>
        </w:tc>
        <w:tc>
          <w:tcPr>
            <w:tcW w:w="3843" w:type="pct"/>
            <w:vAlign w:val="center"/>
          </w:tcPr>
          <w:p w14:paraId="48A8F1A4" w14:textId="77777777" w:rsidR="00502148"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加油机、油泵等操作不当、</w:t>
            </w:r>
            <w:r>
              <w:rPr>
                <w:rFonts w:ascii="Times New Roman" w:eastAsia="宋体" w:hAnsi="Times New Roman" w:cs="Times New Roman"/>
                <w:sz w:val="21"/>
                <w:szCs w:val="21"/>
                <w14:ligatures w14:val="none"/>
              </w:rPr>
              <w:t>检维修过程中使用机械设备的场所。</w:t>
            </w:r>
          </w:p>
        </w:tc>
      </w:tr>
      <w:tr w:rsidR="00502148" w14:paraId="70BE9A90" w14:textId="77777777">
        <w:trPr>
          <w:trHeight w:val="454"/>
          <w:jc w:val="center"/>
        </w:trPr>
        <w:tc>
          <w:tcPr>
            <w:tcW w:w="1157" w:type="pct"/>
            <w:vAlign w:val="center"/>
          </w:tcPr>
          <w:p w14:paraId="1D64164D"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噪声及振动</w:t>
            </w:r>
          </w:p>
        </w:tc>
        <w:tc>
          <w:tcPr>
            <w:tcW w:w="3843" w:type="pct"/>
            <w:vAlign w:val="center"/>
          </w:tcPr>
          <w:p w14:paraId="23B84F15" w14:textId="77777777" w:rsidR="00502148"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卸油、加油场所。</w:t>
            </w:r>
          </w:p>
        </w:tc>
      </w:tr>
    </w:tbl>
    <w:p w14:paraId="5B3C8085"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4" w:name="_Toc4543"/>
      <w:bookmarkStart w:id="55" w:name="_Toc18025"/>
      <w:bookmarkStart w:id="56" w:name="_Toc23444"/>
      <w:r>
        <w:rPr>
          <w:rFonts w:ascii="Times New Roman" w:eastAsia="楷体" w:hAnsi="Times New Roman" w:cs="宋体"/>
          <w:b/>
          <w:bCs/>
          <w:sz w:val="32"/>
          <w:szCs w:val="28"/>
          <w:lang w:bidi="ar"/>
          <w14:ligatures w14:val="none"/>
        </w:rPr>
        <w:t>3.3</w:t>
      </w:r>
      <w:bookmarkEnd w:id="54"/>
      <w:r>
        <w:rPr>
          <w:rFonts w:ascii="Times New Roman" w:eastAsia="楷体" w:hAnsi="Times New Roman" w:cs="宋体" w:hint="eastAsia"/>
          <w:b/>
          <w:bCs/>
          <w:sz w:val="32"/>
          <w:szCs w:val="28"/>
          <w:lang w:bidi="ar"/>
          <w14:ligatures w14:val="none"/>
        </w:rPr>
        <w:t>“</w:t>
      </w:r>
      <w:r>
        <w:rPr>
          <w:rFonts w:ascii="Times New Roman" w:eastAsia="楷体" w:hAnsi="Times New Roman" w:cs="宋体"/>
          <w:b/>
          <w:bCs/>
          <w:sz w:val="32"/>
          <w:szCs w:val="28"/>
          <w:lang w:bidi="ar"/>
          <w14:ligatures w14:val="none"/>
        </w:rPr>
        <w:t>两重点、一重大</w:t>
      </w:r>
      <w:r>
        <w:rPr>
          <w:rFonts w:ascii="Times New Roman" w:eastAsia="楷体" w:hAnsi="Times New Roman" w:cs="宋体" w:hint="eastAsia"/>
          <w:b/>
          <w:bCs/>
          <w:sz w:val="32"/>
          <w:szCs w:val="28"/>
          <w:lang w:bidi="ar"/>
          <w14:ligatures w14:val="none"/>
        </w:rPr>
        <w:t>”</w:t>
      </w:r>
      <w:r>
        <w:rPr>
          <w:rFonts w:ascii="Times New Roman" w:eastAsia="楷体" w:hAnsi="Times New Roman" w:cs="宋体"/>
          <w:b/>
          <w:bCs/>
          <w:sz w:val="32"/>
          <w:szCs w:val="28"/>
          <w:lang w:bidi="ar"/>
          <w14:ligatures w14:val="none"/>
        </w:rPr>
        <w:t>情况</w:t>
      </w:r>
      <w:bookmarkEnd w:id="55"/>
      <w:bookmarkEnd w:id="56"/>
    </w:p>
    <w:p w14:paraId="3B1B520C"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3.3.1</w:t>
      </w:r>
      <w:r>
        <w:rPr>
          <w:rFonts w:ascii="Times New Roman" w:eastAsia="黑体" w:hAnsi="Times New Roman" w:cs="Times New Roman"/>
          <w:b/>
          <w:bCs/>
          <w:kern w:val="0"/>
          <w:szCs w:val="20"/>
          <w14:ligatures w14:val="none"/>
        </w:rPr>
        <w:t>重点监管危险化学品情况及其它重要物质辨识结果</w:t>
      </w:r>
    </w:p>
    <w:p w14:paraId="22276722" w14:textId="77777777" w:rsidR="00502148" w:rsidRDefault="00000000">
      <w:pPr>
        <w:ind w:firstLine="560"/>
        <w:rPr>
          <w:rFonts w:ascii="Times New Roman" w:eastAsia="宋体" w:hAnsi="Times New Roman" w:cs="Times New Roman"/>
          <w:szCs w:val="28"/>
          <w:lang w:bidi="en-US"/>
          <w14:ligatures w14:val="none"/>
        </w:rPr>
      </w:pPr>
      <w:r>
        <w:rPr>
          <w:rFonts w:ascii="Times New Roman" w:eastAsia="宋体" w:hAnsi="Times New Roman" w:cs="Times New Roman"/>
          <w:szCs w:val="28"/>
          <w:lang w:bidi="en-US"/>
          <w14:ligatures w14:val="none"/>
        </w:rPr>
        <w:t>根据《国家安全监管总局关于公布首批重点监管的危险化学品名录的通知》（安监总管三</w:t>
      </w:r>
      <w:r>
        <w:rPr>
          <w:rFonts w:ascii="Times New Roman" w:eastAsia="宋体" w:hAnsi="Times New Roman" w:cs="Times New Roman"/>
          <w:szCs w:val="28"/>
          <w:lang w:bidi="en-US"/>
          <w14:ligatures w14:val="none"/>
        </w:rPr>
        <w:t>[2011]95</w:t>
      </w:r>
      <w:r>
        <w:rPr>
          <w:rFonts w:ascii="Times New Roman" w:eastAsia="宋体" w:hAnsi="Times New Roman" w:cs="Times New Roman"/>
          <w:szCs w:val="28"/>
          <w:lang w:bidi="en-US"/>
          <w14:ligatures w14:val="none"/>
        </w:rPr>
        <w:t>号）和《国家安全监管总局关于公布第二批重点监管危险化学品名录的通知》（安监总管三</w:t>
      </w:r>
      <w:r>
        <w:rPr>
          <w:rFonts w:ascii="Times New Roman" w:eastAsia="宋体" w:hAnsi="Times New Roman" w:cs="Times New Roman"/>
          <w:szCs w:val="28"/>
          <w:lang w:bidi="en-US"/>
          <w14:ligatures w14:val="none"/>
        </w:rPr>
        <w:t>[2013]12</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车用乙醇汽油为国家</w:t>
      </w:r>
      <w:r>
        <w:rPr>
          <w:rFonts w:ascii="Times New Roman" w:eastAsia="宋体" w:hAnsi="Times New Roman" w:cs="Times New Roman"/>
          <w:szCs w:val="20"/>
          <w14:ligatures w14:val="none"/>
        </w:rPr>
        <w:lastRenderedPageBreak/>
        <w:t>重点监</w:t>
      </w:r>
      <w:r>
        <w:rPr>
          <w:rFonts w:ascii="Times New Roman" w:eastAsia="宋体" w:hAnsi="Times New Roman" w:cs="Times New Roman"/>
          <w:szCs w:val="28"/>
          <w:lang w:bidi="en-US"/>
          <w14:ligatures w14:val="none"/>
        </w:rPr>
        <w:t>管的危险化学品。</w:t>
      </w:r>
    </w:p>
    <w:p w14:paraId="5CAC55D9"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lang w:bidi="en-US"/>
          <w14:ligatures w14:val="none"/>
        </w:rPr>
        <w:t>根据《特别管控危险化学品目录（第一版）》（应急管理部工业和信息化部</w:t>
      </w:r>
      <w:r>
        <w:rPr>
          <w:rFonts w:ascii="Times New Roman" w:eastAsia="宋体" w:hAnsi="Times New Roman" w:cs="Times New Roman"/>
          <w:szCs w:val="28"/>
          <w:lang w:bidi="en-US"/>
          <w14:ligatures w14:val="none"/>
        </w:rPr>
        <w:t xml:space="preserve"> </w:t>
      </w:r>
      <w:r>
        <w:rPr>
          <w:rFonts w:ascii="Times New Roman" w:eastAsia="宋体" w:hAnsi="Times New Roman" w:cs="Times New Roman"/>
          <w:szCs w:val="28"/>
          <w:lang w:bidi="en-US"/>
          <w14:ligatures w14:val="none"/>
        </w:rPr>
        <w:t>公安部</w:t>
      </w:r>
      <w:r>
        <w:rPr>
          <w:rFonts w:ascii="Times New Roman" w:eastAsia="宋体" w:hAnsi="Times New Roman" w:cs="Times New Roman"/>
          <w:szCs w:val="28"/>
          <w:lang w:bidi="en-US"/>
          <w14:ligatures w14:val="none"/>
        </w:rPr>
        <w:t xml:space="preserve"> </w:t>
      </w:r>
      <w:r>
        <w:rPr>
          <w:rFonts w:ascii="Times New Roman" w:eastAsia="宋体" w:hAnsi="Times New Roman" w:cs="Times New Roman"/>
          <w:szCs w:val="28"/>
          <w:lang w:bidi="en-US"/>
          <w14:ligatures w14:val="none"/>
        </w:rPr>
        <w:t>交通运输部</w:t>
      </w:r>
      <w:r>
        <w:rPr>
          <w:rFonts w:ascii="Times New Roman" w:eastAsia="宋体" w:hAnsi="Times New Roman" w:cs="Times New Roman"/>
          <w:szCs w:val="28"/>
          <w:lang w:bidi="en-US"/>
          <w14:ligatures w14:val="none"/>
        </w:rPr>
        <w:t>[2020]</w:t>
      </w:r>
      <w:r>
        <w:rPr>
          <w:rFonts w:ascii="Times New Roman" w:eastAsia="宋体" w:hAnsi="Times New Roman" w:cs="Times New Roman"/>
          <w:szCs w:val="28"/>
          <w:lang w:bidi="en-US"/>
          <w14:ligatures w14:val="none"/>
        </w:rPr>
        <w:t>第</w:t>
      </w:r>
      <w:r>
        <w:rPr>
          <w:rFonts w:ascii="Times New Roman" w:eastAsia="宋体" w:hAnsi="Times New Roman" w:cs="Times New Roman"/>
          <w:szCs w:val="28"/>
          <w:lang w:bidi="en-US"/>
          <w14:ligatures w14:val="none"/>
        </w:rPr>
        <w:t>3</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车用乙醇汽油</w:t>
      </w:r>
      <w:r>
        <w:rPr>
          <w:rFonts w:ascii="Times New Roman" w:eastAsia="宋体" w:hAnsi="Times New Roman" w:cs="Times New Roman"/>
          <w:szCs w:val="28"/>
          <w:lang w:bidi="en-US"/>
          <w14:ligatures w14:val="none"/>
        </w:rPr>
        <w:t>是特别管控危险化学品。</w:t>
      </w:r>
    </w:p>
    <w:p w14:paraId="5A663F25" w14:textId="77777777" w:rsidR="00502148" w:rsidRDefault="00000000">
      <w:pPr>
        <w:ind w:firstLine="560"/>
        <w:rPr>
          <w:rFonts w:ascii="Times New Roman" w:eastAsia="宋体" w:hAnsi="Times New Roman" w:cs="Times New Roman"/>
          <w:szCs w:val="28"/>
          <w:lang w:bidi="en-US"/>
          <w14:ligatures w14:val="none"/>
        </w:rPr>
      </w:pPr>
      <w:r>
        <w:rPr>
          <w:rFonts w:ascii="Times New Roman" w:eastAsia="宋体" w:hAnsi="Times New Roman" w:cs="Times New Roman"/>
          <w:szCs w:val="28"/>
          <w:lang w:bidi="en-US"/>
          <w14:ligatures w14:val="none"/>
        </w:rPr>
        <w:t>根据《易制爆危险化学品名录（</w:t>
      </w:r>
      <w:r>
        <w:rPr>
          <w:rFonts w:ascii="Times New Roman" w:eastAsia="宋体" w:hAnsi="Times New Roman" w:cs="Times New Roman"/>
          <w:szCs w:val="28"/>
          <w:lang w:bidi="en-US"/>
          <w14:ligatures w14:val="none"/>
        </w:rPr>
        <w:t>2017</w:t>
      </w:r>
      <w:r>
        <w:rPr>
          <w:rFonts w:ascii="Times New Roman" w:eastAsia="宋体" w:hAnsi="Times New Roman" w:cs="Times New Roman"/>
          <w:szCs w:val="28"/>
          <w:lang w:bidi="en-US"/>
          <w14:ligatures w14:val="none"/>
        </w:rPr>
        <w:t>年版）》（中华人民共和国公安部公告，</w:t>
      </w:r>
      <w:r>
        <w:rPr>
          <w:rFonts w:ascii="Times New Roman" w:eastAsia="宋体" w:hAnsi="Times New Roman" w:cs="Times New Roman"/>
          <w:szCs w:val="28"/>
          <w:lang w:bidi="en-US"/>
          <w14:ligatures w14:val="none"/>
        </w:rPr>
        <w:t>2017</w:t>
      </w:r>
      <w:r>
        <w:rPr>
          <w:rFonts w:ascii="Times New Roman" w:eastAsia="宋体" w:hAnsi="Times New Roman" w:cs="Times New Roman"/>
          <w:szCs w:val="28"/>
          <w:lang w:bidi="en-US"/>
          <w14:ligatures w14:val="none"/>
        </w:rPr>
        <w:t>年</w:t>
      </w:r>
      <w:r>
        <w:rPr>
          <w:rFonts w:ascii="Times New Roman" w:eastAsia="宋体" w:hAnsi="Times New Roman" w:cs="Times New Roman"/>
          <w:szCs w:val="28"/>
          <w:lang w:bidi="en-US"/>
          <w14:ligatures w14:val="none"/>
        </w:rPr>
        <w:t>05</w:t>
      </w:r>
      <w:r>
        <w:rPr>
          <w:rFonts w:ascii="Times New Roman" w:eastAsia="宋体" w:hAnsi="Times New Roman" w:cs="Times New Roman"/>
          <w:szCs w:val="28"/>
          <w:lang w:bidi="en-US"/>
          <w14:ligatures w14:val="none"/>
        </w:rPr>
        <w:t>月</w:t>
      </w:r>
      <w:r>
        <w:rPr>
          <w:rFonts w:ascii="Times New Roman" w:eastAsia="宋体" w:hAnsi="Times New Roman" w:cs="Times New Roman"/>
          <w:szCs w:val="28"/>
          <w:lang w:bidi="en-US"/>
          <w14:ligatures w14:val="none"/>
        </w:rPr>
        <w:t>11</w:t>
      </w:r>
      <w:r>
        <w:rPr>
          <w:rFonts w:ascii="Times New Roman" w:eastAsia="宋体" w:hAnsi="Times New Roman" w:cs="Times New Roman"/>
          <w:szCs w:val="28"/>
          <w:lang w:bidi="en-US"/>
          <w14:ligatures w14:val="none"/>
        </w:rPr>
        <w:t>日），</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lang w:bidi="en-US"/>
          <w14:ligatures w14:val="none"/>
        </w:rPr>
        <w:t>未涉及易制爆危险化学品。</w:t>
      </w:r>
    </w:p>
    <w:p w14:paraId="1F915C10"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根据《</w:t>
      </w:r>
      <w:r>
        <w:rPr>
          <w:rFonts w:ascii="Times New Roman" w:eastAsia="宋体" w:hAnsi="Times New Roman" w:cs="Times New Roman"/>
          <w:bCs/>
          <w:szCs w:val="28"/>
          <w14:ligatures w14:val="none"/>
        </w:rPr>
        <w:t>易制毒化学品的分类和品种目录</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2021</w:t>
      </w:r>
      <w:r>
        <w:rPr>
          <w:rFonts w:ascii="Times New Roman" w:eastAsia="宋体" w:hAnsi="Times New Roman" w:cs="Times New Roman"/>
          <w:szCs w:val="20"/>
          <w14:ligatures w14:val="none"/>
        </w:rPr>
        <w:t>年版）》（国办函</w:t>
      </w:r>
      <w:r>
        <w:rPr>
          <w:rFonts w:ascii="Times New Roman" w:eastAsia="宋体" w:hAnsi="Times New Roman" w:cs="Times New Roman"/>
          <w:szCs w:val="28"/>
          <w:lang w:bidi="en-US"/>
          <w14:ligatures w14:val="none"/>
        </w:rPr>
        <w:t>[2021]58</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）的规定，</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lang w:bidi="en-US"/>
          <w14:ligatures w14:val="none"/>
        </w:rPr>
        <w:t>未涉及易制毒危险化学品。</w:t>
      </w:r>
    </w:p>
    <w:p w14:paraId="2685A1B0"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3.3.2</w:t>
      </w:r>
      <w:r>
        <w:rPr>
          <w:rFonts w:ascii="Times New Roman" w:eastAsia="黑体" w:hAnsi="Times New Roman" w:cs="Times New Roman"/>
          <w:b/>
          <w:bCs/>
          <w:kern w:val="0"/>
          <w:szCs w:val="20"/>
          <w14:ligatures w14:val="none"/>
        </w:rPr>
        <w:t>重点监管危险化工工艺情况</w:t>
      </w:r>
    </w:p>
    <w:p w14:paraId="6F98A88A"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0"/>
          <w14:ligatures w14:val="none"/>
        </w:rPr>
        <w:t>未涉及重点监管危险化工工艺。</w:t>
      </w:r>
    </w:p>
    <w:p w14:paraId="4E869A89"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3.3.3</w:t>
      </w:r>
      <w:r>
        <w:rPr>
          <w:rFonts w:ascii="Times New Roman" w:eastAsia="黑体" w:hAnsi="Times New Roman" w:cs="Times New Roman"/>
          <w:b/>
          <w:bCs/>
          <w:kern w:val="0"/>
          <w:szCs w:val="20"/>
          <w14:ligatures w14:val="none"/>
        </w:rPr>
        <w:t>重大危险源情况</w:t>
      </w:r>
    </w:p>
    <w:p w14:paraId="1CE362E5" w14:textId="77777777" w:rsidR="00502148" w:rsidRDefault="00000000">
      <w:pPr>
        <w:ind w:firstLine="560"/>
        <w:rPr>
          <w:rFonts w:ascii="Times New Roman" w:eastAsia="宋体" w:hAnsi="Times New Roman" w:cs="Times New Roman"/>
          <w:szCs w:val="28"/>
          <w:highlight w:val="yellow"/>
          <w14:ligatures w14:val="none"/>
        </w:rPr>
      </w:pPr>
      <w:r>
        <w:rPr>
          <w:rFonts w:ascii="Times New Roman" w:eastAsia="宋体" w:hAnsi="Times New Roman" w:cs="Times New Roman"/>
          <w:szCs w:val="28"/>
          <w14:ligatures w14:val="none"/>
        </w:rPr>
        <w:t>根据《危险化学品重大危险源辨识》（</w:t>
      </w:r>
      <w:r>
        <w:rPr>
          <w:rFonts w:ascii="Times New Roman" w:eastAsia="宋体" w:hAnsi="Times New Roman" w:cs="Times New Roman"/>
          <w:szCs w:val="28"/>
          <w14:ligatures w14:val="none"/>
        </w:rPr>
        <w:t>GB 18218-2018</w:t>
      </w:r>
      <w:r>
        <w:rPr>
          <w:rFonts w:ascii="Times New Roman" w:eastAsia="宋体" w:hAnsi="Times New Roman" w:cs="Times New Roman"/>
          <w:szCs w:val="28"/>
          <w14:ligatures w14:val="none"/>
        </w:rPr>
        <w:t>）辨识，</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14:ligatures w14:val="none"/>
        </w:rPr>
        <w:t>生产单元、储存单元均未构成危险化学品重大危险源。具体辨识过程详见附件</w:t>
      </w:r>
      <w:r>
        <w:rPr>
          <w:rFonts w:ascii="Times New Roman" w:eastAsia="宋体" w:hAnsi="Times New Roman" w:cs="Times New Roman"/>
          <w:szCs w:val="28"/>
          <w14:ligatures w14:val="none"/>
        </w:rPr>
        <w:t>F3.4</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br w:type="page"/>
      </w:r>
    </w:p>
    <w:p w14:paraId="5A55BEF6" w14:textId="77777777" w:rsidR="00502148"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57" w:name="_Toc10853"/>
      <w:r>
        <w:rPr>
          <w:rFonts w:ascii="Times New Roman" w:eastAsia="黑体" w:hAnsi="Times New Roman" w:cs="宋体"/>
          <w:b/>
          <w:bCs/>
          <w:sz w:val="32"/>
          <w:szCs w:val="28"/>
          <w:lang w:bidi="ar"/>
          <w14:ligatures w14:val="none"/>
        </w:rPr>
        <w:lastRenderedPageBreak/>
        <w:t>4</w:t>
      </w:r>
      <w:r>
        <w:rPr>
          <w:rFonts w:ascii="Times New Roman" w:eastAsia="黑体" w:hAnsi="Times New Roman" w:cs="宋体"/>
          <w:b/>
          <w:bCs/>
          <w:sz w:val="32"/>
          <w:szCs w:val="28"/>
          <w:lang w:bidi="ar"/>
          <w14:ligatures w14:val="none"/>
        </w:rPr>
        <w:t>评价单元的划分与评价方法的选择</w:t>
      </w:r>
      <w:bookmarkEnd w:id="57"/>
    </w:p>
    <w:p w14:paraId="268BC00E"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8" w:name="_Toc3255"/>
      <w:r>
        <w:rPr>
          <w:rFonts w:ascii="Times New Roman" w:eastAsia="楷体" w:hAnsi="Times New Roman" w:cs="宋体"/>
          <w:b/>
          <w:bCs/>
          <w:sz w:val="32"/>
          <w:szCs w:val="28"/>
          <w:lang w:bidi="ar"/>
          <w14:ligatures w14:val="none"/>
        </w:rPr>
        <w:t>4.1</w:t>
      </w:r>
      <w:r>
        <w:rPr>
          <w:rFonts w:ascii="Times New Roman" w:eastAsia="楷体" w:hAnsi="Times New Roman" w:cs="宋体"/>
          <w:b/>
          <w:bCs/>
          <w:sz w:val="32"/>
          <w:szCs w:val="28"/>
          <w:lang w:bidi="ar"/>
          <w14:ligatures w14:val="none"/>
        </w:rPr>
        <w:t>评价单元的划分</w:t>
      </w:r>
      <w:bookmarkEnd w:id="58"/>
    </w:p>
    <w:p w14:paraId="5A53A703"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评价单元的划分是为评价目标和评价方法服务的。为便于评价工作的进行，提高评价工作的准确性，评价单元一般根据生产工艺装置、物料的特点和特征与危险、有害因素的类别、分布等因素进行划分，还可以按评价的需求将一个评价单元再划分为若干子评价单元。</w:t>
      </w:r>
    </w:p>
    <w:p w14:paraId="563AF455"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根据本项目的实际情况，将评价对象划分成以下</w:t>
      </w:r>
      <w:r>
        <w:rPr>
          <w:rFonts w:ascii="Times New Roman" w:eastAsia="宋体" w:hAnsi="Times New Roman" w:cs="Times New Roman"/>
          <w:szCs w:val="28"/>
          <w14:ligatures w14:val="none"/>
        </w:rPr>
        <w:t>5</w:t>
      </w:r>
      <w:r>
        <w:rPr>
          <w:rFonts w:ascii="Times New Roman" w:eastAsia="宋体" w:hAnsi="Times New Roman" w:cs="Times New Roman"/>
          <w:szCs w:val="28"/>
          <w14:ligatures w14:val="none"/>
        </w:rPr>
        <w:t>个评价单元：选址及总平面布置、加油工艺设备及设施、公用工程及辅助设施以及安全管理、重大生产安全事故隐患判定单元。</w:t>
      </w:r>
    </w:p>
    <w:p w14:paraId="2EBC3D58"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9" w:name="_Toc21156"/>
      <w:r>
        <w:rPr>
          <w:rFonts w:ascii="Times New Roman" w:eastAsia="楷体" w:hAnsi="Times New Roman" w:cs="宋体"/>
          <w:b/>
          <w:bCs/>
          <w:sz w:val="32"/>
          <w:szCs w:val="28"/>
          <w:lang w:bidi="ar"/>
          <w14:ligatures w14:val="none"/>
        </w:rPr>
        <w:t>4.2</w:t>
      </w:r>
      <w:r>
        <w:rPr>
          <w:rFonts w:ascii="Times New Roman" w:eastAsia="楷体" w:hAnsi="Times New Roman" w:cs="宋体"/>
          <w:b/>
          <w:bCs/>
          <w:sz w:val="32"/>
          <w:szCs w:val="28"/>
          <w:lang w:bidi="ar"/>
          <w14:ligatures w14:val="none"/>
        </w:rPr>
        <w:t>安全评价方法的选择</w:t>
      </w:r>
      <w:bookmarkEnd w:id="59"/>
    </w:p>
    <w:p w14:paraId="068A11FE"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4.2.1</w:t>
      </w:r>
      <w:r>
        <w:rPr>
          <w:rFonts w:ascii="Times New Roman" w:eastAsia="黑体" w:hAnsi="Times New Roman" w:cs="Times New Roman"/>
          <w:b/>
          <w:bCs/>
          <w:kern w:val="0"/>
          <w:szCs w:val="20"/>
          <w14:ligatures w14:val="none"/>
        </w:rPr>
        <w:t>采用的安全评价方法</w:t>
      </w:r>
    </w:p>
    <w:p w14:paraId="79E0F983"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表</w:t>
      </w:r>
      <w:r>
        <w:rPr>
          <w:rFonts w:ascii="Times New Roman" w:eastAsia="黑体" w:hAnsi="Times New Roman"/>
          <w:sz w:val="24"/>
        </w:rPr>
        <w:t xml:space="preserve">4.2-1  </w:t>
      </w:r>
      <w:r>
        <w:rPr>
          <w:rFonts w:ascii="Times New Roman" w:eastAsia="黑体" w:hAnsi="Times New Roman"/>
          <w:sz w:val="24"/>
        </w:rPr>
        <w:t>各单元评价方法的选择</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542"/>
        <w:gridCol w:w="5638"/>
      </w:tblGrid>
      <w:tr w:rsidR="00502148" w14:paraId="63CB76F1" w14:textId="77777777">
        <w:trPr>
          <w:trHeight w:val="503"/>
          <w:jc w:val="center"/>
        </w:trPr>
        <w:tc>
          <w:tcPr>
            <w:tcW w:w="1929" w:type="pct"/>
            <w:vAlign w:val="center"/>
          </w:tcPr>
          <w:p w14:paraId="46D1184A"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单元</w:t>
            </w:r>
          </w:p>
        </w:tc>
        <w:tc>
          <w:tcPr>
            <w:tcW w:w="3071" w:type="pct"/>
            <w:vAlign w:val="center"/>
          </w:tcPr>
          <w:p w14:paraId="5E9DB8E8"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评价方法</w:t>
            </w:r>
          </w:p>
        </w:tc>
      </w:tr>
      <w:tr w:rsidR="00502148" w14:paraId="31433470" w14:textId="77777777">
        <w:trPr>
          <w:trHeight w:val="454"/>
          <w:jc w:val="center"/>
        </w:trPr>
        <w:tc>
          <w:tcPr>
            <w:tcW w:w="1929" w:type="pct"/>
            <w:vAlign w:val="center"/>
          </w:tcPr>
          <w:p w14:paraId="0F9EF384"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选址及总平面布置单元</w:t>
            </w:r>
          </w:p>
        </w:tc>
        <w:tc>
          <w:tcPr>
            <w:tcW w:w="3071" w:type="pct"/>
            <w:vAlign w:val="center"/>
          </w:tcPr>
          <w:p w14:paraId="5FF0BB0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502148" w14:paraId="16AA030D" w14:textId="77777777">
        <w:trPr>
          <w:trHeight w:val="454"/>
          <w:jc w:val="center"/>
        </w:trPr>
        <w:tc>
          <w:tcPr>
            <w:tcW w:w="1929" w:type="pct"/>
            <w:vAlign w:val="center"/>
          </w:tcPr>
          <w:p w14:paraId="7A3F7810"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加油</w:t>
            </w:r>
            <w:r>
              <w:rPr>
                <w:rFonts w:ascii="Times New Roman" w:eastAsia="宋体" w:hAnsi="Times New Roman" w:cs="Times New Roman"/>
                <w:sz w:val="21"/>
                <w:szCs w:val="21"/>
                <w14:ligatures w14:val="none"/>
              </w:rPr>
              <w:t>工艺及设施单元</w:t>
            </w:r>
          </w:p>
        </w:tc>
        <w:tc>
          <w:tcPr>
            <w:tcW w:w="3071" w:type="pct"/>
            <w:vAlign w:val="center"/>
          </w:tcPr>
          <w:p w14:paraId="6FEDF3A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r>
              <w:rPr>
                <w:rFonts w:ascii="Times New Roman" w:eastAsia="宋体" w:hAnsi="Times New Roman" w:cs="Times New Roman" w:hint="eastAsia"/>
                <w:sz w:val="21"/>
                <w:szCs w:val="21"/>
                <w14:ligatures w14:val="none"/>
              </w:rPr>
              <w:t>作业条件危险性分析</w:t>
            </w:r>
            <w:r>
              <w:rPr>
                <w:rFonts w:ascii="Times New Roman" w:eastAsia="宋体" w:hAnsi="Times New Roman" w:cs="Times New Roman"/>
                <w:sz w:val="21"/>
                <w:szCs w:val="21"/>
                <w14:ligatures w14:val="none"/>
              </w:rPr>
              <w:t>法、</w:t>
            </w:r>
            <w:r>
              <w:rPr>
                <w:rFonts w:ascii="Times New Roman" w:eastAsia="宋体" w:hAnsi="Times New Roman" w:cs="Times New Roman" w:hint="eastAsia"/>
                <w:sz w:val="21"/>
                <w:szCs w:val="21"/>
                <w14:ligatures w14:val="none"/>
              </w:rPr>
              <w:t>G</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M</w:t>
            </w:r>
            <w:r>
              <w:rPr>
                <w:rFonts w:ascii="Times New Roman" w:eastAsia="宋体" w:hAnsi="Times New Roman" w:cs="Times New Roman" w:hint="eastAsia"/>
                <w:sz w:val="21"/>
                <w:szCs w:val="21"/>
                <w14:ligatures w14:val="none"/>
              </w:rPr>
              <w:t>莱克霍夫分析</w:t>
            </w:r>
            <w:r>
              <w:rPr>
                <w:rFonts w:ascii="Times New Roman" w:eastAsia="宋体" w:hAnsi="Times New Roman" w:cs="Times New Roman"/>
                <w:sz w:val="21"/>
                <w:szCs w:val="21"/>
                <w14:ligatures w14:val="none"/>
              </w:rPr>
              <w:t>法</w:t>
            </w:r>
          </w:p>
        </w:tc>
      </w:tr>
      <w:tr w:rsidR="00502148" w14:paraId="4432ED23" w14:textId="77777777">
        <w:trPr>
          <w:trHeight w:val="454"/>
          <w:jc w:val="center"/>
        </w:trPr>
        <w:tc>
          <w:tcPr>
            <w:tcW w:w="1929" w:type="pct"/>
            <w:vAlign w:val="center"/>
          </w:tcPr>
          <w:p w14:paraId="1343BD0D"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公辅工程及辅助设施单元</w:t>
            </w:r>
          </w:p>
        </w:tc>
        <w:tc>
          <w:tcPr>
            <w:tcW w:w="3071" w:type="pct"/>
            <w:vAlign w:val="center"/>
          </w:tcPr>
          <w:p w14:paraId="28B85F76"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502148" w14:paraId="6CE10B7B" w14:textId="77777777">
        <w:trPr>
          <w:trHeight w:val="454"/>
          <w:jc w:val="center"/>
        </w:trPr>
        <w:tc>
          <w:tcPr>
            <w:tcW w:w="1929" w:type="pct"/>
            <w:vAlign w:val="center"/>
          </w:tcPr>
          <w:p w14:paraId="70C02530"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安全管理单元</w:t>
            </w:r>
          </w:p>
        </w:tc>
        <w:tc>
          <w:tcPr>
            <w:tcW w:w="3071" w:type="pct"/>
            <w:vAlign w:val="center"/>
          </w:tcPr>
          <w:p w14:paraId="165F9B9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502148" w14:paraId="79954E1A" w14:textId="77777777">
        <w:trPr>
          <w:trHeight w:val="454"/>
          <w:jc w:val="center"/>
        </w:trPr>
        <w:tc>
          <w:tcPr>
            <w:tcW w:w="1929" w:type="pct"/>
            <w:vAlign w:val="center"/>
          </w:tcPr>
          <w:p w14:paraId="108251CA"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重大生产安全事故隐患判定单元</w:t>
            </w:r>
          </w:p>
        </w:tc>
        <w:tc>
          <w:tcPr>
            <w:tcW w:w="3071" w:type="pct"/>
            <w:vAlign w:val="center"/>
          </w:tcPr>
          <w:p w14:paraId="72887FA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bl>
    <w:p w14:paraId="6FE23D25" w14:textId="77777777" w:rsidR="00502148"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4.2.2</w:t>
      </w:r>
      <w:r>
        <w:rPr>
          <w:rFonts w:ascii="Times New Roman" w:eastAsia="黑体" w:hAnsi="Times New Roman" w:cs="Times New Roman"/>
          <w:b/>
          <w:bCs/>
          <w:kern w:val="0"/>
          <w:szCs w:val="20"/>
          <w14:ligatures w14:val="none"/>
        </w:rPr>
        <w:t>评价方法选择的理由说明</w:t>
      </w:r>
    </w:p>
    <w:p w14:paraId="55509E77"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本评价采取定性、定量评价方法对各单元进行评价，对项目可能存在的危险因素进行定性分析评价，对具有火灾、爆炸等危险性的单元进行定量分析评价。</w:t>
      </w:r>
    </w:p>
    <w:p w14:paraId="10DC15F9"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lastRenderedPageBreak/>
        <w:t>（</w:t>
      </w:r>
      <w:r>
        <w:rPr>
          <w:rFonts w:ascii="Times New Roman" w:eastAsia="宋体" w:hAnsi="Times New Roman" w:cs="Times New Roman"/>
          <w:szCs w:val="28"/>
          <w14:ligatures w14:val="none"/>
        </w:rPr>
        <w:t>1</w:t>
      </w:r>
      <w:r>
        <w:rPr>
          <w:rFonts w:ascii="Times New Roman" w:eastAsia="宋体" w:hAnsi="Times New Roman" w:cs="Times New Roman"/>
          <w:szCs w:val="28"/>
          <w14:ligatures w14:val="none"/>
        </w:rPr>
        <w:t>）安全检查表法选择说明</w:t>
      </w:r>
    </w:p>
    <w:p w14:paraId="6643A3A8"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安全检查表分析可适用于工程、系统的各个阶段。安全检查表可以评价物质、设备和工艺，常用于专门设计的评价，检查表法也能用在新工艺（装置）的早期开发阶段，判定和估测危险，还可以对已经运行多年的在役装置的危险进行检查，安全检查表常用于设立安全评价、安全现状评价、安全设施竣工验收评价。因此，本评价采用安全检查表法对本项目的选址及总平面布置、加油工艺设备及设施、公用工程及辅助设施以及安全管理、重大生产安全事故隐患判定单元进行定性评价。</w:t>
      </w:r>
    </w:p>
    <w:p w14:paraId="4BEA58B2"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作业条件危险性分析</w:t>
      </w:r>
      <w:r>
        <w:rPr>
          <w:rFonts w:ascii="Times New Roman" w:eastAsia="宋体" w:hAnsi="Times New Roman" w:cs="Times New Roman"/>
          <w:szCs w:val="28"/>
          <w14:ligatures w14:val="none"/>
        </w:rPr>
        <w:t>法选择说明</w:t>
      </w:r>
    </w:p>
    <w:p w14:paraId="78597762"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作业条件</w:t>
      </w:r>
      <w:r>
        <w:rPr>
          <w:rFonts w:ascii="Times New Roman" w:eastAsia="宋体" w:hAnsi="Times New Roman" w:cs="Times New Roman" w:hint="eastAsia"/>
          <w:szCs w:val="28"/>
          <w14:ligatures w14:val="none"/>
        </w:rPr>
        <w:t>危险性</w:t>
      </w:r>
      <w:r>
        <w:rPr>
          <w:rFonts w:ascii="Times New Roman" w:eastAsia="宋体" w:hAnsi="Times New Roman" w:cs="Times New Roman"/>
          <w:szCs w:val="28"/>
          <w14:ligatures w14:val="none"/>
        </w:rPr>
        <w:t>分析法是对危险物质或危险作业场所中可能发生的事故事件进行综合评价和分析，以确定其引发事故的频率和后果的程度，并通过评价结果来加强危险物质或危险作业场所的安全措施的安全评价方法。其评价步骤是</w:t>
      </w:r>
      <w:r>
        <w:rPr>
          <w:rFonts w:ascii="Times New Roman" w:eastAsia="宋体" w:hAnsi="Times New Roman" w:cs="Times New Roman" w:hint="eastAsia"/>
          <w:szCs w:val="28"/>
          <w14:ligatures w14:val="none"/>
        </w:rPr>
        <w:t>首先</w:t>
      </w:r>
      <w:r>
        <w:rPr>
          <w:rFonts w:ascii="Times New Roman" w:eastAsia="宋体" w:hAnsi="Times New Roman" w:cs="Times New Roman"/>
          <w:szCs w:val="28"/>
          <w14:ligatures w14:val="none"/>
        </w:rPr>
        <w:t>确定损失事件</w:t>
      </w:r>
      <w:r>
        <w:rPr>
          <w:rFonts w:ascii="Times New Roman" w:eastAsia="宋体" w:hAnsi="Times New Roman" w:cs="Times New Roman" w:hint="eastAsia"/>
          <w:szCs w:val="28"/>
          <w14:ligatures w14:val="none"/>
        </w:rPr>
        <w:t>、其次</w:t>
      </w:r>
      <w:r>
        <w:rPr>
          <w:rFonts w:ascii="Times New Roman" w:eastAsia="宋体" w:hAnsi="Times New Roman" w:cs="Times New Roman"/>
          <w:szCs w:val="28"/>
          <w14:ligatures w14:val="none"/>
        </w:rPr>
        <w:t>确定发生的频率和影响损失事件的因素</w:t>
      </w:r>
      <w:r>
        <w:rPr>
          <w:rFonts w:ascii="Times New Roman" w:eastAsia="宋体" w:hAnsi="Times New Roman" w:cs="Times New Roman" w:hint="eastAsia"/>
          <w:szCs w:val="28"/>
          <w14:ligatures w14:val="none"/>
        </w:rPr>
        <w:t>、再</w:t>
      </w:r>
      <w:r>
        <w:rPr>
          <w:rFonts w:ascii="Times New Roman" w:eastAsia="宋体" w:hAnsi="Times New Roman" w:cs="Times New Roman"/>
          <w:szCs w:val="28"/>
          <w14:ligatures w14:val="none"/>
        </w:rPr>
        <w:t>进行</w:t>
      </w:r>
      <w:r>
        <w:rPr>
          <w:rFonts w:ascii="Times New Roman" w:eastAsia="宋体" w:hAnsi="Times New Roman" w:cs="Times New Roman"/>
          <w:szCs w:val="28"/>
          <w14:ligatures w14:val="none"/>
        </w:rPr>
        <w:t>LEC</w:t>
      </w:r>
      <w:r>
        <w:rPr>
          <w:rFonts w:ascii="Times New Roman" w:eastAsia="宋体" w:hAnsi="Times New Roman" w:cs="Times New Roman"/>
          <w:szCs w:val="28"/>
          <w14:ligatures w14:val="none"/>
        </w:rPr>
        <w:t>分析</w:t>
      </w:r>
      <w:r>
        <w:rPr>
          <w:rFonts w:ascii="Times New Roman" w:eastAsia="宋体" w:hAnsi="Times New Roman" w:cs="Times New Roman" w:hint="eastAsia"/>
          <w:szCs w:val="28"/>
          <w14:ligatures w14:val="none"/>
        </w:rPr>
        <w:t>，最后</w:t>
      </w:r>
      <w:r>
        <w:rPr>
          <w:rFonts w:ascii="Times New Roman" w:eastAsia="宋体" w:hAnsi="Times New Roman" w:cs="Times New Roman"/>
          <w:szCs w:val="28"/>
          <w14:ligatures w14:val="none"/>
        </w:rPr>
        <w:t>确定减轻或消除危险的措施。</w:t>
      </w:r>
    </w:p>
    <w:p w14:paraId="1B45D8D3"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TNT</w:t>
      </w:r>
      <w:r>
        <w:rPr>
          <w:rFonts w:ascii="Times New Roman" w:eastAsia="宋体" w:hAnsi="Times New Roman" w:cs="Times New Roman" w:hint="eastAsia"/>
          <w:szCs w:val="28"/>
          <w14:ligatures w14:val="none"/>
        </w:rPr>
        <w:t>当量、</w:t>
      </w:r>
      <w:r>
        <w:rPr>
          <w:rFonts w:ascii="Times New Roman" w:eastAsia="宋体" w:hAnsi="Times New Roman" w:cs="Times New Roman" w:hint="eastAsia"/>
          <w:szCs w:val="28"/>
          <w14:ligatures w14:val="none"/>
        </w:rPr>
        <w:t>G</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14:ligatures w14:val="none"/>
        </w:rPr>
        <w:t>莱克霍夫分析法”</w:t>
      </w:r>
      <w:r>
        <w:rPr>
          <w:rFonts w:ascii="Times New Roman" w:eastAsia="宋体" w:hAnsi="Times New Roman" w:cs="Times New Roman"/>
          <w:szCs w:val="28"/>
          <w14:ligatures w14:val="none"/>
        </w:rPr>
        <w:t>选择说明</w:t>
      </w:r>
    </w:p>
    <w:p w14:paraId="619BD19F"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生产经营及储存过程中涉及的易燃性化学品，贯穿于整个工艺过程当中，如果发生火灾爆炸事故，装置内的各种可燃物质均会同时燃烧放热，化学品燃烧后形成蒸</w:t>
      </w:r>
      <w:r>
        <w:rPr>
          <w:rFonts w:ascii="Times New Roman" w:eastAsia="宋体" w:hAnsi="Times New Roman" w:cs="Times New Roman" w:hint="eastAsia"/>
          <w:szCs w:val="28"/>
          <w14:ligatures w14:val="none"/>
        </w:rPr>
        <w:t>气</w:t>
      </w:r>
      <w:r>
        <w:rPr>
          <w:rFonts w:ascii="Times New Roman" w:eastAsia="宋体" w:hAnsi="Times New Roman" w:cs="Times New Roman"/>
          <w:szCs w:val="28"/>
          <w14:ligatures w14:val="none"/>
        </w:rPr>
        <w:t>云，蒸</w:t>
      </w:r>
      <w:r>
        <w:rPr>
          <w:rFonts w:ascii="Times New Roman" w:eastAsia="宋体" w:hAnsi="Times New Roman" w:cs="Times New Roman" w:hint="eastAsia"/>
          <w:szCs w:val="28"/>
          <w14:ligatures w14:val="none"/>
        </w:rPr>
        <w:t>气</w:t>
      </w:r>
      <w:r>
        <w:rPr>
          <w:rFonts w:ascii="Times New Roman" w:eastAsia="宋体" w:hAnsi="Times New Roman" w:cs="Times New Roman"/>
          <w:szCs w:val="28"/>
          <w14:ligatures w14:val="none"/>
        </w:rPr>
        <w:t>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31C598BB"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安全评价方法简介详见附件</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br w:type="page"/>
      </w:r>
    </w:p>
    <w:p w14:paraId="0480FADB" w14:textId="77777777" w:rsidR="00502148"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60" w:name="_Toc28325"/>
      <w:r>
        <w:rPr>
          <w:rFonts w:ascii="Times New Roman" w:eastAsia="黑体" w:hAnsi="Times New Roman" w:cs="宋体"/>
          <w:b/>
          <w:bCs/>
          <w:sz w:val="32"/>
          <w:szCs w:val="28"/>
          <w:lang w:bidi="ar"/>
          <w14:ligatures w14:val="none"/>
        </w:rPr>
        <w:lastRenderedPageBreak/>
        <w:t>5</w:t>
      </w:r>
      <w:r>
        <w:rPr>
          <w:rFonts w:ascii="Times New Roman" w:eastAsia="黑体" w:hAnsi="Times New Roman" w:cs="宋体"/>
          <w:b/>
          <w:bCs/>
          <w:sz w:val="32"/>
          <w:szCs w:val="28"/>
          <w:lang w:bidi="ar"/>
          <w14:ligatures w14:val="none"/>
        </w:rPr>
        <w:t>定性、定量分析危险、有害程度的结果</w:t>
      </w:r>
      <w:bookmarkEnd w:id="60"/>
    </w:p>
    <w:p w14:paraId="63244A85"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1" w:name="_Toc29686"/>
      <w:r>
        <w:rPr>
          <w:rFonts w:ascii="Times New Roman" w:eastAsia="楷体" w:hAnsi="Times New Roman" w:cs="宋体" w:hint="eastAsia"/>
          <w:b/>
          <w:bCs/>
          <w:sz w:val="32"/>
          <w:szCs w:val="28"/>
          <w:lang w:bidi="ar"/>
          <w14:ligatures w14:val="none"/>
        </w:rPr>
        <w:t>5.1</w:t>
      </w:r>
      <w:r>
        <w:rPr>
          <w:rFonts w:ascii="Times New Roman" w:eastAsia="楷体" w:hAnsi="Times New Roman" w:cs="宋体" w:hint="eastAsia"/>
          <w:b/>
          <w:bCs/>
          <w:sz w:val="32"/>
          <w:szCs w:val="28"/>
          <w:lang w:bidi="ar"/>
          <w14:ligatures w14:val="none"/>
        </w:rPr>
        <w:t>固有危险程度的</w:t>
      </w:r>
      <w:r>
        <w:rPr>
          <w:rFonts w:ascii="Times New Roman" w:eastAsia="楷体" w:hAnsi="Times New Roman" w:cs="宋体"/>
          <w:b/>
          <w:bCs/>
          <w:sz w:val="32"/>
          <w:szCs w:val="28"/>
          <w:lang w:bidi="ar"/>
          <w14:ligatures w14:val="none"/>
        </w:rPr>
        <w:t>分析</w:t>
      </w:r>
      <w:bookmarkEnd w:id="61"/>
    </w:p>
    <w:p w14:paraId="024BBB8B"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）定量分析建设项目中具有爆炸性、可燃性、毒性、腐蚀性的化学品数量、浓度（含量）、状态和所在的作业场所（部位）及其状况（温度、压力）</w:t>
      </w:r>
    </w:p>
    <w:p w14:paraId="2E667433" w14:textId="77777777" w:rsidR="00502148" w:rsidRDefault="00000000">
      <w:pPr>
        <w:ind w:firstLine="560"/>
        <w:rPr>
          <w:rFonts w:ascii="Times New Roman" w:eastAsia="宋体" w:hAnsi="Times New Roman"/>
        </w:rPr>
      </w:pPr>
      <w:r>
        <w:rPr>
          <w:rFonts w:ascii="Times New Roman" w:eastAsia="宋体" w:hAnsi="Times New Roman" w:hint="eastAsia"/>
        </w:rPr>
        <w:t>该项目具有爆炸性、可燃性、毒性的化学品数量、浓度（含量）、状态和所在的作业场所（部位）及其状况（温度、压力），见表</w:t>
      </w:r>
      <w:r>
        <w:rPr>
          <w:rFonts w:ascii="Times New Roman" w:eastAsia="宋体" w:hAnsi="Times New Roman" w:hint="eastAsia"/>
        </w:rPr>
        <w:t>5.1-1</w:t>
      </w:r>
      <w:r>
        <w:rPr>
          <w:rFonts w:ascii="Times New Roman" w:eastAsia="宋体" w:hAnsi="Times New Roman" w:hint="eastAsia"/>
        </w:rPr>
        <w:t>。</w:t>
      </w:r>
    </w:p>
    <w:p w14:paraId="2B84A4EB" w14:textId="77777777" w:rsidR="00502148"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5.1</w:t>
      </w:r>
      <w:r>
        <w:rPr>
          <w:rFonts w:ascii="Times New Roman" w:eastAsia="黑体" w:hAnsi="Times New Roman" w:cs="Times New Roman"/>
          <w:sz w:val="24"/>
        </w:rPr>
        <w:t>-1</w:t>
      </w:r>
      <w:r>
        <w:rPr>
          <w:rFonts w:ascii="黑体" w:eastAsia="黑体" w:hAnsi="黑体" w:hint="eastAsia"/>
          <w:sz w:val="24"/>
        </w:rPr>
        <w:t xml:space="preserve">  具有爆炸性、可燃性、毒性的化学品统计表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969"/>
        <w:gridCol w:w="1063"/>
        <w:gridCol w:w="540"/>
        <w:gridCol w:w="1443"/>
        <w:gridCol w:w="1660"/>
        <w:gridCol w:w="753"/>
        <w:gridCol w:w="2093"/>
      </w:tblGrid>
      <w:tr w:rsidR="00502148" w14:paraId="576C28AC" w14:textId="77777777">
        <w:trPr>
          <w:trHeight w:val="454"/>
          <w:jc w:val="center"/>
        </w:trPr>
        <w:tc>
          <w:tcPr>
            <w:tcW w:w="359" w:type="pct"/>
            <w:vAlign w:val="center"/>
          </w:tcPr>
          <w:p w14:paraId="1AB7946E"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528" w:type="pct"/>
            <w:vAlign w:val="center"/>
          </w:tcPr>
          <w:p w14:paraId="0FC5F743"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名称</w:t>
            </w:r>
          </w:p>
        </w:tc>
        <w:tc>
          <w:tcPr>
            <w:tcW w:w="579" w:type="pct"/>
            <w:vAlign w:val="center"/>
          </w:tcPr>
          <w:p w14:paraId="38AB7AC4"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最大</w:t>
            </w:r>
            <w:r>
              <w:rPr>
                <w:rFonts w:ascii="Times New Roman" w:eastAsia="宋体" w:hAnsi="Times New Roman" w:cs="Times New Roman"/>
                <w:bCs/>
                <w:sz w:val="21"/>
                <w:szCs w:val="21"/>
                <w14:ligatures w14:val="none"/>
              </w:rPr>
              <w:t>储存量（</w:t>
            </w:r>
            <w:r>
              <w:rPr>
                <w:rFonts w:ascii="Times New Roman" w:eastAsia="宋体" w:hAnsi="Times New Roman" w:cs="Times New Roman"/>
                <w:bCs/>
                <w:sz w:val="21"/>
                <w:szCs w:val="21"/>
                <w14:ligatures w14:val="none"/>
              </w:rPr>
              <w:t>t</w:t>
            </w:r>
            <w:r>
              <w:rPr>
                <w:rFonts w:ascii="Times New Roman" w:eastAsia="宋体" w:hAnsi="Times New Roman" w:cs="Times New Roman"/>
                <w:bCs/>
                <w:sz w:val="21"/>
                <w:szCs w:val="21"/>
                <w14:ligatures w14:val="none"/>
              </w:rPr>
              <w:t>）</w:t>
            </w:r>
          </w:p>
        </w:tc>
        <w:tc>
          <w:tcPr>
            <w:tcW w:w="294" w:type="pct"/>
            <w:vAlign w:val="center"/>
          </w:tcPr>
          <w:p w14:paraId="2591783D"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状态</w:t>
            </w:r>
          </w:p>
        </w:tc>
        <w:tc>
          <w:tcPr>
            <w:tcW w:w="786" w:type="pct"/>
            <w:vAlign w:val="center"/>
          </w:tcPr>
          <w:p w14:paraId="58BE7721"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所在场所（部位）</w:t>
            </w:r>
          </w:p>
        </w:tc>
        <w:tc>
          <w:tcPr>
            <w:tcW w:w="904" w:type="pct"/>
            <w:vAlign w:val="center"/>
          </w:tcPr>
          <w:p w14:paraId="1DED04F5"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状态（温度、压力）</w:t>
            </w:r>
          </w:p>
        </w:tc>
        <w:tc>
          <w:tcPr>
            <w:tcW w:w="410" w:type="pct"/>
            <w:vAlign w:val="center"/>
          </w:tcPr>
          <w:p w14:paraId="28E3E7EC"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浓度</w:t>
            </w:r>
          </w:p>
        </w:tc>
        <w:tc>
          <w:tcPr>
            <w:tcW w:w="1140" w:type="pct"/>
            <w:vAlign w:val="center"/>
          </w:tcPr>
          <w:p w14:paraId="4A45160F"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备注</w:t>
            </w:r>
          </w:p>
        </w:tc>
      </w:tr>
      <w:tr w:rsidR="00502148" w14:paraId="7AFA0288" w14:textId="77777777">
        <w:trPr>
          <w:trHeight w:val="454"/>
          <w:jc w:val="center"/>
        </w:trPr>
        <w:tc>
          <w:tcPr>
            <w:tcW w:w="359" w:type="pct"/>
            <w:vAlign w:val="center"/>
          </w:tcPr>
          <w:p w14:paraId="6B61258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p>
        </w:tc>
        <w:tc>
          <w:tcPr>
            <w:tcW w:w="528" w:type="pct"/>
            <w:vAlign w:val="center"/>
          </w:tcPr>
          <w:p w14:paraId="08EA6E9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579" w:type="pct"/>
            <w:vAlign w:val="center"/>
          </w:tcPr>
          <w:p w14:paraId="24A22F2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294" w:type="pct"/>
            <w:vAlign w:val="center"/>
          </w:tcPr>
          <w:p w14:paraId="7CF825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液态</w:t>
            </w:r>
          </w:p>
        </w:tc>
        <w:tc>
          <w:tcPr>
            <w:tcW w:w="786" w:type="pct"/>
            <w:vAlign w:val="center"/>
          </w:tcPr>
          <w:p w14:paraId="56C6E8B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加油区、卸油区和储罐区</w:t>
            </w:r>
          </w:p>
        </w:tc>
        <w:tc>
          <w:tcPr>
            <w:tcW w:w="904" w:type="pct"/>
            <w:vAlign w:val="center"/>
          </w:tcPr>
          <w:p w14:paraId="27D9E2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常温、常压</w:t>
            </w:r>
          </w:p>
        </w:tc>
        <w:tc>
          <w:tcPr>
            <w:tcW w:w="410" w:type="pct"/>
            <w:vAlign w:val="center"/>
          </w:tcPr>
          <w:p w14:paraId="6CD659E0"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w:t>
            </w:r>
          </w:p>
        </w:tc>
        <w:tc>
          <w:tcPr>
            <w:tcW w:w="1140" w:type="pct"/>
            <w:vAlign w:val="center"/>
          </w:tcPr>
          <w:p w14:paraId="7642C7D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爆炸性、可燃性、毒性</w:t>
            </w:r>
          </w:p>
        </w:tc>
      </w:tr>
      <w:tr w:rsidR="00502148" w14:paraId="5550A484" w14:textId="77777777">
        <w:trPr>
          <w:trHeight w:val="454"/>
          <w:jc w:val="center"/>
        </w:trPr>
        <w:tc>
          <w:tcPr>
            <w:tcW w:w="359" w:type="pct"/>
            <w:vAlign w:val="center"/>
          </w:tcPr>
          <w:p w14:paraId="644023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528" w:type="pct"/>
            <w:vAlign w:val="center"/>
          </w:tcPr>
          <w:p w14:paraId="0BAC333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579" w:type="pct"/>
            <w:vAlign w:val="center"/>
          </w:tcPr>
          <w:p w14:paraId="6834C63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294" w:type="pct"/>
            <w:vAlign w:val="center"/>
          </w:tcPr>
          <w:p w14:paraId="4BA485D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液态</w:t>
            </w:r>
          </w:p>
        </w:tc>
        <w:tc>
          <w:tcPr>
            <w:tcW w:w="786" w:type="pct"/>
            <w:vAlign w:val="center"/>
          </w:tcPr>
          <w:p w14:paraId="01AF77D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加油区、卸油区和储罐区</w:t>
            </w:r>
          </w:p>
        </w:tc>
        <w:tc>
          <w:tcPr>
            <w:tcW w:w="904" w:type="pct"/>
            <w:vAlign w:val="center"/>
          </w:tcPr>
          <w:p w14:paraId="4395AB8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常温、常压</w:t>
            </w:r>
          </w:p>
        </w:tc>
        <w:tc>
          <w:tcPr>
            <w:tcW w:w="410" w:type="pct"/>
            <w:vAlign w:val="center"/>
          </w:tcPr>
          <w:p w14:paraId="5FE14E61"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w:t>
            </w:r>
          </w:p>
        </w:tc>
        <w:tc>
          <w:tcPr>
            <w:tcW w:w="1140" w:type="pct"/>
            <w:vAlign w:val="center"/>
          </w:tcPr>
          <w:p w14:paraId="6188B9E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可燃性、毒性</w:t>
            </w:r>
          </w:p>
        </w:tc>
      </w:tr>
    </w:tbl>
    <w:p w14:paraId="11C42E61"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）定性分析建设项目总的和各个作业场所的固有危险程度</w:t>
      </w:r>
    </w:p>
    <w:p w14:paraId="2E33EB39" w14:textId="77777777" w:rsidR="00502148" w:rsidRDefault="00000000">
      <w:pPr>
        <w:ind w:firstLine="560"/>
        <w:rPr>
          <w:rFonts w:ascii="Times New Roman" w:eastAsia="宋体" w:hAnsi="Times New Roman"/>
        </w:rPr>
      </w:pPr>
      <w:r>
        <w:rPr>
          <w:rFonts w:ascii="Times New Roman" w:eastAsia="宋体" w:hAnsi="Times New Roman"/>
        </w:rPr>
        <w:t>采用</w:t>
      </w:r>
      <w:r>
        <w:rPr>
          <w:rFonts w:ascii="Times New Roman" w:eastAsia="宋体" w:hAnsi="Times New Roman" w:hint="eastAsia"/>
        </w:rPr>
        <w:t>“</w:t>
      </w:r>
      <w:r>
        <w:rPr>
          <w:rFonts w:ascii="Times New Roman" w:eastAsia="宋体" w:hAnsi="Times New Roman"/>
        </w:rPr>
        <w:t>安全检查表法</w:t>
      </w:r>
      <w:r>
        <w:rPr>
          <w:rFonts w:ascii="Times New Roman" w:eastAsia="宋体" w:hAnsi="Times New Roman" w:hint="eastAsia"/>
        </w:rPr>
        <w:t>”</w:t>
      </w:r>
      <w:r>
        <w:rPr>
          <w:rFonts w:ascii="Times New Roman" w:eastAsia="宋体" w:hAnsi="Times New Roman"/>
        </w:rPr>
        <w:t>对</w:t>
      </w:r>
      <w:r>
        <w:rPr>
          <w:rFonts w:ascii="Times New Roman" w:eastAsia="宋体" w:hAnsi="Times New Roman" w:hint="eastAsia"/>
        </w:rPr>
        <w:t>该</w:t>
      </w:r>
      <w:r>
        <w:rPr>
          <w:rFonts w:ascii="Times New Roman" w:eastAsia="宋体" w:hAnsi="Times New Roman"/>
        </w:rPr>
        <w:t>项目的选址及总平面布置、加油工艺设备及设施、公用工程及辅助设施以及安全管理、重大生产安全事故隐患判定单元进行评价，具体评价过程见附件</w:t>
      </w:r>
      <w:r>
        <w:rPr>
          <w:rFonts w:ascii="Times New Roman" w:eastAsia="宋体" w:hAnsi="Times New Roman"/>
        </w:rPr>
        <w:t>4</w:t>
      </w:r>
      <w:r>
        <w:rPr>
          <w:rFonts w:ascii="Times New Roman" w:eastAsia="宋体" w:hAnsi="Times New Roman"/>
        </w:rPr>
        <w:t>（</w:t>
      </w:r>
      <w:r>
        <w:rPr>
          <w:rFonts w:ascii="Times New Roman" w:eastAsia="宋体" w:hAnsi="Times New Roman"/>
        </w:rPr>
        <w:t>F4.1</w:t>
      </w:r>
      <w:r>
        <w:rPr>
          <w:rFonts w:ascii="Times New Roman" w:eastAsia="宋体" w:hAnsi="Times New Roman"/>
        </w:rPr>
        <w:t>）</w:t>
      </w:r>
      <w:r>
        <w:rPr>
          <w:rFonts w:ascii="Times New Roman" w:eastAsia="宋体" w:hAnsi="Times New Roman" w:hint="eastAsia"/>
        </w:rPr>
        <w:t>。</w:t>
      </w:r>
    </w:p>
    <w:p w14:paraId="18D3B516" w14:textId="77777777" w:rsidR="00502148" w:rsidRDefault="00000000">
      <w:pPr>
        <w:ind w:firstLine="560"/>
        <w:rPr>
          <w:rFonts w:ascii="Times New Roman" w:eastAsia="宋体" w:hAnsi="Times New Roman"/>
        </w:rPr>
      </w:pPr>
      <w:r>
        <w:rPr>
          <w:rFonts w:ascii="Times New Roman" w:eastAsia="宋体" w:hAnsi="Times New Roman"/>
        </w:rPr>
        <w:t>采用</w:t>
      </w:r>
      <w:r>
        <w:rPr>
          <w:rFonts w:ascii="Times New Roman" w:eastAsia="宋体" w:hAnsi="Times New Roman" w:hint="eastAsia"/>
        </w:rPr>
        <w:t>“</w:t>
      </w:r>
      <w:r>
        <w:rPr>
          <w:rFonts w:ascii="Times New Roman" w:eastAsia="宋体" w:hAnsi="Times New Roman"/>
        </w:rPr>
        <w:t>作业条件危险性分析法</w:t>
      </w:r>
      <w:r>
        <w:rPr>
          <w:rFonts w:ascii="Times New Roman" w:eastAsia="宋体" w:hAnsi="Times New Roman" w:hint="eastAsia"/>
        </w:rPr>
        <w:t>”</w:t>
      </w:r>
      <w:r>
        <w:rPr>
          <w:rFonts w:ascii="Times New Roman" w:eastAsia="宋体" w:hAnsi="Times New Roman"/>
        </w:rPr>
        <w:t>对工艺及设施单元进行危险度评价，评价结果见下表</w:t>
      </w:r>
      <w:r>
        <w:rPr>
          <w:rFonts w:ascii="Times New Roman" w:eastAsia="宋体" w:hAnsi="Times New Roman"/>
        </w:rPr>
        <w:t>5.1-2</w:t>
      </w:r>
      <w:r>
        <w:rPr>
          <w:rFonts w:ascii="Times New Roman" w:eastAsia="宋体" w:hAnsi="Times New Roman"/>
        </w:rPr>
        <w:t>。具体分析过程见附件</w:t>
      </w:r>
      <w:r>
        <w:rPr>
          <w:rFonts w:ascii="Times New Roman" w:eastAsia="宋体" w:hAnsi="Times New Roman"/>
        </w:rPr>
        <w:t>4</w:t>
      </w:r>
      <w:r>
        <w:rPr>
          <w:rFonts w:ascii="Times New Roman" w:eastAsia="宋体" w:hAnsi="Times New Roman"/>
        </w:rPr>
        <w:t>（</w:t>
      </w:r>
      <w:r>
        <w:rPr>
          <w:rFonts w:ascii="Times New Roman" w:eastAsia="宋体" w:hAnsi="Times New Roman"/>
        </w:rPr>
        <w:t>F4.2</w:t>
      </w:r>
      <w:r>
        <w:rPr>
          <w:rFonts w:ascii="Times New Roman" w:eastAsia="宋体" w:hAnsi="Times New Roman"/>
        </w:rPr>
        <w:t>）。</w:t>
      </w:r>
    </w:p>
    <w:p w14:paraId="0CD6DC7F"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highlight w:val="yellow"/>
        </w:rPr>
      </w:pPr>
      <w:r>
        <w:rPr>
          <w:rFonts w:ascii="Times New Roman" w:eastAsia="黑体" w:hAnsi="Times New Roman"/>
          <w:sz w:val="24"/>
        </w:rPr>
        <w:t>表</w:t>
      </w:r>
      <w:r>
        <w:rPr>
          <w:rFonts w:ascii="Times New Roman" w:eastAsia="黑体" w:hAnsi="Times New Roman"/>
          <w:sz w:val="24"/>
        </w:rPr>
        <w:t xml:space="preserve">5.1-2  </w:t>
      </w:r>
      <w:r>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60"/>
        <w:gridCol w:w="763"/>
        <w:gridCol w:w="1380"/>
        <w:gridCol w:w="1072"/>
        <w:gridCol w:w="1380"/>
        <w:gridCol w:w="1378"/>
        <w:gridCol w:w="1338"/>
        <w:gridCol w:w="1103"/>
      </w:tblGrid>
      <w:tr w:rsidR="00502148" w14:paraId="22688F5B" w14:textId="77777777">
        <w:trPr>
          <w:trHeight w:val="510"/>
          <w:tblHeader/>
        </w:trPr>
        <w:tc>
          <w:tcPr>
            <w:tcW w:w="415" w:type="pct"/>
            <w:vAlign w:val="center"/>
          </w:tcPr>
          <w:p w14:paraId="29D59CE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作业场所</w:t>
            </w:r>
          </w:p>
        </w:tc>
        <w:tc>
          <w:tcPr>
            <w:tcW w:w="416" w:type="pct"/>
            <w:vAlign w:val="center"/>
          </w:tcPr>
          <w:p w14:paraId="02F0F63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作业岗位</w:t>
            </w:r>
          </w:p>
        </w:tc>
        <w:tc>
          <w:tcPr>
            <w:tcW w:w="752" w:type="pct"/>
            <w:vAlign w:val="center"/>
          </w:tcPr>
          <w:p w14:paraId="7121E9C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危险、有害因素</w:t>
            </w:r>
          </w:p>
        </w:tc>
        <w:tc>
          <w:tcPr>
            <w:tcW w:w="584" w:type="pct"/>
            <w:vAlign w:val="center"/>
          </w:tcPr>
          <w:p w14:paraId="3D125CA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可能性（</w:t>
            </w:r>
            <w:r>
              <w:rPr>
                <w:rFonts w:ascii="Times New Roman" w:eastAsia="宋体" w:hAnsi="Times New Roman" w:cs="Times New Roman"/>
                <w:sz w:val="21"/>
                <w:lang w:val="zh-CN"/>
                <w14:ligatures w14:val="none"/>
              </w:rPr>
              <w:t>L</w:t>
            </w:r>
            <w:r>
              <w:rPr>
                <w:rFonts w:ascii="Times New Roman" w:eastAsia="宋体" w:hAnsi="Times New Roman" w:cs="Times New Roman" w:hint="eastAsia"/>
                <w:sz w:val="21"/>
                <w:lang w:val="zh-CN"/>
                <w14:ligatures w14:val="none"/>
              </w:rPr>
              <w:t>）</w:t>
            </w:r>
          </w:p>
        </w:tc>
        <w:tc>
          <w:tcPr>
            <w:tcW w:w="752" w:type="pct"/>
            <w:vAlign w:val="center"/>
          </w:tcPr>
          <w:p w14:paraId="047A1A1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频繁程度（</w:t>
            </w:r>
            <w:r>
              <w:rPr>
                <w:rFonts w:ascii="Times New Roman" w:eastAsia="宋体" w:hAnsi="Times New Roman" w:cs="Times New Roman" w:hint="eastAsia"/>
                <w:sz w:val="21"/>
                <w:lang w:val="zh-CN"/>
                <w14:ligatures w14:val="none"/>
              </w:rPr>
              <w:t>E</w:t>
            </w:r>
            <w:r>
              <w:rPr>
                <w:rFonts w:ascii="Times New Roman" w:eastAsia="宋体" w:hAnsi="Times New Roman" w:cs="Times New Roman" w:hint="eastAsia"/>
                <w:sz w:val="21"/>
                <w:lang w:val="zh-CN"/>
                <w14:ligatures w14:val="none"/>
              </w:rPr>
              <w:t>）</w:t>
            </w:r>
          </w:p>
        </w:tc>
        <w:tc>
          <w:tcPr>
            <w:tcW w:w="751" w:type="pct"/>
            <w:vAlign w:val="center"/>
          </w:tcPr>
          <w:p w14:paraId="5B48860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事故后果（</w:t>
            </w:r>
            <w:r>
              <w:rPr>
                <w:rFonts w:ascii="Times New Roman" w:eastAsia="宋体" w:hAnsi="Times New Roman" w:cs="Times New Roman" w:hint="eastAsia"/>
                <w:sz w:val="21"/>
                <w:lang w:val="zh-CN"/>
                <w14:ligatures w14:val="none"/>
              </w:rPr>
              <w:t>C</w:t>
            </w:r>
            <w:r>
              <w:rPr>
                <w:rFonts w:ascii="Times New Roman" w:eastAsia="宋体" w:hAnsi="Times New Roman" w:cs="Times New Roman" w:hint="eastAsia"/>
                <w:sz w:val="21"/>
                <w:lang w:val="zh-CN"/>
                <w14:ligatures w14:val="none"/>
              </w:rPr>
              <w:t>）</w:t>
            </w:r>
          </w:p>
        </w:tc>
        <w:tc>
          <w:tcPr>
            <w:tcW w:w="729" w:type="pct"/>
            <w:vAlign w:val="center"/>
          </w:tcPr>
          <w:p w14:paraId="084A9CE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危险性等级（</w:t>
            </w:r>
            <w:r>
              <w:rPr>
                <w:rFonts w:ascii="Times New Roman" w:eastAsia="宋体" w:hAnsi="Times New Roman" w:cs="Times New Roman" w:hint="eastAsia"/>
                <w:sz w:val="21"/>
                <w:lang w:val="zh-CN"/>
                <w14:ligatures w14:val="none"/>
              </w:rPr>
              <w:t>D</w:t>
            </w:r>
            <w:r>
              <w:rPr>
                <w:rFonts w:ascii="Times New Roman" w:eastAsia="宋体" w:hAnsi="Times New Roman" w:cs="Times New Roman" w:hint="eastAsia"/>
                <w:sz w:val="21"/>
                <w:lang w:val="zh-CN"/>
                <w14:ligatures w14:val="none"/>
              </w:rPr>
              <w:t>）</w:t>
            </w:r>
          </w:p>
        </w:tc>
        <w:tc>
          <w:tcPr>
            <w:tcW w:w="601" w:type="pct"/>
            <w:vAlign w:val="center"/>
          </w:tcPr>
          <w:p w14:paraId="3172F68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危险程度</w:t>
            </w:r>
          </w:p>
        </w:tc>
      </w:tr>
      <w:tr w:rsidR="00502148" w14:paraId="24CE21C3" w14:textId="77777777">
        <w:trPr>
          <w:trHeight w:val="510"/>
        </w:trPr>
        <w:tc>
          <w:tcPr>
            <w:tcW w:w="415" w:type="pct"/>
            <w:vMerge w:val="restart"/>
            <w:vAlign w:val="center"/>
          </w:tcPr>
          <w:p w14:paraId="205068A2"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47CAC8C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4985171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11D2B76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5BD398A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5F951B0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763A06B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2B20CFB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7E9CCE6F" w14:textId="77777777">
        <w:trPr>
          <w:trHeight w:val="510"/>
        </w:trPr>
        <w:tc>
          <w:tcPr>
            <w:tcW w:w="415" w:type="pct"/>
            <w:vMerge/>
            <w:vAlign w:val="center"/>
          </w:tcPr>
          <w:p w14:paraId="12F1EDBD"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63A3277"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1AEF20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0F878E2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5E65039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6447DC7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3E1EA4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7CE52A8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0D09EBD4" w14:textId="77777777">
        <w:trPr>
          <w:trHeight w:val="510"/>
        </w:trPr>
        <w:tc>
          <w:tcPr>
            <w:tcW w:w="415" w:type="pct"/>
            <w:vMerge/>
            <w:vAlign w:val="center"/>
          </w:tcPr>
          <w:p w14:paraId="60A8796D"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A47233D"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61FB06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18C03A9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21936E8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3004A83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DB6C23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274494B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39203C34" w14:textId="77777777">
        <w:trPr>
          <w:trHeight w:val="510"/>
        </w:trPr>
        <w:tc>
          <w:tcPr>
            <w:tcW w:w="415" w:type="pct"/>
            <w:vMerge/>
            <w:vAlign w:val="center"/>
          </w:tcPr>
          <w:p w14:paraId="50A8D219"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790D7C1"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AB1FCA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6937528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A663BD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0F13954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7D52B8A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6981F1A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01E7F226" w14:textId="77777777">
        <w:trPr>
          <w:trHeight w:val="510"/>
        </w:trPr>
        <w:tc>
          <w:tcPr>
            <w:tcW w:w="415" w:type="pct"/>
            <w:vMerge/>
            <w:vAlign w:val="center"/>
          </w:tcPr>
          <w:p w14:paraId="24B27AFF"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6E2555E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295CC9B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7B3732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6A5695A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16B8481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36B2701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76825AF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0C683725" w14:textId="77777777">
        <w:trPr>
          <w:trHeight w:val="510"/>
        </w:trPr>
        <w:tc>
          <w:tcPr>
            <w:tcW w:w="415" w:type="pct"/>
            <w:vMerge/>
            <w:vAlign w:val="center"/>
          </w:tcPr>
          <w:p w14:paraId="3A415593"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77CC3F7"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876CA3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5038D15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EC3A7E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230D5D0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2B7998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6889E02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4004E5B7" w14:textId="77777777">
        <w:trPr>
          <w:trHeight w:val="510"/>
        </w:trPr>
        <w:tc>
          <w:tcPr>
            <w:tcW w:w="415" w:type="pct"/>
            <w:vMerge w:val="restart"/>
            <w:vAlign w:val="center"/>
          </w:tcPr>
          <w:p w14:paraId="1518422A"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加油作业区（罩棚、加油机附近）</w:t>
            </w:r>
          </w:p>
        </w:tc>
        <w:tc>
          <w:tcPr>
            <w:tcW w:w="416" w:type="pct"/>
            <w:vMerge w:val="restart"/>
            <w:vAlign w:val="center"/>
          </w:tcPr>
          <w:p w14:paraId="5EAEEFD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加油作业</w:t>
            </w:r>
          </w:p>
        </w:tc>
        <w:tc>
          <w:tcPr>
            <w:tcW w:w="752" w:type="pct"/>
            <w:vAlign w:val="center"/>
          </w:tcPr>
          <w:p w14:paraId="7833055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58616B7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2C65AF4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5402A70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4CE04F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6EA160A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502148" w14:paraId="6625F188" w14:textId="77777777">
        <w:trPr>
          <w:trHeight w:val="510"/>
        </w:trPr>
        <w:tc>
          <w:tcPr>
            <w:tcW w:w="415" w:type="pct"/>
            <w:vMerge/>
            <w:vAlign w:val="center"/>
          </w:tcPr>
          <w:p w14:paraId="16ED869C"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151BC14"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7A927F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1F6E899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6EA055E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180CF4D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4196EE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1EC0D13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502148" w14:paraId="3EE65A5F" w14:textId="77777777">
        <w:trPr>
          <w:trHeight w:val="510"/>
        </w:trPr>
        <w:tc>
          <w:tcPr>
            <w:tcW w:w="415" w:type="pct"/>
            <w:vMerge/>
            <w:vAlign w:val="center"/>
          </w:tcPr>
          <w:p w14:paraId="58AFD91A"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D28AD75"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C935AB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4C0CDA9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242B2CE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7663D1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841498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1BAFB60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081B35B2" w14:textId="77777777">
        <w:trPr>
          <w:trHeight w:val="510"/>
        </w:trPr>
        <w:tc>
          <w:tcPr>
            <w:tcW w:w="415" w:type="pct"/>
            <w:vMerge/>
            <w:vAlign w:val="center"/>
          </w:tcPr>
          <w:p w14:paraId="2625BAB7"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078CDE8"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580057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1B5D707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6AAFF90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7BF0F75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64E1CE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DB872D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44FB9862" w14:textId="77777777">
        <w:trPr>
          <w:trHeight w:val="510"/>
        </w:trPr>
        <w:tc>
          <w:tcPr>
            <w:tcW w:w="415" w:type="pct"/>
            <w:vMerge/>
            <w:vAlign w:val="center"/>
          </w:tcPr>
          <w:p w14:paraId="16E7A3FD"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F8AEED6"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FF95DF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机械伤害</w:t>
            </w:r>
          </w:p>
        </w:tc>
        <w:tc>
          <w:tcPr>
            <w:tcW w:w="584" w:type="pct"/>
            <w:vAlign w:val="center"/>
          </w:tcPr>
          <w:p w14:paraId="3C97690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7A4511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15C881C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8278AA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2FFE2C7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5D62A1E3" w14:textId="77777777">
        <w:trPr>
          <w:trHeight w:val="510"/>
        </w:trPr>
        <w:tc>
          <w:tcPr>
            <w:tcW w:w="415" w:type="pct"/>
            <w:vMerge/>
            <w:vAlign w:val="center"/>
          </w:tcPr>
          <w:p w14:paraId="0311BD53"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A98C4D6"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1C41B9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噪声与振动</w:t>
            </w:r>
          </w:p>
        </w:tc>
        <w:tc>
          <w:tcPr>
            <w:tcW w:w="584" w:type="pct"/>
            <w:vAlign w:val="center"/>
          </w:tcPr>
          <w:p w14:paraId="4B6426A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5C2BE5F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1B21A33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747EA20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391B0A3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509E6752" w14:textId="77777777">
        <w:trPr>
          <w:trHeight w:val="510"/>
        </w:trPr>
        <w:tc>
          <w:tcPr>
            <w:tcW w:w="415" w:type="pct"/>
            <w:vMerge/>
            <w:vAlign w:val="center"/>
          </w:tcPr>
          <w:p w14:paraId="2BE96220"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3366253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检维修作业</w:t>
            </w:r>
          </w:p>
        </w:tc>
        <w:tc>
          <w:tcPr>
            <w:tcW w:w="752" w:type="pct"/>
            <w:vAlign w:val="center"/>
          </w:tcPr>
          <w:p w14:paraId="70AF772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167B769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1980CA0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CD36C9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55F90AC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4E20851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4B397C45" w14:textId="77777777">
        <w:trPr>
          <w:trHeight w:val="510"/>
        </w:trPr>
        <w:tc>
          <w:tcPr>
            <w:tcW w:w="415" w:type="pct"/>
            <w:vMerge/>
            <w:vAlign w:val="center"/>
          </w:tcPr>
          <w:p w14:paraId="67EE95D2"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6F67BBF"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8F61BC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1494E03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E6A4A9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3EBB531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36ED4C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3DE6683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5F1ECF06" w14:textId="77777777">
        <w:trPr>
          <w:trHeight w:val="510"/>
        </w:trPr>
        <w:tc>
          <w:tcPr>
            <w:tcW w:w="415" w:type="pct"/>
            <w:vMerge/>
            <w:vAlign w:val="center"/>
          </w:tcPr>
          <w:p w14:paraId="77613EED"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8B7FE76"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5A9D22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0EF0017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87580F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3EE1167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C27967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75C3444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5909D523" w14:textId="77777777">
        <w:trPr>
          <w:trHeight w:val="510"/>
        </w:trPr>
        <w:tc>
          <w:tcPr>
            <w:tcW w:w="415" w:type="pct"/>
            <w:vMerge/>
            <w:vAlign w:val="center"/>
          </w:tcPr>
          <w:p w14:paraId="3BF90FCB"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CDFA6D3"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B0FE2D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7B7D308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CBCC67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4116F8C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2952EEE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6DA4742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01E102A2" w14:textId="77777777">
        <w:trPr>
          <w:trHeight w:val="510"/>
        </w:trPr>
        <w:tc>
          <w:tcPr>
            <w:tcW w:w="415" w:type="pct"/>
            <w:vMerge/>
            <w:vAlign w:val="center"/>
          </w:tcPr>
          <w:p w14:paraId="6942840B"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7D07C27"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437BC0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793667C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3737754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659B5C7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4363C9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7FBFF32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237F0B67" w14:textId="77777777">
        <w:trPr>
          <w:trHeight w:val="510"/>
        </w:trPr>
        <w:tc>
          <w:tcPr>
            <w:tcW w:w="415" w:type="pct"/>
            <w:vMerge w:val="restart"/>
            <w:vAlign w:val="center"/>
          </w:tcPr>
          <w:p w14:paraId="302EA8F1"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0913DFD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5A7F5E7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3573AB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4746FA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21EB0B3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11B134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16BE744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3068DB74" w14:textId="77777777">
        <w:trPr>
          <w:trHeight w:val="510"/>
        </w:trPr>
        <w:tc>
          <w:tcPr>
            <w:tcW w:w="415" w:type="pct"/>
            <w:vMerge/>
            <w:vAlign w:val="center"/>
          </w:tcPr>
          <w:p w14:paraId="5BE538D2"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3C1B84B"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9C7CD3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4118AB1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A698C9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6E427B6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78416E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716E52B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3B012526" w14:textId="77777777">
        <w:trPr>
          <w:trHeight w:val="510"/>
        </w:trPr>
        <w:tc>
          <w:tcPr>
            <w:tcW w:w="415" w:type="pct"/>
            <w:vMerge/>
            <w:vAlign w:val="center"/>
          </w:tcPr>
          <w:p w14:paraId="41B7AD02"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E750496"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A3DC6A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1EFBF96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439B7F0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3F64A8C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3AC8CF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5DA917C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7A3F7EBC" w14:textId="77777777">
        <w:trPr>
          <w:trHeight w:val="510"/>
        </w:trPr>
        <w:tc>
          <w:tcPr>
            <w:tcW w:w="415" w:type="pct"/>
            <w:vMerge/>
            <w:vAlign w:val="center"/>
          </w:tcPr>
          <w:p w14:paraId="35FAFB12"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87EBA53"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0BF0BB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2C317E9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1D149A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550388B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03A1011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52B4B98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bl>
    <w:p w14:paraId="70EDDFB1" w14:textId="16A1F500" w:rsidR="00502148" w:rsidRDefault="00000000">
      <w:pPr>
        <w:ind w:firstLine="560"/>
        <w:rPr>
          <w:rFonts w:ascii="Times New Roman" w:eastAsia="宋体" w:hAnsi="Times New Roman"/>
        </w:rPr>
      </w:pPr>
      <w:r>
        <w:rPr>
          <w:rFonts w:ascii="Times New Roman" w:eastAsia="宋体" w:hAnsi="Times New Roman"/>
        </w:rPr>
        <w:t>通过作业条件危险性评价可知，该站在卸油区进行卸油作业时发生火灾、爆炸、中毒和窒息、触电及车辆伤害的危险程度为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；进行检维修作业时发生火灾、爆炸及触电的危险程度为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；在加油作业区进行加油作业时发生火灾、爆炸的危险程度为</w:t>
      </w:r>
      <w:r>
        <w:rPr>
          <w:rFonts w:ascii="Times New Roman" w:eastAsia="宋体" w:hAnsi="Times New Roman" w:hint="eastAsia"/>
        </w:rPr>
        <w:t>“</w:t>
      </w:r>
      <w:r>
        <w:rPr>
          <w:rFonts w:ascii="Times New Roman" w:eastAsia="宋体" w:hAnsi="Times New Roman"/>
        </w:rPr>
        <w:t>比较危险</w:t>
      </w:r>
      <w:r>
        <w:rPr>
          <w:rFonts w:ascii="Times New Roman" w:eastAsia="宋体" w:hAnsi="Times New Roman" w:hint="eastAsia"/>
        </w:rPr>
        <w:t>”</w:t>
      </w:r>
      <w:r>
        <w:rPr>
          <w:rFonts w:ascii="Times New Roman" w:eastAsia="宋体" w:hAnsi="Times New Roman"/>
        </w:rPr>
        <w:t>、发生</w:t>
      </w:r>
      <w:r w:rsidR="00A66FFA" w:rsidRPr="00A66FFA">
        <w:rPr>
          <w:rFonts w:ascii="Times New Roman" w:eastAsia="宋体" w:hAnsi="Times New Roman"/>
        </w:rPr>
        <w:t>中毒和窒息、</w:t>
      </w:r>
      <w:r>
        <w:rPr>
          <w:rFonts w:ascii="Times New Roman" w:eastAsia="宋体" w:hAnsi="Times New Roman"/>
        </w:rPr>
        <w:t>触电、车辆伤害、机械伤害及噪声与振动的危险程度为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；进行检维修作业时发生火灾、爆炸、触电、物体打击、高处坠落及坍塌的危险程度为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；在站房进行检维修作业时发生火灾、爆炸、物体打击、高处坠落及坍塌的危险程度为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p>
    <w:p w14:paraId="70AB6AA1" w14:textId="77777777" w:rsidR="00502148" w:rsidRDefault="00000000">
      <w:pPr>
        <w:ind w:firstLine="560"/>
        <w:rPr>
          <w:rFonts w:ascii="Times New Roman" w:eastAsia="宋体" w:hAnsi="Times New Roman"/>
        </w:rPr>
      </w:pPr>
      <w:r>
        <w:rPr>
          <w:rFonts w:ascii="Times New Roman" w:eastAsia="宋体" w:hAnsi="Times New Roman" w:hint="eastAsia"/>
        </w:rPr>
        <w:lastRenderedPageBreak/>
        <w:t>（</w:t>
      </w:r>
      <w:r>
        <w:rPr>
          <w:rFonts w:ascii="Times New Roman" w:eastAsia="宋体" w:hAnsi="Times New Roman" w:hint="eastAsia"/>
        </w:rPr>
        <w:t>3</w:t>
      </w:r>
      <w:r>
        <w:rPr>
          <w:rFonts w:ascii="Times New Roman" w:eastAsia="宋体" w:hAnsi="Times New Roman" w:hint="eastAsia"/>
        </w:rPr>
        <w:t>）定量分析建设项目安全评价范围内和各个评价单元的固有危险程度</w:t>
      </w:r>
    </w:p>
    <w:p w14:paraId="7B26A0E4" w14:textId="77777777" w:rsidR="00502148" w:rsidRDefault="00000000">
      <w:pPr>
        <w:ind w:firstLine="560"/>
        <w:rPr>
          <w:rFonts w:ascii="Times New Roman" w:eastAsia="宋体" w:hAnsi="Times New Roman"/>
        </w:rPr>
      </w:pPr>
      <w:r>
        <w:rPr>
          <w:rFonts w:ascii="Times New Roman" w:eastAsia="宋体" w:hAnsi="Times New Roman" w:cs="Times New Roman"/>
        </w:rPr>
        <w:t>1</w:t>
      </w:r>
      <w:r>
        <w:rPr>
          <w:rFonts w:ascii="Times New Roman" w:eastAsia="宋体" w:hAnsi="Times New Roman" w:cs="Times New Roman" w:hint="eastAsia"/>
        </w:rPr>
        <w:t>）</w:t>
      </w:r>
      <w:r>
        <w:rPr>
          <w:rFonts w:ascii="Times New Roman" w:eastAsia="宋体" w:hAnsi="Times New Roman" w:hint="eastAsia"/>
        </w:rPr>
        <w:t>具有爆炸性化学品的质量及相当于梯恩梯（</w:t>
      </w:r>
      <w:r>
        <w:rPr>
          <w:rFonts w:ascii="Times New Roman" w:eastAsia="宋体" w:hAnsi="Times New Roman" w:hint="eastAsia"/>
        </w:rPr>
        <w:t>TNT</w:t>
      </w:r>
      <w:r>
        <w:rPr>
          <w:rFonts w:ascii="Times New Roman" w:eastAsia="宋体" w:hAnsi="Times New Roman" w:hint="eastAsia"/>
        </w:rPr>
        <w:t>）的摩尔量</w:t>
      </w:r>
    </w:p>
    <w:p w14:paraId="13F73528" w14:textId="77777777" w:rsidR="00502148" w:rsidRDefault="00000000">
      <w:pPr>
        <w:ind w:firstLine="560"/>
        <w:rPr>
          <w:rFonts w:ascii="Times New Roman" w:eastAsia="宋体" w:hAnsi="Times New Roman"/>
        </w:rPr>
      </w:pPr>
      <w:r>
        <w:rPr>
          <w:rFonts w:ascii="Times New Roman" w:eastAsia="宋体" w:hAnsi="Times New Roman" w:hint="eastAsia"/>
        </w:rPr>
        <w:t>该项目不涉及爆炸性物质。</w:t>
      </w:r>
    </w:p>
    <w:p w14:paraId="0DBEE96B" w14:textId="77777777" w:rsidR="00502148" w:rsidRDefault="00000000">
      <w:pPr>
        <w:ind w:firstLine="560"/>
        <w:rPr>
          <w:rFonts w:ascii="Times New Roman" w:eastAsia="宋体" w:hAnsi="Times New Roman"/>
        </w:rPr>
      </w:pPr>
      <w:r>
        <w:rPr>
          <w:rFonts w:ascii="Times New Roman" w:eastAsia="宋体" w:hAnsi="Times New Roman" w:cs="Times New Roman"/>
        </w:rPr>
        <w:t>2</w:t>
      </w:r>
      <w:r>
        <w:rPr>
          <w:rFonts w:ascii="Times New Roman" w:eastAsia="宋体" w:hAnsi="Times New Roman" w:cs="Times New Roman"/>
        </w:rPr>
        <w:t>）</w:t>
      </w:r>
      <w:r>
        <w:rPr>
          <w:rFonts w:ascii="Times New Roman" w:eastAsia="宋体" w:hAnsi="Times New Roman" w:hint="eastAsia"/>
        </w:rPr>
        <w:t>具有可燃性的化学品的质量及燃烧后放出的热量</w:t>
      </w:r>
    </w:p>
    <w:p w14:paraId="700D75F3" w14:textId="77777777" w:rsidR="00502148"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5.1</w:t>
      </w:r>
      <w:r>
        <w:rPr>
          <w:rFonts w:ascii="Times New Roman" w:eastAsia="黑体" w:hAnsi="Times New Roman" w:cs="Times New Roman"/>
          <w:sz w:val="24"/>
        </w:rPr>
        <w:t>-</w:t>
      </w:r>
      <w:r>
        <w:rPr>
          <w:rFonts w:ascii="Times New Roman" w:eastAsia="黑体" w:hAnsi="Times New Roman" w:cs="Times New Roman" w:hint="eastAsia"/>
          <w:sz w:val="24"/>
        </w:rPr>
        <w:t>3</w:t>
      </w:r>
      <w:r>
        <w:rPr>
          <w:rFonts w:ascii="黑体" w:eastAsia="黑体" w:hAnsi="黑体" w:hint="eastAsia"/>
          <w:sz w:val="24"/>
        </w:rPr>
        <w:t xml:space="preserve">  可燃性的化学品的质量及燃烧后放出的热量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849"/>
        <w:gridCol w:w="1836"/>
        <w:gridCol w:w="1777"/>
        <w:gridCol w:w="2726"/>
      </w:tblGrid>
      <w:tr w:rsidR="00502148" w14:paraId="3964FBA7" w14:textId="77777777">
        <w:trPr>
          <w:trHeight w:val="454"/>
          <w:jc w:val="center"/>
        </w:trPr>
        <w:tc>
          <w:tcPr>
            <w:tcW w:w="540" w:type="pct"/>
            <w:vAlign w:val="center"/>
          </w:tcPr>
          <w:p w14:paraId="4F72E170"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1007" w:type="pct"/>
            <w:vAlign w:val="center"/>
          </w:tcPr>
          <w:p w14:paraId="053F70C4"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物质名称</w:t>
            </w:r>
          </w:p>
        </w:tc>
        <w:tc>
          <w:tcPr>
            <w:tcW w:w="1000" w:type="pct"/>
            <w:vAlign w:val="center"/>
          </w:tcPr>
          <w:p w14:paraId="6DD5B1F8"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最大</w:t>
            </w:r>
            <w:r>
              <w:rPr>
                <w:rFonts w:ascii="Times New Roman" w:eastAsia="宋体" w:hAnsi="Times New Roman" w:cs="Times New Roman"/>
                <w:bCs/>
                <w:sz w:val="21"/>
                <w:szCs w:val="21"/>
                <w14:ligatures w14:val="none"/>
              </w:rPr>
              <w:t>储存量（</w:t>
            </w:r>
            <w:r>
              <w:rPr>
                <w:rFonts w:ascii="Times New Roman" w:eastAsia="宋体" w:hAnsi="Times New Roman" w:cs="Times New Roman"/>
                <w:bCs/>
                <w:sz w:val="21"/>
                <w:szCs w:val="21"/>
                <w14:ligatures w14:val="none"/>
              </w:rPr>
              <w:t>t</w:t>
            </w:r>
            <w:r>
              <w:rPr>
                <w:rFonts w:ascii="Times New Roman" w:eastAsia="宋体" w:hAnsi="Times New Roman" w:cs="Times New Roman"/>
                <w:bCs/>
                <w:sz w:val="21"/>
                <w:szCs w:val="21"/>
                <w14:ligatures w14:val="none"/>
              </w:rPr>
              <w:t>）</w:t>
            </w:r>
          </w:p>
        </w:tc>
        <w:tc>
          <w:tcPr>
            <w:tcW w:w="968" w:type="pct"/>
            <w:vAlign w:val="center"/>
          </w:tcPr>
          <w:p w14:paraId="3A195BB9"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燃烧热（</w:t>
            </w:r>
            <w:r>
              <w:rPr>
                <w:rFonts w:ascii="Times New Roman" w:eastAsia="宋体" w:hAnsi="Times New Roman" w:cs="Times New Roman" w:hint="eastAsia"/>
                <w:bCs/>
                <w:sz w:val="21"/>
                <w:szCs w:val="21"/>
                <w14:ligatures w14:val="none"/>
              </w:rPr>
              <w:t>kJ/kg</w:t>
            </w:r>
            <w:r>
              <w:rPr>
                <w:rFonts w:ascii="Times New Roman" w:eastAsia="宋体" w:hAnsi="Times New Roman" w:cs="Times New Roman"/>
                <w:bCs/>
                <w:sz w:val="21"/>
                <w:szCs w:val="21"/>
                <w14:ligatures w14:val="none"/>
              </w:rPr>
              <w:t>）</w:t>
            </w:r>
          </w:p>
        </w:tc>
        <w:tc>
          <w:tcPr>
            <w:tcW w:w="1485" w:type="pct"/>
            <w:vAlign w:val="center"/>
          </w:tcPr>
          <w:p w14:paraId="79E09FF2"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燃烧后</w:t>
            </w:r>
            <w:r>
              <w:rPr>
                <w:rFonts w:ascii="Times New Roman" w:eastAsia="宋体" w:hAnsi="Times New Roman" w:cs="Times New Roman" w:hint="eastAsia"/>
                <w:bCs/>
                <w:sz w:val="21"/>
                <w:szCs w:val="21"/>
                <w14:ligatures w14:val="none"/>
              </w:rPr>
              <w:t>放出</w:t>
            </w:r>
            <w:r>
              <w:rPr>
                <w:rFonts w:ascii="Times New Roman" w:eastAsia="宋体" w:hAnsi="Times New Roman" w:cs="Times New Roman"/>
                <w:bCs/>
                <w:sz w:val="21"/>
                <w:szCs w:val="21"/>
                <w14:ligatures w14:val="none"/>
              </w:rPr>
              <w:t>的热量（</w:t>
            </w:r>
            <w:r>
              <w:rPr>
                <w:rFonts w:ascii="Times New Roman" w:eastAsia="宋体" w:hAnsi="Times New Roman" w:cs="Times New Roman" w:hint="eastAsia"/>
                <w:bCs/>
                <w:sz w:val="21"/>
                <w:szCs w:val="21"/>
                <w14:ligatures w14:val="none"/>
              </w:rPr>
              <w:t>kJ</w:t>
            </w:r>
            <w:r>
              <w:rPr>
                <w:rFonts w:ascii="Times New Roman" w:eastAsia="宋体" w:hAnsi="Times New Roman" w:cs="Times New Roman"/>
                <w:bCs/>
                <w:sz w:val="21"/>
                <w:szCs w:val="21"/>
                <w14:ligatures w14:val="none"/>
              </w:rPr>
              <w:t>）</w:t>
            </w:r>
          </w:p>
        </w:tc>
      </w:tr>
      <w:tr w:rsidR="00502148" w14:paraId="6D53D2CD" w14:textId="77777777">
        <w:trPr>
          <w:trHeight w:val="454"/>
          <w:jc w:val="center"/>
        </w:trPr>
        <w:tc>
          <w:tcPr>
            <w:tcW w:w="540" w:type="pct"/>
            <w:vAlign w:val="center"/>
          </w:tcPr>
          <w:p w14:paraId="72170F81" w14:textId="77777777" w:rsidR="00502148" w:rsidRDefault="00502148">
            <w:pPr>
              <w:numPr>
                <w:ilvl w:val="0"/>
                <w:numId w:val="2"/>
              </w:numPr>
              <w:tabs>
                <w:tab w:val="left" w:pos="1200"/>
                <w:tab w:val="left" w:pos="1276"/>
              </w:tabs>
              <w:spacing w:line="240" w:lineRule="auto"/>
              <w:ind w:left="0" w:firstLineChars="0" w:firstLine="0"/>
              <w:jc w:val="center"/>
              <w:rPr>
                <w:rFonts w:ascii="Calibri" w:eastAsia="宋体" w:hAnsi="Calibri" w:cs="Times New Roman"/>
                <w:kern w:val="0"/>
                <w:sz w:val="24"/>
                <w14:ligatures w14:val="none"/>
              </w:rPr>
            </w:pPr>
          </w:p>
        </w:tc>
        <w:tc>
          <w:tcPr>
            <w:tcW w:w="1007" w:type="pct"/>
            <w:vAlign w:val="center"/>
          </w:tcPr>
          <w:p w14:paraId="79BABFE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1000" w:type="pct"/>
            <w:vAlign w:val="center"/>
          </w:tcPr>
          <w:p w14:paraId="0C60B41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968" w:type="pct"/>
            <w:vAlign w:val="center"/>
          </w:tcPr>
          <w:p w14:paraId="74E9D8F4"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45980</w:t>
            </w:r>
          </w:p>
        </w:tc>
        <w:tc>
          <w:tcPr>
            <w:tcW w:w="1485" w:type="pct"/>
            <w:vAlign w:val="center"/>
          </w:tcPr>
          <w:p w14:paraId="4A34F97B"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bCs/>
                <w:sz w:val="21"/>
                <w:szCs w:val="21"/>
                <w14:ligatures w14:val="none"/>
              </w:rPr>
              <w:t>2.2</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10</w:t>
            </w:r>
            <w:r>
              <w:rPr>
                <w:rFonts w:ascii="Times New Roman" w:eastAsia="宋体" w:hAnsi="Times New Roman" w:cs="Times New Roman" w:hint="eastAsia"/>
                <w:sz w:val="21"/>
                <w:szCs w:val="21"/>
                <w:vertAlign w:val="superscript"/>
                <w14:ligatures w14:val="none"/>
              </w:rPr>
              <w:t>9</w:t>
            </w:r>
          </w:p>
        </w:tc>
      </w:tr>
      <w:tr w:rsidR="00502148" w14:paraId="39E244F0" w14:textId="77777777">
        <w:trPr>
          <w:trHeight w:val="454"/>
          <w:jc w:val="center"/>
        </w:trPr>
        <w:tc>
          <w:tcPr>
            <w:tcW w:w="540" w:type="pct"/>
            <w:vAlign w:val="center"/>
          </w:tcPr>
          <w:p w14:paraId="43CAEAA0" w14:textId="77777777" w:rsidR="00502148" w:rsidRDefault="00502148">
            <w:pPr>
              <w:numPr>
                <w:ilvl w:val="0"/>
                <w:numId w:val="2"/>
              </w:numPr>
              <w:tabs>
                <w:tab w:val="left" w:pos="1200"/>
                <w:tab w:val="left" w:pos="1276"/>
              </w:tabs>
              <w:spacing w:line="240" w:lineRule="auto"/>
              <w:ind w:left="0" w:firstLineChars="0" w:firstLine="0"/>
              <w:jc w:val="center"/>
              <w:rPr>
                <w:rFonts w:ascii="Calibri" w:eastAsia="宋体" w:hAnsi="Calibri" w:cs="Times New Roman"/>
                <w:kern w:val="0"/>
                <w:sz w:val="24"/>
                <w:lang w:eastAsia="en-US"/>
                <w14:ligatures w14:val="none"/>
              </w:rPr>
            </w:pPr>
          </w:p>
        </w:tc>
        <w:tc>
          <w:tcPr>
            <w:tcW w:w="1007" w:type="pct"/>
            <w:vAlign w:val="center"/>
          </w:tcPr>
          <w:p w14:paraId="5A97C22F"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1000" w:type="pct"/>
            <w:vAlign w:val="center"/>
          </w:tcPr>
          <w:p w14:paraId="0B01588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968" w:type="pct"/>
            <w:vAlign w:val="center"/>
          </w:tcPr>
          <w:p w14:paraId="4DAEB3A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bCs/>
                <w:sz w:val="21"/>
                <w:szCs w:val="21"/>
                <w14:ligatures w14:val="none"/>
              </w:rPr>
              <w:t>40184</w:t>
            </w:r>
          </w:p>
        </w:tc>
        <w:tc>
          <w:tcPr>
            <w:tcW w:w="1485" w:type="pct"/>
            <w:vAlign w:val="center"/>
          </w:tcPr>
          <w:p w14:paraId="422FABE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4.1</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10</w:t>
            </w:r>
            <w:r>
              <w:rPr>
                <w:rFonts w:ascii="Times New Roman" w:eastAsia="宋体" w:hAnsi="Times New Roman" w:cs="Times New Roman" w:hint="eastAsia"/>
                <w:sz w:val="21"/>
                <w:szCs w:val="21"/>
                <w:vertAlign w:val="superscript"/>
                <w14:ligatures w14:val="none"/>
              </w:rPr>
              <w:t>9</w:t>
            </w:r>
          </w:p>
        </w:tc>
      </w:tr>
    </w:tbl>
    <w:p w14:paraId="387B6F5F" w14:textId="77777777" w:rsidR="00502148" w:rsidRDefault="00000000">
      <w:pPr>
        <w:ind w:firstLine="560"/>
        <w:rPr>
          <w:rFonts w:ascii="Times New Roman" w:eastAsia="宋体" w:hAnsi="Times New Roman"/>
        </w:rPr>
      </w:pPr>
      <w:r>
        <w:rPr>
          <w:rFonts w:ascii="Times New Roman" w:eastAsia="宋体" w:hAnsi="Times New Roman" w:cs="Times New Roman"/>
        </w:rPr>
        <w:t>3</w:t>
      </w:r>
      <w:r>
        <w:rPr>
          <w:rFonts w:ascii="Times New Roman" w:eastAsia="宋体" w:hAnsi="Times New Roman" w:cs="Times New Roman"/>
        </w:rPr>
        <w:t>）</w:t>
      </w:r>
      <w:r>
        <w:rPr>
          <w:rFonts w:ascii="Times New Roman" w:eastAsia="宋体" w:hAnsi="Times New Roman" w:hint="eastAsia"/>
        </w:rPr>
        <w:t>具有毒性的化学品的浓度及质量</w:t>
      </w:r>
    </w:p>
    <w:p w14:paraId="726C7496" w14:textId="77777777" w:rsidR="00502148" w:rsidRDefault="00000000">
      <w:pPr>
        <w:ind w:firstLine="560"/>
        <w:rPr>
          <w:rFonts w:ascii="Times New Roman" w:eastAsia="宋体" w:hAnsi="Times New Roman"/>
        </w:rPr>
      </w:pPr>
      <w:r>
        <w:rPr>
          <w:rFonts w:ascii="Times New Roman" w:eastAsia="宋体" w:hAnsi="Times New Roman" w:hint="eastAsia"/>
        </w:rPr>
        <w:t>该项目不涉及高毒及剧毒化学品，车用乙醇汽油职业接触限值：</w:t>
      </w:r>
      <w:r>
        <w:rPr>
          <w:rFonts w:ascii="Times New Roman" w:eastAsia="宋体" w:hAnsi="Times New Roman" w:hint="eastAsia"/>
        </w:rPr>
        <w:t>PC-TWA</w:t>
      </w:r>
      <w:r>
        <w:rPr>
          <w:rFonts w:ascii="Times New Roman" w:eastAsia="宋体" w:hAnsi="Times New Roman" w:hint="eastAsia"/>
        </w:rPr>
        <w:t>：</w:t>
      </w:r>
      <w:r>
        <w:rPr>
          <w:rFonts w:ascii="Times New Roman" w:eastAsia="宋体" w:hAnsi="Times New Roman" w:hint="eastAsia"/>
        </w:rPr>
        <w:t>300mg/m</w:t>
      </w:r>
      <w:r>
        <w:rPr>
          <w:rFonts w:ascii="Times New Roman" w:eastAsia="宋体" w:hAnsi="Times New Roman" w:hint="eastAsia"/>
        </w:rPr>
        <w:t>³。</w:t>
      </w:r>
    </w:p>
    <w:p w14:paraId="45C19FF8" w14:textId="77777777" w:rsidR="00502148" w:rsidRDefault="00000000">
      <w:pPr>
        <w:ind w:firstLine="560"/>
        <w:rPr>
          <w:rFonts w:ascii="Times New Roman" w:eastAsia="宋体" w:hAnsi="Times New Roman"/>
        </w:rPr>
      </w:pPr>
      <w:r>
        <w:rPr>
          <w:rFonts w:ascii="Times New Roman" w:eastAsia="宋体" w:hAnsi="Times New Roman" w:cs="Times New Roman"/>
        </w:rPr>
        <w:t>4</w:t>
      </w:r>
      <w:r>
        <w:rPr>
          <w:rFonts w:ascii="Times New Roman" w:eastAsia="宋体" w:hAnsi="Times New Roman" w:cs="Times New Roman"/>
        </w:rPr>
        <w:t>）</w:t>
      </w:r>
      <w:r>
        <w:rPr>
          <w:rFonts w:ascii="Times New Roman" w:eastAsia="宋体" w:hAnsi="Times New Roman" w:hint="eastAsia"/>
        </w:rPr>
        <w:t>具有腐蚀性的化学品的浓度及质量</w:t>
      </w:r>
    </w:p>
    <w:p w14:paraId="3022C223" w14:textId="77777777" w:rsidR="00502148" w:rsidRDefault="00000000">
      <w:pPr>
        <w:ind w:firstLine="560"/>
        <w:rPr>
          <w:rFonts w:ascii="Times New Roman" w:eastAsia="宋体" w:hAnsi="Times New Roman"/>
        </w:rPr>
      </w:pPr>
      <w:r>
        <w:rPr>
          <w:rFonts w:ascii="Times New Roman" w:eastAsia="宋体" w:hAnsi="Times New Roman" w:hint="eastAsia"/>
        </w:rPr>
        <w:t>该项目不涉及腐蚀性化学品。</w:t>
      </w:r>
    </w:p>
    <w:p w14:paraId="407E98C6" w14:textId="77777777" w:rsidR="00502148"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2" w:name="_Toc12276"/>
      <w:r>
        <w:rPr>
          <w:rFonts w:ascii="Times New Roman" w:eastAsia="楷体" w:hAnsi="Times New Roman" w:cs="宋体" w:hint="eastAsia"/>
          <w:b/>
          <w:bCs/>
          <w:sz w:val="32"/>
          <w:szCs w:val="28"/>
          <w:lang w:bidi="ar"/>
          <w14:ligatures w14:val="none"/>
        </w:rPr>
        <w:t>5.2</w:t>
      </w:r>
      <w:r>
        <w:rPr>
          <w:rFonts w:ascii="Times New Roman" w:eastAsia="楷体" w:hAnsi="Times New Roman" w:cs="宋体"/>
          <w:b/>
          <w:bCs/>
          <w:sz w:val="32"/>
          <w:szCs w:val="28"/>
          <w:lang w:bidi="ar"/>
          <w14:ligatures w14:val="none"/>
        </w:rPr>
        <w:t>风险程度的分析</w:t>
      </w:r>
      <w:bookmarkEnd w:id="62"/>
    </w:p>
    <w:p w14:paraId="53B7B886" w14:textId="77777777" w:rsidR="00502148" w:rsidRDefault="00000000">
      <w:pPr>
        <w:ind w:firstLine="560"/>
        <w:rPr>
          <w:rFonts w:ascii="Times New Roman" w:eastAsia="宋体" w:hAnsi="Times New Roman"/>
        </w:rPr>
      </w:pPr>
      <w:r>
        <w:rPr>
          <w:rFonts w:ascii="Times New Roman" w:eastAsia="宋体" w:hAnsi="Times New Roman" w:hint="eastAsia"/>
        </w:rPr>
        <w:t>根据选定的安全评价方法对该项目进行相关的分析评价。具体评价结果，见表</w:t>
      </w:r>
      <w:r>
        <w:rPr>
          <w:rFonts w:ascii="Times New Roman" w:eastAsia="宋体" w:hAnsi="Times New Roman" w:hint="eastAsia"/>
        </w:rPr>
        <w:t>5.2-1</w:t>
      </w:r>
      <w:r>
        <w:rPr>
          <w:rFonts w:ascii="Times New Roman" w:eastAsia="宋体" w:hAnsi="Times New Roman" w:hint="eastAsia"/>
        </w:rPr>
        <w:t>。评价过程，见报告附件</w:t>
      </w:r>
      <w:r>
        <w:rPr>
          <w:rFonts w:ascii="Times New Roman" w:eastAsia="宋体" w:hAnsi="Times New Roman" w:hint="eastAsia"/>
        </w:rPr>
        <w:t>4</w:t>
      </w:r>
      <w:r>
        <w:rPr>
          <w:rFonts w:ascii="Times New Roman" w:eastAsia="宋体" w:hAnsi="Times New Roman" w:hint="eastAsia"/>
        </w:rPr>
        <w:t>。</w:t>
      </w:r>
    </w:p>
    <w:p w14:paraId="4A2EC94A" w14:textId="77777777" w:rsidR="00502148"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5.2-1</w:t>
      </w:r>
      <w:r>
        <w:rPr>
          <w:rFonts w:ascii="黑体" w:eastAsia="黑体" w:hAnsi="黑体" w:hint="eastAsia"/>
          <w:sz w:val="24"/>
        </w:rPr>
        <w:t xml:space="preserve">  风险评价结果汇总表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90"/>
        <w:gridCol w:w="6086"/>
      </w:tblGrid>
      <w:tr w:rsidR="00502148" w14:paraId="02C8C4AE" w14:textId="77777777">
        <w:trPr>
          <w:trHeight w:val="454"/>
          <w:tblHeader/>
        </w:trPr>
        <w:tc>
          <w:tcPr>
            <w:tcW w:w="383" w:type="pct"/>
            <w:vAlign w:val="center"/>
          </w:tcPr>
          <w:p w14:paraId="7FED0933"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302" w:type="pct"/>
            <w:vAlign w:val="center"/>
          </w:tcPr>
          <w:p w14:paraId="4386EA41"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评价方法</w:t>
            </w:r>
          </w:p>
        </w:tc>
        <w:tc>
          <w:tcPr>
            <w:tcW w:w="3315" w:type="pct"/>
            <w:vAlign w:val="center"/>
          </w:tcPr>
          <w:p w14:paraId="29D59BDA"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评价结果</w:t>
            </w:r>
          </w:p>
        </w:tc>
      </w:tr>
      <w:tr w:rsidR="00502148" w14:paraId="45E1EA92" w14:textId="77777777">
        <w:trPr>
          <w:trHeight w:val="454"/>
        </w:trPr>
        <w:tc>
          <w:tcPr>
            <w:tcW w:w="383" w:type="pct"/>
            <w:vAlign w:val="center"/>
          </w:tcPr>
          <w:p w14:paraId="6B2DE973"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302" w:type="pct"/>
            <w:vAlign w:val="center"/>
          </w:tcPr>
          <w:p w14:paraId="5B61E15B" w14:textId="77777777" w:rsidR="00502148" w:rsidRDefault="00000000">
            <w:pPr>
              <w:adjustRightInd/>
              <w:snapToGrid/>
              <w:spacing w:line="240" w:lineRule="auto"/>
              <w:ind w:firstLine="42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c>
          <w:tcPr>
            <w:tcW w:w="3315" w:type="pct"/>
            <w:vAlign w:val="center"/>
          </w:tcPr>
          <w:p w14:paraId="550F4549" w14:textId="685B2E51" w:rsidR="00502148"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通过对</w:t>
            </w:r>
            <w:r>
              <w:rPr>
                <w:rFonts w:ascii="Times New Roman" w:eastAsia="宋体" w:hAnsi="Times New Roman" w:cs="Times New Roman" w:hint="eastAsia"/>
                <w:sz w:val="21"/>
                <w:szCs w:val="21"/>
                <w14:ligatures w14:val="none"/>
              </w:rPr>
              <w:t>该项目</w:t>
            </w:r>
            <w:r>
              <w:rPr>
                <w:rFonts w:ascii="Times New Roman" w:eastAsia="宋体" w:hAnsi="Times New Roman" w:cs="Times New Roman"/>
                <w:sz w:val="21"/>
                <w:szCs w:val="21"/>
                <w14:ligatures w14:val="none"/>
              </w:rPr>
              <w:t>的选址及总平面布置、加油工艺设备及设施、公用工程及辅助设施以及安全管理、重大生产安全事故隐患判定</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个单元共检查项目</w:t>
            </w:r>
            <w:r w:rsidR="001E7543" w:rsidRPr="00435458">
              <w:rPr>
                <w:rFonts w:ascii="Times New Roman" w:eastAsia="宋体" w:hAnsi="Times New Roman" w:cs="Times New Roman"/>
                <w:sz w:val="21"/>
                <w:szCs w:val="21"/>
                <w14:ligatures w14:val="none"/>
              </w:rPr>
              <w:t>共</w:t>
            </w:r>
            <w:r w:rsidR="001E7543" w:rsidRPr="00435458">
              <w:rPr>
                <w:rFonts w:ascii="Times New Roman" w:eastAsia="宋体" w:hAnsi="Times New Roman" w:cs="Times New Roman"/>
                <w:sz w:val="21"/>
                <w:szCs w:val="21"/>
                <w14:ligatures w14:val="none"/>
              </w:rPr>
              <w:t>13</w:t>
            </w:r>
            <w:r w:rsidR="007739ED" w:rsidRPr="00435458">
              <w:rPr>
                <w:rFonts w:ascii="Times New Roman" w:eastAsia="宋体" w:hAnsi="Times New Roman" w:cs="Times New Roman" w:hint="eastAsia"/>
                <w:sz w:val="21"/>
                <w:szCs w:val="21"/>
                <w14:ligatures w14:val="none"/>
              </w:rPr>
              <w:t>0</w:t>
            </w:r>
            <w:r w:rsidR="001E7543" w:rsidRPr="00435458">
              <w:rPr>
                <w:rFonts w:ascii="Times New Roman" w:eastAsia="宋体" w:hAnsi="Times New Roman" w:cs="Times New Roman"/>
                <w:sz w:val="21"/>
                <w:szCs w:val="21"/>
                <w14:ligatures w14:val="none"/>
              </w:rPr>
              <w:t>项，其中符合项为</w:t>
            </w:r>
            <w:r w:rsidR="001E7543" w:rsidRPr="00435458">
              <w:rPr>
                <w:rFonts w:ascii="Times New Roman" w:eastAsia="宋体" w:hAnsi="Times New Roman" w:cs="Times New Roman"/>
                <w:sz w:val="21"/>
                <w:szCs w:val="21"/>
                <w14:ligatures w14:val="none"/>
              </w:rPr>
              <w:t>12</w:t>
            </w:r>
            <w:r w:rsidR="007739ED" w:rsidRPr="00435458">
              <w:rPr>
                <w:rFonts w:ascii="Times New Roman" w:eastAsia="宋体" w:hAnsi="Times New Roman" w:cs="Times New Roman" w:hint="eastAsia"/>
                <w:sz w:val="21"/>
                <w:szCs w:val="21"/>
                <w14:ligatures w14:val="none"/>
              </w:rPr>
              <w:t>3</w:t>
            </w:r>
            <w:r w:rsidR="001E7543" w:rsidRPr="00435458">
              <w:rPr>
                <w:rFonts w:ascii="Times New Roman" w:eastAsia="宋体" w:hAnsi="Times New Roman" w:cs="Times New Roman"/>
                <w:sz w:val="21"/>
                <w:szCs w:val="21"/>
                <w14:ligatures w14:val="none"/>
              </w:rPr>
              <w:t>项，无关项为</w:t>
            </w:r>
            <w:r w:rsidR="001E7543" w:rsidRPr="00435458">
              <w:rPr>
                <w:rFonts w:ascii="Times New Roman" w:eastAsia="宋体" w:hAnsi="Times New Roman" w:cs="Times New Roman"/>
                <w:sz w:val="21"/>
                <w:szCs w:val="21"/>
                <w14:ligatures w14:val="none"/>
              </w:rPr>
              <w:t>7</w:t>
            </w:r>
            <w:r w:rsidR="001E7543" w:rsidRPr="00435458">
              <w:rPr>
                <w:rFonts w:ascii="Times New Roman" w:eastAsia="宋体" w:hAnsi="Times New Roman" w:cs="Times New Roman"/>
                <w:sz w:val="21"/>
                <w:szCs w:val="21"/>
                <w14:ligatures w14:val="none"/>
              </w:rPr>
              <w:t>项</w:t>
            </w:r>
            <w:r>
              <w:rPr>
                <w:rFonts w:ascii="Times New Roman" w:eastAsia="宋体" w:hAnsi="Times New Roman" w:cs="Times New Roman"/>
                <w:sz w:val="21"/>
                <w:szCs w:val="21"/>
                <w14:ligatures w14:val="none"/>
              </w:rPr>
              <w:t>。</w:t>
            </w:r>
          </w:p>
        </w:tc>
      </w:tr>
      <w:tr w:rsidR="00502148" w14:paraId="080530B8" w14:textId="77777777">
        <w:trPr>
          <w:trHeight w:val="454"/>
        </w:trPr>
        <w:tc>
          <w:tcPr>
            <w:tcW w:w="383" w:type="pct"/>
            <w:vAlign w:val="center"/>
          </w:tcPr>
          <w:p w14:paraId="06F0AFD8"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1302" w:type="pct"/>
            <w:vAlign w:val="center"/>
          </w:tcPr>
          <w:p w14:paraId="5A96ABE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作业条件危险性分析法</w:t>
            </w:r>
          </w:p>
        </w:tc>
        <w:tc>
          <w:tcPr>
            <w:tcW w:w="3315" w:type="pct"/>
            <w:vAlign w:val="center"/>
          </w:tcPr>
          <w:p w14:paraId="614DFD8F" w14:textId="004A7856" w:rsidR="00502148"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通过作业条件危险性评价可知，该站在卸油区进行卸油作业时发生火灾、爆炸、中毒和窒息、触电及车辆伤害的危险程度为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；进行检维修作业时发生火灾、爆炸及触电的危险程度为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；在加油作业区进行加油作业时发生火灾、爆炸的危险程度为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比较危险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、发生</w:t>
            </w:r>
            <w:r w:rsidR="00A66FFA" w:rsidRPr="00A66FFA">
              <w:rPr>
                <w:rFonts w:ascii="Times New Roman" w:eastAsia="宋体" w:hAnsi="Times New Roman" w:cs="Times New Roman"/>
                <w:sz w:val="21"/>
                <w:szCs w:val="21"/>
                <w14:ligatures w14:val="none"/>
              </w:rPr>
              <w:t>中毒和窒息、</w:t>
            </w:r>
            <w:r>
              <w:rPr>
                <w:rFonts w:ascii="Times New Roman" w:eastAsia="宋体" w:hAnsi="Times New Roman" w:cs="Times New Roman"/>
                <w:sz w:val="21"/>
                <w:szCs w:val="21"/>
                <w14:ligatures w14:val="none"/>
              </w:rPr>
              <w:t>触电、车辆伤害、机械伤害及噪声与振动的危险程度为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；进行检维修作业时</w:t>
            </w:r>
            <w:r>
              <w:rPr>
                <w:rFonts w:ascii="Times New Roman" w:eastAsia="宋体" w:hAnsi="Times New Roman" w:cs="Times New Roman"/>
                <w:sz w:val="21"/>
                <w:szCs w:val="21"/>
                <w14:ligatures w14:val="none"/>
              </w:rPr>
              <w:lastRenderedPageBreak/>
              <w:t>发生火灾、爆炸、触电、物体打击、高处坠落及坍塌的危险程度为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；在站房进行检维修作业时发生火灾、爆炸、物体打击、高处坠落及坍塌的危险程度为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p>
        </w:tc>
      </w:tr>
      <w:tr w:rsidR="00502148" w14:paraId="2AD1923F" w14:textId="77777777">
        <w:trPr>
          <w:trHeight w:val="454"/>
        </w:trPr>
        <w:tc>
          <w:tcPr>
            <w:tcW w:w="383" w:type="pct"/>
            <w:vAlign w:val="center"/>
          </w:tcPr>
          <w:p w14:paraId="4A2AA72F" w14:textId="77777777" w:rsidR="00502148"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302" w:type="pct"/>
            <w:vAlign w:val="center"/>
          </w:tcPr>
          <w:p w14:paraId="615C9395" w14:textId="77777777" w:rsidR="00502148" w:rsidRDefault="00000000">
            <w:pPr>
              <w:adjustRightInd/>
              <w:snapToGrid/>
              <w:spacing w:line="240" w:lineRule="auto"/>
              <w:ind w:firstLine="42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TNT</w:t>
            </w:r>
            <w:r>
              <w:rPr>
                <w:rFonts w:ascii="Times New Roman" w:eastAsia="宋体" w:hAnsi="Times New Roman" w:cs="Times New Roman"/>
                <w:sz w:val="21"/>
                <w:szCs w:val="21"/>
                <w14:ligatures w14:val="none"/>
              </w:rPr>
              <w:t>当量法</w:t>
            </w:r>
          </w:p>
        </w:tc>
        <w:tc>
          <w:tcPr>
            <w:tcW w:w="3315" w:type="pct"/>
            <w:vAlign w:val="center"/>
          </w:tcPr>
          <w:p w14:paraId="3796AF58" w14:textId="77777777" w:rsidR="00502148"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Pr>
                <w:rFonts w:ascii="Times New Roman" w:eastAsia="宋体" w:hAnsi="Times New Roman" w:cs="Times New Roman"/>
                <w:sz w:val="21"/>
                <w:szCs w:val="21"/>
                <w14:ligatures w14:val="none"/>
              </w:rPr>
              <w:t>单个埋地汽油罐的最大储存量为</w:t>
            </w:r>
            <w:r>
              <w:rPr>
                <w:rFonts w:ascii="Times New Roman" w:eastAsia="宋体" w:hAnsi="Times New Roman" w:cs="Times New Roman" w:hint="eastAsia"/>
                <w:sz w:val="21"/>
                <w:szCs w:val="21"/>
                <w14:ligatures w14:val="none"/>
              </w:rPr>
              <w:t>24</w:t>
            </w:r>
            <w:r>
              <w:rPr>
                <w:rFonts w:ascii="Times New Roman" w:eastAsia="宋体" w:hAnsi="Times New Roman" w:cs="Times New Roman"/>
                <w:sz w:val="21"/>
                <w:szCs w:val="21"/>
                <w14:ligatures w14:val="none"/>
              </w:rPr>
              <w:t>t</w:t>
            </w:r>
            <w:r>
              <w:rPr>
                <w:rFonts w:ascii="Times New Roman" w:eastAsia="宋体" w:hAnsi="Times New Roman" w:cs="Times New Roman"/>
                <w:sz w:val="21"/>
                <w:szCs w:val="21"/>
                <w14:ligatures w14:val="none"/>
              </w:rPr>
              <w:t>，</w:t>
            </w:r>
            <w:r>
              <w:rPr>
                <w:rFonts w:ascii="Times New Roman" w:eastAsia="宋体" w:hAnsi="Times New Roman" w:cs="Times New Roman" w:hint="eastAsia"/>
                <w:sz w:val="21"/>
                <w:szCs w:val="21"/>
                <w14:ligatures w14:val="none"/>
              </w:rPr>
              <w:t>本项目</w:t>
            </w:r>
            <w:r>
              <w:rPr>
                <w:rFonts w:ascii="Times New Roman" w:eastAsia="宋体" w:hAnsi="Times New Roman" w:cs="Times New Roman"/>
                <w:sz w:val="21"/>
                <w:szCs w:val="21"/>
                <w14:ligatures w14:val="none"/>
              </w:rPr>
              <w:t>单个埋地汽油罐的最大储存量为</w:t>
            </w:r>
            <w:r>
              <w:rPr>
                <w:rFonts w:ascii="Times New Roman" w:eastAsia="宋体" w:hAnsi="Times New Roman" w:cs="Times New Roman" w:hint="eastAsia"/>
                <w:sz w:val="21"/>
                <w:szCs w:val="21"/>
                <w14:ligatures w14:val="none"/>
              </w:rPr>
              <w:t>24</w:t>
            </w:r>
            <w:r>
              <w:rPr>
                <w:rFonts w:ascii="Times New Roman" w:eastAsia="宋体" w:hAnsi="Times New Roman" w:cs="Times New Roman"/>
                <w:sz w:val="21"/>
                <w:szCs w:val="21"/>
                <w14:ligatures w14:val="none"/>
              </w:rPr>
              <w:t>t</w:t>
            </w:r>
            <w:r>
              <w:rPr>
                <w:rFonts w:ascii="Times New Roman" w:eastAsia="宋体" w:hAnsi="Times New Roman" w:cs="Times New Roman"/>
                <w:sz w:val="21"/>
                <w:szCs w:val="21"/>
                <w14:ligatures w14:val="none"/>
              </w:rPr>
              <w:t>，根据</w:t>
            </w:r>
            <w:r>
              <w:rPr>
                <w:rFonts w:ascii="Times New Roman" w:eastAsia="宋体" w:hAnsi="Times New Roman" w:cs="Times New Roman" w:hint="eastAsia"/>
                <w:sz w:val="21"/>
                <w:szCs w:val="21"/>
                <w14:ligatures w14:val="none"/>
              </w:rPr>
              <w:t>G</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M</w:t>
            </w:r>
            <w:r>
              <w:rPr>
                <w:rFonts w:ascii="Times New Roman" w:eastAsia="宋体" w:hAnsi="Times New Roman" w:cs="Times New Roman" w:hint="eastAsia"/>
                <w:sz w:val="21"/>
                <w:szCs w:val="21"/>
                <w14:ligatures w14:val="none"/>
              </w:rPr>
              <w:t>莱克霍夫分析法</w:t>
            </w:r>
            <w:r>
              <w:rPr>
                <w:rFonts w:ascii="Times New Roman" w:eastAsia="宋体" w:hAnsi="Times New Roman" w:cs="Times New Roman"/>
                <w:sz w:val="21"/>
                <w:szCs w:val="21"/>
                <w14:ligatures w14:val="none"/>
              </w:rPr>
              <w:t>得出的死亡半径</w:t>
            </w:r>
            <w:r>
              <w:rPr>
                <w:rFonts w:ascii="Times New Roman" w:eastAsia="宋体" w:hAnsi="Times New Roman" w:cs="Times New Roman"/>
                <w:sz w:val="21"/>
                <w:szCs w:val="21"/>
                <w14:ligatures w14:val="none"/>
              </w:rPr>
              <w:t>R=</w:t>
            </w:r>
            <w:r>
              <w:rPr>
                <w:rFonts w:ascii="Times New Roman" w:eastAsia="宋体" w:hAnsi="Times New Roman" w:cs="Times New Roman" w:hint="eastAsia"/>
                <w:sz w:val="21"/>
                <w:szCs w:val="21"/>
                <w14:ligatures w14:val="none"/>
              </w:rPr>
              <w:t>3.8</w:t>
            </w:r>
            <w:r>
              <w:rPr>
                <w:rFonts w:ascii="Times New Roman" w:eastAsia="宋体" w:hAnsi="Times New Roman" w:cs="Times New Roman"/>
                <w:sz w:val="21"/>
                <w:szCs w:val="21"/>
                <w14:ligatures w14:val="none"/>
              </w:rPr>
              <w:t>m</w:t>
            </w:r>
          </w:p>
        </w:tc>
      </w:tr>
    </w:tbl>
    <w:p w14:paraId="44E4351B" w14:textId="77777777" w:rsidR="00502148" w:rsidRDefault="00000000">
      <w:pPr>
        <w:ind w:firstLine="560"/>
        <w:rPr>
          <w:rFonts w:eastAsia="黑体" w:hint="eastAsia"/>
        </w:rPr>
      </w:pPr>
      <w:r>
        <w:rPr>
          <w:rFonts w:eastAsia="黑体" w:hint="eastAsia"/>
        </w:rPr>
        <w:br w:type="page"/>
      </w:r>
    </w:p>
    <w:p w14:paraId="01D62BD2" w14:textId="77777777" w:rsidR="00502148" w:rsidRDefault="00000000">
      <w:pPr>
        <w:spacing w:beforeLines="150" w:before="468" w:afterLines="150" w:after="468"/>
        <w:ind w:firstLineChars="0" w:firstLine="0"/>
        <w:jc w:val="center"/>
        <w:outlineLvl w:val="0"/>
        <w:rPr>
          <w:rFonts w:ascii="黑体" w:eastAsia="黑体" w:hAnsi="黑体" w:hint="eastAsia"/>
          <w:b/>
          <w:bCs/>
          <w:sz w:val="32"/>
          <w:szCs w:val="32"/>
        </w:rPr>
      </w:pPr>
      <w:bookmarkStart w:id="63" w:name="_Toc179746348"/>
      <w:bookmarkStart w:id="64" w:name="_Toc20569"/>
      <w:r>
        <w:rPr>
          <w:rFonts w:ascii="Times New Roman" w:eastAsia="黑体" w:hAnsi="Times New Roman" w:cs="Times New Roman"/>
          <w:b/>
          <w:bCs/>
          <w:sz w:val="32"/>
          <w:szCs w:val="32"/>
        </w:rPr>
        <w:lastRenderedPageBreak/>
        <w:t>6</w:t>
      </w:r>
      <w:r>
        <w:rPr>
          <w:rFonts w:ascii="黑体" w:eastAsia="黑体" w:hAnsi="黑体" w:hint="eastAsia"/>
          <w:b/>
          <w:bCs/>
          <w:sz w:val="32"/>
          <w:szCs w:val="32"/>
        </w:rPr>
        <w:t>建设项目的安全条件</w:t>
      </w:r>
      <w:bookmarkEnd w:id="63"/>
      <w:bookmarkEnd w:id="64"/>
    </w:p>
    <w:p w14:paraId="105BD70E" w14:textId="77777777" w:rsidR="00502148"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65" w:name="_Toc179746349"/>
      <w:bookmarkStart w:id="66" w:name="_Toc2428"/>
      <w:r>
        <w:rPr>
          <w:rFonts w:ascii="Times New Roman" w:eastAsia="楷体" w:hAnsi="Times New Roman" w:cs="Times New Roman"/>
          <w:b/>
          <w:bCs/>
          <w:sz w:val="32"/>
          <w:szCs w:val="32"/>
        </w:rPr>
        <w:t>6.1</w:t>
      </w:r>
      <w:r>
        <w:rPr>
          <w:rFonts w:ascii="楷体" w:eastAsia="楷体" w:hAnsi="楷体" w:hint="eastAsia"/>
          <w:b/>
          <w:bCs/>
          <w:sz w:val="32"/>
          <w:szCs w:val="32"/>
        </w:rPr>
        <w:t>建设项目的外部情况</w:t>
      </w:r>
      <w:bookmarkEnd w:id="65"/>
      <w:bookmarkEnd w:id="66"/>
    </w:p>
    <w:p w14:paraId="2E55FDAB" w14:textId="77777777" w:rsidR="00502148"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6.1.1</w:t>
      </w:r>
      <w:r>
        <w:rPr>
          <w:rFonts w:ascii="黑体" w:eastAsia="黑体" w:hAnsi="黑体" w:hint="eastAsia"/>
          <w:b/>
          <w:bCs/>
        </w:rPr>
        <w:t>建设项目周边24小时内生产经营活动和居民生活的情况</w:t>
      </w:r>
    </w:p>
    <w:p w14:paraId="33F161D6" w14:textId="77777777" w:rsidR="00502148" w:rsidRDefault="00000000">
      <w:pPr>
        <w:ind w:firstLine="560"/>
        <w:rPr>
          <w:rFonts w:ascii="Times New Roman" w:eastAsia="宋体" w:hAnsi="Times New Roman"/>
        </w:rPr>
      </w:pPr>
      <w:r>
        <w:rPr>
          <w:rFonts w:ascii="Times New Roman" w:eastAsia="宋体" w:hAnsi="Times New Roman"/>
        </w:rPr>
        <w:t>该站位于本溪至集安高速公路本溪至桓仁（辽吉界）段工程</w:t>
      </w:r>
      <w:r>
        <w:rPr>
          <w:rFonts w:ascii="Times New Roman" w:eastAsia="宋体" w:hAnsi="Times New Roman"/>
        </w:rPr>
        <w:t>201</w:t>
      </w:r>
      <w:r>
        <w:rPr>
          <w:rFonts w:ascii="Times New Roman" w:eastAsia="宋体" w:hAnsi="Times New Roman"/>
        </w:rPr>
        <w:t>公里处五里甸子西侧服务区。该站东侧为服务区内道路（次干路）及本溪至集安高速公路（</w:t>
      </w:r>
      <w:r>
        <w:rPr>
          <w:rFonts w:ascii="Times New Roman" w:eastAsia="宋体" w:hAnsi="Times New Roman"/>
        </w:rPr>
        <w:t>G9111</w:t>
      </w:r>
      <w:r>
        <w:rPr>
          <w:rFonts w:ascii="Times New Roman" w:eastAsia="宋体" w:hAnsi="Times New Roman"/>
        </w:rPr>
        <w:t>）；南侧为服务区外空地；西侧为服务区内道路（次干路）；西北侧为服务区消防泵房（三类保护物）及服务区宿舍楼（三类保护物）；北侧为服务区内停车场（三类保护物）。该站周边无重要公共设施，交通便利，且站址所在区域内没有重点文物等保护单位、风景名胜区和珍稀动植物资源等敏感点，站区地势平坦，该站未建于城市中心区</w:t>
      </w:r>
      <w:r>
        <w:rPr>
          <w:rFonts w:ascii="Times New Roman" w:eastAsia="宋体" w:hAnsi="Times New Roman" w:hint="eastAsia"/>
        </w:rPr>
        <w:t>。</w:t>
      </w:r>
    </w:p>
    <w:p w14:paraId="4E432AFA" w14:textId="77777777" w:rsidR="00502148"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6.1.2</w:t>
      </w:r>
      <w:r>
        <w:rPr>
          <w:rFonts w:ascii="黑体" w:eastAsia="黑体" w:hAnsi="黑体" w:hint="eastAsia"/>
          <w:b/>
          <w:bCs/>
        </w:rPr>
        <w:t>所在地的自然条件</w:t>
      </w:r>
    </w:p>
    <w:p w14:paraId="01D4A9AB"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）气候条件</w:t>
      </w:r>
    </w:p>
    <w:p w14:paraId="567DA75D" w14:textId="77777777" w:rsidR="00502148" w:rsidRDefault="00000000">
      <w:pPr>
        <w:ind w:firstLine="560"/>
        <w:rPr>
          <w:rFonts w:ascii="Times New Roman" w:eastAsia="宋体" w:hAnsi="Times New Roman"/>
        </w:rPr>
      </w:pPr>
      <w:r>
        <w:rPr>
          <w:rFonts w:ascii="Times New Roman" w:eastAsia="宋体" w:hAnsi="Times New Roman" w:hint="eastAsia"/>
        </w:rPr>
        <w:t>该站位于</w:t>
      </w:r>
      <w:r>
        <w:rPr>
          <w:rFonts w:ascii="Times New Roman" w:eastAsia="宋体" w:hAnsi="Times New Roman"/>
        </w:rPr>
        <w:t>本溪市桓仁满族自治县</w:t>
      </w:r>
      <w:r>
        <w:rPr>
          <w:rFonts w:ascii="Times New Roman" w:eastAsia="宋体" w:hAnsi="Times New Roman" w:hint="eastAsia"/>
        </w:rPr>
        <w:t>，其相关气象数据如下：</w:t>
      </w:r>
    </w:p>
    <w:p w14:paraId="2D8A7501" w14:textId="77777777" w:rsidR="00502148" w:rsidRDefault="00000000">
      <w:pPr>
        <w:ind w:firstLine="560"/>
        <w:rPr>
          <w:rFonts w:ascii="Times New Roman" w:eastAsia="宋体" w:hAnsi="Times New Roman"/>
        </w:rPr>
      </w:pPr>
      <w:r>
        <w:rPr>
          <w:rFonts w:ascii="Times New Roman" w:eastAsia="宋体" w:hAnsi="Times New Roman"/>
        </w:rPr>
        <w:t>年平均气温</w:t>
      </w:r>
      <w:r>
        <w:rPr>
          <w:rFonts w:ascii="Times New Roman" w:eastAsia="宋体" w:hAnsi="Times New Roman" w:hint="eastAsia"/>
        </w:rPr>
        <w:t xml:space="preserve">                      </w:t>
      </w:r>
      <w:r>
        <w:rPr>
          <w:rFonts w:ascii="Times New Roman" w:eastAsia="宋体" w:hAnsi="Times New Roman"/>
        </w:rPr>
        <w:t>7.1℃</w:t>
      </w:r>
      <w:r>
        <w:rPr>
          <w:rFonts w:ascii="Times New Roman" w:eastAsia="宋体" w:hAnsi="Times New Roman"/>
        </w:rPr>
        <w:t>。</w:t>
      </w:r>
    </w:p>
    <w:p w14:paraId="33B76627" w14:textId="77777777" w:rsidR="00502148" w:rsidRDefault="00000000">
      <w:pPr>
        <w:ind w:firstLine="560"/>
        <w:rPr>
          <w:rFonts w:ascii="Times New Roman" w:eastAsia="宋体" w:hAnsi="Times New Roman"/>
        </w:rPr>
      </w:pPr>
      <w:r>
        <w:rPr>
          <w:rFonts w:ascii="Times New Roman" w:eastAsia="宋体" w:hAnsi="Times New Roman"/>
        </w:rPr>
        <w:t>极端最低气温</w:t>
      </w:r>
      <w:r>
        <w:rPr>
          <w:rFonts w:ascii="Times New Roman" w:eastAsia="宋体" w:hAnsi="Times New Roman" w:hint="eastAsia"/>
        </w:rPr>
        <w:t xml:space="preserve">                    </w:t>
      </w:r>
      <w:r>
        <w:rPr>
          <w:rFonts w:ascii="Times New Roman" w:eastAsia="宋体" w:hAnsi="Times New Roman"/>
        </w:rPr>
        <w:t>-35.7℃</w:t>
      </w:r>
    </w:p>
    <w:p w14:paraId="1DD6C840" w14:textId="77777777" w:rsidR="00502148" w:rsidRDefault="00000000">
      <w:pPr>
        <w:ind w:firstLine="560"/>
        <w:rPr>
          <w:rFonts w:ascii="Times New Roman" w:eastAsia="宋体" w:hAnsi="Times New Roman"/>
        </w:rPr>
      </w:pPr>
      <w:r>
        <w:rPr>
          <w:rFonts w:ascii="Times New Roman" w:eastAsia="宋体" w:hAnsi="Times New Roman"/>
        </w:rPr>
        <w:t>极端最高气温</w:t>
      </w:r>
      <w:r>
        <w:rPr>
          <w:rFonts w:ascii="Times New Roman" w:eastAsia="宋体" w:hAnsi="Times New Roman" w:hint="eastAsia"/>
        </w:rPr>
        <w:t xml:space="preserve">                    </w:t>
      </w:r>
      <w:r>
        <w:rPr>
          <w:rFonts w:ascii="Times New Roman" w:eastAsia="宋体" w:hAnsi="Times New Roman"/>
        </w:rPr>
        <w:t>37.2℃</w:t>
      </w:r>
    </w:p>
    <w:p w14:paraId="53CD102C" w14:textId="77777777" w:rsidR="00502148" w:rsidRDefault="00000000">
      <w:pPr>
        <w:ind w:firstLine="560"/>
        <w:rPr>
          <w:rFonts w:ascii="Times New Roman" w:eastAsia="宋体" w:hAnsi="Times New Roman"/>
        </w:rPr>
      </w:pPr>
      <w:r>
        <w:rPr>
          <w:rFonts w:ascii="Times New Roman" w:eastAsia="宋体" w:hAnsi="Times New Roman"/>
        </w:rPr>
        <w:t>年降水量</w:t>
      </w:r>
      <w:r>
        <w:rPr>
          <w:rFonts w:ascii="Times New Roman" w:eastAsia="宋体" w:hAnsi="Times New Roman" w:hint="eastAsia"/>
        </w:rPr>
        <w:t xml:space="preserve">                        </w:t>
      </w:r>
      <w:r>
        <w:rPr>
          <w:rFonts w:ascii="Times New Roman" w:eastAsia="宋体" w:hAnsi="Times New Roman"/>
        </w:rPr>
        <w:t>833.1</w:t>
      </w:r>
      <w:r>
        <w:rPr>
          <w:rFonts w:ascii="Times New Roman" w:eastAsia="宋体" w:hAnsi="Times New Roman" w:hint="eastAsia"/>
        </w:rPr>
        <w:t>mm</w:t>
      </w:r>
    </w:p>
    <w:p w14:paraId="7CF2486A" w14:textId="77777777" w:rsidR="00502148" w:rsidRDefault="00000000">
      <w:pPr>
        <w:ind w:firstLine="560"/>
        <w:rPr>
          <w:rFonts w:ascii="Times New Roman" w:eastAsia="宋体" w:hAnsi="Times New Roman"/>
        </w:rPr>
      </w:pPr>
      <w:r>
        <w:rPr>
          <w:rFonts w:ascii="Times New Roman" w:eastAsia="宋体" w:hAnsi="Times New Roman"/>
        </w:rPr>
        <w:t>年日照时数</w:t>
      </w:r>
      <w:r>
        <w:rPr>
          <w:rFonts w:ascii="Times New Roman" w:eastAsia="宋体" w:hAnsi="Times New Roman" w:hint="eastAsia"/>
        </w:rPr>
        <w:t xml:space="preserve">                      </w:t>
      </w:r>
      <w:r>
        <w:rPr>
          <w:rFonts w:ascii="Times New Roman" w:eastAsia="宋体" w:hAnsi="Times New Roman"/>
        </w:rPr>
        <w:t>2260.9</w:t>
      </w:r>
      <w:r>
        <w:rPr>
          <w:rFonts w:ascii="Times New Roman" w:eastAsia="宋体" w:hAnsi="Times New Roman" w:hint="eastAsia"/>
        </w:rPr>
        <w:t>h</w:t>
      </w:r>
    </w:p>
    <w:p w14:paraId="75D101F1" w14:textId="77777777" w:rsidR="00502148" w:rsidRDefault="00000000">
      <w:pPr>
        <w:ind w:firstLine="560"/>
        <w:rPr>
          <w:rFonts w:ascii="Times New Roman" w:eastAsia="宋体" w:hAnsi="Times New Roman"/>
        </w:rPr>
      </w:pPr>
      <w:r>
        <w:rPr>
          <w:rFonts w:ascii="Times New Roman" w:eastAsia="宋体" w:hAnsi="Times New Roman"/>
        </w:rPr>
        <w:t>年主导风向</w:t>
      </w:r>
      <w:r>
        <w:rPr>
          <w:rFonts w:ascii="Times New Roman" w:eastAsia="宋体" w:hAnsi="Times New Roman" w:hint="eastAsia"/>
        </w:rPr>
        <w:t xml:space="preserve">                      </w:t>
      </w:r>
      <w:r>
        <w:rPr>
          <w:rFonts w:ascii="Times New Roman" w:eastAsia="宋体" w:hAnsi="Times New Roman"/>
        </w:rPr>
        <w:t>偏南风</w:t>
      </w:r>
    </w:p>
    <w:p w14:paraId="6E446911" w14:textId="77777777" w:rsidR="00502148" w:rsidRDefault="00000000">
      <w:pPr>
        <w:ind w:firstLine="560"/>
        <w:rPr>
          <w:rFonts w:ascii="Times New Roman" w:eastAsia="宋体" w:hAnsi="Times New Roman"/>
        </w:rPr>
      </w:pPr>
      <w:r>
        <w:rPr>
          <w:rFonts w:ascii="Times New Roman" w:eastAsia="宋体" w:hAnsi="Times New Roman"/>
        </w:rPr>
        <w:t>最大风速</w:t>
      </w:r>
      <w:r>
        <w:rPr>
          <w:rFonts w:ascii="Times New Roman" w:eastAsia="宋体" w:hAnsi="Times New Roman" w:hint="eastAsia"/>
        </w:rPr>
        <w:t xml:space="preserve">                        </w:t>
      </w:r>
      <w:r>
        <w:rPr>
          <w:rFonts w:ascii="Times New Roman" w:eastAsia="宋体" w:hAnsi="Times New Roman"/>
        </w:rPr>
        <w:t>18.5</w:t>
      </w:r>
      <w:r>
        <w:rPr>
          <w:rFonts w:ascii="Times New Roman" w:eastAsia="宋体" w:hAnsi="Times New Roman" w:hint="eastAsia"/>
        </w:rPr>
        <w:t>m</w:t>
      </w:r>
      <w:r>
        <w:rPr>
          <w:rFonts w:ascii="Times New Roman" w:eastAsia="宋体" w:hAnsi="Times New Roman"/>
        </w:rPr>
        <w:t>/</w:t>
      </w:r>
      <w:r>
        <w:rPr>
          <w:rFonts w:ascii="Times New Roman" w:eastAsia="宋体" w:hAnsi="Times New Roman" w:hint="eastAsia"/>
        </w:rPr>
        <w:t>s</w:t>
      </w:r>
    </w:p>
    <w:p w14:paraId="517FAE61" w14:textId="77777777" w:rsidR="00502148" w:rsidRDefault="00000000">
      <w:pPr>
        <w:ind w:firstLine="560"/>
        <w:rPr>
          <w:rFonts w:ascii="Times New Roman" w:eastAsia="宋体" w:hAnsi="Times New Roman"/>
        </w:rPr>
      </w:pPr>
      <w:r>
        <w:rPr>
          <w:rFonts w:ascii="Times New Roman" w:eastAsia="宋体" w:hAnsi="Times New Roman"/>
        </w:rPr>
        <w:t>年平均相对湿度</w:t>
      </w:r>
      <w:r>
        <w:rPr>
          <w:rFonts w:ascii="Times New Roman" w:eastAsia="宋体" w:hAnsi="Times New Roman" w:hint="eastAsia"/>
        </w:rPr>
        <w:t xml:space="preserve">                  </w:t>
      </w:r>
      <w:r>
        <w:rPr>
          <w:rFonts w:ascii="Times New Roman" w:eastAsia="宋体" w:hAnsi="Times New Roman"/>
        </w:rPr>
        <w:t>68%</w:t>
      </w:r>
    </w:p>
    <w:p w14:paraId="2A51AD29" w14:textId="77777777" w:rsidR="00502148" w:rsidRDefault="00000000">
      <w:pPr>
        <w:ind w:firstLine="560"/>
        <w:rPr>
          <w:rFonts w:ascii="Times New Roman" w:eastAsia="宋体" w:hAnsi="Times New Roman"/>
        </w:rPr>
      </w:pPr>
      <w:r>
        <w:rPr>
          <w:rFonts w:ascii="Times New Roman" w:eastAsia="宋体" w:hAnsi="Times New Roman"/>
        </w:rPr>
        <w:t>平均无霜期</w:t>
      </w:r>
      <w:r>
        <w:rPr>
          <w:rFonts w:ascii="Times New Roman" w:eastAsia="宋体" w:hAnsi="Times New Roman" w:hint="eastAsia"/>
        </w:rPr>
        <w:t xml:space="preserve">                      </w:t>
      </w:r>
      <w:r>
        <w:rPr>
          <w:rFonts w:ascii="Times New Roman" w:eastAsia="宋体" w:hAnsi="Times New Roman"/>
        </w:rPr>
        <w:t>200</w:t>
      </w:r>
      <w:r>
        <w:rPr>
          <w:rFonts w:ascii="Times New Roman" w:eastAsia="宋体" w:hAnsi="Times New Roman" w:hint="eastAsia"/>
        </w:rPr>
        <w:t>d</w:t>
      </w:r>
    </w:p>
    <w:p w14:paraId="1A6CC348" w14:textId="77777777" w:rsidR="00502148" w:rsidRDefault="00000000">
      <w:pPr>
        <w:ind w:firstLine="560"/>
        <w:rPr>
          <w:rFonts w:ascii="Times New Roman" w:eastAsia="宋体" w:hAnsi="Times New Roman"/>
        </w:rPr>
      </w:pPr>
      <w:r>
        <w:rPr>
          <w:rFonts w:ascii="Times New Roman" w:eastAsia="宋体" w:hAnsi="Times New Roman"/>
        </w:rPr>
        <w:t>年最大冻土深度</w:t>
      </w:r>
      <w:r>
        <w:rPr>
          <w:rFonts w:ascii="Times New Roman" w:eastAsia="宋体" w:hAnsi="Times New Roman" w:hint="eastAsia"/>
        </w:rPr>
        <w:t xml:space="preserve">                  </w:t>
      </w:r>
      <w:r>
        <w:rPr>
          <w:rFonts w:ascii="Times New Roman" w:eastAsia="宋体" w:hAnsi="Times New Roman"/>
        </w:rPr>
        <w:t>149</w:t>
      </w:r>
      <w:r>
        <w:rPr>
          <w:rFonts w:ascii="Times New Roman" w:eastAsia="宋体" w:hAnsi="Times New Roman" w:hint="eastAsia"/>
        </w:rPr>
        <w:t>cm</w:t>
      </w:r>
    </w:p>
    <w:p w14:paraId="598C5C46" w14:textId="77777777" w:rsidR="00502148" w:rsidRDefault="00000000">
      <w:pPr>
        <w:ind w:firstLine="560"/>
        <w:rPr>
          <w:rFonts w:ascii="Times New Roman" w:eastAsia="宋体" w:hAnsi="Times New Roman"/>
        </w:rPr>
      </w:pPr>
      <w:r>
        <w:rPr>
          <w:rFonts w:ascii="Times New Roman" w:eastAsia="宋体" w:hAnsi="Times New Roman"/>
        </w:rPr>
        <w:lastRenderedPageBreak/>
        <w:t>最大积雪深度</w:t>
      </w:r>
      <w:r>
        <w:rPr>
          <w:rFonts w:ascii="Times New Roman" w:eastAsia="宋体" w:hAnsi="Times New Roman" w:hint="eastAsia"/>
        </w:rPr>
        <w:t xml:space="preserve">                    </w:t>
      </w:r>
      <w:r>
        <w:rPr>
          <w:rFonts w:ascii="Times New Roman" w:eastAsia="宋体" w:hAnsi="Times New Roman"/>
        </w:rPr>
        <w:t>34</w:t>
      </w:r>
      <w:r>
        <w:rPr>
          <w:rFonts w:ascii="Times New Roman" w:eastAsia="宋体" w:hAnsi="Times New Roman" w:hint="eastAsia"/>
        </w:rPr>
        <w:t>cm</w:t>
      </w:r>
    </w:p>
    <w:p w14:paraId="78BCCF54"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）地震烈度</w:t>
      </w:r>
    </w:p>
    <w:p w14:paraId="7E6ACAEA" w14:textId="77777777" w:rsidR="00502148" w:rsidRDefault="00000000">
      <w:pPr>
        <w:ind w:firstLine="560"/>
        <w:rPr>
          <w:rFonts w:ascii="Times New Roman" w:eastAsia="宋体" w:hAnsi="Times New Roman"/>
        </w:rPr>
      </w:pPr>
      <w:r>
        <w:rPr>
          <w:rFonts w:ascii="Times New Roman" w:eastAsia="宋体" w:hAnsi="Times New Roman" w:hint="eastAsia"/>
        </w:rPr>
        <w:t>根据《建筑抗震设计标准（</w:t>
      </w:r>
      <w:r>
        <w:rPr>
          <w:rFonts w:ascii="Times New Roman" w:eastAsia="宋体" w:hAnsi="Times New Roman" w:hint="eastAsia"/>
        </w:rPr>
        <w:t>2024</w:t>
      </w:r>
      <w:r>
        <w:rPr>
          <w:rFonts w:ascii="Times New Roman" w:eastAsia="宋体" w:hAnsi="Times New Roman" w:hint="eastAsia"/>
        </w:rPr>
        <w:t>年版）》（</w:t>
      </w:r>
      <w:r>
        <w:rPr>
          <w:rFonts w:ascii="Times New Roman" w:eastAsia="宋体" w:hAnsi="Times New Roman"/>
        </w:rPr>
        <w:t>GB/T 50011-2010</w:t>
      </w:r>
      <w:r>
        <w:rPr>
          <w:rFonts w:ascii="Times New Roman" w:eastAsia="宋体" w:hAnsi="Times New Roman" w:hint="eastAsia"/>
        </w:rPr>
        <w:t>）中附</w:t>
      </w:r>
      <w:r>
        <w:rPr>
          <w:rFonts w:ascii="Times New Roman" w:eastAsia="宋体" w:hAnsi="Times New Roman" w:hint="eastAsia"/>
        </w:rPr>
        <w:t>A.0.6</w:t>
      </w:r>
      <w:r>
        <w:rPr>
          <w:rFonts w:ascii="Times New Roman" w:eastAsia="宋体" w:hAnsi="Times New Roman" w:hint="eastAsia"/>
        </w:rPr>
        <w:t>的规定，该项目所在地区的抗震设防烈度为</w:t>
      </w:r>
      <w:r>
        <w:rPr>
          <w:rFonts w:ascii="Times New Roman" w:eastAsia="宋体" w:hAnsi="Times New Roman" w:hint="eastAsia"/>
        </w:rPr>
        <w:t>6</w:t>
      </w:r>
      <w:r>
        <w:rPr>
          <w:rFonts w:ascii="Times New Roman" w:eastAsia="宋体" w:hAnsi="Times New Roman" w:hint="eastAsia"/>
        </w:rPr>
        <w:t>度，设计基本地震加速度值为</w:t>
      </w:r>
      <w:r>
        <w:rPr>
          <w:rFonts w:ascii="Times New Roman" w:eastAsia="宋体" w:hAnsi="Times New Roman" w:hint="eastAsia"/>
        </w:rPr>
        <w:t>0.05g</w:t>
      </w:r>
      <w:r>
        <w:rPr>
          <w:rFonts w:ascii="Times New Roman" w:eastAsia="宋体" w:hAnsi="Times New Roman" w:hint="eastAsia"/>
        </w:rPr>
        <w:t>，所属的设计地震分组为第一组。</w:t>
      </w:r>
    </w:p>
    <w:p w14:paraId="61F76785" w14:textId="77777777" w:rsidR="00502148"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6.1.3</w:t>
      </w:r>
      <w:r>
        <w:rPr>
          <w:rFonts w:ascii="黑体" w:eastAsia="黑体" w:hAnsi="黑体" w:hint="eastAsia"/>
          <w:b/>
          <w:bCs/>
        </w:rPr>
        <w:t>建设项目中危险化学品生产装置和储存数量构成重大危险源的储存设施与下列场所、区域的距离</w:t>
      </w:r>
    </w:p>
    <w:p w14:paraId="6B4B4489" w14:textId="77777777" w:rsidR="00502148" w:rsidRDefault="00000000">
      <w:pPr>
        <w:ind w:firstLine="560"/>
        <w:rPr>
          <w:rFonts w:ascii="Times New Roman" w:eastAsia="宋体" w:hAnsi="Times New Roman"/>
        </w:rPr>
      </w:pPr>
      <w:r>
        <w:rPr>
          <w:rFonts w:ascii="Times New Roman" w:eastAsia="宋体" w:hAnsi="Times New Roman" w:hint="eastAsia"/>
        </w:rPr>
        <w:t>该站危险化学品储存设施的储存数量未构成重大危险源。</w:t>
      </w:r>
    </w:p>
    <w:p w14:paraId="41913933" w14:textId="77777777" w:rsidR="00502148"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67" w:name="_Toc179746350"/>
      <w:bookmarkStart w:id="68" w:name="_Toc2251"/>
      <w:r>
        <w:rPr>
          <w:rFonts w:ascii="Times New Roman" w:eastAsia="楷体" w:hAnsi="Times New Roman" w:cs="Times New Roman"/>
          <w:b/>
          <w:bCs/>
          <w:sz w:val="32"/>
          <w:szCs w:val="32"/>
        </w:rPr>
        <w:t>6.2</w:t>
      </w:r>
      <w:r>
        <w:rPr>
          <w:rFonts w:ascii="楷体" w:eastAsia="楷体" w:hAnsi="楷体" w:hint="eastAsia"/>
          <w:b/>
          <w:bCs/>
          <w:sz w:val="32"/>
          <w:szCs w:val="32"/>
        </w:rPr>
        <w:t>建设项目的安全条件</w:t>
      </w:r>
      <w:bookmarkEnd w:id="67"/>
      <w:bookmarkEnd w:id="68"/>
    </w:p>
    <w:p w14:paraId="7B4C360F" w14:textId="77777777" w:rsidR="00502148"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6.2.1</w:t>
      </w:r>
      <w:r>
        <w:rPr>
          <w:rFonts w:ascii="黑体" w:eastAsia="黑体" w:hAnsi="黑体" w:hint="eastAsia"/>
          <w:b/>
          <w:bCs/>
        </w:rPr>
        <w:t>建设项目内在的危险、有害因素和建设项目可能发生的各类事故，对建设项目周边单位生产、经营活动或者居民生活的影响</w:t>
      </w:r>
    </w:p>
    <w:p w14:paraId="35C2EA2A" w14:textId="77777777" w:rsidR="00502148" w:rsidRDefault="00000000">
      <w:pPr>
        <w:ind w:firstLine="560"/>
        <w:rPr>
          <w:rFonts w:ascii="Times New Roman" w:eastAsia="宋体" w:hAnsi="Times New Roman"/>
        </w:rPr>
      </w:pPr>
      <w:r>
        <w:rPr>
          <w:rFonts w:ascii="Times New Roman" w:eastAsia="宋体" w:hAnsi="Times New Roman" w:hint="eastAsia"/>
        </w:rPr>
        <w:t>从附表</w:t>
      </w:r>
      <w:r>
        <w:rPr>
          <w:rFonts w:ascii="Times New Roman" w:eastAsia="宋体" w:hAnsi="Times New Roman" w:hint="eastAsia"/>
        </w:rPr>
        <w:t>4.1-3</w:t>
      </w:r>
      <w:r>
        <w:rPr>
          <w:rFonts w:ascii="Times New Roman" w:eastAsia="宋体" w:hAnsi="Times New Roman" w:hint="eastAsia"/>
        </w:rPr>
        <w:t>可以看出，该站站内工艺设施与站外建（构）筑物的间距满足《汽车加油加气加氢站技术标准》（</w:t>
      </w:r>
      <w:r>
        <w:rPr>
          <w:rFonts w:ascii="Times New Roman" w:eastAsia="宋体" w:hAnsi="Times New Roman" w:hint="eastAsia"/>
        </w:rPr>
        <w:t>GB 50156-2021</w:t>
      </w:r>
      <w:r>
        <w:rPr>
          <w:rFonts w:ascii="Times New Roman" w:eastAsia="宋体" w:hAnsi="Times New Roman" w:hint="eastAsia"/>
        </w:rPr>
        <w:t>）表</w:t>
      </w:r>
      <w:r>
        <w:rPr>
          <w:rFonts w:ascii="Times New Roman" w:eastAsia="宋体" w:hAnsi="Times New Roman" w:hint="eastAsia"/>
        </w:rPr>
        <w:t>4.0.4</w:t>
      </w:r>
      <w:r>
        <w:rPr>
          <w:rFonts w:ascii="Times New Roman" w:eastAsia="宋体" w:hAnsi="Times New Roman" w:hint="eastAsia"/>
        </w:rPr>
        <w:t>的规范要求。根据埋地车用乙醇汽油罐</w:t>
      </w:r>
      <w:r>
        <w:rPr>
          <w:rFonts w:ascii="Times New Roman" w:eastAsia="宋体" w:hAnsi="Times New Roman" w:hint="eastAsia"/>
        </w:rPr>
        <w:t>TNT</w:t>
      </w:r>
      <w:r>
        <w:rPr>
          <w:rFonts w:ascii="Times New Roman" w:eastAsia="宋体" w:hAnsi="Times New Roman" w:hint="eastAsia"/>
        </w:rPr>
        <w:t>当量计算结论，站外设施不在死亡半径内，不会受到死亡和重伤威胁，可能受到轻微伤害。</w:t>
      </w:r>
    </w:p>
    <w:p w14:paraId="119E2BE5" w14:textId="77777777" w:rsidR="00502148" w:rsidRDefault="00000000">
      <w:pPr>
        <w:ind w:firstLine="560"/>
        <w:rPr>
          <w:rFonts w:ascii="Times New Roman" w:eastAsia="宋体" w:hAnsi="Times New Roman"/>
        </w:rPr>
      </w:pPr>
      <w:r>
        <w:rPr>
          <w:rFonts w:ascii="Times New Roman" w:eastAsia="宋体" w:hAnsi="Times New Roman" w:hint="eastAsia"/>
        </w:rPr>
        <w:t>同时，该项目选用双层管道及油罐，油罐安装有液位仪及测漏仪等安全技术手段，发生油品泄漏的概率较小，因此，对周边造成的影响较小。</w:t>
      </w:r>
    </w:p>
    <w:p w14:paraId="7C06B379" w14:textId="77777777" w:rsidR="00502148" w:rsidRDefault="00000000">
      <w:pPr>
        <w:keepNext/>
        <w:keepLines/>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6.2.2</w:t>
      </w:r>
      <w:r>
        <w:rPr>
          <w:rFonts w:ascii="黑体" w:eastAsia="黑体" w:hAnsi="黑体" w:hint="eastAsia"/>
          <w:b/>
          <w:bCs/>
        </w:rPr>
        <w:t>建设项目周边单位生产、经营活动或者居民生活对建设项目的影响</w:t>
      </w:r>
    </w:p>
    <w:p w14:paraId="28202D82" w14:textId="77777777" w:rsidR="00502148" w:rsidRDefault="00000000">
      <w:pPr>
        <w:ind w:firstLine="560"/>
        <w:rPr>
          <w:rFonts w:ascii="Times New Roman" w:eastAsia="宋体" w:hAnsi="Times New Roman"/>
        </w:rPr>
      </w:pPr>
      <w:r>
        <w:rPr>
          <w:rFonts w:ascii="Times New Roman" w:eastAsia="宋体" w:hAnsi="Times New Roman" w:hint="eastAsia"/>
        </w:rPr>
        <w:t>由于该项目在总平面布置等方面充分考虑了与站外周边建（构）筑物安全间距，其建成后站内主要设施与周边距离能够达到国家现行规范标准要求。</w:t>
      </w:r>
    </w:p>
    <w:p w14:paraId="757E9423" w14:textId="77777777" w:rsidR="00502148" w:rsidRDefault="00000000">
      <w:pPr>
        <w:ind w:firstLine="560"/>
        <w:rPr>
          <w:rFonts w:ascii="Times New Roman" w:eastAsia="宋体" w:hAnsi="Times New Roman"/>
        </w:rPr>
      </w:pPr>
      <w:r>
        <w:rPr>
          <w:rFonts w:ascii="Times New Roman" w:eastAsia="宋体" w:hAnsi="Times New Roman" w:hint="eastAsia"/>
        </w:rPr>
        <w:t>建设项目周边的建（构）筑物如果发生火灾事故，可能会对该项目产生影响。进站加油的车辆不熄火、人员吸烟、打手机等行为可能会对该项目产</w:t>
      </w:r>
      <w:r>
        <w:rPr>
          <w:rFonts w:ascii="Times New Roman" w:eastAsia="宋体" w:hAnsi="Times New Roman" w:hint="eastAsia"/>
        </w:rPr>
        <w:lastRenderedPageBreak/>
        <w:t>生一定的影响。服务区内行驶车辆行驶不规范，行人在站外吸烟，周边人员在服务区外农耕烧荒等行为可能会对该项目产生影响。因此，员工应加强与周边人员的交流，使其了解该项目存在的危险性和在该项目周边日常活动的注意事项，以保障该项目的安全运营。</w:t>
      </w:r>
    </w:p>
    <w:p w14:paraId="14060099" w14:textId="77777777" w:rsidR="00502148" w:rsidRDefault="00000000">
      <w:pPr>
        <w:keepNext/>
        <w:keepLines/>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6.2.3</w:t>
      </w:r>
      <w:r>
        <w:rPr>
          <w:rFonts w:ascii="黑体" w:eastAsia="黑体" w:hAnsi="黑体" w:hint="eastAsia"/>
          <w:b/>
          <w:bCs/>
        </w:rPr>
        <w:t>建设项目所在地的自然条件对建设项目投入生产或者使用后的影响</w:t>
      </w:r>
    </w:p>
    <w:p w14:paraId="4551A70D" w14:textId="00DF5BFC" w:rsidR="00502148" w:rsidRDefault="00000000">
      <w:pPr>
        <w:ind w:firstLine="560"/>
        <w:rPr>
          <w:rFonts w:ascii="Times New Roman" w:eastAsia="宋体" w:hAnsi="Times New Roman"/>
        </w:rPr>
      </w:pPr>
      <w:r>
        <w:rPr>
          <w:rFonts w:ascii="Times New Roman" w:eastAsia="宋体" w:hAnsi="Times New Roman" w:hint="eastAsia"/>
        </w:rPr>
        <w:t>自然环境危险有害因素主要包括雷击、地震、高低气温和洪水</w:t>
      </w:r>
      <w:r w:rsidR="00A66FFA">
        <w:rPr>
          <w:rFonts w:ascii="Times New Roman" w:eastAsia="宋体" w:hAnsi="Times New Roman" w:hint="eastAsia"/>
        </w:rPr>
        <w:t>、</w:t>
      </w:r>
      <w:r>
        <w:rPr>
          <w:rFonts w:ascii="Times New Roman" w:eastAsia="宋体" w:hAnsi="Times New Roman" w:hint="eastAsia"/>
        </w:rPr>
        <w:t>雨雪等。</w:t>
      </w:r>
    </w:p>
    <w:p w14:paraId="688283C6"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）雷击</w:t>
      </w:r>
    </w:p>
    <w:p w14:paraId="72062BE7" w14:textId="77777777" w:rsidR="00502148" w:rsidRDefault="00000000">
      <w:pPr>
        <w:ind w:firstLine="560"/>
        <w:rPr>
          <w:rFonts w:ascii="Times New Roman" w:eastAsia="宋体" w:hAnsi="Times New Roman"/>
        </w:rPr>
      </w:pPr>
      <w:r>
        <w:rPr>
          <w:rFonts w:ascii="Times New Roman" w:eastAsia="宋体" w:hAnsi="Times New Roman" w:hint="eastAsia"/>
        </w:rPr>
        <w:t>加油机、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71CF291D"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）地震</w:t>
      </w:r>
    </w:p>
    <w:p w14:paraId="33692277" w14:textId="77777777" w:rsidR="00502148" w:rsidRDefault="00000000">
      <w:pPr>
        <w:ind w:firstLine="560"/>
        <w:rPr>
          <w:rFonts w:ascii="Times New Roman" w:eastAsia="宋体" w:hAnsi="Times New Roman"/>
        </w:rPr>
      </w:pPr>
      <w:r>
        <w:rPr>
          <w:rFonts w:ascii="Times New Roman" w:eastAsia="宋体" w:hAnsi="Times New Roman" w:hint="eastAsia"/>
        </w:rPr>
        <w:t>该站所在区域抗震设防烈度为</w:t>
      </w:r>
      <w:r>
        <w:rPr>
          <w:rFonts w:ascii="Times New Roman" w:eastAsia="宋体" w:hAnsi="Times New Roman" w:hint="eastAsia"/>
        </w:rPr>
        <w:t>6</w:t>
      </w:r>
      <w:r>
        <w:rPr>
          <w:rFonts w:ascii="Times New Roman" w:eastAsia="宋体" w:hAnsi="Times New Roman" w:hint="eastAsia"/>
        </w:rPr>
        <w:t>度。强烈地震可能造成建（构）筑物和设备、管道的破坏，同时会造成危险物质大量泄漏，进而可能引发火灾、爆炸等灾害事故，造成人员伤亡。</w:t>
      </w:r>
    </w:p>
    <w:p w14:paraId="635BFC7B"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3</w:t>
      </w:r>
      <w:r>
        <w:rPr>
          <w:rFonts w:ascii="Times New Roman" w:eastAsia="宋体" w:hAnsi="Times New Roman" w:hint="eastAsia"/>
        </w:rPr>
        <w:t>）高温、低温</w:t>
      </w:r>
    </w:p>
    <w:p w14:paraId="5AF1DEF0" w14:textId="77777777" w:rsidR="00502148" w:rsidRDefault="00000000">
      <w:pPr>
        <w:ind w:firstLine="560"/>
        <w:rPr>
          <w:rFonts w:ascii="Times New Roman" w:eastAsia="宋体" w:hAnsi="Times New Roman"/>
        </w:rPr>
      </w:pPr>
      <w:r>
        <w:rPr>
          <w:rFonts w:ascii="Times New Roman" w:eastAsia="宋体" w:hAnsi="Times New Roman" w:hint="eastAsia"/>
        </w:rPr>
        <w:t>该区域年极端最高气温</w:t>
      </w:r>
      <w:r>
        <w:rPr>
          <w:rFonts w:ascii="Times New Roman" w:eastAsia="宋体" w:hAnsi="Times New Roman" w:hint="eastAsia"/>
        </w:rPr>
        <w:t>37.2</w:t>
      </w:r>
      <w:r>
        <w:rPr>
          <w:rFonts w:ascii="Times New Roman" w:eastAsia="宋体" w:hAnsi="Times New Roman" w:hint="eastAsia"/>
        </w:rPr>
        <w:t>℃，冬季最低温度在</w:t>
      </w:r>
      <w:r>
        <w:rPr>
          <w:rFonts w:ascii="Times New Roman" w:eastAsia="宋体" w:hAnsi="Times New Roman" w:hint="eastAsia"/>
        </w:rPr>
        <w:t>-35.7</w:t>
      </w:r>
      <w:r>
        <w:rPr>
          <w:rFonts w:ascii="Times New Roman" w:eastAsia="宋体" w:hAnsi="Times New Roman" w:hint="eastAsia"/>
        </w:rPr>
        <w:t>℃左右。操作人员在高温及低温环境中易出现操作失误。严寒有可能导致设备、管道、阀门冻坏破裂。</w:t>
      </w:r>
    </w:p>
    <w:p w14:paraId="0C027861" w14:textId="0C7124E0"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4</w:t>
      </w:r>
      <w:r>
        <w:rPr>
          <w:rFonts w:ascii="Times New Roman" w:eastAsia="宋体" w:hAnsi="Times New Roman" w:hint="eastAsia"/>
        </w:rPr>
        <w:t>）洪水</w:t>
      </w:r>
    </w:p>
    <w:p w14:paraId="55D0D6E3" w14:textId="77777777" w:rsidR="00502148" w:rsidRDefault="00000000">
      <w:pPr>
        <w:ind w:firstLine="560"/>
        <w:rPr>
          <w:rFonts w:ascii="Times New Roman" w:eastAsia="宋体" w:hAnsi="Times New Roman"/>
        </w:rPr>
      </w:pPr>
      <w:r>
        <w:rPr>
          <w:rFonts w:ascii="Times New Roman" w:eastAsia="宋体" w:hAnsi="Times New Roman" w:hint="eastAsia"/>
        </w:rPr>
        <w:t>该区域年降雨集中于夏季。一旦发生洪水或雨量过大时，会发生水淹等事故，造成有害物质外泄，污染周围环境。电力、电气设备受潮，环境湿度增大，可能进一步引发电气事故、电气故障。</w:t>
      </w:r>
    </w:p>
    <w:p w14:paraId="47D09E67"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5</w:t>
      </w:r>
      <w:r>
        <w:rPr>
          <w:rFonts w:ascii="Times New Roman" w:eastAsia="宋体" w:hAnsi="Times New Roman" w:hint="eastAsia"/>
        </w:rPr>
        <w:t>）雨雪</w:t>
      </w:r>
    </w:p>
    <w:p w14:paraId="2959AA63" w14:textId="77777777" w:rsidR="00502148" w:rsidRDefault="00000000">
      <w:pPr>
        <w:ind w:firstLine="560"/>
        <w:rPr>
          <w:rFonts w:ascii="Times New Roman" w:eastAsia="宋体" w:hAnsi="Times New Roman"/>
        </w:rPr>
      </w:pPr>
      <w:r>
        <w:rPr>
          <w:rFonts w:ascii="Times New Roman" w:eastAsia="宋体" w:hAnsi="Times New Roman" w:hint="eastAsia"/>
        </w:rPr>
        <w:lastRenderedPageBreak/>
        <w:t>罩棚和站房在雨水和雪荷载下有可能发生坍塌事故，对站内设施、加油人员造成伤害。</w:t>
      </w:r>
    </w:p>
    <w:p w14:paraId="6FEA710D" w14:textId="77777777" w:rsidR="00502148" w:rsidRDefault="00000000">
      <w:pPr>
        <w:ind w:firstLine="560"/>
        <w:rPr>
          <w:rFonts w:ascii="Times New Roman" w:eastAsia="宋体" w:hAnsi="Times New Roman"/>
        </w:rPr>
      </w:pPr>
      <w:r>
        <w:rPr>
          <w:rFonts w:ascii="Times New Roman" w:eastAsia="宋体" w:hAnsi="Times New Roman" w:hint="eastAsia"/>
        </w:rPr>
        <w:t>由上分析可知，该地区自然条件对该站的运营会造成一定的影响，但采取有效防范措施后，其影响可消除或减弱到不会影响该项目的正常运营。</w:t>
      </w:r>
    </w:p>
    <w:p w14:paraId="0FFFFECE"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69" w:name="_Toc23974"/>
      <w:r>
        <w:rPr>
          <w:rFonts w:ascii="Times New Roman" w:eastAsia="楷体" w:hAnsi="Times New Roman" w:cs="Times New Roman"/>
          <w:b/>
          <w:bCs/>
          <w:sz w:val="32"/>
          <w:szCs w:val="32"/>
        </w:rPr>
        <w:t>6.3</w:t>
      </w:r>
      <w:r>
        <w:rPr>
          <w:rFonts w:ascii="Times New Roman" w:eastAsia="楷体" w:hAnsi="Times New Roman" w:cs="Times New Roman"/>
          <w:b/>
          <w:bCs/>
          <w:sz w:val="32"/>
          <w:szCs w:val="32"/>
        </w:rPr>
        <w:t>建设项目的安全生产条件分析</w:t>
      </w:r>
      <w:bookmarkEnd w:id="69"/>
    </w:p>
    <w:p w14:paraId="6ADEDAB5"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6.3.1</w:t>
      </w:r>
      <w:r>
        <w:rPr>
          <w:rFonts w:ascii="Times New Roman" w:eastAsia="黑体" w:hAnsi="Times New Roman" w:cs="Times New Roman"/>
          <w:b/>
          <w:bCs/>
        </w:rPr>
        <w:t>建设项目采用的安全设施情况</w:t>
      </w:r>
    </w:p>
    <w:p w14:paraId="0279429A"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）本项目的安全设施按安全设施设计专篇中确定的安全设施建成并投用，投用情况详见下表</w:t>
      </w:r>
      <w:r>
        <w:rPr>
          <w:rFonts w:ascii="Times New Roman" w:eastAsia="宋体" w:hAnsi="Times New Roman"/>
        </w:rPr>
        <w:t>6.3-1</w:t>
      </w:r>
      <w:r>
        <w:rPr>
          <w:rFonts w:ascii="Times New Roman" w:eastAsia="宋体" w:hAnsi="Times New Roman"/>
        </w:rPr>
        <w:t>。</w:t>
      </w:r>
    </w:p>
    <w:p w14:paraId="00FCB057"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表</w:t>
      </w:r>
      <w:r>
        <w:rPr>
          <w:rFonts w:ascii="Times New Roman" w:eastAsia="黑体" w:hAnsi="Times New Roman"/>
          <w:sz w:val="24"/>
        </w:rPr>
        <w:t>6.3-1</w:t>
      </w:r>
      <w:r>
        <w:rPr>
          <w:rFonts w:ascii="Times New Roman" w:eastAsia="黑体" w:hAnsi="Times New Roman" w:hint="eastAsia"/>
          <w:sz w:val="24"/>
        </w:rPr>
        <w:t xml:space="preserve">  </w:t>
      </w:r>
      <w:r>
        <w:rPr>
          <w:rFonts w:ascii="Times New Roman" w:eastAsia="黑体" w:hAnsi="Times New Roman"/>
          <w:sz w:val="24"/>
        </w:rPr>
        <w:t>采用的安全专篇中安全设施汇总一览表</w:t>
      </w:r>
    </w:p>
    <w:tbl>
      <w:tblPr>
        <w:tblW w:w="5000" w:type="pct"/>
        <w:jc w:val="center"/>
        <w:tblLayout w:type="fixed"/>
        <w:tblLook w:val="04A0" w:firstRow="1" w:lastRow="0" w:firstColumn="1" w:lastColumn="0" w:noHBand="0" w:noVBand="1"/>
      </w:tblPr>
      <w:tblGrid>
        <w:gridCol w:w="610"/>
        <w:gridCol w:w="944"/>
        <w:gridCol w:w="448"/>
        <w:gridCol w:w="1821"/>
        <w:gridCol w:w="1985"/>
        <w:gridCol w:w="1417"/>
        <w:gridCol w:w="993"/>
        <w:gridCol w:w="962"/>
      </w:tblGrid>
      <w:tr w:rsidR="00502148" w14:paraId="17107CA1" w14:textId="77777777">
        <w:trPr>
          <w:trHeight w:val="454"/>
          <w:tblHeader/>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7905BB6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序号</w:t>
            </w:r>
          </w:p>
        </w:tc>
        <w:tc>
          <w:tcPr>
            <w:tcW w:w="1750" w:type="pct"/>
            <w:gridSpan w:val="3"/>
            <w:tcBorders>
              <w:top w:val="single" w:sz="4" w:space="0" w:color="auto"/>
              <w:left w:val="nil"/>
              <w:bottom w:val="single" w:sz="4" w:space="0" w:color="auto"/>
              <w:right w:val="single" w:sz="4" w:space="0" w:color="auto"/>
            </w:tcBorders>
            <w:noWrap/>
            <w:vAlign w:val="center"/>
          </w:tcPr>
          <w:p w14:paraId="6BF2EE9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安全设施类别</w:t>
            </w:r>
          </w:p>
        </w:tc>
        <w:tc>
          <w:tcPr>
            <w:tcW w:w="1081" w:type="pct"/>
            <w:tcBorders>
              <w:top w:val="single" w:sz="4" w:space="0" w:color="auto"/>
              <w:left w:val="nil"/>
              <w:bottom w:val="single" w:sz="4" w:space="0" w:color="auto"/>
              <w:right w:val="single" w:sz="4" w:space="0" w:color="auto"/>
            </w:tcBorders>
            <w:noWrap/>
            <w:vAlign w:val="center"/>
          </w:tcPr>
          <w:p w14:paraId="61B8336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备注</w:t>
            </w:r>
          </w:p>
        </w:tc>
        <w:tc>
          <w:tcPr>
            <w:tcW w:w="772" w:type="pct"/>
            <w:tcBorders>
              <w:top w:val="single" w:sz="4" w:space="0" w:color="auto"/>
              <w:left w:val="nil"/>
              <w:bottom w:val="single" w:sz="4" w:space="0" w:color="auto"/>
              <w:right w:val="single" w:sz="4" w:space="0" w:color="auto"/>
            </w:tcBorders>
            <w:noWrap/>
            <w:vAlign w:val="center"/>
          </w:tcPr>
          <w:p w14:paraId="7297FB4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安装位置</w:t>
            </w:r>
          </w:p>
        </w:tc>
        <w:tc>
          <w:tcPr>
            <w:tcW w:w="541" w:type="pct"/>
            <w:tcBorders>
              <w:top w:val="single" w:sz="4" w:space="0" w:color="auto"/>
              <w:left w:val="nil"/>
              <w:bottom w:val="single" w:sz="4" w:space="0" w:color="auto"/>
              <w:right w:val="single" w:sz="4" w:space="0" w:color="auto"/>
            </w:tcBorders>
            <w:noWrap/>
            <w:vAlign w:val="center"/>
          </w:tcPr>
          <w:p w14:paraId="4B90F53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数量</w:t>
            </w:r>
          </w:p>
        </w:tc>
        <w:tc>
          <w:tcPr>
            <w:tcW w:w="524" w:type="pct"/>
            <w:tcBorders>
              <w:top w:val="single" w:sz="4" w:space="0" w:color="auto"/>
              <w:left w:val="nil"/>
              <w:bottom w:val="single" w:sz="4" w:space="0" w:color="auto"/>
              <w:right w:val="single" w:sz="4" w:space="0" w:color="auto"/>
            </w:tcBorders>
            <w:noWrap/>
            <w:vAlign w:val="center"/>
          </w:tcPr>
          <w:p w14:paraId="131B3D6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备注</w:t>
            </w:r>
          </w:p>
        </w:tc>
      </w:tr>
      <w:tr w:rsidR="00502148" w14:paraId="3D5E7601"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auto"/>
            </w:tcBorders>
            <w:noWrap/>
            <w:vAlign w:val="center"/>
          </w:tcPr>
          <w:p w14:paraId="6E89F3E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一、预防事故设施</w:t>
            </w:r>
          </w:p>
        </w:tc>
      </w:tr>
      <w:tr w:rsidR="00502148" w14:paraId="6F77548D"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6BE1C7B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noWrap/>
            <w:vAlign w:val="center"/>
          </w:tcPr>
          <w:p w14:paraId="4FB7E95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油罐</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D8050A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防爆型磁致伸缩液位探棒</w:t>
            </w:r>
          </w:p>
        </w:tc>
        <w:tc>
          <w:tcPr>
            <w:tcW w:w="1081" w:type="pct"/>
            <w:tcBorders>
              <w:top w:val="single" w:sz="4" w:space="0" w:color="auto"/>
              <w:left w:val="nil"/>
              <w:bottom w:val="single" w:sz="4" w:space="0" w:color="auto"/>
              <w:right w:val="single" w:sz="4" w:space="0" w:color="auto"/>
            </w:tcBorders>
            <w:noWrap/>
            <w:vAlign w:val="center"/>
          </w:tcPr>
          <w:p w14:paraId="1EA2F58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液位监测</w:t>
            </w:r>
          </w:p>
        </w:tc>
        <w:tc>
          <w:tcPr>
            <w:tcW w:w="772" w:type="pct"/>
            <w:tcBorders>
              <w:top w:val="single" w:sz="4" w:space="0" w:color="auto"/>
              <w:left w:val="nil"/>
              <w:bottom w:val="single" w:sz="4" w:space="0" w:color="auto"/>
              <w:right w:val="single" w:sz="4" w:space="0" w:color="auto"/>
            </w:tcBorders>
            <w:noWrap/>
            <w:vAlign w:val="center"/>
          </w:tcPr>
          <w:p w14:paraId="6CB2143B"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06BF139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6B607BB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24CA1FE8"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4FF3983D"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4F242F1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A2FFB9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带锁量油器</w:t>
            </w:r>
          </w:p>
        </w:tc>
        <w:tc>
          <w:tcPr>
            <w:tcW w:w="1081" w:type="pct"/>
            <w:tcBorders>
              <w:top w:val="single" w:sz="4" w:space="0" w:color="auto"/>
              <w:left w:val="nil"/>
              <w:bottom w:val="single" w:sz="4" w:space="0" w:color="auto"/>
              <w:right w:val="single" w:sz="4" w:space="0" w:color="auto"/>
            </w:tcBorders>
            <w:noWrap/>
            <w:vAlign w:val="center"/>
          </w:tcPr>
          <w:p w14:paraId="5DD2E4E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液位控制</w:t>
            </w:r>
          </w:p>
        </w:tc>
        <w:tc>
          <w:tcPr>
            <w:tcW w:w="772" w:type="pct"/>
            <w:tcBorders>
              <w:top w:val="single" w:sz="4" w:space="0" w:color="auto"/>
              <w:left w:val="nil"/>
              <w:bottom w:val="single" w:sz="4" w:space="0" w:color="auto"/>
              <w:right w:val="single" w:sz="4" w:space="0" w:color="auto"/>
            </w:tcBorders>
            <w:noWrap/>
            <w:vAlign w:val="center"/>
          </w:tcPr>
          <w:p w14:paraId="7EA576F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2CD0FEC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68C9E7AF"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4112DE9C"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7936E05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494A753A"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48800E4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接油盆</w:t>
            </w:r>
          </w:p>
        </w:tc>
        <w:tc>
          <w:tcPr>
            <w:tcW w:w="1081" w:type="pct"/>
            <w:tcBorders>
              <w:top w:val="single" w:sz="4" w:space="0" w:color="auto"/>
              <w:left w:val="nil"/>
              <w:bottom w:val="single" w:sz="4" w:space="0" w:color="auto"/>
              <w:right w:val="single" w:sz="4" w:space="0" w:color="auto"/>
            </w:tcBorders>
            <w:noWrap/>
            <w:vAlign w:val="center"/>
          </w:tcPr>
          <w:p w14:paraId="73B1B72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加油机底座</w:t>
            </w:r>
          </w:p>
        </w:tc>
        <w:tc>
          <w:tcPr>
            <w:tcW w:w="772" w:type="pct"/>
            <w:tcBorders>
              <w:top w:val="single" w:sz="4" w:space="0" w:color="auto"/>
              <w:left w:val="nil"/>
              <w:bottom w:val="single" w:sz="4" w:space="0" w:color="auto"/>
              <w:right w:val="single" w:sz="4" w:space="0" w:color="auto"/>
            </w:tcBorders>
            <w:noWrap/>
            <w:vAlign w:val="center"/>
          </w:tcPr>
          <w:p w14:paraId="03CD285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709085B6"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7366929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2FB0F9EE"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0BF2D739" w14:textId="77777777" w:rsidR="00502148" w:rsidRDefault="00502148">
            <w:pPr>
              <w:pStyle w:val="affb"/>
              <w:widowControl/>
              <w:numPr>
                <w:ilvl w:val="0"/>
                <w:numId w:val="3"/>
              </w:numPr>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7E37634B" w14:textId="77777777" w:rsidR="00502148" w:rsidRDefault="00502148">
            <w:pPr>
              <w:widowControl/>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2DE9404A"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测试三通</w:t>
            </w:r>
          </w:p>
        </w:tc>
        <w:tc>
          <w:tcPr>
            <w:tcW w:w="1081" w:type="pct"/>
            <w:tcBorders>
              <w:top w:val="single" w:sz="4" w:space="0" w:color="auto"/>
              <w:left w:val="nil"/>
              <w:bottom w:val="single" w:sz="4" w:space="0" w:color="auto"/>
              <w:right w:val="single" w:sz="4" w:space="0" w:color="auto"/>
            </w:tcBorders>
            <w:noWrap/>
            <w:vAlign w:val="center"/>
          </w:tcPr>
          <w:p w14:paraId="68541D17"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检测用三通</w:t>
            </w:r>
          </w:p>
        </w:tc>
        <w:tc>
          <w:tcPr>
            <w:tcW w:w="772" w:type="pct"/>
            <w:tcBorders>
              <w:top w:val="single" w:sz="4" w:space="0" w:color="auto"/>
              <w:left w:val="nil"/>
              <w:bottom w:val="single" w:sz="4" w:space="0" w:color="auto"/>
              <w:right w:val="single" w:sz="4" w:space="0" w:color="auto"/>
            </w:tcBorders>
            <w:vAlign w:val="center"/>
          </w:tcPr>
          <w:p w14:paraId="7DECDCC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02DE03C7" w14:textId="77777777" w:rsidR="00502148"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3</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A43A22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6D0BBA7D"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370F3A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0F413A5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4681D8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丝堵</w:t>
            </w:r>
          </w:p>
        </w:tc>
        <w:tc>
          <w:tcPr>
            <w:tcW w:w="1081" w:type="pct"/>
            <w:tcBorders>
              <w:top w:val="single" w:sz="4" w:space="0" w:color="auto"/>
              <w:left w:val="nil"/>
              <w:bottom w:val="single" w:sz="4" w:space="0" w:color="auto"/>
              <w:right w:val="single" w:sz="4" w:space="0" w:color="auto"/>
            </w:tcBorders>
            <w:noWrap/>
            <w:vAlign w:val="center"/>
          </w:tcPr>
          <w:p w14:paraId="3941C2E6"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检测用丝堵</w:t>
            </w:r>
          </w:p>
        </w:tc>
        <w:tc>
          <w:tcPr>
            <w:tcW w:w="772" w:type="pct"/>
            <w:tcBorders>
              <w:top w:val="single" w:sz="4" w:space="0" w:color="auto"/>
              <w:left w:val="nil"/>
              <w:bottom w:val="single" w:sz="4" w:space="0" w:color="auto"/>
              <w:right w:val="single" w:sz="4" w:space="0" w:color="auto"/>
            </w:tcBorders>
            <w:noWrap/>
            <w:vAlign w:val="center"/>
          </w:tcPr>
          <w:p w14:paraId="2ADEB8E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3D67B34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4E56A52E"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26E9757E"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75FE3303"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33F7DF9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加油、卸油工艺管道</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474A8F0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双层管道防渗漏监测</w:t>
            </w:r>
          </w:p>
        </w:tc>
        <w:tc>
          <w:tcPr>
            <w:tcW w:w="1081" w:type="pct"/>
            <w:tcBorders>
              <w:top w:val="single" w:sz="4" w:space="0" w:color="auto"/>
              <w:left w:val="nil"/>
              <w:bottom w:val="single" w:sz="4" w:space="0" w:color="auto"/>
              <w:right w:val="single" w:sz="4" w:space="0" w:color="auto"/>
            </w:tcBorders>
            <w:noWrap/>
            <w:vAlign w:val="center"/>
          </w:tcPr>
          <w:p w14:paraId="125E0F8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防渗漏</w:t>
            </w:r>
          </w:p>
        </w:tc>
        <w:tc>
          <w:tcPr>
            <w:tcW w:w="772" w:type="pct"/>
            <w:tcBorders>
              <w:top w:val="single" w:sz="4" w:space="0" w:color="auto"/>
              <w:left w:val="nil"/>
              <w:bottom w:val="single" w:sz="4" w:space="0" w:color="auto"/>
              <w:right w:val="single" w:sz="4" w:space="0" w:color="auto"/>
            </w:tcBorders>
            <w:noWrap/>
            <w:vAlign w:val="center"/>
          </w:tcPr>
          <w:p w14:paraId="3D8798C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15FCA3C6"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套</w:t>
            </w:r>
          </w:p>
        </w:tc>
        <w:tc>
          <w:tcPr>
            <w:tcW w:w="524" w:type="pct"/>
            <w:tcBorders>
              <w:top w:val="single" w:sz="4" w:space="0" w:color="auto"/>
              <w:left w:val="nil"/>
              <w:bottom w:val="single" w:sz="4" w:space="0" w:color="auto"/>
              <w:right w:val="single" w:sz="4" w:space="0" w:color="auto"/>
            </w:tcBorders>
            <w:noWrap/>
            <w:vAlign w:val="center"/>
          </w:tcPr>
          <w:p w14:paraId="18238D1E"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26CD7A82"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654D2216"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5B21927D"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1FD9FDA"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快速阳接头</w:t>
            </w:r>
          </w:p>
        </w:tc>
        <w:tc>
          <w:tcPr>
            <w:tcW w:w="1081" w:type="pct"/>
            <w:tcBorders>
              <w:top w:val="single" w:sz="4" w:space="0" w:color="auto"/>
              <w:left w:val="nil"/>
              <w:bottom w:val="single" w:sz="4" w:space="0" w:color="auto"/>
              <w:right w:val="single" w:sz="4" w:space="0" w:color="auto"/>
            </w:tcBorders>
            <w:noWrap/>
            <w:vAlign w:val="center"/>
          </w:tcPr>
          <w:p w14:paraId="69EA2AE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汽油卸油快速接头</w:t>
            </w:r>
          </w:p>
        </w:tc>
        <w:tc>
          <w:tcPr>
            <w:tcW w:w="772" w:type="pct"/>
            <w:tcBorders>
              <w:top w:val="single" w:sz="4" w:space="0" w:color="auto"/>
              <w:left w:val="nil"/>
              <w:bottom w:val="single" w:sz="4" w:space="0" w:color="auto"/>
              <w:right w:val="single" w:sz="4" w:space="0" w:color="auto"/>
            </w:tcBorders>
            <w:noWrap/>
            <w:vAlign w:val="center"/>
          </w:tcPr>
          <w:p w14:paraId="577C253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50ADD979"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387CCCE7"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1AC8B6EF"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3E196B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7060650A"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D111A0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快速阴接头</w:t>
            </w:r>
          </w:p>
        </w:tc>
        <w:tc>
          <w:tcPr>
            <w:tcW w:w="1081" w:type="pct"/>
            <w:tcBorders>
              <w:top w:val="single" w:sz="4" w:space="0" w:color="auto"/>
              <w:left w:val="nil"/>
              <w:bottom w:val="single" w:sz="4" w:space="0" w:color="auto"/>
              <w:right w:val="single" w:sz="4" w:space="0" w:color="auto"/>
            </w:tcBorders>
            <w:noWrap/>
            <w:vAlign w:val="center"/>
          </w:tcPr>
          <w:p w14:paraId="54217AC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柴油卸油快速接头</w:t>
            </w:r>
          </w:p>
        </w:tc>
        <w:tc>
          <w:tcPr>
            <w:tcW w:w="772" w:type="pct"/>
            <w:tcBorders>
              <w:top w:val="single" w:sz="4" w:space="0" w:color="auto"/>
              <w:left w:val="nil"/>
              <w:bottom w:val="single" w:sz="4" w:space="0" w:color="auto"/>
              <w:right w:val="single" w:sz="4" w:space="0" w:color="auto"/>
            </w:tcBorders>
            <w:noWrap/>
            <w:vAlign w:val="center"/>
          </w:tcPr>
          <w:p w14:paraId="2371040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41B38C0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200FD770"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0333E01F"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211EC11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33E2A07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通气管</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1833D56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机械呼吸阀</w:t>
            </w:r>
          </w:p>
        </w:tc>
        <w:tc>
          <w:tcPr>
            <w:tcW w:w="1081" w:type="pct"/>
            <w:tcBorders>
              <w:top w:val="single" w:sz="4" w:space="0" w:color="auto"/>
              <w:left w:val="nil"/>
              <w:bottom w:val="single" w:sz="4" w:space="0" w:color="auto"/>
              <w:right w:val="single" w:sz="4" w:space="0" w:color="auto"/>
            </w:tcBorders>
            <w:noWrap/>
            <w:vAlign w:val="center"/>
          </w:tcPr>
          <w:p w14:paraId="178E527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阻火</w:t>
            </w:r>
            <w:r>
              <w:rPr>
                <w:rFonts w:ascii="Times New Roman" w:eastAsia="宋体" w:hAnsi="Times New Roman" w:cs="宋体"/>
                <w:kern w:val="0"/>
                <w:sz w:val="21"/>
                <w:szCs w:val="21"/>
                <w14:ligatures w14:val="none"/>
              </w:rPr>
              <w:t>呼吸阀</w:t>
            </w:r>
          </w:p>
        </w:tc>
        <w:tc>
          <w:tcPr>
            <w:tcW w:w="772" w:type="pct"/>
            <w:tcBorders>
              <w:top w:val="single" w:sz="4" w:space="0" w:color="auto"/>
              <w:left w:val="nil"/>
              <w:bottom w:val="single" w:sz="4" w:space="0" w:color="auto"/>
              <w:right w:val="single" w:sz="4" w:space="0" w:color="auto"/>
            </w:tcBorders>
            <w:noWrap/>
            <w:vAlign w:val="center"/>
          </w:tcPr>
          <w:p w14:paraId="49FD8F3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1F6C2CD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400F140"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373BFD68"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7829BDC1"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746193A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E6AEFF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防雨型阻火器</w:t>
            </w:r>
          </w:p>
        </w:tc>
        <w:tc>
          <w:tcPr>
            <w:tcW w:w="1081" w:type="pct"/>
            <w:tcBorders>
              <w:top w:val="single" w:sz="4" w:space="0" w:color="auto"/>
              <w:left w:val="nil"/>
              <w:bottom w:val="single" w:sz="4" w:space="0" w:color="auto"/>
              <w:right w:val="single" w:sz="4" w:space="0" w:color="auto"/>
            </w:tcBorders>
            <w:noWrap/>
            <w:vAlign w:val="center"/>
          </w:tcPr>
          <w:p w14:paraId="4783F54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阻火器</w:t>
            </w:r>
          </w:p>
        </w:tc>
        <w:tc>
          <w:tcPr>
            <w:tcW w:w="772" w:type="pct"/>
            <w:tcBorders>
              <w:top w:val="single" w:sz="4" w:space="0" w:color="auto"/>
              <w:left w:val="nil"/>
              <w:bottom w:val="single" w:sz="4" w:space="0" w:color="auto"/>
              <w:right w:val="single" w:sz="4" w:space="0" w:color="auto"/>
            </w:tcBorders>
            <w:noWrap/>
            <w:vAlign w:val="center"/>
          </w:tcPr>
          <w:p w14:paraId="2C64660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22AAE2DA"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0CD838A"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316DA9E5"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13754212"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1474645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阀门</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03B03A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球阀</w:t>
            </w:r>
          </w:p>
        </w:tc>
        <w:tc>
          <w:tcPr>
            <w:tcW w:w="1081" w:type="pct"/>
            <w:tcBorders>
              <w:top w:val="single" w:sz="4" w:space="0" w:color="auto"/>
              <w:left w:val="nil"/>
              <w:bottom w:val="single" w:sz="4" w:space="0" w:color="auto"/>
              <w:right w:val="single" w:sz="4" w:space="0" w:color="auto"/>
            </w:tcBorders>
            <w:noWrap/>
            <w:vAlign w:val="center"/>
          </w:tcPr>
          <w:p w14:paraId="0306E1A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Q41F-10P</w:t>
            </w:r>
            <w:r>
              <w:rPr>
                <w:rFonts w:ascii="Times New Roman" w:eastAsia="宋体" w:hAnsi="Times New Roman" w:cs="宋体"/>
                <w:kern w:val="0"/>
                <w:sz w:val="21"/>
                <w:szCs w:val="21"/>
                <w14:ligatures w14:val="none"/>
              </w:rPr>
              <w:t>球阀</w:t>
            </w:r>
          </w:p>
        </w:tc>
        <w:tc>
          <w:tcPr>
            <w:tcW w:w="772" w:type="pct"/>
            <w:tcBorders>
              <w:top w:val="single" w:sz="4" w:space="0" w:color="auto"/>
              <w:left w:val="nil"/>
              <w:bottom w:val="single" w:sz="4" w:space="0" w:color="auto"/>
              <w:right w:val="single" w:sz="4" w:space="0" w:color="auto"/>
            </w:tcBorders>
            <w:noWrap/>
            <w:vAlign w:val="center"/>
          </w:tcPr>
          <w:p w14:paraId="3A0C677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08E9195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717F0848"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0D9F7AFB"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571B73D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53388534"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A5B044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卸油防溢阀</w:t>
            </w:r>
          </w:p>
        </w:tc>
        <w:tc>
          <w:tcPr>
            <w:tcW w:w="1081" w:type="pct"/>
            <w:tcBorders>
              <w:top w:val="single" w:sz="4" w:space="0" w:color="auto"/>
              <w:left w:val="nil"/>
              <w:bottom w:val="single" w:sz="4" w:space="0" w:color="auto"/>
              <w:right w:val="single" w:sz="4" w:space="0" w:color="auto"/>
            </w:tcBorders>
            <w:noWrap/>
            <w:vAlign w:val="center"/>
          </w:tcPr>
          <w:p w14:paraId="50BF7F8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卸</w:t>
            </w:r>
            <w:r>
              <w:rPr>
                <w:rFonts w:ascii="Times New Roman" w:eastAsia="宋体" w:hAnsi="Times New Roman" w:cs="宋体"/>
                <w:kern w:val="0"/>
                <w:sz w:val="21"/>
                <w:szCs w:val="21"/>
                <w14:ligatures w14:val="none"/>
              </w:rPr>
              <w:t>油防溢</w:t>
            </w:r>
          </w:p>
        </w:tc>
        <w:tc>
          <w:tcPr>
            <w:tcW w:w="772" w:type="pct"/>
            <w:tcBorders>
              <w:top w:val="single" w:sz="4" w:space="0" w:color="auto"/>
              <w:left w:val="nil"/>
              <w:bottom w:val="single" w:sz="4" w:space="0" w:color="auto"/>
              <w:right w:val="single" w:sz="4" w:space="0" w:color="auto"/>
            </w:tcBorders>
            <w:noWrap/>
            <w:vAlign w:val="center"/>
          </w:tcPr>
          <w:p w14:paraId="5D8BCA7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56E3E79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00385EF5"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6561023D"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A3D957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679C243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防雷防静电</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6C256B0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防雷设施</w:t>
            </w:r>
          </w:p>
        </w:tc>
        <w:tc>
          <w:tcPr>
            <w:tcW w:w="1081" w:type="pct"/>
            <w:tcBorders>
              <w:top w:val="single" w:sz="4" w:space="0" w:color="auto"/>
              <w:left w:val="nil"/>
              <w:bottom w:val="single" w:sz="4" w:space="0" w:color="auto"/>
              <w:right w:val="single" w:sz="4" w:space="0" w:color="auto"/>
            </w:tcBorders>
            <w:noWrap/>
            <w:vAlign w:val="center"/>
          </w:tcPr>
          <w:p w14:paraId="7287D5B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罩棚防雷</w:t>
            </w:r>
          </w:p>
        </w:tc>
        <w:tc>
          <w:tcPr>
            <w:tcW w:w="772" w:type="pct"/>
            <w:tcBorders>
              <w:top w:val="single" w:sz="4" w:space="0" w:color="auto"/>
              <w:left w:val="nil"/>
              <w:bottom w:val="single" w:sz="4" w:space="0" w:color="auto"/>
              <w:right w:val="single" w:sz="4" w:space="0" w:color="auto"/>
            </w:tcBorders>
            <w:noWrap/>
            <w:vAlign w:val="center"/>
          </w:tcPr>
          <w:p w14:paraId="601EB62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罩棚</w:t>
            </w:r>
          </w:p>
        </w:tc>
        <w:tc>
          <w:tcPr>
            <w:tcW w:w="541" w:type="pct"/>
            <w:tcBorders>
              <w:top w:val="single" w:sz="4" w:space="0" w:color="auto"/>
              <w:left w:val="nil"/>
              <w:bottom w:val="single" w:sz="4" w:space="0" w:color="auto"/>
              <w:right w:val="single" w:sz="4" w:space="0" w:color="auto"/>
            </w:tcBorders>
            <w:noWrap/>
            <w:vAlign w:val="center"/>
          </w:tcPr>
          <w:p w14:paraId="153EECE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罩棚彩钢板厚</w:t>
            </w:r>
            <w:r>
              <w:rPr>
                <w:rFonts w:ascii="Times New Roman" w:eastAsia="宋体" w:hAnsi="Times New Roman" w:cs="宋体"/>
                <w:kern w:val="0"/>
                <w:sz w:val="21"/>
                <w:szCs w:val="21"/>
                <w14:ligatures w14:val="none"/>
              </w:rPr>
              <w:lastRenderedPageBreak/>
              <w:t>度大于</w:t>
            </w:r>
            <w:r>
              <w:rPr>
                <w:rFonts w:ascii="Times New Roman" w:eastAsia="宋体" w:hAnsi="Times New Roman" w:cs="宋体"/>
                <w:kern w:val="0"/>
                <w:sz w:val="21"/>
                <w:szCs w:val="21"/>
                <w14:ligatures w14:val="none"/>
              </w:rPr>
              <w:t>0.5mm</w:t>
            </w:r>
          </w:p>
        </w:tc>
        <w:tc>
          <w:tcPr>
            <w:tcW w:w="524" w:type="pct"/>
            <w:tcBorders>
              <w:top w:val="single" w:sz="4" w:space="0" w:color="auto"/>
              <w:left w:val="nil"/>
              <w:bottom w:val="single" w:sz="4" w:space="0" w:color="auto"/>
              <w:right w:val="single" w:sz="4" w:space="0" w:color="auto"/>
            </w:tcBorders>
            <w:noWrap/>
            <w:vAlign w:val="center"/>
          </w:tcPr>
          <w:p w14:paraId="2A143C7B"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lastRenderedPageBreak/>
              <w:t>已落实</w:t>
            </w:r>
          </w:p>
        </w:tc>
      </w:tr>
      <w:tr w:rsidR="00502148" w14:paraId="3D7795E6"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559FC9E8"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6E11AAC3"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vMerge w:val="restart"/>
            <w:tcBorders>
              <w:top w:val="single" w:sz="4" w:space="0" w:color="auto"/>
              <w:left w:val="single" w:sz="4" w:space="0" w:color="auto"/>
              <w:right w:val="single" w:sz="4" w:space="0" w:color="auto"/>
            </w:tcBorders>
            <w:vAlign w:val="center"/>
          </w:tcPr>
          <w:p w14:paraId="36D0E0B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静电接地设施</w:t>
            </w:r>
          </w:p>
        </w:tc>
        <w:tc>
          <w:tcPr>
            <w:tcW w:w="1081" w:type="pct"/>
            <w:tcBorders>
              <w:top w:val="single" w:sz="4" w:space="0" w:color="auto"/>
              <w:left w:val="nil"/>
              <w:bottom w:val="single" w:sz="4" w:space="0" w:color="auto"/>
              <w:right w:val="single" w:sz="4" w:space="0" w:color="auto"/>
            </w:tcBorders>
            <w:noWrap/>
            <w:vAlign w:val="center"/>
          </w:tcPr>
          <w:p w14:paraId="064AB41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接地线、跨接线</w:t>
            </w:r>
          </w:p>
        </w:tc>
        <w:tc>
          <w:tcPr>
            <w:tcW w:w="772" w:type="pct"/>
            <w:tcBorders>
              <w:top w:val="single" w:sz="4" w:space="0" w:color="auto"/>
              <w:left w:val="nil"/>
              <w:bottom w:val="single" w:sz="4" w:space="0" w:color="auto"/>
              <w:right w:val="single" w:sz="4" w:space="0" w:color="auto"/>
            </w:tcBorders>
            <w:noWrap/>
            <w:vAlign w:val="center"/>
          </w:tcPr>
          <w:p w14:paraId="7AEA97E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w:t>
            </w:r>
            <w:r>
              <w:rPr>
                <w:rFonts w:ascii="Times New Roman" w:eastAsia="宋体" w:hAnsi="Times New Roman" w:cs="宋体" w:hint="eastAsia"/>
                <w:kern w:val="0"/>
                <w:sz w:val="21"/>
                <w:szCs w:val="21"/>
                <w14:ligatures w14:val="none"/>
              </w:rPr>
              <w:t>、</w:t>
            </w:r>
            <w:r>
              <w:rPr>
                <w:rFonts w:ascii="Times New Roman" w:eastAsia="宋体" w:hAnsi="Times New Roman" w:cs="宋体"/>
                <w:kern w:val="0"/>
                <w:sz w:val="21"/>
                <w:szCs w:val="21"/>
                <w14:ligatures w14:val="none"/>
              </w:rPr>
              <w:t>油罐</w:t>
            </w:r>
          </w:p>
        </w:tc>
        <w:tc>
          <w:tcPr>
            <w:tcW w:w="541" w:type="pct"/>
            <w:tcBorders>
              <w:top w:val="single" w:sz="4" w:space="0" w:color="auto"/>
              <w:left w:val="nil"/>
              <w:bottom w:val="single" w:sz="4" w:space="0" w:color="auto"/>
              <w:right w:val="single" w:sz="4" w:space="0" w:color="auto"/>
            </w:tcBorders>
            <w:noWrap/>
            <w:vAlign w:val="center"/>
          </w:tcPr>
          <w:p w14:paraId="14D1C3A6"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240m</w:t>
            </w:r>
          </w:p>
        </w:tc>
        <w:tc>
          <w:tcPr>
            <w:tcW w:w="524" w:type="pct"/>
            <w:tcBorders>
              <w:top w:val="single" w:sz="4" w:space="0" w:color="auto"/>
              <w:left w:val="nil"/>
              <w:bottom w:val="single" w:sz="4" w:space="0" w:color="auto"/>
              <w:right w:val="single" w:sz="4" w:space="0" w:color="auto"/>
            </w:tcBorders>
            <w:noWrap/>
            <w:vAlign w:val="center"/>
          </w:tcPr>
          <w:p w14:paraId="4E4B653C"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07671D28"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2FBE6FFF"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37DB628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vMerge/>
            <w:tcBorders>
              <w:left w:val="single" w:sz="4" w:space="0" w:color="auto"/>
              <w:bottom w:val="single" w:sz="4" w:space="0" w:color="auto"/>
              <w:right w:val="single" w:sz="4" w:space="0" w:color="auto"/>
            </w:tcBorders>
            <w:vAlign w:val="center"/>
          </w:tcPr>
          <w:p w14:paraId="765EB2AC"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single" w:sz="4" w:space="0" w:color="auto"/>
              <w:left w:val="nil"/>
              <w:bottom w:val="single" w:sz="4" w:space="0" w:color="auto"/>
              <w:right w:val="single" w:sz="4" w:space="0" w:color="auto"/>
            </w:tcBorders>
            <w:noWrap/>
            <w:vAlign w:val="center"/>
          </w:tcPr>
          <w:p w14:paraId="29F95916"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静电接地报警器</w:t>
            </w:r>
          </w:p>
        </w:tc>
        <w:tc>
          <w:tcPr>
            <w:tcW w:w="772" w:type="pct"/>
            <w:tcBorders>
              <w:top w:val="single" w:sz="4" w:space="0" w:color="auto"/>
              <w:left w:val="nil"/>
              <w:bottom w:val="single" w:sz="4" w:space="0" w:color="auto"/>
              <w:right w:val="single" w:sz="4" w:space="0" w:color="auto"/>
            </w:tcBorders>
            <w:noWrap/>
            <w:vAlign w:val="center"/>
          </w:tcPr>
          <w:p w14:paraId="5DDB6A5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458BAB8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A3F3F2B"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49A598C7"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19D6346A" w14:textId="77777777" w:rsidR="00502148" w:rsidRDefault="00000000">
            <w:pPr>
              <w:pStyle w:val="affb"/>
              <w:widowControl/>
              <w:adjustRightInd/>
              <w:snapToGrid/>
              <w:spacing w:line="240" w:lineRule="auto"/>
              <w:ind w:left="440"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二、控制事故设施</w:t>
            </w:r>
          </w:p>
        </w:tc>
      </w:tr>
      <w:tr w:rsidR="00502148" w14:paraId="67CA0AD0"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70E2F510"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auto"/>
              <w:left w:val="single" w:sz="4" w:space="0" w:color="auto"/>
              <w:right w:val="single" w:sz="4" w:space="0" w:color="auto"/>
            </w:tcBorders>
            <w:noWrap/>
            <w:vAlign w:val="center"/>
          </w:tcPr>
          <w:p w14:paraId="4DE060C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紧急个体处置设施</w:t>
            </w:r>
          </w:p>
        </w:tc>
        <w:tc>
          <w:tcPr>
            <w:tcW w:w="992" w:type="pct"/>
            <w:tcBorders>
              <w:top w:val="single" w:sz="4" w:space="0" w:color="auto"/>
              <w:left w:val="single" w:sz="4" w:space="0" w:color="auto"/>
              <w:right w:val="single" w:sz="4" w:space="0" w:color="auto"/>
            </w:tcBorders>
            <w:vAlign w:val="center"/>
          </w:tcPr>
          <w:p w14:paraId="33EE40D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急停措施</w:t>
            </w:r>
          </w:p>
        </w:tc>
        <w:tc>
          <w:tcPr>
            <w:tcW w:w="1081" w:type="pct"/>
            <w:tcBorders>
              <w:top w:val="nil"/>
              <w:left w:val="nil"/>
              <w:bottom w:val="single" w:sz="4" w:space="0" w:color="auto"/>
              <w:right w:val="single" w:sz="4" w:space="0" w:color="auto"/>
            </w:tcBorders>
            <w:noWrap/>
            <w:vAlign w:val="center"/>
          </w:tcPr>
          <w:p w14:paraId="563B0E1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急停按钮</w:t>
            </w:r>
          </w:p>
        </w:tc>
        <w:tc>
          <w:tcPr>
            <w:tcW w:w="772" w:type="pct"/>
            <w:tcBorders>
              <w:top w:val="nil"/>
              <w:left w:val="nil"/>
              <w:bottom w:val="single" w:sz="4" w:space="0" w:color="auto"/>
              <w:right w:val="single" w:sz="4" w:space="0" w:color="auto"/>
            </w:tcBorders>
            <w:noWrap/>
            <w:vAlign w:val="center"/>
          </w:tcPr>
          <w:p w14:paraId="32985DDA" w14:textId="274F3FA2" w:rsidR="00502148" w:rsidRDefault="00AF6CF6">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sidRPr="00AF6CF6">
              <w:rPr>
                <w:rFonts w:ascii="Times New Roman" w:eastAsia="宋体" w:hAnsi="Times New Roman" w:cs="宋体"/>
                <w:kern w:val="0"/>
                <w:sz w:val="21"/>
                <w:szCs w:val="21"/>
                <w14:ligatures w14:val="none"/>
              </w:rPr>
              <w:t>站房内、罩棚支柱、密闭卸油口处</w:t>
            </w:r>
          </w:p>
        </w:tc>
        <w:tc>
          <w:tcPr>
            <w:tcW w:w="541" w:type="pct"/>
            <w:tcBorders>
              <w:top w:val="nil"/>
              <w:left w:val="nil"/>
              <w:bottom w:val="single" w:sz="4" w:space="0" w:color="auto"/>
              <w:right w:val="single" w:sz="4" w:space="0" w:color="auto"/>
            </w:tcBorders>
            <w:noWrap/>
            <w:vAlign w:val="center"/>
          </w:tcPr>
          <w:p w14:paraId="1A553157" w14:textId="5828659A" w:rsidR="00502148" w:rsidRDefault="00AF6CF6">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3</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5152927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3AAE4490"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367ECD4A"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39965AA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val="restart"/>
            <w:tcBorders>
              <w:top w:val="single" w:sz="4" w:space="0" w:color="auto"/>
              <w:left w:val="single" w:sz="4" w:space="0" w:color="auto"/>
              <w:right w:val="single" w:sz="4" w:space="0" w:color="auto"/>
            </w:tcBorders>
            <w:vAlign w:val="center"/>
          </w:tcPr>
          <w:p w14:paraId="5820E9D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w:t>
            </w:r>
          </w:p>
        </w:tc>
        <w:tc>
          <w:tcPr>
            <w:tcW w:w="1081" w:type="pct"/>
            <w:tcBorders>
              <w:top w:val="nil"/>
              <w:left w:val="nil"/>
              <w:bottom w:val="single" w:sz="4" w:space="0" w:color="auto"/>
              <w:right w:val="single" w:sz="4" w:space="0" w:color="auto"/>
            </w:tcBorders>
            <w:noWrap/>
            <w:vAlign w:val="center"/>
          </w:tcPr>
          <w:p w14:paraId="01B9001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应急照明灯</w:t>
            </w:r>
          </w:p>
        </w:tc>
        <w:tc>
          <w:tcPr>
            <w:tcW w:w="772" w:type="pct"/>
            <w:tcBorders>
              <w:top w:val="nil"/>
              <w:left w:val="nil"/>
              <w:bottom w:val="single" w:sz="4" w:space="0" w:color="auto"/>
              <w:right w:val="single" w:sz="4" w:space="0" w:color="auto"/>
            </w:tcBorders>
            <w:noWrap/>
            <w:vAlign w:val="center"/>
          </w:tcPr>
          <w:p w14:paraId="3145DB7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6000F49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1FB34016"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6FE50916"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4A89277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0ABC1AA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right w:val="single" w:sz="4" w:space="0" w:color="auto"/>
            </w:tcBorders>
            <w:vAlign w:val="center"/>
          </w:tcPr>
          <w:p w14:paraId="6D5786B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51D89CC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应急照明灯</w:t>
            </w:r>
          </w:p>
        </w:tc>
        <w:tc>
          <w:tcPr>
            <w:tcW w:w="772" w:type="pct"/>
            <w:tcBorders>
              <w:top w:val="nil"/>
              <w:left w:val="nil"/>
              <w:bottom w:val="single" w:sz="4" w:space="0" w:color="auto"/>
              <w:right w:val="single" w:sz="4" w:space="0" w:color="auto"/>
            </w:tcBorders>
            <w:noWrap/>
            <w:vAlign w:val="center"/>
          </w:tcPr>
          <w:p w14:paraId="7E029CC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4546A55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4241C310"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72B03232"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409A8DC0"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auto"/>
              <w:right w:val="single" w:sz="4" w:space="0" w:color="auto"/>
            </w:tcBorders>
            <w:vAlign w:val="center"/>
          </w:tcPr>
          <w:p w14:paraId="043CC2DD"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bottom w:val="single" w:sz="4" w:space="0" w:color="auto"/>
              <w:right w:val="single" w:sz="4" w:space="0" w:color="auto"/>
            </w:tcBorders>
            <w:vAlign w:val="center"/>
          </w:tcPr>
          <w:p w14:paraId="2A0C500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3567222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应急疏散指示灯</w:t>
            </w:r>
          </w:p>
        </w:tc>
        <w:tc>
          <w:tcPr>
            <w:tcW w:w="772" w:type="pct"/>
            <w:tcBorders>
              <w:top w:val="nil"/>
              <w:left w:val="nil"/>
              <w:bottom w:val="single" w:sz="4" w:space="0" w:color="auto"/>
              <w:right w:val="single" w:sz="4" w:space="0" w:color="auto"/>
            </w:tcBorders>
            <w:noWrap/>
            <w:vAlign w:val="center"/>
          </w:tcPr>
          <w:p w14:paraId="509593BF"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1551E9F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028991EF"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3790CD46"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C82A718"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auto"/>
              <w:left w:val="single" w:sz="4" w:space="0" w:color="auto"/>
              <w:right w:val="single" w:sz="4" w:space="0" w:color="auto"/>
            </w:tcBorders>
            <w:vAlign w:val="center"/>
          </w:tcPr>
          <w:p w14:paraId="6B51291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安防系统</w:t>
            </w:r>
          </w:p>
        </w:tc>
        <w:tc>
          <w:tcPr>
            <w:tcW w:w="992" w:type="pct"/>
            <w:vMerge w:val="restart"/>
            <w:tcBorders>
              <w:top w:val="single" w:sz="4" w:space="0" w:color="auto"/>
              <w:left w:val="single" w:sz="4" w:space="0" w:color="auto"/>
              <w:right w:val="single" w:sz="4" w:space="0" w:color="auto"/>
            </w:tcBorders>
            <w:vAlign w:val="center"/>
          </w:tcPr>
          <w:p w14:paraId="23A274C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视频监控系统</w:t>
            </w:r>
          </w:p>
        </w:tc>
        <w:tc>
          <w:tcPr>
            <w:tcW w:w="1081" w:type="pct"/>
            <w:tcBorders>
              <w:top w:val="nil"/>
              <w:left w:val="nil"/>
              <w:bottom w:val="single" w:sz="4" w:space="0" w:color="auto"/>
              <w:right w:val="single" w:sz="4" w:space="0" w:color="auto"/>
            </w:tcBorders>
            <w:noWrap/>
            <w:vAlign w:val="center"/>
          </w:tcPr>
          <w:p w14:paraId="2A66E84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防爆红外一体机</w:t>
            </w:r>
          </w:p>
        </w:tc>
        <w:tc>
          <w:tcPr>
            <w:tcW w:w="772" w:type="pct"/>
            <w:tcBorders>
              <w:top w:val="nil"/>
              <w:left w:val="nil"/>
              <w:bottom w:val="single" w:sz="4" w:space="0" w:color="auto"/>
              <w:right w:val="single" w:sz="4" w:space="0" w:color="auto"/>
            </w:tcBorders>
            <w:noWrap/>
            <w:vAlign w:val="center"/>
          </w:tcPr>
          <w:p w14:paraId="48E9106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3026425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台</w:t>
            </w:r>
          </w:p>
        </w:tc>
        <w:tc>
          <w:tcPr>
            <w:tcW w:w="524" w:type="pct"/>
            <w:tcBorders>
              <w:top w:val="nil"/>
              <w:left w:val="nil"/>
              <w:bottom w:val="single" w:sz="4" w:space="0" w:color="auto"/>
              <w:right w:val="single" w:sz="4" w:space="0" w:color="auto"/>
            </w:tcBorders>
            <w:noWrap/>
            <w:vAlign w:val="center"/>
          </w:tcPr>
          <w:p w14:paraId="46CCBD8E"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2D27E163"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491FC45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62BCAD4D"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bottom w:val="single" w:sz="4" w:space="0" w:color="auto"/>
              <w:right w:val="single" w:sz="4" w:space="0" w:color="auto"/>
            </w:tcBorders>
            <w:vAlign w:val="center"/>
          </w:tcPr>
          <w:p w14:paraId="7B513F6E"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76FB64B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视频监控系统</w:t>
            </w:r>
          </w:p>
        </w:tc>
        <w:tc>
          <w:tcPr>
            <w:tcW w:w="772" w:type="pct"/>
            <w:tcBorders>
              <w:top w:val="nil"/>
              <w:left w:val="nil"/>
              <w:bottom w:val="single" w:sz="4" w:space="0" w:color="auto"/>
              <w:right w:val="single" w:sz="4" w:space="0" w:color="auto"/>
            </w:tcBorders>
            <w:noWrap/>
            <w:vAlign w:val="center"/>
          </w:tcPr>
          <w:p w14:paraId="2553567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0927C2B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套</w:t>
            </w:r>
          </w:p>
        </w:tc>
        <w:tc>
          <w:tcPr>
            <w:tcW w:w="524" w:type="pct"/>
            <w:tcBorders>
              <w:top w:val="nil"/>
              <w:left w:val="nil"/>
              <w:bottom w:val="single" w:sz="4" w:space="0" w:color="auto"/>
              <w:right w:val="single" w:sz="4" w:space="0" w:color="auto"/>
            </w:tcBorders>
            <w:noWrap/>
            <w:vAlign w:val="center"/>
          </w:tcPr>
          <w:p w14:paraId="5565602F"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1FD869AC"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DFE658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auto"/>
              <w:right w:val="single" w:sz="4" w:space="0" w:color="auto"/>
            </w:tcBorders>
            <w:vAlign w:val="center"/>
          </w:tcPr>
          <w:p w14:paraId="538A190D"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auto"/>
              <w:left w:val="single" w:sz="4" w:space="0" w:color="auto"/>
              <w:bottom w:val="single" w:sz="4" w:space="0" w:color="auto"/>
              <w:right w:val="single" w:sz="4" w:space="0" w:color="auto"/>
            </w:tcBorders>
            <w:vAlign w:val="center"/>
          </w:tcPr>
          <w:p w14:paraId="73EFF14B"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报警系统</w:t>
            </w:r>
          </w:p>
        </w:tc>
        <w:tc>
          <w:tcPr>
            <w:tcW w:w="1081" w:type="pct"/>
            <w:tcBorders>
              <w:top w:val="nil"/>
              <w:left w:val="nil"/>
              <w:bottom w:val="single" w:sz="4" w:space="0" w:color="auto"/>
              <w:right w:val="single" w:sz="4" w:space="0" w:color="auto"/>
            </w:tcBorders>
            <w:noWrap/>
            <w:vAlign w:val="center"/>
          </w:tcPr>
          <w:p w14:paraId="5708C7D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隔爆型声光报警器</w:t>
            </w:r>
          </w:p>
        </w:tc>
        <w:tc>
          <w:tcPr>
            <w:tcW w:w="772" w:type="pct"/>
            <w:tcBorders>
              <w:top w:val="nil"/>
              <w:left w:val="nil"/>
              <w:bottom w:val="single" w:sz="4" w:space="0" w:color="auto"/>
              <w:right w:val="single" w:sz="4" w:space="0" w:color="auto"/>
            </w:tcBorders>
            <w:noWrap/>
            <w:vAlign w:val="center"/>
          </w:tcPr>
          <w:p w14:paraId="06E6D3FB"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605EEDF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34DD10C0"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4E14F812"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4C5AAFBE" w14:textId="77777777" w:rsidR="00502148" w:rsidRDefault="00000000">
            <w:pPr>
              <w:pStyle w:val="affb"/>
              <w:widowControl/>
              <w:adjustRightInd/>
              <w:snapToGrid/>
              <w:spacing w:line="240" w:lineRule="auto"/>
              <w:ind w:left="440"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三、减少与消除事故影响措施</w:t>
            </w:r>
          </w:p>
        </w:tc>
      </w:tr>
      <w:tr w:rsidR="00502148" w14:paraId="666B572C"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157DA18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nil"/>
              <w:left w:val="single" w:sz="4" w:space="0" w:color="auto"/>
              <w:right w:val="single" w:sz="4" w:space="0" w:color="auto"/>
            </w:tcBorders>
            <w:noWrap/>
            <w:vAlign w:val="center"/>
          </w:tcPr>
          <w:p w14:paraId="0FAAB3D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应急救援设施</w:t>
            </w:r>
          </w:p>
        </w:tc>
        <w:tc>
          <w:tcPr>
            <w:tcW w:w="992" w:type="pct"/>
            <w:tcBorders>
              <w:top w:val="nil"/>
              <w:left w:val="single" w:sz="4" w:space="0" w:color="auto"/>
              <w:bottom w:val="single" w:sz="4" w:space="0" w:color="000000"/>
              <w:right w:val="single" w:sz="4" w:space="0" w:color="auto"/>
            </w:tcBorders>
            <w:vAlign w:val="center"/>
          </w:tcPr>
          <w:p w14:paraId="22C1823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现场受伤人员医疗抢救装备</w:t>
            </w:r>
          </w:p>
        </w:tc>
        <w:tc>
          <w:tcPr>
            <w:tcW w:w="1081" w:type="pct"/>
            <w:tcBorders>
              <w:top w:val="nil"/>
              <w:left w:val="nil"/>
              <w:bottom w:val="single" w:sz="4" w:space="0" w:color="auto"/>
              <w:right w:val="single" w:sz="4" w:space="0" w:color="auto"/>
            </w:tcBorders>
            <w:noWrap/>
            <w:vAlign w:val="center"/>
          </w:tcPr>
          <w:p w14:paraId="74AC51C9"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急救箱</w:t>
            </w:r>
          </w:p>
        </w:tc>
        <w:tc>
          <w:tcPr>
            <w:tcW w:w="772" w:type="pct"/>
            <w:tcBorders>
              <w:top w:val="nil"/>
              <w:left w:val="nil"/>
              <w:bottom w:val="single" w:sz="4" w:space="0" w:color="auto"/>
              <w:right w:val="single" w:sz="4" w:space="0" w:color="auto"/>
            </w:tcBorders>
            <w:noWrap/>
            <w:vAlign w:val="center"/>
          </w:tcPr>
          <w:p w14:paraId="11CA90DF"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2324707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47FA3FB8"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4BE44D44"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3EFC3150"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noWrap/>
            <w:vAlign w:val="center"/>
          </w:tcPr>
          <w:p w14:paraId="6BFCAD57"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nil"/>
              <w:left w:val="single" w:sz="4" w:space="0" w:color="auto"/>
              <w:bottom w:val="single" w:sz="4" w:space="0" w:color="000000"/>
              <w:right w:val="single" w:sz="4" w:space="0" w:color="auto"/>
            </w:tcBorders>
            <w:vAlign w:val="center"/>
          </w:tcPr>
          <w:p w14:paraId="5792D64B"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防化手套</w:t>
            </w:r>
          </w:p>
        </w:tc>
        <w:tc>
          <w:tcPr>
            <w:tcW w:w="1081" w:type="pct"/>
            <w:tcBorders>
              <w:top w:val="nil"/>
              <w:left w:val="nil"/>
              <w:bottom w:val="single" w:sz="4" w:space="0" w:color="auto"/>
              <w:right w:val="single" w:sz="4" w:space="0" w:color="auto"/>
            </w:tcBorders>
            <w:noWrap/>
            <w:vAlign w:val="center"/>
          </w:tcPr>
          <w:p w14:paraId="3733E678"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5D1D60A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4B120FC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0EF44413"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502148" w14:paraId="4158CEEF"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107504A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000000"/>
              <w:right w:val="single" w:sz="4" w:space="0" w:color="auto"/>
            </w:tcBorders>
            <w:noWrap/>
            <w:vAlign w:val="center"/>
          </w:tcPr>
          <w:p w14:paraId="7440DB3A"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nil"/>
              <w:left w:val="single" w:sz="4" w:space="0" w:color="auto"/>
              <w:bottom w:val="single" w:sz="4" w:space="0" w:color="000000"/>
              <w:right w:val="single" w:sz="4" w:space="0" w:color="auto"/>
            </w:tcBorders>
            <w:vAlign w:val="center"/>
          </w:tcPr>
          <w:p w14:paraId="7727285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绝缘鞋、绝缘手套</w:t>
            </w:r>
          </w:p>
        </w:tc>
        <w:tc>
          <w:tcPr>
            <w:tcW w:w="1081" w:type="pct"/>
            <w:tcBorders>
              <w:top w:val="nil"/>
              <w:left w:val="nil"/>
              <w:bottom w:val="single" w:sz="4" w:space="0" w:color="auto"/>
              <w:right w:val="single" w:sz="4" w:space="0" w:color="auto"/>
            </w:tcBorders>
            <w:noWrap/>
            <w:vAlign w:val="center"/>
          </w:tcPr>
          <w:p w14:paraId="3444985C"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4695BECA"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79C51C2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19D5FD08"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502148" w14:paraId="5E10CE79"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0707750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000000"/>
              <w:left w:val="single" w:sz="4" w:space="0" w:color="000000"/>
              <w:right w:val="single" w:sz="4" w:space="0" w:color="000000"/>
            </w:tcBorders>
            <w:noWrap/>
            <w:vAlign w:val="center"/>
          </w:tcPr>
          <w:p w14:paraId="44223F7A"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劳动防护用品和装备</w:t>
            </w:r>
          </w:p>
        </w:tc>
        <w:tc>
          <w:tcPr>
            <w:tcW w:w="992" w:type="pct"/>
            <w:tcBorders>
              <w:top w:val="single" w:sz="4" w:space="0" w:color="000000"/>
              <w:left w:val="single" w:sz="4" w:space="0" w:color="000000"/>
              <w:bottom w:val="single" w:sz="4" w:space="0" w:color="000000"/>
              <w:right w:val="single" w:sz="4" w:space="0" w:color="000000"/>
            </w:tcBorders>
            <w:vAlign w:val="center"/>
          </w:tcPr>
          <w:p w14:paraId="70E9F74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化学品防护服、棉布工作服</w:t>
            </w:r>
          </w:p>
        </w:tc>
        <w:tc>
          <w:tcPr>
            <w:tcW w:w="1081" w:type="pct"/>
            <w:tcBorders>
              <w:top w:val="nil"/>
              <w:left w:val="single" w:sz="4" w:space="0" w:color="000000"/>
              <w:bottom w:val="single" w:sz="4" w:space="0" w:color="auto"/>
              <w:right w:val="single" w:sz="4" w:space="0" w:color="auto"/>
            </w:tcBorders>
            <w:noWrap/>
            <w:vAlign w:val="center"/>
          </w:tcPr>
          <w:p w14:paraId="5AC0FF7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防静电工作服、防止烧伤</w:t>
            </w:r>
            <w:r>
              <w:rPr>
                <w:rFonts w:ascii="Times New Roman" w:eastAsia="宋体" w:hAnsi="Times New Roman" w:cs="宋体" w:hint="eastAsia"/>
                <w:kern w:val="0"/>
                <w:sz w:val="21"/>
                <w:szCs w:val="21"/>
                <w14:ligatures w14:val="none"/>
              </w:rPr>
              <w:t>伤害</w:t>
            </w:r>
          </w:p>
        </w:tc>
        <w:tc>
          <w:tcPr>
            <w:tcW w:w="772" w:type="pct"/>
            <w:tcBorders>
              <w:top w:val="nil"/>
              <w:left w:val="nil"/>
              <w:bottom w:val="single" w:sz="4" w:space="0" w:color="auto"/>
              <w:right w:val="single" w:sz="4" w:space="0" w:color="auto"/>
            </w:tcBorders>
            <w:noWrap/>
            <w:vAlign w:val="center"/>
          </w:tcPr>
          <w:p w14:paraId="3916595E"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296F47C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2D20CAC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75669AD5"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45CDD40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noWrap/>
            <w:vAlign w:val="center"/>
          </w:tcPr>
          <w:p w14:paraId="044C8CE8"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7C64AC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防静电工作帽</w:t>
            </w:r>
          </w:p>
        </w:tc>
        <w:tc>
          <w:tcPr>
            <w:tcW w:w="1081" w:type="pct"/>
            <w:tcBorders>
              <w:top w:val="nil"/>
              <w:left w:val="single" w:sz="4" w:space="0" w:color="000000"/>
              <w:bottom w:val="single" w:sz="4" w:space="0" w:color="auto"/>
              <w:right w:val="single" w:sz="4" w:space="0" w:color="auto"/>
            </w:tcBorders>
            <w:noWrap/>
            <w:vAlign w:val="center"/>
          </w:tcPr>
          <w:p w14:paraId="5D2F1AAB"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防静电工作帽</w:t>
            </w:r>
          </w:p>
        </w:tc>
        <w:tc>
          <w:tcPr>
            <w:tcW w:w="772" w:type="pct"/>
            <w:tcBorders>
              <w:top w:val="nil"/>
              <w:left w:val="nil"/>
              <w:bottom w:val="single" w:sz="4" w:space="0" w:color="auto"/>
              <w:right w:val="single" w:sz="4" w:space="0" w:color="auto"/>
            </w:tcBorders>
            <w:noWrap/>
            <w:vAlign w:val="center"/>
          </w:tcPr>
          <w:p w14:paraId="731EE75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039CD61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顶</w:t>
            </w:r>
          </w:p>
        </w:tc>
        <w:tc>
          <w:tcPr>
            <w:tcW w:w="524" w:type="pct"/>
            <w:tcBorders>
              <w:top w:val="nil"/>
              <w:left w:val="nil"/>
              <w:bottom w:val="single" w:sz="4" w:space="0" w:color="auto"/>
              <w:right w:val="single" w:sz="4" w:space="0" w:color="auto"/>
            </w:tcBorders>
            <w:noWrap/>
            <w:vAlign w:val="center"/>
          </w:tcPr>
          <w:p w14:paraId="32CCC9CD"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613578D0"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7C4EC3A7"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noWrap/>
            <w:vAlign w:val="center"/>
          </w:tcPr>
          <w:p w14:paraId="74B4DB9F"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595A49A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防静电鞋</w:t>
            </w:r>
          </w:p>
        </w:tc>
        <w:tc>
          <w:tcPr>
            <w:tcW w:w="1081" w:type="pct"/>
            <w:tcBorders>
              <w:top w:val="nil"/>
              <w:left w:val="single" w:sz="4" w:space="0" w:color="000000"/>
              <w:bottom w:val="single" w:sz="4" w:space="0" w:color="auto"/>
              <w:right w:val="single" w:sz="4" w:space="0" w:color="auto"/>
            </w:tcBorders>
            <w:noWrap/>
            <w:vAlign w:val="center"/>
          </w:tcPr>
          <w:p w14:paraId="77C7DB3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防砸、耐油、防静电工作鞋</w:t>
            </w:r>
          </w:p>
        </w:tc>
        <w:tc>
          <w:tcPr>
            <w:tcW w:w="772" w:type="pct"/>
            <w:tcBorders>
              <w:top w:val="nil"/>
              <w:left w:val="nil"/>
              <w:bottom w:val="single" w:sz="4" w:space="0" w:color="auto"/>
              <w:right w:val="single" w:sz="4" w:space="0" w:color="auto"/>
            </w:tcBorders>
            <w:noWrap/>
            <w:vAlign w:val="center"/>
          </w:tcPr>
          <w:p w14:paraId="4930ACA2"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6B5BA7C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双</w:t>
            </w:r>
          </w:p>
        </w:tc>
        <w:tc>
          <w:tcPr>
            <w:tcW w:w="524" w:type="pct"/>
            <w:tcBorders>
              <w:top w:val="nil"/>
              <w:left w:val="nil"/>
              <w:bottom w:val="single" w:sz="4" w:space="0" w:color="auto"/>
              <w:right w:val="single" w:sz="4" w:space="0" w:color="auto"/>
            </w:tcBorders>
            <w:noWrap/>
            <w:vAlign w:val="center"/>
          </w:tcPr>
          <w:p w14:paraId="364070D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502148" w14:paraId="4573D2F0"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5B68B0C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A53C898"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5B434F6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防静电手套</w:t>
            </w:r>
          </w:p>
        </w:tc>
        <w:tc>
          <w:tcPr>
            <w:tcW w:w="1081" w:type="pct"/>
            <w:tcBorders>
              <w:top w:val="nil"/>
              <w:left w:val="single" w:sz="4" w:space="0" w:color="000000"/>
              <w:bottom w:val="single" w:sz="4" w:space="0" w:color="auto"/>
              <w:right w:val="single" w:sz="4" w:space="0" w:color="auto"/>
            </w:tcBorders>
            <w:noWrap/>
            <w:vAlign w:val="center"/>
          </w:tcPr>
          <w:p w14:paraId="404AEB2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152B255C"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3345022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796F7F4E"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26229420"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077027E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74B816F8"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5556159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防寒服</w:t>
            </w:r>
          </w:p>
        </w:tc>
        <w:tc>
          <w:tcPr>
            <w:tcW w:w="1081" w:type="pct"/>
            <w:tcBorders>
              <w:top w:val="nil"/>
              <w:left w:val="single" w:sz="4" w:space="0" w:color="000000"/>
              <w:bottom w:val="single" w:sz="4" w:space="0" w:color="auto"/>
              <w:right w:val="single" w:sz="4" w:space="0" w:color="auto"/>
            </w:tcBorders>
            <w:noWrap/>
            <w:vAlign w:val="center"/>
          </w:tcPr>
          <w:p w14:paraId="62861DB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防静电防寒服</w:t>
            </w:r>
          </w:p>
        </w:tc>
        <w:tc>
          <w:tcPr>
            <w:tcW w:w="772" w:type="pct"/>
            <w:tcBorders>
              <w:top w:val="nil"/>
              <w:left w:val="nil"/>
              <w:bottom w:val="single" w:sz="4" w:space="0" w:color="auto"/>
              <w:right w:val="single" w:sz="4" w:space="0" w:color="auto"/>
            </w:tcBorders>
            <w:noWrap/>
            <w:vAlign w:val="center"/>
          </w:tcPr>
          <w:p w14:paraId="4E2DC3C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4CBB7C4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4F9BC6B3"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7EF7C54C"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179953F6"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7036D104"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1FD7FB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阻燃防护服</w:t>
            </w:r>
          </w:p>
        </w:tc>
        <w:tc>
          <w:tcPr>
            <w:tcW w:w="1081" w:type="pct"/>
            <w:tcBorders>
              <w:top w:val="nil"/>
              <w:left w:val="single" w:sz="4" w:space="0" w:color="000000"/>
              <w:bottom w:val="single" w:sz="4" w:space="0" w:color="auto"/>
              <w:right w:val="single" w:sz="4" w:space="0" w:color="auto"/>
            </w:tcBorders>
            <w:noWrap/>
            <w:vAlign w:val="center"/>
          </w:tcPr>
          <w:p w14:paraId="751858E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421696B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779FE4E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4C1C911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502148" w14:paraId="6DD10EC9"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0258E48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2744DD73"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17F051A9"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防静电鞋</w:t>
            </w:r>
          </w:p>
        </w:tc>
        <w:tc>
          <w:tcPr>
            <w:tcW w:w="1081" w:type="pct"/>
            <w:tcBorders>
              <w:top w:val="single" w:sz="4" w:space="0" w:color="auto"/>
              <w:left w:val="single" w:sz="4" w:space="0" w:color="000000"/>
              <w:bottom w:val="single" w:sz="4" w:space="0" w:color="auto"/>
              <w:right w:val="single" w:sz="4" w:space="0" w:color="auto"/>
            </w:tcBorders>
            <w:noWrap/>
            <w:vAlign w:val="center"/>
          </w:tcPr>
          <w:p w14:paraId="7979727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防静电、耐油胶鞋</w:t>
            </w:r>
          </w:p>
        </w:tc>
        <w:tc>
          <w:tcPr>
            <w:tcW w:w="772" w:type="pct"/>
            <w:tcBorders>
              <w:top w:val="single" w:sz="4" w:space="0" w:color="auto"/>
              <w:left w:val="nil"/>
              <w:bottom w:val="single" w:sz="4" w:space="0" w:color="auto"/>
              <w:right w:val="single" w:sz="4" w:space="0" w:color="auto"/>
            </w:tcBorders>
            <w:noWrap/>
            <w:vAlign w:val="center"/>
          </w:tcPr>
          <w:p w14:paraId="43286624"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7FE34E1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双</w:t>
            </w:r>
          </w:p>
        </w:tc>
        <w:tc>
          <w:tcPr>
            <w:tcW w:w="524" w:type="pct"/>
            <w:tcBorders>
              <w:top w:val="single" w:sz="4" w:space="0" w:color="auto"/>
              <w:left w:val="nil"/>
              <w:bottom w:val="single" w:sz="4" w:space="0" w:color="auto"/>
              <w:right w:val="single" w:sz="4" w:space="0" w:color="auto"/>
            </w:tcBorders>
            <w:noWrap/>
            <w:vAlign w:val="center"/>
          </w:tcPr>
          <w:p w14:paraId="4E38A2F9"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5581C43A"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0831172E"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E52F163"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2F034D3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防尘口罩</w:t>
            </w:r>
          </w:p>
        </w:tc>
        <w:tc>
          <w:tcPr>
            <w:tcW w:w="1081" w:type="pct"/>
            <w:tcBorders>
              <w:top w:val="single" w:sz="4" w:space="0" w:color="auto"/>
              <w:left w:val="single" w:sz="4" w:space="0" w:color="000000"/>
              <w:bottom w:val="single" w:sz="4" w:space="0" w:color="auto"/>
              <w:right w:val="single" w:sz="4" w:space="0" w:color="auto"/>
            </w:tcBorders>
            <w:noWrap/>
            <w:vAlign w:val="center"/>
          </w:tcPr>
          <w:p w14:paraId="2CB6003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5D31F6A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60D0F80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只</w:t>
            </w:r>
          </w:p>
        </w:tc>
        <w:tc>
          <w:tcPr>
            <w:tcW w:w="524" w:type="pct"/>
            <w:tcBorders>
              <w:top w:val="single" w:sz="4" w:space="0" w:color="auto"/>
              <w:left w:val="nil"/>
              <w:bottom w:val="single" w:sz="4" w:space="0" w:color="auto"/>
              <w:right w:val="single" w:sz="4" w:space="0" w:color="auto"/>
            </w:tcBorders>
            <w:noWrap/>
            <w:vAlign w:val="center"/>
          </w:tcPr>
          <w:p w14:paraId="4BC812B0"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502148" w14:paraId="35997245"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6E51BA30"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060AA77"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277867C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防毒面具</w:t>
            </w:r>
          </w:p>
        </w:tc>
        <w:tc>
          <w:tcPr>
            <w:tcW w:w="1081" w:type="pct"/>
            <w:tcBorders>
              <w:top w:val="single" w:sz="4" w:space="0" w:color="auto"/>
              <w:left w:val="single" w:sz="4" w:space="0" w:color="000000"/>
              <w:bottom w:val="single" w:sz="4" w:space="0" w:color="auto"/>
              <w:right w:val="single" w:sz="4" w:space="0" w:color="auto"/>
            </w:tcBorders>
            <w:noWrap/>
            <w:vAlign w:val="center"/>
          </w:tcPr>
          <w:p w14:paraId="5132213F"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0B32539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24BCA7D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single" w:sz="4" w:space="0" w:color="auto"/>
              <w:left w:val="nil"/>
              <w:bottom w:val="single" w:sz="4" w:space="0" w:color="auto"/>
              <w:right w:val="single" w:sz="4" w:space="0" w:color="auto"/>
            </w:tcBorders>
            <w:noWrap/>
            <w:vAlign w:val="center"/>
          </w:tcPr>
          <w:p w14:paraId="747E8AA3"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16CF2907"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5AC1A000"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123FF2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6D00959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防尘服</w:t>
            </w:r>
          </w:p>
        </w:tc>
        <w:tc>
          <w:tcPr>
            <w:tcW w:w="1081" w:type="pct"/>
            <w:tcBorders>
              <w:top w:val="single" w:sz="4" w:space="0" w:color="auto"/>
              <w:left w:val="single" w:sz="4" w:space="0" w:color="000000"/>
              <w:bottom w:val="single" w:sz="4" w:space="0" w:color="auto"/>
              <w:right w:val="single" w:sz="4" w:space="0" w:color="auto"/>
            </w:tcBorders>
            <w:noWrap/>
            <w:vAlign w:val="center"/>
          </w:tcPr>
          <w:p w14:paraId="4A77CFE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7170533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7D34836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single" w:sz="4" w:space="0" w:color="auto"/>
              <w:left w:val="nil"/>
              <w:bottom w:val="single" w:sz="4" w:space="0" w:color="auto"/>
              <w:right w:val="single" w:sz="4" w:space="0" w:color="auto"/>
            </w:tcBorders>
            <w:noWrap/>
            <w:vAlign w:val="center"/>
          </w:tcPr>
          <w:p w14:paraId="62A2B38E"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143B575C"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2465AE3D"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6BDA1294"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2807AF5A"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35kg</w:t>
            </w:r>
            <w:r>
              <w:rPr>
                <w:rFonts w:ascii="Times New Roman" w:eastAsia="宋体" w:hAnsi="Times New Roman" w:cs="宋体"/>
                <w:kern w:val="0"/>
                <w:sz w:val="21"/>
                <w:szCs w:val="21"/>
                <w14:ligatures w14:val="none"/>
              </w:rPr>
              <w:t>推车式干粉灭火器</w:t>
            </w:r>
          </w:p>
        </w:tc>
        <w:tc>
          <w:tcPr>
            <w:tcW w:w="1081" w:type="pct"/>
            <w:tcBorders>
              <w:top w:val="single" w:sz="4" w:space="0" w:color="auto"/>
              <w:left w:val="single" w:sz="4" w:space="0" w:color="000000"/>
              <w:bottom w:val="single" w:sz="4" w:space="0" w:color="auto"/>
              <w:right w:val="single" w:sz="4" w:space="0" w:color="auto"/>
            </w:tcBorders>
            <w:noWrap/>
            <w:vAlign w:val="center"/>
          </w:tcPr>
          <w:p w14:paraId="49DEE5A3"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灭火器</w:t>
            </w:r>
          </w:p>
        </w:tc>
        <w:tc>
          <w:tcPr>
            <w:tcW w:w="772" w:type="pct"/>
            <w:tcBorders>
              <w:top w:val="single" w:sz="4" w:space="0" w:color="auto"/>
              <w:left w:val="nil"/>
              <w:bottom w:val="single" w:sz="4" w:space="0" w:color="auto"/>
              <w:right w:val="single" w:sz="4" w:space="0" w:color="auto"/>
            </w:tcBorders>
            <w:noWrap/>
            <w:vAlign w:val="center"/>
          </w:tcPr>
          <w:p w14:paraId="071C852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储</w:t>
            </w:r>
            <w:r>
              <w:rPr>
                <w:rFonts w:ascii="Times New Roman" w:eastAsia="宋体" w:hAnsi="Times New Roman" w:cs="宋体"/>
                <w:kern w:val="0"/>
                <w:sz w:val="21"/>
                <w:szCs w:val="21"/>
                <w14:ligatures w14:val="none"/>
              </w:rPr>
              <w:t>罐区</w:t>
            </w:r>
          </w:p>
        </w:tc>
        <w:tc>
          <w:tcPr>
            <w:tcW w:w="541" w:type="pct"/>
            <w:tcBorders>
              <w:top w:val="single" w:sz="4" w:space="0" w:color="auto"/>
              <w:left w:val="nil"/>
              <w:bottom w:val="single" w:sz="4" w:space="0" w:color="auto"/>
              <w:right w:val="single" w:sz="4" w:space="0" w:color="auto"/>
            </w:tcBorders>
            <w:noWrap/>
            <w:vAlign w:val="center"/>
          </w:tcPr>
          <w:p w14:paraId="6C2D8C2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台</w:t>
            </w:r>
          </w:p>
        </w:tc>
        <w:tc>
          <w:tcPr>
            <w:tcW w:w="524" w:type="pct"/>
            <w:tcBorders>
              <w:top w:val="single" w:sz="4" w:space="0" w:color="auto"/>
              <w:left w:val="nil"/>
              <w:bottom w:val="single" w:sz="4" w:space="0" w:color="auto"/>
              <w:right w:val="single" w:sz="4" w:space="0" w:color="auto"/>
            </w:tcBorders>
            <w:noWrap/>
            <w:vAlign w:val="center"/>
          </w:tcPr>
          <w:p w14:paraId="2A6588BC"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5E6EEBD4"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43932DB4"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004D1E99"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299B7CA5"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5kg</w:t>
            </w:r>
            <w:r>
              <w:rPr>
                <w:rFonts w:ascii="Times New Roman" w:eastAsia="宋体" w:hAnsi="Times New Roman" w:cs="宋体"/>
                <w:kern w:val="0"/>
                <w:sz w:val="21"/>
                <w:szCs w:val="21"/>
                <w14:ligatures w14:val="none"/>
              </w:rPr>
              <w:t>手提式干粉灭火器</w:t>
            </w:r>
          </w:p>
        </w:tc>
        <w:tc>
          <w:tcPr>
            <w:tcW w:w="1081" w:type="pct"/>
            <w:tcBorders>
              <w:top w:val="single" w:sz="4" w:space="0" w:color="auto"/>
              <w:left w:val="single" w:sz="4" w:space="0" w:color="000000"/>
              <w:bottom w:val="single" w:sz="4" w:space="0" w:color="auto"/>
              <w:right w:val="single" w:sz="4" w:space="0" w:color="auto"/>
            </w:tcBorders>
            <w:noWrap/>
            <w:vAlign w:val="center"/>
          </w:tcPr>
          <w:p w14:paraId="4D098E19"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灭火器</w:t>
            </w:r>
          </w:p>
        </w:tc>
        <w:tc>
          <w:tcPr>
            <w:tcW w:w="772" w:type="pct"/>
            <w:tcBorders>
              <w:top w:val="single" w:sz="4" w:space="0" w:color="auto"/>
              <w:left w:val="nil"/>
              <w:bottom w:val="single" w:sz="4" w:space="0" w:color="auto"/>
              <w:right w:val="single" w:sz="4" w:space="0" w:color="auto"/>
            </w:tcBorders>
            <w:noWrap/>
            <w:vAlign w:val="center"/>
          </w:tcPr>
          <w:p w14:paraId="029D3A3D"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储罐区、加油区、卸油区、站房内</w:t>
            </w:r>
          </w:p>
        </w:tc>
        <w:tc>
          <w:tcPr>
            <w:tcW w:w="541" w:type="pct"/>
            <w:tcBorders>
              <w:top w:val="single" w:sz="4" w:space="0" w:color="auto"/>
              <w:left w:val="nil"/>
              <w:bottom w:val="single" w:sz="4" w:space="0" w:color="auto"/>
              <w:right w:val="single" w:sz="4" w:space="0" w:color="auto"/>
            </w:tcBorders>
            <w:noWrap/>
            <w:vAlign w:val="center"/>
          </w:tcPr>
          <w:p w14:paraId="64CFF1E0"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12</w:t>
            </w:r>
            <w:r>
              <w:rPr>
                <w:rFonts w:ascii="Times New Roman" w:eastAsia="宋体" w:hAnsi="Times New Roman" w:cs="宋体" w:hint="eastAsia"/>
                <w:kern w:val="0"/>
                <w:sz w:val="21"/>
                <w:szCs w:val="21"/>
                <w14:ligatures w14:val="none"/>
              </w:rPr>
              <w:t>具</w:t>
            </w:r>
          </w:p>
        </w:tc>
        <w:tc>
          <w:tcPr>
            <w:tcW w:w="524" w:type="pct"/>
            <w:tcBorders>
              <w:top w:val="single" w:sz="4" w:space="0" w:color="auto"/>
              <w:left w:val="nil"/>
              <w:bottom w:val="single" w:sz="4" w:space="0" w:color="auto"/>
              <w:right w:val="single" w:sz="4" w:space="0" w:color="auto"/>
            </w:tcBorders>
            <w:noWrap/>
            <w:vAlign w:val="center"/>
          </w:tcPr>
          <w:p w14:paraId="187F15AA"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649081AB"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605A1262"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7A8028CB"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21A9E2D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灭火毯</w:t>
            </w:r>
          </w:p>
        </w:tc>
        <w:tc>
          <w:tcPr>
            <w:tcW w:w="1081" w:type="pct"/>
            <w:tcBorders>
              <w:top w:val="single" w:sz="4" w:space="0" w:color="auto"/>
              <w:left w:val="single" w:sz="4" w:space="0" w:color="000000"/>
              <w:bottom w:val="single" w:sz="4" w:space="0" w:color="auto"/>
              <w:right w:val="single" w:sz="4" w:space="0" w:color="auto"/>
            </w:tcBorders>
            <w:noWrap/>
            <w:vAlign w:val="center"/>
          </w:tcPr>
          <w:p w14:paraId="0D712084"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47F90E7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消防器材箱内</w:t>
            </w:r>
          </w:p>
        </w:tc>
        <w:tc>
          <w:tcPr>
            <w:tcW w:w="541" w:type="pct"/>
            <w:tcBorders>
              <w:top w:val="single" w:sz="4" w:space="0" w:color="auto"/>
              <w:left w:val="nil"/>
              <w:bottom w:val="single" w:sz="4" w:space="0" w:color="auto"/>
              <w:right w:val="single" w:sz="4" w:space="0" w:color="auto"/>
            </w:tcBorders>
            <w:noWrap/>
            <w:vAlign w:val="center"/>
          </w:tcPr>
          <w:p w14:paraId="38ACD302"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块</w:t>
            </w:r>
          </w:p>
        </w:tc>
        <w:tc>
          <w:tcPr>
            <w:tcW w:w="524" w:type="pct"/>
            <w:tcBorders>
              <w:top w:val="single" w:sz="4" w:space="0" w:color="auto"/>
              <w:left w:val="nil"/>
              <w:bottom w:val="single" w:sz="4" w:space="0" w:color="auto"/>
              <w:right w:val="single" w:sz="4" w:space="0" w:color="auto"/>
            </w:tcBorders>
            <w:noWrap/>
            <w:vAlign w:val="center"/>
          </w:tcPr>
          <w:p w14:paraId="5927BD28"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768EE05C"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16CB6AAB"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14C7EB07"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54903B4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消防沙箱</w:t>
            </w:r>
          </w:p>
        </w:tc>
        <w:tc>
          <w:tcPr>
            <w:tcW w:w="1081" w:type="pct"/>
            <w:tcBorders>
              <w:top w:val="single" w:sz="4" w:space="0" w:color="auto"/>
              <w:left w:val="single" w:sz="4" w:space="0" w:color="000000"/>
              <w:bottom w:val="single" w:sz="4" w:space="0" w:color="auto"/>
              <w:right w:val="single" w:sz="4" w:space="0" w:color="auto"/>
            </w:tcBorders>
            <w:noWrap/>
            <w:vAlign w:val="center"/>
          </w:tcPr>
          <w:p w14:paraId="3C3E83BC"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内置消防沙</w:t>
            </w:r>
            <w:r>
              <w:rPr>
                <w:rFonts w:ascii="Times New Roman" w:eastAsia="宋体" w:hAnsi="Times New Roman" w:cs="宋体"/>
                <w:kern w:val="0"/>
                <w:sz w:val="21"/>
                <w:szCs w:val="21"/>
                <w14:ligatures w14:val="none"/>
              </w:rPr>
              <w:t>2m</w:t>
            </w:r>
            <w:r>
              <w:rPr>
                <w:rFonts w:ascii="Times New Roman" w:eastAsia="宋体" w:hAnsi="Times New Roman" w:cs="宋体" w:hint="eastAsia"/>
                <w:kern w:val="0"/>
                <w:sz w:val="21"/>
                <w:szCs w:val="21"/>
                <w:vertAlign w:val="superscript"/>
                <w14:ligatures w14:val="none"/>
              </w:rPr>
              <w:t>3</w:t>
            </w:r>
          </w:p>
        </w:tc>
        <w:tc>
          <w:tcPr>
            <w:tcW w:w="772" w:type="pct"/>
            <w:tcBorders>
              <w:top w:val="single" w:sz="4" w:space="0" w:color="auto"/>
              <w:left w:val="nil"/>
              <w:bottom w:val="single" w:sz="4" w:space="0" w:color="auto"/>
              <w:right w:val="single" w:sz="4" w:space="0" w:color="auto"/>
            </w:tcBorders>
            <w:noWrap/>
            <w:vAlign w:val="center"/>
          </w:tcPr>
          <w:p w14:paraId="4550899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卸油口附近</w:t>
            </w:r>
          </w:p>
        </w:tc>
        <w:tc>
          <w:tcPr>
            <w:tcW w:w="541" w:type="pct"/>
            <w:tcBorders>
              <w:top w:val="single" w:sz="4" w:space="0" w:color="auto"/>
              <w:left w:val="nil"/>
              <w:bottom w:val="single" w:sz="4" w:space="0" w:color="auto"/>
              <w:right w:val="single" w:sz="4" w:space="0" w:color="auto"/>
            </w:tcBorders>
            <w:noWrap/>
            <w:vAlign w:val="center"/>
          </w:tcPr>
          <w:p w14:paraId="3DBADB24"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4475CEE4"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64260501"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624219F6"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1CEAEBFA"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7B6BA817"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消防</w:t>
            </w:r>
            <w:r>
              <w:rPr>
                <w:rFonts w:ascii="Times New Roman" w:eastAsia="宋体" w:hAnsi="Times New Roman" w:cs="宋体"/>
                <w:kern w:val="0"/>
                <w:sz w:val="21"/>
                <w:szCs w:val="21"/>
                <w14:ligatures w14:val="none"/>
              </w:rPr>
              <w:t>锹</w:t>
            </w:r>
          </w:p>
        </w:tc>
        <w:tc>
          <w:tcPr>
            <w:tcW w:w="1081" w:type="pct"/>
            <w:tcBorders>
              <w:top w:val="single" w:sz="4" w:space="0" w:color="auto"/>
              <w:left w:val="single" w:sz="4" w:space="0" w:color="000000"/>
              <w:bottom w:val="single" w:sz="4" w:space="0" w:color="auto"/>
              <w:right w:val="single" w:sz="4" w:space="0" w:color="auto"/>
            </w:tcBorders>
            <w:noWrap/>
            <w:vAlign w:val="center"/>
          </w:tcPr>
          <w:p w14:paraId="6C1C652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186076B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47B5ED5E"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把</w:t>
            </w:r>
          </w:p>
        </w:tc>
        <w:tc>
          <w:tcPr>
            <w:tcW w:w="524" w:type="pct"/>
            <w:tcBorders>
              <w:top w:val="single" w:sz="4" w:space="0" w:color="auto"/>
              <w:left w:val="nil"/>
              <w:bottom w:val="single" w:sz="4" w:space="0" w:color="auto"/>
              <w:right w:val="single" w:sz="4" w:space="0" w:color="auto"/>
            </w:tcBorders>
            <w:noWrap/>
            <w:vAlign w:val="center"/>
          </w:tcPr>
          <w:p w14:paraId="2960082A"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502148" w14:paraId="2F12FAC4"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219AD7B9" w14:textId="77777777" w:rsidR="00502148" w:rsidRDefault="00502148">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bottom w:val="single" w:sz="4" w:space="0" w:color="000000"/>
              <w:right w:val="single" w:sz="4" w:space="0" w:color="000000"/>
            </w:tcBorders>
            <w:vAlign w:val="center"/>
          </w:tcPr>
          <w:p w14:paraId="4C529E50"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18902F31"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消防</w:t>
            </w:r>
            <w:r>
              <w:rPr>
                <w:rFonts w:ascii="Times New Roman" w:eastAsia="宋体" w:hAnsi="Times New Roman" w:cs="宋体"/>
                <w:kern w:val="0"/>
                <w:sz w:val="21"/>
                <w:szCs w:val="21"/>
                <w14:ligatures w14:val="none"/>
              </w:rPr>
              <w:t>桶</w:t>
            </w:r>
          </w:p>
        </w:tc>
        <w:tc>
          <w:tcPr>
            <w:tcW w:w="1081" w:type="pct"/>
            <w:tcBorders>
              <w:top w:val="single" w:sz="4" w:space="0" w:color="auto"/>
              <w:left w:val="single" w:sz="4" w:space="0" w:color="000000"/>
              <w:bottom w:val="single" w:sz="4" w:space="0" w:color="auto"/>
              <w:right w:val="single" w:sz="4" w:space="0" w:color="auto"/>
            </w:tcBorders>
            <w:noWrap/>
            <w:vAlign w:val="center"/>
          </w:tcPr>
          <w:p w14:paraId="6E6F334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3B0E3741" w14:textId="77777777" w:rsidR="00502148" w:rsidRDefault="00502148">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2B6A8F28" w14:textId="77777777" w:rsidR="00502148"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3202C381" w14:textId="77777777" w:rsidR="00502148"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bl>
    <w:p w14:paraId="062AEEF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）借鉴国内外同类建设项目所采取（用）的安全设施</w:t>
      </w:r>
    </w:p>
    <w:p w14:paraId="381D872A" w14:textId="77777777" w:rsidR="00502148" w:rsidRDefault="00000000">
      <w:pPr>
        <w:ind w:firstLine="560"/>
        <w:rPr>
          <w:rFonts w:ascii="Times New Roman" w:eastAsia="宋体" w:hAnsi="Times New Roman"/>
        </w:rPr>
      </w:pPr>
      <w:r>
        <w:rPr>
          <w:rFonts w:ascii="Times New Roman" w:eastAsia="宋体" w:hAnsi="Times New Roman"/>
        </w:rPr>
        <w:t>目前，国内外加油站主要采用的工艺大多为密闭卸油、</w:t>
      </w:r>
      <w:r>
        <w:rPr>
          <w:rFonts w:ascii="Times New Roman" w:eastAsia="宋体" w:hAnsi="Times New Roman" w:hint="eastAsia"/>
        </w:rPr>
        <w:t>潜油泵</w:t>
      </w:r>
      <w:r>
        <w:rPr>
          <w:rFonts w:ascii="Times New Roman" w:eastAsia="宋体" w:hAnsi="Times New Roman"/>
        </w:rPr>
        <w:t>式加油工艺、</w:t>
      </w:r>
      <w:r>
        <w:rPr>
          <w:rFonts w:ascii="Times New Roman" w:eastAsia="宋体" w:hAnsi="Times New Roman"/>
        </w:rPr>
        <w:t>SF</w:t>
      </w:r>
      <w:r>
        <w:rPr>
          <w:rFonts w:ascii="Times New Roman" w:eastAsia="宋体" w:hAnsi="Times New Roman"/>
        </w:rPr>
        <w:t>型双层埋地储油罐，本项目与同类项目相比，采取的安全设施齐全，较为先进。</w:t>
      </w:r>
    </w:p>
    <w:p w14:paraId="5FD73A8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）未采取（用）设计的安全设施</w:t>
      </w:r>
    </w:p>
    <w:p w14:paraId="5EEC8EC7" w14:textId="77777777" w:rsidR="00502148" w:rsidRDefault="00000000">
      <w:pPr>
        <w:ind w:firstLine="560"/>
        <w:rPr>
          <w:rFonts w:ascii="Times New Roman" w:eastAsia="宋体" w:hAnsi="Times New Roman"/>
        </w:rPr>
      </w:pPr>
      <w:r>
        <w:rPr>
          <w:rFonts w:ascii="Times New Roman" w:eastAsia="宋体" w:hAnsi="Times New Roman"/>
        </w:rPr>
        <w:t>本项目的施工全部采纳了安全设施设计专篇提出的要求，安全设施设置较为完善，安全状态良好，需要检验检测的安全设施经检验检测合格，处于有效期内。</w:t>
      </w:r>
    </w:p>
    <w:p w14:paraId="342E444E"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6.3.2</w:t>
      </w:r>
      <w:r>
        <w:rPr>
          <w:rFonts w:ascii="Times New Roman" w:eastAsia="黑体" w:hAnsi="Times New Roman" w:cs="Times New Roman"/>
          <w:b/>
          <w:bCs/>
        </w:rPr>
        <w:t>安全生产管理情况</w:t>
      </w:r>
    </w:p>
    <w:p w14:paraId="0A75AE10"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1</w:t>
      </w:r>
      <w:r w:rsidRPr="007739ED">
        <w:rPr>
          <w:rFonts w:ascii="Times New Roman" w:eastAsia="宋体" w:hAnsi="Times New Roman"/>
        </w:rPr>
        <w:t>）安全生产责任制的建立和执行情况</w:t>
      </w:r>
    </w:p>
    <w:p w14:paraId="5FA34CBD"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站内建立了主要负责人、安全管理人员、岗位安全责任制度，并组织相关人员进行学习。通过现场询问相关人员，本项目各岗位人员熟知自己的安全职责。</w:t>
      </w:r>
    </w:p>
    <w:p w14:paraId="16C3DFF4"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2</w:t>
      </w:r>
      <w:r w:rsidRPr="007739ED">
        <w:rPr>
          <w:rFonts w:ascii="Times New Roman" w:eastAsia="宋体" w:hAnsi="Times New Roman"/>
        </w:rPr>
        <w:t>）安全生产管理制度的制定和执行情况</w:t>
      </w:r>
    </w:p>
    <w:p w14:paraId="73735FB1"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针对运营特点并按照国家相应的法律、标准和规范要求，制订了安全生产管理制度，并贯彻执行，使工作人员熟悉掌握各项安全生产管理制度。通过现场询问及调查了解，本项目的人员熟知本单位的各项安全管理制度。</w:t>
      </w:r>
    </w:p>
    <w:p w14:paraId="2C2AF127"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lastRenderedPageBreak/>
        <w:t>（</w:t>
      </w:r>
      <w:r w:rsidRPr="007739ED">
        <w:rPr>
          <w:rFonts w:ascii="Times New Roman" w:eastAsia="宋体" w:hAnsi="Times New Roman"/>
        </w:rPr>
        <w:t>3</w:t>
      </w:r>
      <w:r w:rsidRPr="007739ED">
        <w:rPr>
          <w:rFonts w:ascii="Times New Roman" w:eastAsia="宋体" w:hAnsi="Times New Roman"/>
        </w:rPr>
        <w:t>）安全技术规程和作业安全规程的制定和执行情况</w:t>
      </w:r>
    </w:p>
    <w:p w14:paraId="067235B8"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针对危险作业岗位，如加油、卸油和计量作业，制订了安全技术规程，并集中对各岗位人员按照操作规程要求，采用理论培训和模拟操作的形式进行反复培训，通过现场询问及调查了解，岗位人员熟练掌握本岗位操作技能，熟记本岗位生产操作规程和作业规程，能够达到正常生产操作，并熟知异常情况的紧急处理措施，并对储存经营过程中的危险有害因素有深刻的认识，能够掌握本岗位的灭火、自救常识。</w:t>
      </w:r>
    </w:p>
    <w:p w14:paraId="6683916F"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4</w:t>
      </w:r>
      <w:r w:rsidRPr="007739ED">
        <w:rPr>
          <w:rFonts w:ascii="Times New Roman" w:eastAsia="宋体" w:hAnsi="Times New Roman"/>
        </w:rPr>
        <w:t>）安全生产管理机构的设置和专职安全生产管理人员的配备情况</w:t>
      </w:r>
    </w:p>
    <w:p w14:paraId="606F3500"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站内成立了安全管理领导小组，有专职安全管理人员。</w:t>
      </w:r>
    </w:p>
    <w:p w14:paraId="25512D80"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5</w:t>
      </w:r>
      <w:r w:rsidRPr="007739ED">
        <w:rPr>
          <w:rFonts w:ascii="Times New Roman" w:eastAsia="宋体" w:hAnsi="Times New Roman"/>
        </w:rPr>
        <w:t>）主要负责人和安全管理人员管理能力</w:t>
      </w:r>
    </w:p>
    <w:p w14:paraId="364B3B93"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主要负责人、安全生产管理人员取得了相应的考核合格证（安全生产知识和管理能力），具有一定的管理能力和安全素养。通过现场询问及调查了解，他们熟悉国家相关的法律、法规，具有良好的管理能力和素质，能够保证安全有效运行。</w:t>
      </w:r>
    </w:p>
    <w:p w14:paraId="7F395974"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6</w:t>
      </w:r>
      <w:r w:rsidRPr="007739ED">
        <w:rPr>
          <w:rFonts w:ascii="Times New Roman" w:eastAsia="宋体" w:hAnsi="Times New Roman"/>
        </w:rPr>
        <w:t>）其他从业人员掌握安全知识、专业技术和应急救援知识的情况</w:t>
      </w:r>
    </w:p>
    <w:p w14:paraId="5629BC4A"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站内其他从业人员均经安全教育培训，具有本岗位的安全知识、专业技术应急救援知识。经调查了解得知，他们了解国家相关的法律、法规，熟悉本岗位安全经营知识，掌握本岗位的专业技能。并参加加油站组织的安全教育培训，不断加强安全管理及安全经营方面的知识学习。</w:t>
      </w:r>
    </w:p>
    <w:p w14:paraId="1A29342F"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7</w:t>
      </w:r>
      <w:r w:rsidRPr="007739ED">
        <w:rPr>
          <w:rFonts w:ascii="Times New Roman" w:eastAsia="宋体" w:hAnsi="Times New Roman"/>
        </w:rPr>
        <w:t>）安全投入的情况</w:t>
      </w:r>
    </w:p>
    <w:p w14:paraId="39C3A59F"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本项目安全投入费用为</w:t>
      </w:r>
      <w:r w:rsidRPr="007739ED">
        <w:rPr>
          <w:rFonts w:ascii="Times New Roman" w:eastAsia="宋体" w:hAnsi="Times New Roman"/>
        </w:rPr>
        <w:t>28</w:t>
      </w:r>
      <w:r w:rsidRPr="007739ED">
        <w:rPr>
          <w:rFonts w:ascii="Times New Roman" w:eastAsia="宋体" w:hAnsi="Times New Roman"/>
        </w:rPr>
        <w:t>万元，占比项目投资</w:t>
      </w:r>
      <w:r w:rsidRPr="007739ED">
        <w:rPr>
          <w:rFonts w:ascii="Times New Roman" w:eastAsia="宋体" w:hAnsi="Times New Roman"/>
        </w:rPr>
        <w:t>5%</w:t>
      </w:r>
      <w:r w:rsidRPr="007739ED">
        <w:rPr>
          <w:rFonts w:ascii="Times New Roman" w:eastAsia="宋体" w:hAnsi="Times New Roman"/>
        </w:rPr>
        <w:t>，其中一部分用于人员培训，一部分用于检测检验设施，一部分用于消防器材、避雷、防静电设施、安全报警设备设施的建设，一部分用于劳动防护用品的购买等。</w:t>
      </w:r>
    </w:p>
    <w:p w14:paraId="21B5A798"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8</w:t>
      </w:r>
      <w:r w:rsidRPr="007739ED">
        <w:rPr>
          <w:rFonts w:ascii="Times New Roman" w:eastAsia="宋体" w:hAnsi="Times New Roman"/>
        </w:rPr>
        <w:t>）安全生产的检查情况</w:t>
      </w:r>
    </w:p>
    <w:p w14:paraId="50EB3C19"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该站制定了安全风险管理制度，包括：加油站卸油、加油前安全条件检</w:t>
      </w:r>
      <w:r w:rsidRPr="007739ED">
        <w:rPr>
          <w:rFonts w:ascii="Times New Roman" w:eastAsia="宋体" w:hAnsi="Times New Roman"/>
        </w:rPr>
        <w:lastRenderedPageBreak/>
        <w:t>查。根据安全经营检查的规定，如期进行了检查，并形成了安全记录，对在检查中发现的问题提出了整改的意见和要求，及时跟踪整改情况，安全检查能够有效实施，起到了良好的监督和促进的作用。</w:t>
      </w:r>
    </w:p>
    <w:p w14:paraId="6B6D68AA"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9</w:t>
      </w:r>
      <w:r w:rsidRPr="007739ED">
        <w:rPr>
          <w:rFonts w:ascii="Times New Roman" w:eastAsia="宋体" w:hAnsi="Times New Roman"/>
        </w:rPr>
        <w:t>）重大危险源的辨识和已确定的重大危险源检测、评估和监控情况</w:t>
      </w:r>
    </w:p>
    <w:p w14:paraId="5F553CF0"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由本报告第三章中重大危险源辨识可知，该站未构成危险化学品重大危险源，具体辨识过程详见附件</w:t>
      </w:r>
      <w:r w:rsidRPr="007739ED">
        <w:rPr>
          <w:rFonts w:ascii="Times New Roman" w:eastAsia="宋体" w:hAnsi="Times New Roman"/>
        </w:rPr>
        <w:t>F3.4</w:t>
      </w:r>
      <w:r w:rsidRPr="007739ED">
        <w:rPr>
          <w:rFonts w:ascii="Times New Roman" w:eastAsia="宋体" w:hAnsi="Times New Roman"/>
        </w:rPr>
        <w:t>。</w:t>
      </w:r>
    </w:p>
    <w:p w14:paraId="640FB4B4" w14:textId="77777777" w:rsidR="007739ED" w:rsidRPr="007739ED" w:rsidRDefault="007739ED" w:rsidP="007739ED">
      <w:pPr>
        <w:ind w:firstLine="560"/>
        <w:rPr>
          <w:rFonts w:ascii="Times New Roman" w:eastAsia="宋体" w:hAnsi="Times New Roman"/>
        </w:rPr>
      </w:pPr>
      <w:r w:rsidRPr="007739ED">
        <w:rPr>
          <w:rFonts w:ascii="Times New Roman" w:eastAsia="宋体" w:hAnsi="Times New Roman"/>
        </w:rPr>
        <w:t>（</w:t>
      </w:r>
      <w:r w:rsidRPr="007739ED">
        <w:rPr>
          <w:rFonts w:ascii="Times New Roman" w:eastAsia="宋体" w:hAnsi="Times New Roman"/>
        </w:rPr>
        <w:t>10</w:t>
      </w:r>
      <w:r w:rsidRPr="007739ED">
        <w:rPr>
          <w:rFonts w:ascii="Times New Roman" w:eastAsia="宋体" w:hAnsi="Times New Roman"/>
        </w:rPr>
        <w:t>）从业人员劳动防护用品的配备及检修、维护和法定检验、检测情况</w:t>
      </w:r>
    </w:p>
    <w:p w14:paraId="6DFF4045" w14:textId="5728B7D2" w:rsidR="00502148" w:rsidRDefault="007739ED" w:rsidP="007739ED">
      <w:pPr>
        <w:ind w:firstLine="560"/>
        <w:rPr>
          <w:rFonts w:ascii="Times New Roman" w:eastAsia="宋体" w:hAnsi="Times New Roman"/>
        </w:rPr>
      </w:pPr>
      <w:r w:rsidRPr="007739ED">
        <w:rPr>
          <w:rFonts w:ascii="Times New Roman" w:eastAsia="宋体" w:hAnsi="Times New Roman"/>
        </w:rPr>
        <w:t>站内依据国家有关规定及相关岗位要求，为从业人员配备了工作服、手套、工作鞋等劳动保护用品，定期对从业人员的劳动防护用品进行更换。并做了定期发放、监督佩戴的规定。对需要检验的劳动防护用品已进行检测</w:t>
      </w:r>
      <w:r>
        <w:rPr>
          <w:rFonts w:ascii="宋体" w:eastAsia="宋体" w:hAnsi="宋体" w:cs="宋体" w:hint="eastAsia"/>
        </w:rPr>
        <w:t>。</w:t>
      </w:r>
    </w:p>
    <w:p w14:paraId="74519265"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6.3.3</w:t>
      </w:r>
      <w:r>
        <w:rPr>
          <w:rFonts w:ascii="Times New Roman" w:eastAsia="黑体" w:hAnsi="Times New Roman" w:cs="Times New Roman"/>
          <w:b/>
          <w:bCs/>
        </w:rPr>
        <w:t>技术、工艺情况分析</w:t>
      </w:r>
    </w:p>
    <w:p w14:paraId="786A2C4B"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）建设项目试运</w:t>
      </w:r>
      <w:r>
        <w:rPr>
          <w:rFonts w:ascii="Times New Roman" w:eastAsia="宋体" w:hAnsi="Times New Roman" w:hint="eastAsia"/>
        </w:rPr>
        <w:t>行</w:t>
      </w:r>
      <w:r>
        <w:rPr>
          <w:rFonts w:ascii="Times New Roman" w:eastAsia="宋体" w:hAnsi="Times New Roman"/>
        </w:rPr>
        <w:t>的情况</w:t>
      </w:r>
    </w:p>
    <w:p w14:paraId="1C321FFA" w14:textId="5109D8D0" w:rsidR="00502148" w:rsidRDefault="007739ED">
      <w:pPr>
        <w:ind w:firstLine="560"/>
        <w:rPr>
          <w:rFonts w:ascii="Times New Roman" w:eastAsia="宋体" w:hAnsi="Times New Roman"/>
        </w:rPr>
      </w:pPr>
      <w:r w:rsidRPr="007739ED">
        <w:rPr>
          <w:rFonts w:ascii="Times New Roman" w:eastAsia="宋体" w:hAnsi="Times New Roman"/>
        </w:rPr>
        <w:t>站内从人员组织、职工培训、安全管理、经营设备、紧急切断系统等调试、公用工程和应急预案等方面做了充分的准备，按操作规程进行试操作，对加油机、油罐液位监测系统、防渗检测系统等安全设施进行试运行，试运行过程持续稳定</w:t>
      </w:r>
      <w:r>
        <w:rPr>
          <w:rFonts w:ascii="Times New Roman" w:eastAsia="宋体" w:hAnsi="Times New Roman"/>
        </w:rPr>
        <w:t>。</w:t>
      </w:r>
    </w:p>
    <w:p w14:paraId="4A016E7F"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）经营、储存过程控制系统及安全联锁系统等运行情况</w:t>
      </w:r>
    </w:p>
    <w:p w14:paraId="33F8CC37" w14:textId="77777777" w:rsidR="00502148" w:rsidRDefault="00000000">
      <w:pPr>
        <w:ind w:firstLine="560"/>
        <w:rPr>
          <w:rFonts w:ascii="Times New Roman" w:eastAsia="宋体" w:hAnsi="Times New Roman"/>
        </w:rPr>
      </w:pPr>
      <w:r>
        <w:rPr>
          <w:rFonts w:ascii="Times New Roman" w:eastAsia="宋体" w:hAnsi="Times New Roman" w:hint="eastAsia"/>
        </w:rPr>
        <w:t>该站</w:t>
      </w:r>
      <w:r>
        <w:rPr>
          <w:rFonts w:ascii="Times New Roman" w:eastAsia="宋体" w:hAnsi="Times New Roman"/>
        </w:rPr>
        <w:t>不构成重大危险源，储存经营的危险化学品为车用乙醇汽油、柴油，采用工艺技术成熟可靠。</w:t>
      </w:r>
    </w:p>
    <w:p w14:paraId="6ABF17CB" w14:textId="77777777" w:rsidR="00502148" w:rsidRDefault="00000000">
      <w:pPr>
        <w:ind w:firstLine="560"/>
        <w:rPr>
          <w:rFonts w:ascii="Times New Roman" w:eastAsia="宋体" w:hAnsi="Times New Roman"/>
        </w:rPr>
      </w:pPr>
      <w:r>
        <w:rPr>
          <w:rFonts w:ascii="Times New Roman" w:eastAsia="宋体" w:hAnsi="Times New Roman"/>
        </w:rPr>
        <w:t>站内设置液位仪和液位远传系统的联锁装置，设置防渗漏检测装置，采取防满溢措施，采用磁致伸缩液位计和机械式卸油防溢阀。</w:t>
      </w:r>
    </w:p>
    <w:p w14:paraId="4000C154" w14:textId="77777777" w:rsidR="00502148" w:rsidRDefault="00000000">
      <w:pPr>
        <w:ind w:firstLine="560"/>
        <w:rPr>
          <w:rFonts w:ascii="Times New Roman" w:eastAsia="宋体" w:hAnsi="Times New Roman"/>
        </w:rPr>
      </w:pPr>
      <w:r>
        <w:rPr>
          <w:rFonts w:ascii="Times New Roman" w:eastAsia="宋体" w:hAnsi="Times New Roman"/>
        </w:rPr>
        <w:t>站内设置紧急切断系统，该系统能在事故状态下迅速切断加油泵电源，具有失效保护功能。</w:t>
      </w:r>
    </w:p>
    <w:p w14:paraId="780593A5" w14:textId="77777777" w:rsidR="00502148"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6.3.4</w:t>
      </w:r>
      <w:r>
        <w:rPr>
          <w:rFonts w:ascii="Times New Roman" w:eastAsia="黑体" w:hAnsi="Times New Roman" w:cs="Times New Roman"/>
          <w:b/>
          <w:bCs/>
        </w:rPr>
        <w:t>装置、设备、设施的施工、检验、检测情况</w:t>
      </w:r>
    </w:p>
    <w:p w14:paraId="08FE22DF"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）安全设施的施工质量情况</w:t>
      </w:r>
    </w:p>
    <w:p w14:paraId="188C774B" w14:textId="77777777" w:rsidR="00502148" w:rsidRDefault="00000000">
      <w:pPr>
        <w:ind w:firstLine="560"/>
        <w:rPr>
          <w:rFonts w:ascii="Times New Roman" w:eastAsia="宋体" w:hAnsi="Times New Roman"/>
        </w:rPr>
      </w:pPr>
      <w:r>
        <w:rPr>
          <w:rFonts w:ascii="Times New Roman" w:eastAsia="宋体" w:hAnsi="Times New Roman"/>
        </w:rPr>
        <w:t>站内的设计单位、施工单位均为有资质的单位承担，安全设施的施工质量可以保证。项目所涉及的检测仪表、报警器、消防设施等预防、控制、减少与消除事故影安全设施均采用正规生产厂家的产品。</w:t>
      </w:r>
    </w:p>
    <w:p w14:paraId="5FC9272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）安全设施在施工前后的检验、检测及有效性情况</w:t>
      </w:r>
    </w:p>
    <w:p w14:paraId="5B86B75A" w14:textId="0604FF9B" w:rsidR="001E7543" w:rsidRDefault="001E7543">
      <w:pPr>
        <w:ind w:firstLine="560"/>
        <w:rPr>
          <w:rFonts w:ascii="Times New Roman" w:eastAsia="宋体" w:hAnsi="Times New Roman"/>
        </w:rPr>
      </w:pPr>
      <w:r w:rsidRPr="001E7543">
        <w:rPr>
          <w:rFonts w:ascii="Times New Roman" w:eastAsia="宋体" w:hAnsi="Times New Roman"/>
        </w:rPr>
        <w:t>站内防雷装置由辽宁雷电防护工程有限责任公司进行了检测，检验日期为</w:t>
      </w:r>
      <w:r w:rsidRPr="001E7543">
        <w:rPr>
          <w:rFonts w:ascii="Times New Roman" w:eastAsia="宋体" w:hAnsi="Times New Roman"/>
        </w:rPr>
        <w:t>2025</w:t>
      </w:r>
      <w:r w:rsidRPr="001E7543">
        <w:rPr>
          <w:rFonts w:ascii="Times New Roman" w:eastAsia="宋体" w:hAnsi="Times New Roman"/>
        </w:rPr>
        <w:t>年</w:t>
      </w:r>
      <w:r w:rsidRPr="001E7543">
        <w:rPr>
          <w:rFonts w:ascii="Times New Roman" w:eastAsia="宋体" w:hAnsi="Times New Roman"/>
        </w:rPr>
        <w:t>09</w:t>
      </w:r>
      <w:r w:rsidRPr="001E7543">
        <w:rPr>
          <w:rFonts w:ascii="Times New Roman" w:eastAsia="宋体" w:hAnsi="Times New Roman"/>
        </w:rPr>
        <w:t>月</w:t>
      </w:r>
      <w:r w:rsidRPr="001E7543">
        <w:rPr>
          <w:rFonts w:ascii="Times New Roman" w:eastAsia="宋体" w:hAnsi="Times New Roman"/>
        </w:rPr>
        <w:t>01</w:t>
      </w:r>
      <w:r w:rsidRPr="001E7543">
        <w:rPr>
          <w:rFonts w:ascii="Times New Roman" w:eastAsia="宋体" w:hAnsi="Times New Roman"/>
        </w:rPr>
        <w:t>日至</w:t>
      </w:r>
      <w:r w:rsidRPr="001E7543">
        <w:rPr>
          <w:rFonts w:ascii="Times New Roman" w:eastAsia="宋体" w:hAnsi="Times New Roman"/>
        </w:rPr>
        <w:t>2025</w:t>
      </w:r>
      <w:r w:rsidRPr="001E7543">
        <w:rPr>
          <w:rFonts w:ascii="Times New Roman" w:eastAsia="宋体" w:hAnsi="Times New Roman"/>
        </w:rPr>
        <w:t>年</w:t>
      </w:r>
      <w:r w:rsidRPr="001E7543">
        <w:rPr>
          <w:rFonts w:ascii="Times New Roman" w:eastAsia="宋体" w:hAnsi="Times New Roman"/>
        </w:rPr>
        <w:t>09</w:t>
      </w:r>
      <w:r w:rsidRPr="001E7543">
        <w:rPr>
          <w:rFonts w:ascii="Times New Roman" w:eastAsia="宋体" w:hAnsi="Times New Roman"/>
        </w:rPr>
        <w:t>月</w:t>
      </w:r>
      <w:r w:rsidRPr="001E7543">
        <w:rPr>
          <w:rFonts w:ascii="Times New Roman" w:eastAsia="宋体" w:hAnsi="Times New Roman"/>
        </w:rPr>
        <w:t>03</w:t>
      </w:r>
      <w:r w:rsidRPr="001E7543">
        <w:rPr>
          <w:rFonts w:ascii="Times New Roman" w:eastAsia="宋体" w:hAnsi="Times New Roman"/>
        </w:rPr>
        <w:t>日。</w:t>
      </w:r>
    </w:p>
    <w:p w14:paraId="42EFD1C5" w14:textId="5259D67F" w:rsidR="00502148" w:rsidRDefault="00000000">
      <w:pPr>
        <w:ind w:firstLine="560"/>
        <w:rPr>
          <w:rFonts w:ascii="Times New Roman" w:eastAsia="宋体" w:hAnsi="Times New Roman"/>
        </w:rPr>
      </w:pPr>
      <w:r>
        <w:rPr>
          <w:rFonts w:ascii="Times New Roman" w:eastAsia="宋体" w:hAnsi="Times New Roman"/>
        </w:rPr>
        <w:t>站内的设备、设施施工单位具有相关设计、制造、安装资质，检测、检验单位的检测、检验结果也具有法律效力。</w:t>
      </w:r>
    </w:p>
    <w:p w14:paraId="054F3ACD"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）装置、设备和设施的检修、维护情况</w:t>
      </w:r>
    </w:p>
    <w:p w14:paraId="4B8F81D8" w14:textId="2DDC23E4" w:rsidR="00502148" w:rsidRDefault="007739ED">
      <w:pPr>
        <w:ind w:firstLine="560"/>
        <w:rPr>
          <w:rFonts w:ascii="Times New Roman" w:eastAsia="宋体" w:hAnsi="Times New Roman"/>
        </w:rPr>
      </w:pPr>
      <w:r w:rsidRPr="007739ED">
        <w:rPr>
          <w:rFonts w:ascii="Times New Roman" w:eastAsia="宋体" w:hAnsi="Times New Roman"/>
        </w:rPr>
        <w:t>站内专职安全管理人员每天均对装置、设备及设施进行巡检并定期维护，在巡检过程中一旦发现问题，立即对相关装置、设备或设施进行检修，以保证工艺装置的正常运行，且建立了加油站设备管理制度和加油站设备检维修作业安全管理制度</w:t>
      </w:r>
      <w:r>
        <w:rPr>
          <w:rFonts w:ascii="Times New Roman" w:eastAsia="宋体" w:hAnsi="Times New Roman"/>
        </w:rPr>
        <w:t>。</w:t>
      </w:r>
    </w:p>
    <w:p w14:paraId="5B751E39" w14:textId="77777777" w:rsidR="00502148"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6.3.5</w:t>
      </w:r>
      <w:r>
        <w:rPr>
          <w:rFonts w:ascii="Times New Roman" w:eastAsia="黑体" w:hAnsi="Times New Roman" w:cs="Times New Roman"/>
          <w:b/>
          <w:bCs/>
        </w:rPr>
        <w:t>原料、辅助材料和产品情况分析</w:t>
      </w:r>
    </w:p>
    <w:p w14:paraId="371559FB" w14:textId="77777777" w:rsidR="00502148" w:rsidRDefault="00000000">
      <w:pPr>
        <w:ind w:firstLine="560"/>
        <w:rPr>
          <w:rFonts w:ascii="Times New Roman" w:eastAsia="宋体" w:hAnsi="Times New Roman"/>
        </w:rPr>
      </w:pPr>
      <w:r>
        <w:rPr>
          <w:rFonts w:ascii="Times New Roman" w:eastAsia="宋体" w:hAnsi="Times New Roman"/>
        </w:rPr>
        <w:t>站内涉及的主要为危险化学品车用乙醇汽油和柴油，其中车用乙醇汽油是重点监管危险化学品。站内设有</w:t>
      </w:r>
      <w:r>
        <w:rPr>
          <w:rFonts w:ascii="Times New Roman" w:eastAsia="宋体" w:hAnsi="Times New Roman" w:hint="eastAsia"/>
        </w:rPr>
        <w:t>2</w:t>
      </w:r>
      <w:r>
        <w:rPr>
          <w:rFonts w:ascii="Times New Roman" w:eastAsia="宋体" w:hAnsi="Times New Roman"/>
        </w:rPr>
        <w:t>座</w:t>
      </w:r>
      <w:r>
        <w:rPr>
          <w:rFonts w:ascii="Times New Roman" w:eastAsia="宋体" w:hAnsi="Times New Roman" w:hint="eastAsia"/>
        </w:rPr>
        <w:t>3</w:t>
      </w:r>
      <w:r>
        <w:rPr>
          <w:rFonts w:ascii="Times New Roman" w:eastAsia="宋体" w:hAnsi="Times New Roman"/>
        </w:rPr>
        <w:t>0m</w:t>
      </w:r>
      <w:r>
        <w:rPr>
          <w:rFonts w:ascii="Times New Roman" w:eastAsia="宋体" w:hAnsi="Times New Roman" w:hint="eastAsia"/>
          <w:vertAlign w:val="superscript"/>
        </w:rPr>
        <w:t>3</w:t>
      </w:r>
      <w:r>
        <w:rPr>
          <w:rFonts w:ascii="Times New Roman" w:eastAsia="宋体" w:hAnsi="Times New Roman"/>
        </w:rPr>
        <w:t>柴油</w:t>
      </w:r>
      <w:r>
        <w:rPr>
          <w:rFonts w:ascii="Times New Roman" w:eastAsia="宋体" w:hAnsi="Times New Roman"/>
        </w:rPr>
        <w:t>SF</w:t>
      </w:r>
      <w:r>
        <w:rPr>
          <w:rFonts w:ascii="Times New Roman" w:eastAsia="宋体" w:hAnsi="Times New Roman"/>
        </w:rPr>
        <w:t>双层储罐，</w:t>
      </w:r>
      <w:r>
        <w:rPr>
          <w:rFonts w:ascii="Times New Roman" w:eastAsia="宋体" w:hAnsi="Times New Roman" w:hint="eastAsia"/>
        </w:rPr>
        <w:t>4</w:t>
      </w:r>
      <w:r>
        <w:rPr>
          <w:rFonts w:ascii="Times New Roman" w:eastAsia="宋体" w:hAnsi="Times New Roman"/>
        </w:rPr>
        <w:t>座</w:t>
      </w:r>
      <w:r>
        <w:rPr>
          <w:rFonts w:ascii="Times New Roman" w:eastAsia="宋体" w:hAnsi="Times New Roman" w:hint="eastAsia"/>
        </w:rPr>
        <w:t>3</w:t>
      </w:r>
      <w:r>
        <w:rPr>
          <w:rFonts w:ascii="Times New Roman" w:eastAsia="宋体" w:hAnsi="Times New Roman"/>
        </w:rPr>
        <w:t>0m</w:t>
      </w:r>
      <w:r>
        <w:rPr>
          <w:rFonts w:ascii="Times New Roman" w:eastAsia="宋体" w:hAnsi="Times New Roman" w:hint="eastAsia"/>
          <w:vertAlign w:val="superscript"/>
        </w:rPr>
        <w:t>3</w:t>
      </w:r>
      <w:r>
        <w:rPr>
          <w:rFonts w:ascii="Times New Roman" w:eastAsia="宋体" w:hAnsi="Times New Roman"/>
        </w:rPr>
        <w:t>汽油</w:t>
      </w:r>
      <w:r>
        <w:rPr>
          <w:rFonts w:ascii="Times New Roman" w:eastAsia="宋体" w:hAnsi="Times New Roman"/>
        </w:rPr>
        <w:t>SF</w:t>
      </w:r>
      <w:r>
        <w:rPr>
          <w:rFonts w:ascii="Times New Roman" w:eastAsia="宋体" w:hAnsi="Times New Roman"/>
        </w:rPr>
        <w:t>双层储罐</w:t>
      </w:r>
      <w:r>
        <w:rPr>
          <w:rFonts w:ascii="Times New Roman" w:eastAsia="宋体" w:hAnsi="Times New Roman" w:hint="eastAsia"/>
        </w:rPr>
        <w:t>，</w:t>
      </w:r>
      <w:r>
        <w:rPr>
          <w:rFonts w:ascii="Times New Roman" w:eastAsia="宋体" w:hAnsi="Times New Roman"/>
        </w:rPr>
        <w:t>柴油罐容积折半后，油罐总容积</w:t>
      </w:r>
      <w:r>
        <w:rPr>
          <w:rFonts w:ascii="Times New Roman" w:eastAsia="宋体" w:hAnsi="Times New Roman" w:hint="eastAsia"/>
        </w:rPr>
        <w:t>120</w:t>
      </w:r>
      <w:r>
        <w:rPr>
          <w:rFonts w:ascii="Times New Roman" w:eastAsia="宋体" w:hAnsi="Times New Roman"/>
        </w:rPr>
        <w:t>m</w:t>
      </w:r>
      <w:r>
        <w:rPr>
          <w:rFonts w:ascii="Times New Roman" w:eastAsia="宋体" w:hAnsi="Times New Roman"/>
          <w:vertAlign w:val="superscript"/>
        </w:rPr>
        <w:t>3</w:t>
      </w:r>
      <w:r>
        <w:rPr>
          <w:rFonts w:ascii="Times New Roman" w:eastAsia="宋体" w:hAnsi="Times New Roman"/>
        </w:rPr>
        <w:t>。能够满足运营需要。</w:t>
      </w:r>
    </w:p>
    <w:p w14:paraId="4929D3E4"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6.3.6</w:t>
      </w:r>
      <w:r>
        <w:rPr>
          <w:rFonts w:ascii="Times New Roman" w:eastAsia="黑体" w:hAnsi="Times New Roman" w:cs="Times New Roman"/>
          <w:b/>
          <w:bCs/>
        </w:rPr>
        <w:t>作业场所职业危害分析</w:t>
      </w:r>
    </w:p>
    <w:p w14:paraId="64B2A645"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）职业危害防护设施的设置情况</w:t>
      </w:r>
    </w:p>
    <w:p w14:paraId="34A19A1B" w14:textId="77777777" w:rsidR="00502148" w:rsidRDefault="00000000">
      <w:pPr>
        <w:ind w:firstLine="560"/>
        <w:rPr>
          <w:rFonts w:ascii="Times New Roman" w:eastAsia="宋体" w:hAnsi="Times New Roman"/>
        </w:rPr>
      </w:pPr>
      <w:r>
        <w:rPr>
          <w:rFonts w:ascii="Times New Roman" w:eastAsia="宋体" w:hAnsi="Times New Roman"/>
        </w:rPr>
        <w:t>站内已按《个体防护装备配备规范</w:t>
      </w:r>
      <w:r>
        <w:rPr>
          <w:rFonts w:ascii="Times New Roman" w:eastAsia="宋体" w:hAnsi="Times New Roman"/>
        </w:rPr>
        <w:t xml:space="preserve"> </w:t>
      </w:r>
      <w:r>
        <w:rPr>
          <w:rFonts w:ascii="Times New Roman" w:eastAsia="宋体" w:hAnsi="Times New Roman"/>
        </w:rPr>
        <w:t>第</w:t>
      </w:r>
      <w:r>
        <w:rPr>
          <w:rFonts w:ascii="Times New Roman" w:eastAsia="宋体" w:hAnsi="Times New Roman"/>
        </w:rPr>
        <w:t>2</w:t>
      </w:r>
      <w:r>
        <w:rPr>
          <w:rFonts w:ascii="Times New Roman" w:eastAsia="宋体" w:hAnsi="Times New Roman"/>
        </w:rPr>
        <w:t>部分</w:t>
      </w:r>
      <w:r>
        <w:rPr>
          <w:rFonts w:ascii="Times New Roman" w:eastAsia="宋体" w:hAnsi="Times New Roman"/>
        </w:rPr>
        <w:t xml:space="preserve"> </w:t>
      </w:r>
      <w:r>
        <w:rPr>
          <w:rFonts w:ascii="Times New Roman" w:eastAsia="宋体" w:hAnsi="Times New Roman"/>
        </w:rPr>
        <w:t>石油、化工、天然气》（</w:t>
      </w:r>
      <w:r>
        <w:rPr>
          <w:rFonts w:ascii="Times New Roman" w:eastAsia="宋体" w:hAnsi="Times New Roman"/>
        </w:rPr>
        <w:t>GB39800.2-2020</w:t>
      </w:r>
      <w:r>
        <w:rPr>
          <w:rFonts w:ascii="Times New Roman" w:eastAsia="宋体" w:hAnsi="Times New Roman"/>
        </w:rPr>
        <w:t>）的相关要求，根据各操作岗位的特点配置必需的防护用</w:t>
      </w:r>
      <w:r>
        <w:rPr>
          <w:rFonts w:ascii="Times New Roman" w:eastAsia="宋体" w:hAnsi="Times New Roman"/>
        </w:rPr>
        <w:lastRenderedPageBreak/>
        <w:t>具和用品，并定期进行检修，对不合格用品及时进行更换。</w:t>
      </w:r>
    </w:p>
    <w:p w14:paraId="36A1CD02"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）职业危害防护设施的检修和维护情况</w:t>
      </w:r>
    </w:p>
    <w:p w14:paraId="78429F56" w14:textId="77777777" w:rsidR="00502148" w:rsidRDefault="00000000">
      <w:pPr>
        <w:ind w:firstLine="560"/>
        <w:rPr>
          <w:rFonts w:ascii="Times New Roman" w:eastAsia="宋体" w:hAnsi="Times New Roman"/>
        </w:rPr>
      </w:pPr>
      <w:r>
        <w:rPr>
          <w:rFonts w:ascii="Times New Roman" w:eastAsia="宋体" w:hAnsi="Times New Roman"/>
        </w:rPr>
        <w:t>个体防护装备由专人发放，定期进行检测、检验、淘汰、更新所使用的职业危害防护用品，保证其适用性、安全性、有效性。</w:t>
      </w:r>
    </w:p>
    <w:p w14:paraId="2EE7AFBD"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）作业场所的法定职业危害监测、监控情况</w:t>
      </w:r>
    </w:p>
    <w:p w14:paraId="094DA521" w14:textId="77777777" w:rsidR="00502148" w:rsidRDefault="00000000">
      <w:pPr>
        <w:ind w:firstLine="560"/>
        <w:rPr>
          <w:rFonts w:ascii="Times New Roman" w:eastAsia="宋体" w:hAnsi="Times New Roman"/>
        </w:rPr>
      </w:pPr>
      <w:r>
        <w:rPr>
          <w:rFonts w:ascii="Times New Roman" w:eastAsia="宋体" w:hAnsi="Times New Roman"/>
        </w:rPr>
        <w:t>站内已进行法定职业危害监测、监控，符合要求。</w:t>
      </w:r>
    </w:p>
    <w:p w14:paraId="02C490B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）建（构）筑物的建设情况</w:t>
      </w:r>
    </w:p>
    <w:p w14:paraId="49EFCEDC" w14:textId="77777777" w:rsidR="00502148" w:rsidRDefault="00000000">
      <w:pPr>
        <w:ind w:firstLine="560"/>
        <w:rPr>
          <w:rFonts w:ascii="Times New Roman" w:eastAsia="宋体" w:hAnsi="Times New Roman"/>
        </w:rPr>
      </w:pPr>
      <w:r>
        <w:rPr>
          <w:rFonts w:ascii="Times New Roman" w:eastAsia="宋体" w:hAnsi="Times New Roman"/>
        </w:rPr>
        <w:t>站内建（构）筑物为有相关资质单位进行设计、施工，建设情况符合要求。</w:t>
      </w:r>
    </w:p>
    <w:p w14:paraId="0FDFB1BB"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6.3.7</w:t>
      </w:r>
      <w:r>
        <w:rPr>
          <w:rFonts w:ascii="Times New Roman" w:eastAsia="黑体" w:hAnsi="Times New Roman" w:cs="Times New Roman"/>
          <w:b/>
          <w:bCs/>
        </w:rPr>
        <w:t>事故及应急管理</w:t>
      </w:r>
    </w:p>
    <w:p w14:paraId="420BE157" w14:textId="77777777" w:rsidR="001E7543" w:rsidRPr="001E7543" w:rsidRDefault="001E7543" w:rsidP="001E7543">
      <w:pPr>
        <w:ind w:firstLine="560"/>
        <w:rPr>
          <w:rFonts w:ascii="Times New Roman" w:eastAsia="宋体" w:hAnsi="Times New Roman"/>
        </w:rPr>
      </w:pPr>
      <w:r w:rsidRPr="001E7543">
        <w:rPr>
          <w:rFonts w:ascii="Times New Roman" w:eastAsia="宋体" w:hAnsi="Times New Roman"/>
        </w:rPr>
        <w:t>（</w:t>
      </w:r>
      <w:r w:rsidRPr="001E7543">
        <w:rPr>
          <w:rFonts w:ascii="Times New Roman" w:eastAsia="宋体" w:hAnsi="Times New Roman"/>
        </w:rPr>
        <w:t>1</w:t>
      </w:r>
      <w:r w:rsidRPr="001E7543">
        <w:rPr>
          <w:rFonts w:ascii="Times New Roman" w:eastAsia="宋体" w:hAnsi="Times New Roman"/>
        </w:rPr>
        <w:t>）可能发生的事故应急救援预案的编制情况</w:t>
      </w:r>
    </w:p>
    <w:p w14:paraId="5CD08E76" w14:textId="77777777" w:rsidR="001E7543" w:rsidRPr="001E7543" w:rsidRDefault="001E7543" w:rsidP="001E7543">
      <w:pPr>
        <w:ind w:firstLine="560"/>
        <w:rPr>
          <w:rFonts w:ascii="Times New Roman" w:eastAsia="宋体" w:hAnsi="Times New Roman"/>
        </w:rPr>
      </w:pPr>
      <w:r w:rsidRPr="001E7543">
        <w:rPr>
          <w:rFonts w:ascii="Times New Roman" w:eastAsia="宋体" w:hAnsi="Times New Roman"/>
        </w:rPr>
        <w:t>站内建立了应急预案体系，涵盖加油站基本情况、危险目标及危险特性和对周围的影响、危险目标周围可利用的安全、消防、个体防护的设备、器材及分布、应急救援组织、组成人员和职责分工、通讯联络、事故发生后的处理措施、人员救护、应急培训、演练计划等内容。</w:t>
      </w:r>
    </w:p>
    <w:p w14:paraId="47F62620" w14:textId="77777777" w:rsidR="001E7543" w:rsidRPr="001E7543" w:rsidRDefault="001E7543" w:rsidP="001E7543">
      <w:pPr>
        <w:ind w:firstLine="560"/>
        <w:rPr>
          <w:rFonts w:ascii="Times New Roman" w:eastAsia="宋体" w:hAnsi="Times New Roman"/>
        </w:rPr>
      </w:pPr>
      <w:r w:rsidRPr="001E7543">
        <w:rPr>
          <w:rFonts w:ascii="Times New Roman" w:eastAsia="宋体" w:hAnsi="Times New Roman"/>
        </w:rPr>
        <w:t>（</w:t>
      </w:r>
      <w:r w:rsidRPr="001E7543">
        <w:rPr>
          <w:rFonts w:ascii="Times New Roman" w:eastAsia="宋体" w:hAnsi="Times New Roman"/>
        </w:rPr>
        <w:t>2</w:t>
      </w:r>
      <w:r w:rsidRPr="001E7543">
        <w:rPr>
          <w:rFonts w:ascii="Times New Roman" w:eastAsia="宋体" w:hAnsi="Times New Roman"/>
        </w:rPr>
        <w:t>）事故应急救援组织的建立和人员的配备情况</w:t>
      </w:r>
    </w:p>
    <w:p w14:paraId="49216A9F" w14:textId="77777777" w:rsidR="001E7543" w:rsidRPr="001E7543" w:rsidRDefault="001E7543" w:rsidP="001E7543">
      <w:pPr>
        <w:ind w:firstLine="560"/>
        <w:rPr>
          <w:rFonts w:ascii="Times New Roman" w:eastAsia="宋体" w:hAnsi="Times New Roman"/>
        </w:rPr>
      </w:pPr>
      <w:r w:rsidRPr="001E7543">
        <w:rPr>
          <w:rFonts w:ascii="Times New Roman" w:eastAsia="宋体" w:hAnsi="Times New Roman"/>
        </w:rPr>
        <w:t>站内建立了生产安全事故应急组织机构，由安全管理机构构成，各级人员有明确的职责，站内设置的应急救援组织和人员能够满足应急救援要求。</w:t>
      </w:r>
    </w:p>
    <w:p w14:paraId="22043D2A" w14:textId="77777777" w:rsidR="001E7543" w:rsidRPr="001E7543" w:rsidRDefault="001E7543" w:rsidP="001E7543">
      <w:pPr>
        <w:ind w:firstLine="560"/>
        <w:rPr>
          <w:rFonts w:ascii="Times New Roman" w:eastAsia="宋体" w:hAnsi="Times New Roman"/>
        </w:rPr>
      </w:pPr>
      <w:r w:rsidRPr="001E7543">
        <w:rPr>
          <w:rFonts w:ascii="Times New Roman" w:eastAsia="宋体" w:hAnsi="Times New Roman"/>
        </w:rPr>
        <w:t>（</w:t>
      </w:r>
      <w:r w:rsidRPr="001E7543">
        <w:rPr>
          <w:rFonts w:ascii="Times New Roman" w:eastAsia="宋体" w:hAnsi="Times New Roman"/>
        </w:rPr>
        <w:t>3</w:t>
      </w:r>
      <w:r w:rsidRPr="001E7543">
        <w:rPr>
          <w:rFonts w:ascii="Times New Roman" w:eastAsia="宋体" w:hAnsi="Times New Roman"/>
        </w:rPr>
        <w:t>）事故应急救援预案的演练情况</w:t>
      </w:r>
    </w:p>
    <w:p w14:paraId="13B21B51" w14:textId="1FF17D00" w:rsidR="00502148" w:rsidRDefault="001E7543" w:rsidP="001E7543">
      <w:pPr>
        <w:ind w:firstLine="560"/>
        <w:rPr>
          <w:rFonts w:ascii="Times New Roman" w:eastAsia="宋体" w:hAnsi="Times New Roman"/>
        </w:rPr>
      </w:pPr>
      <w:r w:rsidRPr="001E7543">
        <w:rPr>
          <w:rFonts w:ascii="Times New Roman" w:eastAsia="宋体" w:hAnsi="Times New Roman"/>
        </w:rPr>
        <w:t>站内组织了预案演练，包括桌面演练和实际演练，在演练前对有关人员进行培训，演练结束后对应急预案演练情况进行总结和评估，撰写评估报告，分析存在的问题，提出应急预案修订意见及下一步工作计划。站内综合预案中的演练要求，符合《生产安全事故应急预案管理办法》的相关要求</w:t>
      </w:r>
      <w:r>
        <w:rPr>
          <w:rFonts w:ascii="Times New Roman" w:eastAsia="宋体" w:hAnsi="Times New Roman" w:hint="eastAsia"/>
        </w:rPr>
        <w:t>。</w:t>
      </w:r>
    </w:p>
    <w:p w14:paraId="32CEB7BC" w14:textId="77777777" w:rsidR="00502148"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6.3.8</w:t>
      </w:r>
      <w:r>
        <w:rPr>
          <w:rFonts w:ascii="Times New Roman" w:eastAsia="黑体" w:hAnsi="Times New Roman" w:cs="Times New Roman"/>
          <w:b/>
          <w:bCs/>
        </w:rPr>
        <w:t>其他方面</w:t>
      </w:r>
    </w:p>
    <w:p w14:paraId="3F6B81D0" w14:textId="77777777" w:rsidR="00502148" w:rsidRDefault="00000000">
      <w:pPr>
        <w:ind w:firstLine="560"/>
        <w:rPr>
          <w:rFonts w:ascii="Times New Roman" w:eastAsia="宋体" w:hAnsi="Times New Roman"/>
        </w:rPr>
      </w:pPr>
      <w:r>
        <w:rPr>
          <w:rFonts w:ascii="Times New Roman" w:eastAsia="宋体" w:hAnsi="Times New Roman"/>
        </w:rPr>
        <w:t>站内供电由市政提供，供电电压为</w:t>
      </w:r>
      <w:r>
        <w:rPr>
          <w:rFonts w:ascii="Times New Roman" w:eastAsia="宋体" w:hAnsi="Times New Roman"/>
        </w:rPr>
        <w:t>380/220V</w:t>
      </w:r>
      <w:r>
        <w:rPr>
          <w:rFonts w:ascii="Times New Roman" w:eastAsia="宋体" w:hAnsi="Times New Roman"/>
        </w:rPr>
        <w:t>，生活用水</w:t>
      </w:r>
      <w:r>
        <w:rPr>
          <w:rFonts w:ascii="Times New Roman" w:eastAsia="宋体" w:hAnsi="Times New Roman" w:hint="eastAsia"/>
        </w:rPr>
        <w:t>依托五里甸子服务区</w:t>
      </w:r>
      <w:r>
        <w:rPr>
          <w:rFonts w:ascii="Times New Roman" w:eastAsia="宋体" w:hAnsi="Times New Roman"/>
        </w:rPr>
        <w:t>，采暖热源热水由五里甸子服务区提供，能够满足站内基本需求。</w:t>
      </w:r>
    </w:p>
    <w:p w14:paraId="1A5FCC3A" w14:textId="77777777" w:rsidR="00502148"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6.3.9</w:t>
      </w:r>
      <w:r>
        <w:rPr>
          <w:rFonts w:ascii="Times New Roman" w:eastAsia="黑体" w:hAnsi="Times New Roman" w:cs="Times New Roman"/>
          <w:b/>
          <w:bCs/>
        </w:rPr>
        <w:t>《安全设施设计专篇》中提出的安全对策与建议的落实情况</w:t>
      </w:r>
    </w:p>
    <w:p w14:paraId="682A815E" w14:textId="77777777" w:rsidR="00502148" w:rsidRDefault="00000000">
      <w:pPr>
        <w:ind w:firstLine="560"/>
        <w:rPr>
          <w:rFonts w:ascii="Times New Roman" w:eastAsia="宋体" w:hAnsi="Times New Roman"/>
        </w:rPr>
      </w:pPr>
      <w:r>
        <w:rPr>
          <w:rFonts w:ascii="Times New Roman" w:eastAsia="宋体" w:hAnsi="Times New Roman"/>
        </w:rPr>
        <w:t>《中铁（辽宁）本桓高速公路有限公司五里甸子服务区</w:t>
      </w:r>
      <w:r>
        <w:rPr>
          <w:rFonts w:ascii="Times New Roman" w:eastAsia="宋体" w:hAnsi="Times New Roman" w:hint="eastAsia"/>
        </w:rPr>
        <w:t>西</w:t>
      </w:r>
      <w:r>
        <w:rPr>
          <w:rFonts w:ascii="Times New Roman" w:eastAsia="宋体" w:hAnsi="Times New Roman"/>
        </w:rPr>
        <w:t>侧加油站新建项目安全设施设计专篇》中提出的安全对策与建议的</w:t>
      </w:r>
      <w:r>
        <w:rPr>
          <w:rFonts w:ascii="Times New Roman" w:eastAsia="宋体" w:hAnsi="Times New Roman" w:hint="eastAsia"/>
        </w:rPr>
        <w:t>采纳</w:t>
      </w:r>
      <w:r>
        <w:rPr>
          <w:rFonts w:ascii="Times New Roman" w:eastAsia="宋体" w:hAnsi="Times New Roman"/>
        </w:rPr>
        <w:t>情况见下表。</w:t>
      </w:r>
    </w:p>
    <w:p w14:paraId="41B1EB1C"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 xml:space="preserve">6.3-2  </w:t>
      </w:r>
      <w:r>
        <w:rPr>
          <w:rFonts w:ascii="Times New Roman" w:eastAsia="黑体" w:hAnsi="Times New Roman" w:hint="eastAsia"/>
          <w:sz w:val="24"/>
        </w:rPr>
        <w:t>《安全设施设计专篇》中提出对策措施的采纳情况表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
        <w:gridCol w:w="1141"/>
        <w:gridCol w:w="3678"/>
        <w:gridCol w:w="2638"/>
        <w:gridCol w:w="1016"/>
      </w:tblGrid>
      <w:tr w:rsidR="00502148" w14:paraId="6EC45B0B" w14:textId="77777777">
        <w:trPr>
          <w:trHeight w:val="442"/>
          <w:tblHeader/>
          <w:jc w:val="center"/>
        </w:trPr>
        <w:tc>
          <w:tcPr>
            <w:tcW w:w="381" w:type="pct"/>
            <w:vAlign w:val="center"/>
          </w:tcPr>
          <w:p w14:paraId="61956397" w14:textId="77777777" w:rsidR="00502148"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序号</w:t>
            </w:r>
          </w:p>
        </w:tc>
        <w:tc>
          <w:tcPr>
            <w:tcW w:w="622" w:type="pct"/>
            <w:vAlign w:val="center"/>
          </w:tcPr>
          <w:p w14:paraId="3B1A9091" w14:textId="77777777" w:rsidR="00502148"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项目</w:t>
            </w:r>
          </w:p>
        </w:tc>
        <w:tc>
          <w:tcPr>
            <w:tcW w:w="2005" w:type="pct"/>
            <w:vAlign w:val="center"/>
          </w:tcPr>
          <w:p w14:paraId="0528D60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检查内容</w:t>
            </w:r>
          </w:p>
        </w:tc>
        <w:tc>
          <w:tcPr>
            <w:tcW w:w="1438" w:type="pct"/>
            <w:vAlign w:val="center"/>
          </w:tcPr>
          <w:p w14:paraId="0AA8A69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检查记录</w:t>
            </w:r>
          </w:p>
        </w:tc>
        <w:tc>
          <w:tcPr>
            <w:tcW w:w="555" w:type="pct"/>
            <w:vAlign w:val="center"/>
          </w:tcPr>
          <w:p w14:paraId="030B979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结论</w:t>
            </w:r>
          </w:p>
        </w:tc>
      </w:tr>
      <w:tr w:rsidR="00502148" w14:paraId="6CA81957" w14:textId="77777777">
        <w:trPr>
          <w:trHeight w:val="442"/>
          <w:jc w:val="center"/>
        </w:trPr>
        <w:tc>
          <w:tcPr>
            <w:tcW w:w="5000" w:type="pct"/>
            <w:gridSpan w:val="5"/>
            <w:vAlign w:val="center"/>
          </w:tcPr>
          <w:p w14:paraId="7DE59C3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一、</w:t>
            </w:r>
            <w:r>
              <w:rPr>
                <w:rFonts w:ascii="Times New Roman" w:eastAsia="宋体" w:hAnsi="Times New Roman" w:cs="Times New Roman" w:hint="eastAsia"/>
                <w:kern w:val="28"/>
                <w:sz w:val="21"/>
                <w:szCs w:val="21"/>
                <w14:ligatures w14:val="none"/>
              </w:rPr>
              <w:t>工艺系统单元</w:t>
            </w:r>
          </w:p>
        </w:tc>
      </w:tr>
      <w:tr w:rsidR="00502148" w14:paraId="15CD2232" w14:textId="77777777">
        <w:trPr>
          <w:trHeight w:val="442"/>
          <w:jc w:val="center"/>
        </w:trPr>
        <w:tc>
          <w:tcPr>
            <w:tcW w:w="381" w:type="pct"/>
            <w:vAlign w:val="center"/>
          </w:tcPr>
          <w:p w14:paraId="07E1139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60B89058"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防泄漏、防火、防爆、防尘、防毒、防腐蚀等主要措施</w:t>
            </w:r>
          </w:p>
        </w:tc>
        <w:tc>
          <w:tcPr>
            <w:tcW w:w="2005" w:type="pct"/>
            <w:vAlign w:val="center"/>
          </w:tcPr>
          <w:p w14:paraId="238664A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本站采用卧式埋地双层钢制储罐，设置在地下。油罐的量油孔设带锁的量油帽，量油帽下部的接合管向下伸至罐内距罐底</w:t>
            </w:r>
            <w:r>
              <w:rPr>
                <w:rFonts w:ascii="Times New Roman" w:eastAsia="宋体" w:hAnsi="Times New Roman" w:cs="Times New Roman"/>
                <w:kern w:val="28"/>
                <w:sz w:val="21"/>
                <w:szCs w:val="21"/>
                <w14:ligatures w14:val="none"/>
              </w:rPr>
              <w:t>200mm</w:t>
            </w:r>
            <w:r>
              <w:rPr>
                <w:rFonts w:ascii="Times New Roman" w:eastAsia="宋体" w:hAnsi="Times New Roman" w:cs="Times New Roman"/>
                <w:kern w:val="28"/>
                <w:sz w:val="21"/>
                <w:szCs w:val="21"/>
                <w14:ligatures w14:val="none"/>
              </w:rPr>
              <w:t>处；油罐罐底部设置钢筋混凝土底板，通过防浮抱带将油罐固定在底板上。油罐到达施工现场后，应检查相关合格文件，进行外观检查及压力检测。</w:t>
            </w:r>
          </w:p>
        </w:tc>
        <w:tc>
          <w:tcPr>
            <w:tcW w:w="1438" w:type="pct"/>
            <w:vAlign w:val="center"/>
          </w:tcPr>
          <w:p w14:paraId="75D0F91E" w14:textId="77777777" w:rsidR="00502148"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采用</w:t>
            </w:r>
            <w:r>
              <w:rPr>
                <w:rFonts w:ascii="Times New Roman" w:eastAsia="宋体" w:hAnsi="Times New Roman" w:cs="Times New Roman" w:hint="eastAsia"/>
                <w:kern w:val="28"/>
                <w:sz w:val="21"/>
                <w:szCs w:val="21"/>
                <w14:ligatures w14:val="none"/>
              </w:rPr>
              <w:t>SF</w:t>
            </w:r>
            <w:r>
              <w:rPr>
                <w:rFonts w:ascii="Times New Roman" w:eastAsia="宋体" w:hAnsi="Times New Roman" w:cs="Times New Roman"/>
                <w:kern w:val="28"/>
                <w:sz w:val="21"/>
                <w:szCs w:val="21"/>
                <w14:ligatures w14:val="none"/>
              </w:rPr>
              <w:t>卧式埋地双层钢制储罐</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油罐的量油孔设带锁的量油帽，量油帽下部的接合管向下伸至罐内距罐底</w:t>
            </w:r>
            <w:r>
              <w:rPr>
                <w:rFonts w:ascii="Times New Roman" w:eastAsia="宋体" w:hAnsi="Times New Roman" w:cs="Times New Roman"/>
                <w:kern w:val="28"/>
                <w:sz w:val="21"/>
                <w:szCs w:val="21"/>
                <w14:ligatures w14:val="none"/>
              </w:rPr>
              <w:t>200mm</w:t>
            </w:r>
            <w:r>
              <w:rPr>
                <w:rFonts w:ascii="Times New Roman" w:eastAsia="宋体" w:hAnsi="Times New Roman" w:cs="Times New Roman"/>
                <w:kern w:val="28"/>
                <w:sz w:val="21"/>
                <w:szCs w:val="21"/>
                <w14:ligatures w14:val="none"/>
              </w:rPr>
              <w:t>处；油罐罐底部设置钢筋混凝土底板</w:t>
            </w:r>
          </w:p>
        </w:tc>
        <w:tc>
          <w:tcPr>
            <w:tcW w:w="555" w:type="pct"/>
            <w:vAlign w:val="center"/>
          </w:tcPr>
          <w:p w14:paraId="6CF1DD8C" w14:textId="77777777" w:rsidR="00502148"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ED74B4F" w14:textId="77777777">
        <w:trPr>
          <w:trHeight w:val="442"/>
          <w:jc w:val="center"/>
        </w:trPr>
        <w:tc>
          <w:tcPr>
            <w:tcW w:w="381" w:type="pct"/>
            <w:vAlign w:val="center"/>
          </w:tcPr>
          <w:p w14:paraId="79A5A60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2DEB6BA"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1514DE4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油罐的进油管向下伸至罐内距罐底</w:t>
            </w:r>
            <w:r>
              <w:rPr>
                <w:rFonts w:ascii="Times New Roman" w:eastAsia="宋体" w:hAnsi="Times New Roman" w:cs="Times New Roman"/>
                <w:kern w:val="28"/>
                <w:sz w:val="21"/>
                <w:szCs w:val="21"/>
                <w14:ligatures w14:val="none"/>
              </w:rPr>
              <w:t>100mm</w:t>
            </w:r>
            <w:r>
              <w:rPr>
                <w:rFonts w:ascii="Times New Roman" w:eastAsia="宋体" w:hAnsi="Times New Roman" w:cs="Times New Roman"/>
                <w:kern w:val="28"/>
                <w:sz w:val="21"/>
                <w:szCs w:val="21"/>
                <w14:ligatures w14:val="none"/>
              </w:rPr>
              <w:t>处。</w:t>
            </w:r>
          </w:p>
        </w:tc>
        <w:tc>
          <w:tcPr>
            <w:tcW w:w="1438" w:type="pct"/>
            <w:vAlign w:val="center"/>
          </w:tcPr>
          <w:p w14:paraId="5CA11CE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油罐的进油管向下伸至罐内距罐底</w:t>
            </w:r>
            <w:r>
              <w:rPr>
                <w:rFonts w:ascii="Times New Roman" w:eastAsia="宋体" w:hAnsi="Times New Roman" w:cs="Times New Roman"/>
                <w:kern w:val="28"/>
                <w:sz w:val="21"/>
                <w:szCs w:val="21"/>
                <w14:ligatures w14:val="none"/>
              </w:rPr>
              <w:t>100mm</w:t>
            </w:r>
            <w:r>
              <w:rPr>
                <w:rFonts w:ascii="Times New Roman" w:eastAsia="宋体" w:hAnsi="Times New Roman" w:cs="Times New Roman"/>
                <w:kern w:val="28"/>
                <w:sz w:val="21"/>
                <w:szCs w:val="21"/>
                <w14:ligatures w14:val="none"/>
              </w:rPr>
              <w:t>处</w:t>
            </w:r>
          </w:p>
        </w:tc>
        <w:tc>
          <w:tcPr>
            <w:tcW w:w="555" w:type="pct"/>
            <w:vAlign w:val="center"/>
          </w:tcPr>
          <w:p w14:paraId="2BDF4142"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6D7256AF" w14:textId="77777777">
        <w:trPr>
          <w:trHeight w:val="442"/>
          <w:jc w:val="center"/>
        </w:trPr>
        <w:tc>
          <w:tcPr>
            <w:tcW w:w="381" w:type="pct"/>
            <w:vAlign w:val="center"/>
          </w:tcPr>
          <w:p w14:paraId="1470D05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6F6889B"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7AE36FB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油罐安装前进行水压试验，试验压力</w:t>
            </w:r>
            <w:r>
              <w:rPr>
                <w:rFonts w:ascii="Times New Roman" w:eastAsia="宋体" w:hAnsi="Times New Roman" w:cs="Times New Roman"/>
                <w:kern w:val="28"/>
                <w:sz w:val="21"/>
                <w:szCs w:val="21"/>
                <w14:ligatures w14:val="none"/>
              </w:rPr>
              <w:t>0.125MPa</w:t>
            </w:r>
            <w:r>
              <w:rPr>
                <w:rFonts w:ascii="Times New Roman" w:eastAsia="宋体" w:hAnsi="Times New Roman" w:cs="Times New Roman"/>
                <w:kern w:val="28"/>
                <w:sz w:val="21"/>
                <w:szCs w:val="21"/>
                <w14:ligatures w14:val="none"/>
              </w:rPr>
              <w:t>。</w:t>
            </w:r>
          </w:p>
        </w:tc>
        <w:tc>
          <w:tcPr>
            <w:tcW w:w="1438" w:type="pct"/>
            <w:vAlign w:val="center"/>
          </w:tcPr>
          <w:p w14:paraId="024164F3"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油罐安装前进行水压试验，试验压力</w:t>
            </w:r>
            <w:r>
              <w:rPr>
                <w:rFonts w:ascii="Times New Roman" w:eastAsia="宋体" w:hAnsi="Times New Roman" w:cs="Times New Roman"/>
                <w:kern w:val="28"/>
                <w:sz w:val="21"/>
                <w:szCs w:val="21"/>
                <w14:ligatures w14:val="none"/>
              </w:rPr>
              <w:t>0.125MPa</w:t>
            </w:r>
          </w:p>
        </w:tc>
        <w:tc>
          <w:tcPr>
            <w:tcW w:w="555" w:type="pct"/>
            <w:vAlign w:val="center"/>
          </w:tcPr>
          <w:p w14:paraId="21CA6ADD"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3B262897" w14:textId="77777777">
        <w:trPr>
          <w:trHeight w:val="442"/>
          <w:jc w:val="center"/>
        </w:trPr>
        <w:tc>
          <w:tcPr>
            <w:tcW w:w="381" w:type="pct"/>
            <w:vAlign w:val="center"/>
          </w:tcPr>
          <w:p w14:paraId="56746378"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A18E203"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37A36AC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每台加油机按加油品种单独设置进油管；加油枪采用自封式加油枪。</w:t>
            </w:r>
          </w:p>
        </w:tc>
        <w:tc>
          <w:tcPr>
            <w:tcW w:w="1438" w:type="pct"/>
            <w:vAlign w:val="center"/>
          </w:tcPr>
          <w:p w14:paraId="1343238A"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每台加油机按加油品种单独设置进油管；加油枪采用自封式加油枪</w:t>
            </w:r>
          </w:p>
        </w:tc>
        <w:tc>
          <w:tcPr>
            <w:tcW w:w="555" w:type="pct"/>
            <w:vAlign w:val="center"/>
          </w:tcPr>
          <w:p w14:paraId="11B72C2B"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1F88A323" w14:textId="77777777">
        <w:trPr>
          <w:trHeight w:val="442"/>
          <w:jc w:val="center"/>
        </w:trPr>
        <w:tc>
          <w:tcPr>
            <w:tcW w:w="381" w:type="pct"/>
            <w:vAlign w:val="center"/>
          </w:tcPr>
          <w:p w14:paraId="41F000D2"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F5C5B92"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0531BD5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加油站的卸油管道采用无缝钢管，潜油泵底部的进油管道设置防溢剪切阀；出油管道根据规范要求采用导静电双层热塑性塑料管道，管道坡度</w:t>
            </w:r>
            <w:r>
              <w:rPr>
                <w:rFonts w:ascii="Times New Roman" w:eastAsia="宋体" w:hAnsi="Times New Roman" w:cs="Times New Roman"/>
                <w:kern w:val="28"/>
                <w:sz w:val="21"/>
                <w:szCs w:val="21"/>
                <w14:ligatures w14:val="none"/>
              </w:rPr>
              <w:t>0.005</w:t>
            </w:r>
            <w:r>
              <w:rPr>
                <w:rFonts w:ascii="Times New Roman" w:eastAsia="宋体" w:hAnsi="Times New Roman" w:cs="Times New Roman"/>
                <w:kern w:val="28"/>
                <w:sz w:val="21"/>
                <w:szCs w:val="21"/>
                <w14:ligatures w14:val="none"/>
              </w:rPr>
              <w:t>，坡向操作井，操作井内设置双层管道渗漏检测接口及检测装置。</w:t>
            </w:r>
          </w:p>
        </w:tc>
        <w:tc>
          <w:tcPr>
            <w:tcW w:w="1438" w:type="pct"/>
            <w:vAlign w:val="center"/>
          </w:tcPr>
          <w:p w14:paraId="603A840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加油站的卸油管道采用无缝钢管，潜油泵底部的进油管道设置防溢剪切阀；出油管道采用导静电双层热塑性塑料管道，管道坡度</w:t>
            </w:r>
            <w:r>
              <w:rPr>
                <w:rFonts w:ascii="Times New Roman" w:eastAsia="宋体" w:hAnsi="Times New Roman" w:cs="Times New Roman"/>
                <w:kern w:val="28"/>
                <w:sz w:val="21"/>
                <w:szCs w:val="21"/>
                <w14:ligatures w14:val="none"/>
              </w:rPr>
              <w:t>0.005</w:t>
            </w:r>
            <w:r>
              <w:rPr>
                <w:rFonts w:ascii="Times New Roman" w:eastAsia="宋体" w:hAnsi="Times New Roman" w:cs="Times New Roman"/>
                <w:kern w:val="28"/>
                <w:sz w:val="21"/>
                <w:szCs w:val="21"/>
                <w14:ligatures w14:val="none"/>
              </w:rPr>
              <w:t>，坡向操作井，操作井内设置双层管道渗漏检测接口及检测装置</w:t>
            </w:r>
          </w:p>
        </w:tc>
        <w:tc>
          <w:tcPr>
            <w:tcW w:w="555" w:type="pct"/>
            <w:vAlign w:val="center"/>
          </w:tcPr>
          <w:p w14:paraId="3FE717CB"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11541C26" w14:textId="77777777">
        <w:trPr>
          <w:trHeight w:val="442"/>
          <w:jc w:val="center"/>
        </w:trPr>
        <w:tc>
          <w:tcPr>
            <w:tcW w:w="381" w:type="pct"/>
            <w:vAlign w:val="center"/>
          </w:tcPr>
          <w:p w14:paraId="57E727C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9ED70EE"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0512356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与油罐相连通的进油管均坡向油罐，其坡度</w:t>
            </w:r>
            <w:r>
              <w:rPr>
                <w:rFonts w:ascii="Times New Roman" w:eastAsia="宋体" w:hAnsi="Times New Roman" w:cs="Times New Roman"/>
                <w:kern w:val="28"/>
                <w:sz w:val="21"/>
                <w:szCs w:val="21"/>
                <w14:ligatures w14:val="none"/>
              </w:rPr>
              <w:t>2‰</w:t>
            </w:r>
            <w:r>
              <w:rPr>
                <w:rFonts w:ascii="Times New Roman" w:eastAsia="宋体" w:hAnsi="Times New Roman" w:cs="Times New Roman"/>
                <w:kern w:val="28"/>
                <w:sz w:val="21"/>
                <w:szCs w:val="21"/>
                <w14:ligatures w14:val="none"/>
              </w:rPr>
              <w:t>，通气管横管、油气回收管线均坡向油罐，其坡度</w:t>
            </w:r>
            <w:r>
              <w:rPr>
                <w:rFonts w:ascii="Times New Roman" w:eastAsia="宋体" w:hAnsi="Times New Roman" w:cs="Times New Roman"/>
                <w:kern w:val="28"/>
                <w:sz w:val="21"/>
                <w:szCs w:val="21"/>
                <w14:ligatures w14:val="none"/>
              </w:rPr>
              <w:t>1%</w:t>
            </w:r>
            <w:r>
              <w:rPr>
                <w:rFonts w:ascii="Times New Roman" w:eastAsia="宋体" w:hAnsi="Times New Roman" w:cs="Times New Roman"/>
                <w:kern w:val="28"/>
                <w:sz w:val="21"/>
                <w:szCs w:val="21"/>
                <w14:ligatures w14:val="none"/>
              </w:rPr>
              <w:t>。</w:t>
            </w:r>
          </w:p>
        </w:tc>
        <w:tc>
          <w:tcPr>
            <w:tcW w:w="1438" w:type="pct"/>
            <w:vAlign w:val="center"/>
          </w:tcPr>
          <w:p w14:paraId="26985DB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与油罐相连通的进油管均坡向油罐，其坡度</w:t>
            </w:r>
            <w:r>
              <w:rPr>
                <w:rFonts w:ascii="Times New Roman" w:eastAsia="宋体" w:hAnsi="Times New Roman" w:cs="Times New Roman"/>
                <w:kern w:val="28"/>
                <w:sz w:val="21"/>
                <w:szCs w:val="21"/>
                <w14:ligatures w14:val="none"/>
              </w:rPr>
              <w:t>2‰</w:t>
            </w:r>
            <w:r>
              <w:rPr>
                <w:rFonts w:ascii="Times New Roman" w:eastAsia="宋体" w:hAnsi="Times New Roman" w:cs="Times New Roman"/>
                <w:kern w:val="28"/>
                <w:sz w:val="21"/>
                <w:szCs w:val="21"/>
                <w14:ligatures w14:val="none"/>
              </w:rPr>
              <w:t>，通气管横管、油气回收管线均坡向油罐，其坡度</w:t>
            </w:r>
            <w:r>
              <w:rPr>
                <w:rFonts w:ascii="Times New Roman" w:eastAsia="宋体" w:hAnsi="Times New Roman" w:cs="Times New Roman"/>
                <w:kern w:val="28"/>
                <w:sz w:val="21"/>
                <w:szCs w:val="21"/>
                <w14:ligatures w14:val="none"/>
              </w:rPr>
              <w:t>1%</w:t>
            </w:r>
          </w:p>
        </w:tc>
        <w:tc>
          <w:tcPr>
            <w:tcW w:w="555" w:type="pct"/>
            <w:vAlign w:val="center"/>
          </w:tcPr>
          <w:p w14:paraId="3E4FAAB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EFF9168" w14:textId="77777777">
        <w:trPr>
          <w:trHeight w:val="442"/>
          <w:jc w:val="center"/>
        </w:trPr>
        <w:tc>
          <w:tcPr>
            <w:tcW w:w="381" w:type="pct"/>
            <w:vAlign w:val="center"/>
          </w:tcPr>
          <w:p w14:paraId="62C89B18"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4F2D7E3"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3350F61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油罐车卸油使用的卸油连通软管采用导静电耐油软管，连通软管的公称直径为</w:t>
            </w:r>
            <w:r>
              <w:rPr>
                <w:rFonts w:ascii="Times New Roman" w:eastAsia="宋体" w:hAnsi="Times New Roman" w:cs="Times New Roman"/>
                <w:kern w:val="28"/>
                <w:sz w:val="21"/>
                <w:szCs w:val="21"/>
                <w14:ligatures w14:val="none"/>
              </w:rPr>
              <w:t>DN100</w:t>
            </w:r>
            <w:r>
              <w:rPr>
                <w:rFonts w:ascii="Times New Roman" w:eastAsia="宋体" w:hAnsi="Times New Roman" w:cs="Times New Roman"/>
                <w:kern w:val="28"/>
                <w:sz w:val="21"/>
                <w:szCs w:val="21"/>
                <w14:ligatures w14:val="none"/>
              </w:rPr>
              <w:t>。</w:t>
            </w:r>
          </w:p>
        </w:tc>
        <w:tc>
          <w:tcPr>
            <w:tcW w:w="1438" w:type="pct"/>
            <w:vAlign w:val="center"/>
          </w:tcPr>
          <w:p w14:paraId="43FD5C9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油罐车卸油使用的卸油连通软管采用导静电耐油软管，连通软管的公称直径为</w:t>
            </w:r>
            <w:r>
              <w:rPr>
                <w:rFonts w:ascii="Times New Roman" w:eastAsia="宋体" w:hAnsi="Times New Roman" w:cs="Times New Roman"/>
                <w:kern w:val="28"/>
                <w:sz w:val="21"/>
                <w:szCs w:val="21"/>
                <w14:ligatures w14:val="none"/>
              </w:rPr>
              <w:t>DN100</w:t>
            </w:r>
          </w:p>
        </w:tc>
        <w:tc>
          <w:tcPr>
            <w:tcW w:w="555" w:type="pct"/>
            <w:vAlign w:val="center"/>
          </w:tcPr>
          <w:p w14:paraId="69D517D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362CBAF9" w14:textId="77777777">
        <w:trPr>
          <w:trHeight w:val="442"/>
          <w:jc w:val="center"/>
        </w:trPr>
        <w:tc>
          <w:tcPr>
            <w:tcW w:w="381" w:type="pct"/>
            <w:vAlign w:val="center"/>
          </w:tcPr>
          <w:p w14:paraId="1D7A0C8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E3ECD3C"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7A547A3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加油站内的工艺管道均埋地敷设，且不穿过建、构筑物。油品管道与管沟、电缆沟和排水沟相交叉时，采取相应的防渗漏措施。</w:t>
            </w:r>
          </w:p>
        </w:tc>
        <w:tc>
          <w:tcPr>
            <w:tcW w:w="1438" w:type="pct"/>
            <w:vAlign w:val="center"/>
          </w:tcPr>
          <w:p w14:paraId="15E1A743"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加油站内的工艺管道均埋地敷设，且不穿过建、构筑物。油品管道与管沟、电缆沟和排水沟相交叉采取防渗漏措施</w:t>
            </w:r>
          </w:p>
        </w:tc>
        <w:tc>
          <w:tcPr>
            <w:tcW w:w="555" w:type="pct"/>
            <w:vAlign w:val="center"/>
          </w:tcPr>
          <w:p w14:paraId="0CDA84FE"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6EB940A2" w14:textId="77777777">
        <w:trPr>
          <w:trHeight w:val="442"/>
          <w:jc w:val="center"/>
        </w:trPr>
        <w:tc>
          <w:tcPr>
            <w:tcW w:w="381" w:type="pct"/>
            <w:vAlign w:val="center"/>
          </w:tcPr>
          <w:p w14:paraId="6D0DACDC"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0AD5BEC"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55AC4B11"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汽油罐与柴油罐的通气管分开设置，通气管的公称直径为</w:t>
            </w:r>
            <w:r>
              <w:rPr>
                <w:rFonts w:ascii="Times New Roman" w:eastAsia="宋体" w:hAnsi="Times New Roman" w:cs="Times New Roman"/>
                <w:kern w:val="28"/>
                <w:sz w:val="21"/>
                <w:szCs w:val="21"/>
                <w14:ligatures w14:val="none"/>
              </w:rPr>
              <w:t>DN50</w:t>
            </w:r>
            <w:r>
              <w:rPr>
                <w:rFonts w:ascii="Times New Roman" w:eastAsia="宋体" w:hAnsi="Times New Roman" w:cs="Times New Roman"/>
                <w:kern w:val="28"/>
                <w:sz w:val="21"/>
                <w:szCs w:val="21"/>
                <w14:ligatures w14:val="none"/>
              </w:rPr>
              <w:t>，设置于油罐区，通气管管口高出罐区内地坪</w:t>
            </w:r>
            <w:r>
              <w:rPr>
                <w:rFonts w:ascii="Times New Roman" w:eastAsia="宋体" w:hAnsi="Times New Roman" w:cs="Times New Roman"/>
                <w:kern w:val="28"/>
                <w:sz w:val="21"/>
                <w:szCs w:val="21"/>
                <w14:ligatures w14:val="none"/>
              </w:rPr>
              <w:t>4.3m</w:t>
            </w:r>
            <w:r>
              <w:rPr>
                <w:rFonts w:ascii="Times New Roman" w:eastAsia="宋体" w:hAnsi="Times New Roman" w:cs="Times New Roman"/>
                <w:kern w:val="28"/>
                <w:sz w:val="21"/>
                <w:szCs w:val="21"/>
                <w14:ligatures w14:val="none"/>
              </w:rPr>
              <w:t>。通气管口分别设置了阻火器（</w:t>
            </w:r>
            <w:r>
              <w:rPr>
                <w:rFonts w:ascii="Times New Roman" w:eastAsia="宋体" w:hAnsi="Times New Roman" w:cs="Times New Roman"/>
                <w:kern w:val="28"/>
                <w:sz w:val="21"/>
                <w:szCs w:val="21"/>
                <w14:ligatures w14:val="none"/>
              </w:rPr>
              <w:t>DN50 PN10</w:t>
            </w:r>
            <w:r>
              <w:rPr>
                <w:rFonts w:ascii="Times New Roman" w:eastAsia="宋体" w:hAnsi="Times New Roman" w:cs="Times New Roman"/>
                <w:kern w:val="28"/>
                <w:sz w:val="21"/>
                <w:szCs w:val="21"/>
                <w14:ligatures w14:val="none"/>
              </w:rPr>
              <w:t>），汽油通气管口还设置了机械呼吸阀（</w:t>
            </w:r>
            <w:r>
              <w:rPr>
                <w:rFonts w:ascii="Times New Roman" w:eastAsia="宋体" w:hAnsi="Times New Roman" w:cs="Times New Roman"/>
                <w:kern w:val="28"/>
                <w:sz w:val="21"/>
                <w:szCs w:val="21"/>
                <w14:ligatures w14:val="none"/>
              </w:rPr>
              <w:t>DN50</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kern w:val="28"/>
                <w:sz w:val="21"/>
                <w:szCs w:val="21"/>
                <w14:ligatures w14:val="none"/>
              </w:rPr>
              <w:t>PN10</w:t>
            </w:r>
            <w:r>
              <w:rPr>
                <w:rFonts w:ascii="Times New Roman" w:eastAsia="宋体" w:hAnsi="Times New Roman" w:cs="Times New Roman"/>
                <w:kern w:val="28"/>
                <w:sz w:val="21"/>
                <w:szCs w:val="21"/>
                <w14:ligatures w14:val="none"/>
              </w:rPr>
              <w:t>）</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正</w:t>
            </w:r>
            <w:r>
              <w:rPr>
                <w:rFonts w:ascii="Times New Roman" w:eastAsia="宋体" w:hAnsi="Times New Roman" w:cs="Times New Roman"/>
                <w:kern w:val="28"/>
                <w:sz w:val="21"/>
                <w:szCs w:val="21"/>
                <w14:ligatures w14:val="none"/>
              </w:rPr>
              <w:t>=2000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3000Pa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负</w:t>
            </w:r>
            <w:r>
              <w:rPr>
                <w:rFonts w:ascii="Times New Roman" w:eastAsia="宋体" w:hAnsi="Times New Roman" w:cs="Times New Roman"/>
                <w:kern w:val="28"/>
                <w:sz w:val="21"/>
                <w:szCs w:val="21"/>
                <w14:ligatures w14:val="none"/>
              </w:rPr>
              <w:t>=1500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2000Pa</w:t>
            </w:r>
            <w:r>
              <w:rPr>
                <w:rFonts w:ascii="Times New Roman" w:eastAsia="宋体" w:hAnsi="Times New Roman" w:cs="Times New Roman"/>
                <w:kern w:val="28"/>
                <w:sz w:val="21"/>
                <w:szCs w:val="21"/>
                <w14:ligatures w14:val="none"/>
              </w:rPr>
              <w:t>。</w:t>
            </w:r>
          </w:p>
        </w:tc>
        <w:tc>
          <w:tcPr>
            <w:tcW w:w="1438" w:type="pct"/>
            <w:vAlign w:val="center"/>
          </w:tcPr>
          <w:p w14:paraId="4DC8BF5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汽油罐与柴油罐的通气管分开设置，通气管的公称直径为</w:t>
            </w:r>
            <w:r>
              <w:rPr>
                <w:rFonts w:ascii="Times New Roman" w:eastAsia="宋体" w:hAnsi="Times New Roman" w:cs="Times New Roman"/>
                <w:kern w:val="28"/>
                <w:sz w:val="21"/>
                <w:szCs w:val="21"/>
                <w14:ligatures w14:val="none"/>
              </w:rPr>
              <w:t>DN50</w:t>
            </w:r>
            <w:r>
              <w:rPr>
                <w:rFonts w:ascii="Times New Roman" w:eastAsia="宋体" w:hAnsi="Times New Roman" w:cs="Times New Roman"/>
                <w:kern w:val="28"/>
                <w:sz w:val="21"/>
                <w:szCs w:val="21"/>
                <w14:ligatures w14:val="none"/>
              </w:rPr>
              <w:t>，设置于油罐区，通气管管口高出罐区内地坪</w:t>
            </w:r>
            <w:r>
              <w:rPr>
                <w:rFonts w:ascii="Times New Roman" w:eastAsia="宋体" w:hAnsi="Times New Roman" w:cs="Times New Roman"/>
                <w:kern w:val="28"/>
                <w:sz w:val="21"/>
                <w:szCs w:val="21"/>
                <w14:ligatures w14:val="none"/>
              </w:rPr>
              <w:t>4.3m</w:t>
            </w:r>
            <w:r>
              <w:rPr>
                <w:rFonts w:ascii="Times New Roman" w:eastAsia="宋体" w:hAnsi="Times New Roman" w:cs="Times New Roman"/>
                <w:kern w:val="28"/>
                <w:sz w:val="21"/>
                <w:szCs w:val="21"/>
                <w14:ligatures w14:val="none"/>
              </w:rPr>
              <w:t>。通气管口分别设置了阻火器（</w:t>
            </w:r>
            <w:r>
              <w:rPr>
                <w:rFonts w:ascii="Times New Roman" w:eastAsia="宋体" w:hAnsi="Times New Roman" w:cs="Times New Roman"/>
                <w:kern w:val="28"/>
                <w:sz w:val="21"/>
                <w:szCs w:val="21"/>
                <w14:ligatures w14:val="none"/>
              </w:rPr>
              <w:t>DN50 PN10</w:t>
            </w:r>
            <w:r>
              <w:rPr>
                <w:rFonts w:ascii="Times New Roman" w:eastAsia="宋体" w:hAnsi="Times New Roman" w:cs="Times New Roman"/>
                <w:kern w:val="28"/>
                <w:sz w:val="21"/>
                <w:szCs w:val="21"/>
                <w14:ligatures w14:val="none"/>
              </w:rPr>
              <w:t>），汽油通气管口还设置了机械呼吸阀（</w:t>
            </w:r>
            <w:r>
              <w:rPr>
                <w:rFonts w:ascii="Times New Roman" w:eastAsia="宋体" w:hAnsi="Times New Roman" w:cs="Times New Roman"/>
                <w:kern w:val="28"/>
                <w:sz w:val="21"/>
                <w:szCs w:val="21"/>
                <w14:ligatures w14:val="none"/>
              </w:rPr>
              <w:t>DN50</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kern w:val="28"/>
                <w:sz w:val="21"/>
                <w:szCs w:val="21"/>
                <w14:ligatures w14:val="none"/>
              </w:rPr>
              <w:t>PN10</w:t>
            </w:r>
            <w:r>
              <w:rPr>
                <w:rFonts w:ascii="Times New Roman" w:eastAsia="宋体" w:hAnsi="Times New Roman" w:cs="Times New Roman"/>
                <w:kern w:val="28"/>
                <w:sz w:val="21"/>
                <w:szCs w:val="21"/>
                <w14:ligatures w14:val="none"/>
              </w:rPr>
              <w:t>）</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正</w:t>
            </w:r>
            <w:r>
              <w:rPr>
                <w:rFonts w:ascii="Times New Roman" w:eastAsia="宋体" w:hAnsi="Times New Roman" w:cs="Times New Roman"/>
                <w:kern w:val="28"/>
                <w:sz w:val="21"/>
                <w:szCs w:val="21"/>
                <w14:ligatures w14:val="none"/>
              </w:rPr>
              <w:t>=2000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3000Pa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负</w:t>
            </w:r>
            <w:r>
              <w:rPr>
                <w:rFonts w:ascii="Times New Roman" w:eastAsia="宋体" w:hAnsi="Times New Roman" w:cs="Times New Roman"/>
                <w:kern w:val="28"/>
                <w:sz w:val="21"/>
                <w:szCs w:val="21"/>
                <w14:ligatures w14:val="none"/>
              </w:rPr>
              <w:t>=1500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2000Pa</w:t>
            </w:r>
          </w:p>
        </w:tc>
        <w:tc>
          <w:tcPr>
            <w:tcW w:w="555" w:type="pct"/>
            <w:vAlign w:val="center"/>
          </w:tcPr>
          <w:p w14:paraId="29604EBC"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4966AA21" w14:textId="77777777">
        <w:trPr>
          <w:trHeight w:val="442"/>
          <w:jc w:val="center"/>
        </w:trPr>
        <w:tc>
          <w:tcPr>
            <w:tcW w:w="381" w:type="pct"/>
            <w:vAlign w:val="center"/>
          </w:tcPr>
          <w:p w14:paraId="53F18BD9"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48EED8E"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2A3C45B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654C45E4"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3A221AB0"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3F76F7B7" w14:textId="77777777">
        <w:trPr>
          <w:trHeight w:val="442"/>
          <w:jc w:val="center"/>
        </w:trPr>
        <w:tc>
          <w:tcPr>
            <w:tcW w:w="381" w:type="pct"/>
            <w:vAlign w:val="center"/>
          </w:tcPr>
          <w:p w14:paraId="029985D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6AF3D86" w14:textId="77777777" w:rsidR="00502148" w:rsidRDefault="00502148">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1BD82A0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本加油站采用油罐装设潜油泵的一泵供多机（枪）的加油工艺。</w:t>
            </w:r>
          </w:p>
        </w:tc>
        <w:tc>
          <w:tcPr>
            <w:tcW w:w="1438" w:type="pct"/>
            <w:vAlign w:val="center"/>
          </w:tcPr>
          <w:p w14:paraId="4ED1320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采用油罐装设潜油泵的一泵供多机（枪）的加油工艺</w:t>
            </w:r>
          </w:p>
        </w:tc>
        <w:tc>
          <w:tcPr>
            <w:tcW w:w="555" w:type="pct"/>
            <w:vAlign w:val="center"/>
          </w:tcPr>
          <w:p w14:paraId="4A79D89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889A5FB" w14:textId="77777777">
        <w:trPr>
          <w:trHeight w:val="442"/>
          <w:jc w:val="center"/>
        </w:trPr>
        <w:tc>
          <w:tcPr>
            <w:tcW w:w="381" w:type="pct"/>
            <w:vAlign w:val="center"/>
          </w:tcPr>
          <w:p w14:paraId="5209FFAC"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4A23B4E" w14:textId="77777777" w:rsidR="00502148" w:rsidRDefault="00502148">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3ECA06AA"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加油站的钢制工艺管道设计压力为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，与量油管、液位仪、通气管相连接的配套法兰等管道组成件的压力等级为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，其余法兰等管道组成件的压力等级为</w:t>
            </w:r>
            <w:r>
              <w:rPr>
                <w:rFonts w:ascii="Times New Roman" w:eastAsia="宋体" w:hAnsi="Times New Roman" w:cs="Times New Roman"/>
                <w:kern w:val="28"/>
                <w:sz w:val="21"/>
                <w:szCs w:val="21"/>
                <w14:ligatures w14:val="none"/>
              </w:rPr>
              <w:t>1.0MPa</w:t>
            </w:r>
            <w:r>
              <w:rPr>
                <w:rFonts w:ascii="Times New Roman" w:eastAsia="宋体" w:hAnsi="Times New Roman" w:cs="Times New Roman"/>
                <w:kern w:val="28"/>
                <w:sz w:val="21"/>
                <w:szCs w:val="21"/>
                <w14:ligatures w14:val="none"/>
              </w:rPr>
              <w:t>。</w:t>
            </w:r>
          </w:p>
        </w:tc>
        <w:tc>
          <w:tcPr>
            <w:tcW w:w="1438" w:type="pct"/>
            <w:vAlign w:val="center"/>
          </w:tcPr>
          <w:p w14:paraId="676E6DB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加油站的钢制工艺管道设计压力为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，与量油管、液位仪、通气管相连接的配套法兰等管道组成件的压力等级为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，其余法兰等管道组成件的压力等级为</w:t>
            </w:r>
            <w:r>
              <w:rPr>
                <w:rFonts w:ascii="Times New Roman" w:eastAsia="宋体" w:hAnsi="Times New Roman" w:cs="Times New Roman"/>
                <w:kern w:val="28"/>
                <w:sz w:val="21"/>
                <w:szCs w:val="21"/>
                <w14:ligatures w14:val="none"/>
              </w:rPr>
              <w:t>1.0MPa</w:t>
            </w:r>
          </w:p>
        </w:tc>
        <w:tc>
          <w:tcPr>
            <w:tcW w:w="555" w:type="pct"/>
            <w:vAlign w:val="center"/>
          </w:tcPr>
          <w:p w14:paraId="1274DE8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185CF586" w14:textId="77777777">
        <w:trPr>
          <w:trHeight w:val="442"/>
          <w:jc w:val="center"/>
        </w:trPr>
        <w:tc>
          <w:tcPr>
            <w:tcW w:w="381" w:type="pct"/>
            <w:vAlign w:val="center"/>
          </w:tcPr>
          <w:p w14:paraId="43B145D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2D1BAD4" w14:textId="77777777" w:rsidR="00502148" w:rsidRDefault="00502148">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42F90971"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站内钢制管道采用焊接连接，管道与储罐的连接采用</w:t>
            </w:r>
            <w:r>
              <w:rPr>
                <w:rFonts w:ascii="Times New Roman" w:eastAsia="宋体" w:hAnsi="Times New Roman" w:cs="Times New Roman"/>
                <w:kern w:val="28"/>
                <w:sz w:val="21"/>
                <w:szCs w:val="21"/>
                <w14:ligatures w14:val="none"/>
              </w:rPr>
              <w:t>HG/T20592 SO RF</w:t>
            </w:r>
            <w:r>
              <w:rPr>
                <w:rFonts w:ascii="Times New Roman" w:eastAsia="宋体" w:hAnsi="Times New Roman" w:cs="Times New Roman"/>
                <w:kern w:val="28"/>
                <w:sz w:val="21"/>
                <w:szCs w:val="21"/>
                <w14:ligatures w14:val="none"/>
              </w:rPr>
              <w:t>带颈平焊法兰。其密封面光洁度应符合国家有关技术标准或设计规定。</w:t>
            </w:r>
          </w:p>
        </w:tc>
        <w:tc>
          <w:tcPr>
            <w:tcW w:w="1438" w:type="pct"/>
            <w:vAlign w:val="center"/>
          </w:tcPr>
          <w:p w14:paraId="66EC174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站内钢制管道采用焊接连接，管道与储罐的连接采用</w:t>
            </w:r>
            <w:r>
              <w:rPr>
                <w:rFonts w:ascii="Times New Roman" w:eastAsia="宋体" w:hAnsi="Times New Roman" w:cs="Times New Roman"/>
                <w:kern w:val="28"/>
                <w:sz w:val="21"/>
                <w:szCs w:val="21"/>
                <w14:ligatures w14:val="none"/>
              </w:rPr>
              <w:t>HG/T20592 SO RF</w:t>
            </w:r>
            <w:r>
              <w:rPr>
                <w:rFonts w:ascii="Times New Roman" w:eastAsia="宋体" w:hAnsi="Times New Roman" w:cs="Times New Roman"/>
                <w:kern w:val="28"/>
                <w:sz w:val="21"/>
                <w:szCs w:val="21"/>
                <w14:ligatures w14:val="none"/>
              </w:rPr>
              <w:t>带颈平焊法兰。其密封面光洁度符合国家有关技术标准</w:t>
            </w:r>
          </w:p>
        </w:tc>
        <w:tc>
          <w:tcPr>
            <w:tcW w:w="555" w:type="pct"/>
            <w:vAlign w:val="center"/>
          </w:tcPr>
          <w:p w14:paraId="0A451C5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DA474F0" w14:textId="77777777">
        <w:trPr>
          <w:trHeight w:val="442"/>
          <w:jc w:val="center"/>
        </w:trPr>
        <w:tc>
          <w:tcPr>
            <w:tcW w:w="381" w:type="pct"/>
            <w:vAlign w:val="center"/>
          </w:tcPr>
          <w:p w14:paraId="4143C6D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02FB936" w14:textId="77777777" w:rsidR="00502148" w:rsidRDefault="00502148">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21E132A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埋地敷设的钢制管道须做加强级防腐处理工艺，防腐材料采用环氧煤沥青漆防腐控制，并采用不低于加强级的防腐绝缘保护层。埋地油罐选用防锈性好的底漆，屏蔽性佳的中涂漆和保光保色性好、耐候性佳、易覆涂和维修的面漆。</w:t>
            </w:r>
          </w:p>
        </w:tc>
        <w:tc>
          <w:tcPr>
            <w:tcW w:w="1438" w:type="pct"/>
            <w:vAlign w:val="center"/>
          </w:tcPr>
          <w:p w14:paraId="5761B31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埋地敷设的钢制管道做加强级防腐处理，防腐材料采用环氧煤沥青漆防腐控制，并采用不低于加强级的防腐绝缘保护层。埋地油罐选用防锈性好的底漆，屏蔽性佳的中涂漆和保光保色性好、耐候性佳、易覆涂和维修的面漆</w:t>
            </w:r>
          </w:p>
        </w:tc>
        <w:tc>
          <w:tcPr>
            <w:tcW w:w="555" w:type="pct"/>
            <w:vAlign w:val="center"/>
          </w:tcPr>
          <w:p w14:paraId="5A208BEA"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48A0A52B" w14:textId="77777777">
        <w:trPr>
          <w:trHeight w:val="442"/>
          <w:jc w:val="center"/>
        </w:trPr>
        <w:tc>
          <w:tcPr>
            <w:tcW w:w="381" w:type="pct"/>
            <w:vAlign w:val="center"/>
          </w:tcPr>
          <w:p w14:paraId="1926E85E"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4AD1513" w14:textId="77777777" w:rsidR="00502148" w:rsidRDefault="00502148">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7F0E32D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行车道下的钢制管道采用套管保护，套管与工艺管道间用石棉水泥封堵。</w:t>
            </w:r>
          </w:p>
        </w:tc>
        <w:tc>
          <w:tcPr>
            <w:tcW w:w="1438" w:type="pct"/>
            <w:vAlign w:val="center"/>
          </w:tcPr>
          <w:p w14:paraId="5EC18A7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行车道下的钢制管道采用套管保护，套管与工艺管道间用石棉水泥封堵</w:t>
            </w:r>
          </w:p>
        </w:tc>
        <w:tc>
          <w:tcPr>
            <w:tcW w:w="555" w:type="pct"/>
            <w:vAlign w:val="center"/>
          </w:tcPr>
          <w:p w14:paraId="41E9FD2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3CA410AB" w14:textId="77777777">
        <w:trPr>
          <w:trHeight w:val="442"/>
          <w:jc w:val="center"/>
        </w:trPr>
        <w:tc>
          <w:tcPr>
            <w:tcW w:w="381" w:type="pct"/>
            <w:vAlign w:val="center"/>
          </w:tcPr>
          <w:p w14:paraId="55ED35B7"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0832982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正常工况和非正常工况下危险物料的安全控制措施</w:t>
            </w:r>
          </w:p>
        </w:tc>
        <w:tc>
          <w:tcPr>
            <w:tcW w:w="2005" w:type="pct"/>
            <w:vAlign w:val="center"/>
          </w:tcPr>
          <w:p w14:paraId="1804E95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1438" w:type="pct"/>
            <w:vAlign w:val="center"/>
          </w:tcPr>
          <w:p w14:paraId="0F7967A9"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555" w:type="pct"/>
            <w:vAlign w:val="center"/>
          </w:tcPr>
          <w:p w14:paraId="3F8A6DD3"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1397C42" w14:textId="77777777">
        <w:trPr>
          <w:trHeight w:val="442"/>
          <w:jc w:val="center"/>
        </w:trPr>
        <w:tc>
          <w:tcPr>
            <w:tcW w:w="381" w:type="pct"/>
            <w:vAlign w:val="center"/>
          </w:tcPr>
          <w:p w14:paraId="7D2041DD"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98BC201"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619E90F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加油采用潜油泵正压输油。潜油泵采用自动控制，与加油枪连锁，即只有提起加油枪潜油泵才工作。</w:t>
            </w:r>
          </w:p>
        </w:tc>
        <w:tc>
          <w:tcPr>
            <w:tcW w:w="1438" w:type="pct"/>
            <w:vAlign w:val="center"/>
          </w:tcPr>
          <w:p w14:paraId="1B2CC74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采用潜油泵输油</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潜油泵与加油枪连锁</w:t>
            </w:r>
          </w:p>
        </w:tc>
        <w:tc>
          <w:tcPr>
            <w:tcW w:w="555" w:type="pct"/>
            <w:vAlign w:val="center"/>
          </w:tcPr>
          <w:p w14:paraId="1FE4A27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014DB098" w14:textId="77777777">
        <w:trPr>
          <w:trHeight w:val="442"/>
          <w:jc w:val="center"/>
        </w:trPr>
        <w:tc>
          <w:tcPr>
            <w:tcW w:w="381" w:type="pct"/>
            <w:vAlign w:val="center"/>
          </w:tcPr>
          <w:p w14:paraId="3560BF5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B98BAB4"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0D3F664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通气管端部设有防雨型阻火器，能够在发生火灾时阻止火焰经通气管进入油罐。</w:t>
            </w:r>
          </w:p>
        </w:tc>
        <w:tc>
          <w:tcPr>
            <w:tcW w:w="1438" w:type="pct"/>
            <w:vAlign w:val="center"/>
          </w:tcPr>
          <w:p w14:paraId="5443984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通气管端部设有防雨型阻火器</w:t>
            </w:r>
          </w:p>
        </w:tc>
        <w:tc>
          <w:tcPr>
            <w:tcW w:w="555" w:type="pct"/>
            <w:vAlign w:val="center"/>
          </w:tcPr>
          <w:p w14:paraId="403661AB"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1CB79A25" w14:textId="77777777">
        <w:trPr>
          <w:trHeight w:val="442"/>
          <w:jc w:val="center"/>
        </w:trPr>
        <w:tc>
          <w:tcPr>
            <w:tcW w:w="381" w:type="pct"/>
            <w:vAlign w:val="center"/>
          </w:tcPr>
          <w:p w14:paraId="1C7C7809"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E15A951"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500D68A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风险评估与风险管理：根据具体的非正常工况，通过风险评估确定可能面临的风险，并采取必要的风险管理措施，如加强监测、增设安全设备等。</w:t>
            </w:r>
          </w:p>
          <w:p w14:paraId="2D75616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应急预案和演练：针对不同的非正常工况，制定相应的应急预案，并进行定期的演练。确保员工了解应急程序和应对方法，能够在紧急情况下迅速行动。</w:t>
            </w:r>
          </w:p>
          <w:p w14:paraId="0B2795BA"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安全设备和装备：根据非正常工况的特点，增设必要的安全设备和装备，如紧急停机装置、安全阀等，以起到安全控制的作用。</w:t>
            </w:r>
          </w:p>
          <w:p w14:paraId="08A7AF1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人员疏散和救援：制定和实施人员疏散和救援计划，并配备相关的应急救援队伍。确保在灾害发生时，员工能够快速、有序地撤离，并得到必要的救援。</w:t>
            </w:r>
          </w:p>
        </w:tc>
        <w:tc>
          <w:tcPr>
            <w:tcW w:w="1438" w:type="pct"/>
            <w:vAlign w:val="center"/>
          </w:tcPr>
          <w:p w14:paraId="23F54A9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由经营单位进行</w:t>
            </w:r>
            <w:r>
              <w:rPr>
                <w:rFonts w:ascii="Times New Roman" w:eastAsia="宋体" w:hAnsi="Times New Roman" w:cs="Times New Roman"/>
                <w:kern w:val="28"/>
                <w:sz w:val="21"/>
                <w:szCs w:val="21"/>
                <w14:ligatures w14:val="none"/>
              </w:rPr>
              <w:t>风险评估与风险管理</w:t>
            </w:r>
            <w:r>
              <w:rPr>
                <w:rFonts w:ascii="Times New Roman" w:eastAsia="宋体" w:hAnsi="Times New Roman" w:cs="Times New Roman" w:hint="eastAsia"/>
                <w:kern w:val="28"/>
                <w:sz w:val="21"/>
                <w:szCs w:val="21"/>
                <w14:ligatures w14:val="none"/>
              </w:rPr>
              <w:t>、</w:t>
            </w:r>
          </w:p>
          <w:p w14:paraId="143A7984"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应急预案和演练</w:t>
            </w:r>
            <w:r>
              <w:rPr>
                <w:rFonts w:ascii="Times New Roman" w:eastAsia="宋体" w:hAnsi="Times New Roman" w:cs="Times New Roman" w:hint="eastAsia"/>
                <w:kern w:val="28"/>
                <w:sz w:val="21"/>
                <w:szCs w:val="21"/>
                <w14:ligatures w14:val="none"/>
              </w:rPr>
              <w:t>、配备</w:t>
            </w:r>
            <w:r>
              <w:rPr>
                <w:rFonts w:ascii="Times New Roman" w:eastAsia="宋体" w:hAnsi="Times New Roman" w:cs="Times New Roman"/>
                <w:kern w:val="28"/>
                <w:sz w:val="21"/>
                <w:szCs w:val="21"/>
                <w14:ligatures w14:val="none"/>
              </w:rPr>
              <w:t>安全设备和装备</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人员疏散和救援确保员工在灾害发生时，能够快速、有序地撤离</w:t>
            </w:r>
          </w:p>
        </w:tc>
        <w:tc>
          <w:tcPr>
            <w:tcW w:w="555" w:type="pct"/>
            <w:vAlign w:val="center"/>
          </w:tcPr>
          <w:p w14:paraId="22547274"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502148" w14:paraId="7936955A" w14:textId="77777777">
        <w:trPr>
          <w:trHeight w:val="442"/>
          <w:jc w:val="center"/>
        </w:trPr>
        <w:tc>
          <w:tcPr>
            <w:tcW w:w="381" w:type="pct"/>
            <w:vAlign w:val="center"/>
          </w:tcPr>
          <w:p w14:paraId="4AA1344A"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255FD33A"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采取的其他工艺安全措施</w:t>
            </w:r>
          </w:p>
        </w:tc>
        <w:tc>
          <w:tcPr>
            <w:tcW w:w="2005" w:type="pct"/>
            <w:vAlign w:val="center"/>
          </w:tcPr>
          <w:p w14:paraId="6837117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为保证生产安全，设计的管道及其附件的压力等级应比正常情况提高一个等级。防爆区内生产工艺设备和管路采用导体或亚导体材质。所有金属设备、管道等都必须设计静电接地，不允许设备及其内部构件有与地相绝缘的金属体，对于生产过程中设备的移动部分应设置软连接与设备主体相连或直接与静电接地系统相连。</w:t>
            </w:r>
          </w:p>
        </w:tc>
        <w:tc>
          <w:tcPr>
            <w:tcW w:w="1438" w:type="pct"/>
            <w:vAlign w:val="center"/>
          </w:tcPr>
          <w:p w14:paraId="23A5E151"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管道及其附件的压力等级比正常情况提高一个等级。防爆区内生产工艺设备和管路采用导体或亚导体材质。所有金属设备、管道等设计静电接地，对于生产过程中设备的移动部分设置软连接与设备主体相连或直接与静电接地系统相连。</w:t>
            </w:r>
          </w:p>
        </w:tc>
        <w:tc>
          <w:tcPr>
            <w:tcW w:w="555" w:type="pct"/>
            <w:vAlign w:val="center"/>
          </w:tcPr>
          <w:p w14:paraId="2DC1A729"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01831B60" w14:textId="77777777">
        <w:trPr>
          <w:trHeight w:val="442"/>
          <w:jc w:val="center"/>
        </w:trPr>
        <w:tc>
          <w:tcPr>
            <w:tcW w:w="5000" w:type="pct"/>
            <w:gridSpan w:val="5"/>
            <w:vAlign w:val="center"/>
          </w:tcPr>
          <w:p w14:paraId="3E0C8625"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二、</w:t>
            </w:r>
            <w:r>
              <w:rPr>
                <w:rFonts w:ascii="Times New Roman" w:eastAsia="宋体" w:hAnsi="Times New Roman" w:cs="Times New Roman" w:hint="eastAsia"/>
                <w:kern w:val="28"/>
                <w:sz w:val="21"/>
                <w:szCs w:val="21"/>
                <w14:ligatures w14:val="none"/>
              </w:rPr>
              <w:t>总平面布置</w:t>
            </w:r>
            <w:r>
              <w:rPr>
                <w:rFonts w:ascii="Times New Roman" w:eastAsia="宋体" w:hAnsi="Times New Roman" w:cs="Times New Roman"/>
                <w:kern w:val="28"/>
                <w:sz w:val="21"/>
                <w:szCs w:val="21"/>
                <w14:ligatures w14:val="none"/>
              </w:rPr>
              <w:t>单元</w:t>
            </w:r>
          </w:p>
        </w:tc>
      </w:tr>
      <w:tr w:rsidR="00502148" w14:paraId="5CB9E1E3" w14:textId="77777777">
        <w:trPr>
          <w:trHeight w:val="442"/>
          <w:jc w:val="center"/>
        </w:trPr>
        <w:tc>
          <w:tcPr>
            <w:tcW w:w="381" w:type="pct"/>
            <w:vAlign w:val="center"/>
          </w:tcPr>
          <w:p w14:paraId="1DBDF4DD"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1B67849A" w14:textId="77777777" w:rsidR="00502148"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kern w:val="28"/>
                <w:sz w:val="21"/>
                <w:szCs w:val="21"/>
                <w14:ligatures w14:val="none"/>
              </w:rPr>
              <w:t>站区及装置（设施）平面及竖向布置的主要安全考虑</w:t>
            </w:r>
          </w:p>
        </w:tc>
        <w:tc>
          <w:tcPr>
            <w:tcW w:w="2005" w:type="pct"/>
            <w:vAlign w:val="center"/>
          </w:tcPr>
          <w:p w14:paraId="6D56BD6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平面布置严格遵循符合现行国家标准《汽车加油加气加氢站技术标准》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33AD1C7B" w14:textId="77777777" w:rsidR="00502148"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平面布置严格遵循符合现行国家标准《汽车加油加气加氢站技术标准》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555" w:type="pct"/>
            <w:vAlign w:val="center"/>
          </w:tcPr>
          <w:p w14:paraId="132A66E4" w14:textId="77777777" w:rsidR="00502148"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502148" w14:paraId="623C2664" w14:textId="77777777">
        <w:trPr>
          <w:trHeight w:val="442"/>
          <w:jc w:val="center"/>
        </w:trPr>
        <w:tc>
          <w:tcPr>
            <w:tcW w:w="381" w:type="pct"/>
            <w:vAlign w:val="center"/>
          </w:tcPr>
          <w:p w14:paraId="621BAFF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B3B2D5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08463CF1"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本站场地标高设计原则为站内雨水排向站外。</w:t>
            </w:r>
          </w:p>
        </w:tc>
        <w:tc>
          <w:tcPr>
            <w:tcW w:w="1438" w:type="pct"/>
            <w:vAlign w:val="center"/>
          </w:tcPr>
          <w:p w14:paraId="099CAC17"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站内雨水排向站外</w:t>
            </w:r>
          </w:p>
        </w:tc>
        <w:tc>
          <w:tcPr>
            <w:tcW w:w="555" w:type="pct"/>
            <w:vAlign w:val="center"/>
          </w:tcPr>
          <w:p w14:paraId="5A82AD3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DAD4515" w14:textId="77777777">
        <w:trPr>
          <w:trHeight w:val="442"/>
          <w:jc w:val="center"/>
        </w:trPr>
        <w:tc>
          <w:tcPr>
            <w:tcW w:w="381" w:type="pct"/>
            <w:vAlign w:val="center"/>
          </w:tcPr>
          <w:p w14:paraId="3899BD7E"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D076B9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0B700AF"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本项目经营的汽柴油由具有危险化学品运输资质的专业公司承担。</w:t>
            </w:r>
          </w:p>
        </w:tc>
        <w:tc>
          <w:tcPr>
            <w:tcW w:w="1438" w:type="pct"/>
            <w:vAlign w:val="center"/>
          </w:tcPr>
          <w:p w14:paraId="27A1ED0D"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本项目经营的汽柴油由具有危险化学品运输资</w:t>
            </w:r>
            <w:r>
              <w:rPr>
                <w:rFonts w:ascii="Times New Roman" w:eastAsia="宋体" w:hAnsi="Times New Roman" w:cs="Times New Roman" w:hint="eastAsia"/>
                <w:spacing w:val="10"/>
                <w:sz w:val="21"/>
                <w:szCs w:val="21"/>
                <w14:ligatures w14:val="none"/>
              </w:rPr>
              <w:lastRenderedPageBreak/>
              <w:t>质的专业公司承担</w:t>
            </w:r>
          </w:p>
        </w:tc>
        <w:tc>
          <w:tcPr>
            <w:tcW w:w="555" w:type="pct"/>
            <w:vAlign w:val="center"/>
          </w:tcPr>
          <w:p w14:paraId="0A0FDD6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7ADB49E5" w14:textId="77777777">
        <w:trPr>
          <w:trHeight w:val="442"/>
          <w:jc w:val="center"/>
        </w:trPr>
        <w:tc>
          <w:tcPr>
            <w:tcW w:w="381" w:type="pct"/>
            <w:vAlign w:val="center"/>
          </w:tcPr>
          <w:p w14:paraId="1B4004D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207115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42FF60A"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站区道路采用混凝土路面，车道宽度满足规范要求，转弯半径</w:t>
            </w:r>
            <w:r>
              <w:rPr>
                <w:rFonts w:ascii="Times New Roman" w:eastAsia="宋体" w:hAnsi="Times New Roman" w:cs="Times New Roman" w:hint="eastAsia"/>
                <w:spacing w:val="10"/>
                <w:sz w:val="21"/>
                <w:szCs w:val="21"/>
                <w14:ligatures w14:val="none"/>
              </w:rPr>
              <w:t>15</w:t>
            </w:r>
            <w:r>
              <w:rPr>
                <w:rFonts w:ascii="Times New Roman" w:eastAsia="宋体" w:hAnsi="Times New Roman" w:cs="Times New Roman" w:hint="eastAsia"/>
                <w:spacing w:val="10"/>
                <w:sz w:val="21"/>
                <w:szCs w:val="21"/>
                <w14:ligatures w14:val="none"/>
              </w:rPr>
              <w:t>米，卸油区按平坡设计。</w:t>
            </w:r>
          </w:p>
        </w:tc>
        <w:tc>
          <w:tcPr>
            <w:tcW w:w="1438" w:type="pct"/>
            <w:vAlign w:val="center"/>
          </w:tcPr>
          <w:p w14:paraId="1EFEBE85"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站区道路采用混凝土路面，车道宽度满足规范要求，转弯半径</w:t>
            </w:r>
            <w:r>
              <w:rPr>
                <w:rFonts w:ascii="Times New Roman" w:eastAsia="宋体" w:hAnsi="Times New Roman" w:cs="Times New Roman" w:hint="eastAsia"/>
                <w:spacing w:val="10"/>
                <w:sz w:val="21"/>
                <w:szCs w:val="21"/>
                <w14:ligatures w14:val="none"/>
              </w:rPr>
              <w:t>15m</w:t>
            </w:r>
            <w:r>
              <w:rPr>
                <w:rFonts w:ascii="Times New Roman" w:eastAsia="宋体" w:hAnsi="Times New Roman" w:cs="Times New Roman" w:hint="eastAsia"/>
                <w:spacing w:val="10"/>
                <w:sz w:val="21"/>
                <w:szCs w:val="21"/>
                <w14:ligatures w14:val="none"/>
              </w:rPr>
              <w:t>，卸油区为平坡</w:t>
            </w:r>
          </w:p>
        </w:tc>
        <w:tc>
          <w:tcPr>
            <w:tcW w:w="555" w:type="pct"/>
            <w:vAlign w:val="center"/>
          </w:tcPr>
          <w:p w14:paraId="2DDFB97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3A4D748" w14:textId="77777777">
        <w:trPr>
          <w:trHeight w:val="442"/>
          <w:jc w:val="center"/>
        </w:trPr>
        <w:tc>
          <w:tcPr>
            <w:tcW w:w="381" w:type="pct"/>
            <w:vAlign w:val="center"/>
          </w:tcPr>
          <w:p w14:paraId="49AEC87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14D0A7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3986363"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本站出入口分开设置，因地处服务区内，安全疏散通道顺畅，站区临近道路侧分别设置一处出入口，车辆转弯半径</w:t>
            </w:r>
            <w:r>
              <w:rPr>
                <w:rFonts w:ascii="Times New Roman" w:eastAsia="宋体" w:hAnsi="Times New Roman" w:cs="Times New Roman" w:hint="eastAsia"/>
                <w:spacing w:val="10"/>
                <w:sz w:val="21"/>
                <w:szCs w:val="21"/>
                <w14:ligatures w14:val="none"/>
              </w:rPr>
              <w:t>15m</w:t>
            </w:r>
            <w:r>
              <w:rPr>
                <w:rFonts w:ascii="Times New Roman" w:eastAsia="宋体" w:hAnsi="Times New Roman" w:cs="Times New Roman" w:hint="eastAsia"/>
                <w:spacing w:val="10"/>
                <w:sz w:val="21"/>
                <w:szCs w:val="21"/>
                <w14:ligatures w14:val="none"/>
              </w:rPr>
              <w:t>。</w:t>
            </w:r>
          </w:p>
        </w:tc>
        <w:tc>
          <w:tcPr>
            <w:tcW w:w="1438" w:type="pct"/>
            <w:vAlign w:val="center"/>
          </w:tcPr>
          <w:p w14:paraId="582977BF"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本站出入口分开设置，安全疏散通道顺畅，车辆转弯半径</w:t>
            </w:r>
            <w:r>
              <w:rPr>
                <w:rFonts w:ascii="Times New Roman" w:eastAsia="宋体" w:hAnsi="Times New Roman" w:cs="Times New Roman" w:hint="eastAsia"/>
                <w:spacing w:val="10"/>
                <w:sz w:val="21"/>
                <w:szCs w:val="21"/>
                <w14:ligatures w14:val="none"/>
              </w:rPr>
              <w:t>15m</w:t>
            </w:r>
          </w:p>
        </w:tc>
        <w:tc>
          <w:tcPr>
            <w:tcW w:w="555" w:type="pct"/>
            <w:vAlign w:val="center"/>
          </w:tcPr>
          <w:p w14:paraId="49E3CFB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0B4C2F2" w14:textId="77777777">
        <w:trPr>
          <w:trHeight w:val="442"/>
          <w:jc w:val="center"/>
        </w:trPr>
        <w:tc>
          <w:tcPr>
            <w:tcW w:w="381" w:type="pct"/>
            <w:vAlign w:val="center"/>
          </w:tcPr>
          <w:p w14:paraId="25E3AE4A"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AA20B2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5928879"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spacing w:val="10"/>
                <w:sz w:val="21"/>
                <w:szCs w:val="21"/>
                <w14:ligatures w14:val="none"/>
              </w:rPr>
              <w:t>本工程新建一层站房一座。建筑类别为公共建筑类，建筑耐火等级为二级。站房内设置营业厅、收银室、财务室、办公室、控制室、卫生间、值班室。</w:t>
            </w:r>
          </w:p>
        </w:tc>
        <w:tc>
          <w:tcPr>
            <w:tcW w:w="1438" w:type="pct"/>
            <w:vAlign w:val="center"/>
          </w:tcPr>
          <w:p w14:paraId="018A515E" w14:textId="77777777" w:rsidR="00502148"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Times New Roman"/>
                <w:spacing w:val="10"/>
                <w:sz w:val="21"/>
                <w:szCs w:val="21"/>
                <w14:ligatures w14:val="none"/>
              </w:rPr>
              <w:t>站房建筑类别为公共建筑类，建筑耐火等级为二级。站房内设置营业厅、收银室、财务室、办公室、控制室、卫生间、值班室</w:t>
            </w:r>
          </w:p>
        </w:tc>
        <w:tc>
          <w:tcPr>
            <w:tcW w:w="555" w:type="pct"/>
            <w:vAlign w:val="center"/>
          </w:tcPr>
          <w:p w14:paraId="32603A99" w14:textId="77777777" w:rsidR="00502148"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502148" w14:paraId="103FF399" w14:textId="77777777">
        <w:trPr>
          <w:trHeight w:val="442"/>
          <w:jc w:val="center"/>
        </w:trPr>
        <w:tc>
          <w:tcPr>
            <w:tcW w:w="381" w:type="pct"/>
            <w:vAlign w:val="center"/>
          </w:tcPr>
          <w:p w14:paraId="21A7883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321239F"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9605C19"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spacing w:val="10"/>
                <w:sz w:val="21"/>
                <w:szCs w:val="21"/>
                <w14:ligatures w14:val="none"/>
              </w:rPr>
              <w:t>站内加油机附近设置防撞柱，防止车辆与设施碰撞事故。</w:t>
            </w:r>
          </w:p>
        </w:tc>
        <w:tc>
          <w:tcPr>
            <w:tcW w:w="1438" w:type="pct"/>
            <w:vAlign w:val="center"/>
          </w:tcPr>
          <w:p w14:paraId="20B9F84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10"/>
                <w:sz w:val="21"/>
                <w:szCs w:val="21"/>
                <w14:ligatures w14:val="none"/>
              </w:rPr>
              <w:t>站内加油机附近设置防撞柱</w:t>
            </w:r>
          </w:p>
        </w:tc>
        <w:tc>
          <w:tcPr>
            <w:tcW w:w="555" w:type="pct"/>
            <w:vAlign w:val="center"/>
          </w:tcPr>
          <w:p w14:paraId="1977493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6CF85B3" w14:textId="77777777">
        <w:trPr>
          <w:trHeight w:val="442"/>
          <w:jc w:val="center"/>
        </w:trPr>
        <w:tc>
          <w:tcPr>
            <w:tcW w:w="5000" w:type="pct"/>
            <w:gridSpan w:val="5"/>
            <w:vAlign w:val="center"/>
          </w:tcPr>
          <w:p w14:paraId="0070EA0C" w14:textId="77777777" w:rsidR="00502148"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spacing w:val="-2"/>
                <w:sz w:val="21"/>
                <w:szCs w:val="21"/>
                <w14:ligatures w14:val="none"/>
              </w:rPr>
              <w:t>三、</w:t>
            </w:r>
            <w:r>
              <w:rPr>
                <w:rFonts w:ascii="Times New Roman" w:eastAsia="宋体" w:hAnsi="Times New Roman" w:cs="Times New Roman" w:hint="eastAsia"/>
                <w:spacing w:val="-2"/>
                <w:sz w:val="21"/>
                <w:szCs w:val="21"/>
                <w14:ligatures w14:val="none"/>
              </w:rPr>
              <w:t>设备及管道</w:t>
            </w:r>
          </w:p>
        </w:tc>
      </w:tr>
      <w:tr w:rsidR="00502148" w14:paraId="27E0613E" w14:textId="77777777">
        <w:trPr>
          <w:trHeight w:val="442"/>
          <w:jc w:val="center"/>
        </w:trPr>
        <w:tc>
          <w:tcPr>
            <w:tcW w:w="381" w:type="pct"/>
            <w:vAlign w:val="center"/>
          </w:tcPr>
          <w:p w14:paraId="6248C9C1"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1D70D4C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设备及管道设计</w:t>
            </w:r>
          </w:p>
        </w:tc>
        <w:tc>
          <w:tcPr>
            <w:tcW w:w="2005" w:type="pct"/>
            <w:vAlign w:val="center"/>
          </w:tcPr>
          <w:p w14:paraId="0C9F536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本项目选用的埋地油罐、加油机等设备及管道设计符合现行国家标准《汽车加油加气加氢站技术标准》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574E3A21" w14:textId="77777777" w:rsidR="00502148"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本项目选用的埋地油罐、加油机等设备及管道设计符合现行国家标准《汽车加油加气加氢站技术标准》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555" w:type="pct"/>
            <w:vAlign w:val="center"/>
          </w:tcPr>
          <w:p w14:paraId="6F18DCED"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502148" w14:paraId="0D7F3689" w14:textId="77777777">
        <w:trPr>
          <w:trHeight w:val="442"/>
          <w:jc w:val="center"/>
        </w:trPr>
        <w:tc>
          <w:tcPr>
            <w:tcW w:w="381" w:type="pct"/>
            <w:vAlign w:val="center"/>
          </w:tcPr>
          <w:p w14:paraId="65FF45C9"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0D252E0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主要设备、管道材料的选择和防护措施</w:t>
            </w:r>
          </w:p>
        </w:tc>
        <w:tc>
          <w:tcPr>
            <w:tcW w:w="2005" w:type="pct"/>
            <w:vAlign w:val="center"/>
          </w:tcPr>
          <w:p w14:paraId="6664702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加油站的储油罐采用卧式钢制油罐。油罐的设计和制造，满足油罐在所承受外压作用下的强度要求。满足环保要求。</w:t>
            </w:r>
          </w:p>
        </w:tc>
        <w:tc>
          <w:tcPr>
            <w:tcW w:w="1438" w:type="pct"/>
            <w:vAlign w:val="center"/>
          </w:tcPr>
          <w:p w14:paraId="362E7FCD" w14:textId="77777777" w:rsidR="00502148"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加油站的储油罐采用卧式钢制油罐。油罐满足所承受外压作用下的强度要求。满足环保要求</w:t>
            </w:r>
          </w:p>
        </w:tc>
        <w:tc>
          <w:tcPr>
            <w:tcW w:w="555" w:type="pct"/>
            <w:vAlign w:val="center"/>
          </w:tcPr>
          <w:p w14:paraId="30E99ED6"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502148" w14:paraId="7DB1181C" w14:textId="77777777">
        <w:trPr>
          <w:trHeight w:val="442"/>
          <w:jc w:val="center"/>
        </w:trPr>
        <w:tc>
          <w:tcPr>
            <w:tcW w:w="381" w:type="pct"/>
            <w:vAlign w:val="center"/>
          </w:tcPr>
          <w:p w14:paraId="645BE17C"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3E6495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498225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油罐的人孔设操作井。</w:t>
            </w:r>
          </w:p>
        </w:tc>
        <w:tc>
          <w:tcPr>
            <w:tcW w:w="1438" w:type="pct"/>
            <w:vAlign w:val="center"/>
          </w:tcPr>
          <w:p w14:paraId="7B692822" w14:textId="77777777" w:rsidR="00502148"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油罐的人孔设操作井</w:t>
            </w:r>
          </w:p>
        </w:tc>
        <w:tc>
          <w:tcPr>
            <w:tcW w:w="555" w:type="pct"/>
            <w:vAlign w:val="center"/>
          </w:tcPr>
          <w:p w14:paraId="0C358EB9"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502148" w14:paraId="1E642783" w14:textId="77777777">
        <w:trPr>
          <w:trHeight w:val="442"/>
          <w:jc w:val="center"/>
        </w:trPr>
        <w:tc>
          <w:tcPr>
            <w:tcW w:w="381" w:type="pct"/>
            <w:vAlign w:val="center"/>
          </w:tcPr>
          <w:p w14:paraId="0DF6E04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306280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E399B0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储罐设置具有高液位报警功能的液位仪。当油料达到油罐容量</w:t>
            </w:r>
            <w:r>
              <w:rPr>
                <w:rFonts w:ascii="Times New Roman" w:eastAsia="宋体" w:hAnsi="Times New Roman" w:cs="Times New Roman"/>
                <w:sz w:val="21"/>
                <w:szCs w:val="21"/>
                <w14:ligatures w14:val="none"/>
              </w:rPr>
              <w:t>90%</w:t>
            </w:r>
            <w:r>
              <w:rPr>
                <w:rFonts w:ascii="Times New Roman" w:eastAsia="宋体" w:hAnsi="Times New Roman" w:cs="Times New Roman"/>
                <w:sz w:val="21"/>
                <w:szCs w:val="21"/>
                <w14:ligatures w14:val="none"/>
              </w:rPr>
              <w:t>时，能触动高液位报警装置。进油立管设置卸油防溢阀，当油料达到油罐容量</w:t>
            </w:r>
            <w:r>
              <w:rPr>
                <w:rFonts w:ascii="Times New Roman" w:eastAsia="宋体" w:hAnsi="Times New Roman" w:cs="Times New Roman"/>
                <w:sz w:val="21"/>
                <w:szCs w:val="21"/>
                <w14:ligatures w14:val="none"/>
              </w:rPr>
              <w:t>95%</w:t>
            </w:r>
            <w:r>
              <w:rPr>
                <w:rFonts w:ascii="Times New Roman" w:eastAsia="宋体" w:hAnsi="Times New Roman" w:cs="Times New Roman"/>
                <w:sz w:val="21"/>
                <w:szCs w:val="21"/>
                <w14:ligatures w14:val="none"/>
              </w:rPr>
              <w:t>时，能自动停止油料继续进罐。</w:t>
            </w:r>
          </w:p>
        </w:tc>
        <w:tc>
          <w:tcPr>
            <w:tcW w:w="1438" w:type="pct"/>
            <w:vAlign w:val="center"/>
          </w:tcPr>
          <w:p w14:paraId="72FC841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储罐设置具有高液位报警功能的液位仪。当油料达到油罐容量</w:t>
            </w:r>
            <w:r>
              <w:rPr>
                <w:rFonts w:ascii="Times New Roman" w:eastAsia="宋体" w:hAnsi="Times New Roman" w:cs="Times New Roman"/>
                <w:sz w:val="21"/>
                <w:szCs w:val="21"/>
                <w14:ligatures w14:val="none"/>
              </w:rPr>
              <w:t>90%</w:t>
            </w:r>
            <w:r>
              <w:rPr>
                <w:rFonts w:ascii="Times New Roman" w:eastAsia="宋体" w:hAnsi="Times New Roman" w:cs="Times New Roman"/>
                <w:sz w:val="21"/>
                <w:szCs w:val="21"/>
                <w14:ligatures w14:val="none"/>
              </w:rPr>
              <w:t>时，能触动高液位报警装置。进油立管设置卸油防溢阀，当油料达到油罐容量</w:t>
            </w:r>
            <w:r>
              <w:rPr>
                <w:rFonts w:ascii="Times New Roman" w:eastAsia="宋体" w:hAnsi="Times New Roman" w:cs="Times New Roman"/>
                <w:sz w:val="21"/>
                <w:szCs w:val="21"/>
                <w14:ligatures w14:val="none"/>
              </w:rPr>
              <w:t>95%</w:t>
            </w:r>
            <w:r>
              <w:rPr>
                <w:rFonts w:ascii="Times New Roman" w:eastAsia="宋体" w:hAnsi="Times New Roman" w:cs="Times New Roman"/>
                <w:sz w:val="21"/>
                <w:szCs w:val="21"/>
                <w14:ligatures w14:val="none"/>
              </w:rPr>
              <w:t>时，能自动停止油料继续进罐</w:t>
            </w:r>
          </w:p>
        </w:tc>
        <w:tc>
          <w:tcPr>
            <w:tcW w:w="555" w:type="pct"/>
            <w:vAlign w:val="center"/>
          </w:tcPr>
          <w:p w14:paraId="5C64B44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5432DE7" w14:textId="77777777">
        <w:trPr>
          <w:trHeight w:val="442"/>
          <w:jc w:val="center"/>
        </w:trPr>
        <w:tc>
          <w:tcPr>
            <w:tcW w:w="381" w:type="pct"/>
            <w:vAlign w:val="center"/>
          </w:tcPr>
          <w:p w14:paraId="034C96C6"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C40D6A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E77FC1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油罐的顶部覆土厚度</w:t>
            </w:r>
            <w:r>
              <w:rPr>
                <w:rFonts w:ascii="Times New Roman" w:eastAsia="宋体" w:hAnsi="Times New Roman" w:cs="Times New Roman"/>
                <w:sz w:val="21"/>
                <w:szCs w:val="21"/>
                <w14:ligatures w14:val="none"/>
              </w:rPr>
              <w:t>2.0m</w:t>
            </w:r>
            <w:r>
              <w:rPr>
                <w:rFonts w:ascii="Times New Roman" w:eastAsia="宋体" w:hAnsi="Times New Roman" w:cs="Times New Roman"/>
                <w:sz w:val="21"/>
                <w:szCs w:val="21"/>
                <w14:ligatures w14:val="none"/>
              </w:rPr>
              <w:t>。</w:t>
            </w:r>
          </w:p>
        </w:tc>
        <w:tc>
          <w:tcPr>
            <w:tcW w:w="1438" w:type="pct"/>
            <w:vAlign w:val="center"/>
          </w:tcPr>
          <w:p w14:paraId="6C0F085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油罐的顶部覆土厚度</w:t>
            </w:r>
            <w:r>
              <w:rPr>
                <w:rFonts w:ascii="Times New Roman" w:eastAsia="宋体" w:hAnsi="Times New Roman" w:cs="Times New Roman"/>
                <w:sz w:val="21"/>
                <w:szCs w:val="21"/>
                <w14:ligatures w14:val="none"/>
              </w:rPr>
              <w:t>2.0m</w:t>
            </w:r>
          </w:p>
        </w:tc>
        <w:tc>
          <w:tcPr>
            <w:tcW w:w="555" w:type="pct"/>
            <w:vAlign w:val="center"/>
          </w:tcPr>
          <w:p w14:paraId="17C114A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D96DC07" w14:textId="77777777">
        <w:trPr>
          <w:trHeight w:val="442"/>
          <w:jc w:val="center"/>
        </w:trPr>
        <w:tc>
          <w:tcPr>
            <w:tcW w:w="381" w:type="pct"/>
            <w:vAlign w:val="center"/>
          </w:tcPr>
          <w:p w14:paraId="5D44D6D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4F249A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E01305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本站加油机具备油气回收功能，加油机底部与油气回收立管的连接处安装了用于检测液阻和系统密闭性的丝接三通，其旁通短管上设置了公称直径为</w:t>
            </w:r>
            <w:r>
              <w:rPr>
                <w:rFonts w:ascii="Times New Roman" w:eastAsia="宋体" w:hAnsi="Times New Roman" w:cs="Times New Roman"/>
                <w:sz w:val="21"/>
                <w:szCs w:val="21"/>
                <w14:ligatures w14:val="none"/>
              </w:rPr>
              <w:t>25mm</w:t>
            </w:r>
            <w:r>
              <w:rPr>
                <w:rFonts w:ascii="Times New Roman" w:eastAsia="宋体" w:hAnsi="Times New Roman" w:cs="Times New Roman"/>
                <w:sz w:val="21"/>
                <w:szCs w:val="21"/>
                <w14:ligatures w14:val="none"/>
              </w:rPr>
              <w:t>的球阀及丝堵。</w:t>
            </w:r>
          </w:p>
        </w:tc>
        <w:tc>
          <w:tcPr>
            <w:tcW w:w="1438" w:type="pct"/>
            <w:vAlign w:val="center"/>
          </w:tcPr>
          <w:p w14:paraId="1EA83FD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本站加油机具备油气回收功能，加油机底部与油气回收立管的连接处安装用于检测液阻和系统密闭性的丝接三通，其旁通短管上设置公称直径为</w:t>
            </w:r>
            <w:r>
              <w:rPr>
                <w:rFonts w:ascii="Times New Roman" w:eastAsia="宋体" w:hAnsi="Times New Roman" w:cs="Times New Roman"/>
                <w:sz w:val="21"/>
                <w:szCs w:val="21"/>
                <w14:ligatures w14:val="none"/>
              </w:rPr>
              <w:t>25mm</w:t>
            </w:r>
            <w:r>
              <w:rPr>
                <w:rFonts w:ascii="Times New Roman" w:eastAsia="宋体" w:hAnsi="Times New Roman" w:cs="Times New Roman"/>
                <w:sz w:val="21"/>
                <w:szCs w:val="21"/>
                <w14:ligatures w14:val="none"/>
              </w:rPr>
              <w:t>的球阀及丝堵</w:t>
            </w:r>
          </w:p>
        </w:tc>
        <w:tc>
          <w:tcPr>
            <w:tcW w:w="555" w:type="pct"/>
            <w:vAlign w:val="center"/>
          </w:tcPr>
          <w:p w14:paraId="37A4EFF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1BA3DE9" w14:textId="77777777">
        <w:trPr>
          <w:trHeight w:val="442"/>
          <w:jc w:val="center"/>
        </w:trPr>
        <w:tc>
          <w:tcPr>
            <w:tcW w:w="381" w:type="pct"/>
            <w:vAlign w:val="center"/>
          </w:tcPr>
          <w:p w14:paraId="2F83D7B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FF6E21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D4C740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油罐的接合管设置符合下列规定：</w:t>
            </w:r>
          </w:p>
          <w:p w14:paraId="290D25E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）接合管为金属材质。</w:t>
            </w:r>
          </w:p>
          <w:p w14:paraId="787439F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）接合管设在油罐的顶部，其中进油接合管、出油接合管（或潜油泵安装</w:t>
            </w:r>
            <w:r>
              <w:rPr>
                <w:rFonts w:ascii="Times New Roman" w:eastAsia="宋体" w:hAnsi="Times New Roman" w:cs="Times New Roman"/>
                <w:sz w:val="21"/>
                <w:szCs w:val="21"/>
                <w14:ligatures w14:val="none"/>
              </w:rPr>
              <w:lastRenderedPageBreak/>
              <w:t>口）、通气（或油气回收）接合管口设在人孔盖上。</w:t>
            </w:r>
          </w:p>
          <w:p w14:paraId="1DE11FF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w:t>
            </w:r>
            <w:r>
              <w:rPr>
                <w:rFonts w:ascii="Times New Roman" w:eastAsia="宋体" w:hAnsi="Times New Roman" w:cs="Times New Roman"/>
                <w:sz w:val="21"/>
                <w:szCs w:val="21"/>
                <w14:ligatures w14:val="none"/>
              </w:rPr>
              <w:t>）进油管伸至罐内距罐底</w:t>
            </w:r>
            <w:r>
              <w:rPr>
                <w:rFonts w:ascii="Times New Roman" w:eastAsia="宋体" w:hAnsi="Times New Roman" w:cs="Times New Roman"/>
                <w:sz w:val="21"/>
                <w:szCs w:val="21"/>
                <w14:ligatures w14:val="none"/>
              </w:rPr>
              <w:t xml:space="preserve">100mm </w:t>
            </w:r>
            <w:r>
              <w:rPr>
                <w:rFonts w:ascii="Times New Roman" w:eastAsia="宋体" w:hAnsi="Times New Roman" w:cs="Times New Roman"/>
                <w:sz w:val="21"/>
                <w:szCs w:val="21"/>
                <w14:ligatures w14:val="none"/>
              </w:rPr>
              <w:t>处。进油立管的底端应为</w:t>
            </w:r>
            <w:r>
              <w:rPr>
                <w:rFonts w:ascii="Times New Roman" w:eastAsia="宋体" w:hAnsi="Times New Roman" w:cs="Times New Roman"/>
                <w:sz w:val="21"/>
                <w:szCs w:val="21"/>
                <w14:ligatures w14:val="none"/>
              </w:rPr>
              <w:t>45°</w:t>
            </w:r>
            <w:r>
              <w:rPr>
                <w:rFonts w:ascii="Times New Roman" w:eastAsia="宋体" w:hAnsi="Times New Roman" w:cs="Times New Roman"/>
                <w:sz w:val="21"/>
                <w:szCs w:val="21"/>
                <w14:ligatures w14:val="none"/>
              </w:rPr>
              <w:t>斜管口。进油管管壁上无与油罐气相空间相通的开口。</w:t>
            </w:r>
          </w:p>
          <w:p w14:paraId="6093E8D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4</w:t>
            </w:r>
            <w:r>
              <w:rPr>
                <w:rFonts w:ascii="Times New Roman" w:eastAsia="宋体" w:hAnsi="Times New Roman" w:cs="Times New Roman"/>
                <w:sz w:val="21"/>
                <w:szCs w:val="21"/>
                <w14:ligatures w14:val="none"/>
              </w:rPr>
              <w:t>）油罐的量油孔设带锁的量油帽。量油孔下部的接合管向下伸至罐内距罐底</w:t>
            </w:r>
            <w:r>
              <w:rPr>
                <w:rFonts w:ascii="Times New Roman" w:eastAsia="宋体" w:hAnsi="Times New Roman" w:cs="Times New Roman"/>
                <w:sz w:val="21"/>
                <w:szCs w:val="21"/>
                <w14:ligatures w14:val="none"/>
              </w:rPr>
              <w:t>200mm</w:t>
            </w:r>
            <w:r>
              <w:rPr>
                <w:rFonts w:ascii="Times New Roman" w:eastAsia="宋体" w:hAnsi="Times New Roman" w:cs="Times New Roman"/>
                <w:sz w:val="21"/>
                <w:szCs w:val="21"/>
                <w14:ligatures w14:val="none"/>
              </w:rPr>
              <w:t>处，并应有检尺时使接合管内液位与罐内液位相一致的技术措施。</w:t>
            </w:r>
          </w:p>
          <w:p w14:paraId="2557B2E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）油罐人孔井内的管道及设备，设有法兰能保证油罐人孔盖的可拆装性。</w:t>
            </w:r>
          </w:p>
          <w:p w14:paraId="30782AD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6</w:t>
            </w:r>
            <w:r>
              <w:rPr>
                <w:rFonts w:ascii="Times New Roman" w:eastAsia="宋体" w:hAnsi="Times New Roman" w:cs="Times New Roman"/>
                <w:sz w:val="21"/>
                <w:szCs w:val="21"/>
                <w14:ligatures w14:val="none"/>
              </w:rPr>
              <w:t>）卸油管道采用</w:t>
            </w:r>
            <w:r>
              <w:rPr>
                <w:rFonts w:ascii="Times New Roman" w:eastAsia="宋体" w:hAnsi="Times New Roman" w:cs="Times New Roman"/>
                <w:sz w:val="21"/>
                <w:szCs w:val="21"/>
                <w14:ligatures w14:val="none"/>
              </w:rPr>
              <w:t>20#</w:t>
            </w:r>
            <w:r>
              <w:rPr>
                <w:rFonts w:ascii="Times New Roman" w:eastAsia="宋体" w:hAnsi="Times New Roman" w:cs="Times New Roman"/>
                <w:sz w:val="21"/>
                <w:szCs w:val="21"/>
                <w14:ligatures w14:val="none"/>
              </w:rPr>
              <w:t>无缝钢管，加油管道采用双层热塑性管道，车行道下钢管加装套管保护。</w:t>
            </w:r>
          </w:p>
          <w:p w14:paraId="0D10D79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）汽、柴油罐的通气管口设置阻火器，汽油通气管口设置呼吸阀。</w:t>
            </w:r>
          </w:p>
        </w:tc>
        <w:tc>
          <w:tcPr>
            <w:tcW w:w="1438" w:type="pct"/>
            <w:vAlign w:val="center"/>
          </w:tcPr>
          <w:p w14:paraId="5A2BB95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油罐的接合管设置符合下列规定：</w:t>
            </w:r>
          </w:p>
          <w:p w14:paraId="5A72E1C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）接合管为金属材质。</w:t>
            </w:r>
          </w:p>
          <w:p w14:paraId="044C639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）接合管设在油罐的顶</w:t>
            </w:r>
            <w:r>
              <w:rPr>
                <w:rFonts w:ascii="Times New Roman" w:eastAsia="宋体" w:hAnsi="Times New Roman" w:cs="Times New Roman"/>
                <w:sz w:val="21"/>
                <w:szCs w:val="21"/>
                <w14:ligatures w14:val="none"/>
              </w:rPr>
              <w:lastRenderedPageBreak/>
              <w:t>部，其中进油接合管、出油接合管（或潜油泵安装口）、通气（或油气回收）接合管口设在人孔盖上。</w:t>
            </w:r>
          </w:p>
          <w:p w14:paraId="0195589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w:t>
            </w:r>
            <w:r>
              <w:rPr>
                <w:rFonts w:ascii="Times New Roman" w:eastAsia="宋体" w:hAnsi="Times New Roman" w:cs="Times New Roman"/>
                <w:sz w:val="21"/>
                <w:szCs w:val="21"/>
                <w14:ligatures w14:val="none"/>
              </w:rPr>
              <w:t>）进油管伸至罐内距罐底</w:t>
            </w:r>
            <w:r>
              <w:rPr>
                <w:rFonts w:ascii="Times New Roman" w:eastAsia="宋体" w:hAnsi="Times New Roman" w:cs="Times New Roman"/>
                <w:sz w:val="21"/>
                <w:szCs w:val="21"/>
                <w14:ligatures w14:val="none"/>
              </w:rPr>
              <w:t xml:space="preserve">100mm </w:t>
            </w:r>
            <w:r>
              <w:rPr>
                <w:rFonts w:ascii="Times New Roman" w:eastAsia="宋体" w:hAnsi="Times New Roman" w:cs="Times New Roman"/>
                <w:sz w:val="21"/>
                <w:szCs w:val="21"/>
                <w14:ligatures w14:val="none"/>
              </w:rPr>
              <w:t>处。进油立管的底端为</w:t>
            </w:r>
            <w:r>
              <w:rPr>
                <w:rFonts w:ascii="Times New Roman" w:eastAsia="宋体" w:hAnsi="Times New Roman" w:cs="Times New Roman"/>
                <w:sz w:val="21"/>
                <w:szCs w:val="21"/>
                <w14:ligatures w14:val="none"/>
              </w:rPr>
              <w:t>45°</w:t>
            </w:r>
            <w:r>
              <w:rPr>
                <w:rFonts w:ascii="Times New Roman" w:eastAsia="宋体" w:hAnsi="Times New Roman" w:cs="Times New Roman"/>
                <w:sz w:val="21"/>
                <w:szCs w:val="21"/>
                <w14:ligatures w14:val="none"/>
              </w:rPr>
              <w:t>斜管口。进油管管壁上无与油罐气相空间相通的开口。</w:t>
            </w:r>
          </w:p>
          <w:p w14:paraId="597496A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4</w:t>
            </w:r>
            <w:r>
              <w:rPr>
                <w:rFonts w:ascii="Times New Roman" w:eastAsia="宋体" w:hAnsi="Times New Roman" w:cs="Times New Roman"/>
                <w:sz w:val="21"/>
                <w:szCs w:val="21"/>
                <w14:ligatures w14:val="none"/>
              </w:rPr>
              <w:t>）油罐的量油孔设带锁的量油帽。量油孔下部的接合管向下伸至罐内距罐底</w:t>
            </w:r>
            <w:r>
              <w:rPr>
                <w:rFonts w:ascii="Times New Roman" w:eastAsia="宋体" w:hAnsi="Times New Roman" w:cs="Times New Roman"/>
                <w:sz w:val="21"/>
                <w:szCs w:val="21"/>
                <w14:ligatures w14:val="none"/>
              </w:rPr>
              <w:t>200mm</w:t>
            </w:r>
            <w:r>
              <w:rPr>
                <w:rFonts w:ascii="Times New Roman" w:eastAsia="宋体" w:hAnsi="Times New Roman" w:cs="Times New Roman"/>
                <w:sz w:val="21"/>
                <w:szCs w:val="21"/>
                <w14:ligatures w14:val="none"/>
              </w:rPr>
              <w:t>处，并有检尺时使接合管内液位与罐内液位相一致的技术措施。</w:t>
            </w:r>
          </w:p>
          <w:p w14:paraId="68C4AA4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）油罐人孔井内的管道及设备，设有法兰能保证油罐人孔盖的可拆装性。</w:t>
            </w:r>
          </w:p>
          <w:p w14:paraId="5BC49B9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6</w:t>
            </w:r>
            <w:r>
              <w:rPr>
                <w:rFonts w:ascii="Times New Roman" w:eastAsia="宋体" w:hAnsi="Times New Roman" w:cs="Times New Roman"/>
                <w:sz w:val="21"/>
                <w:szCs w:val="21"/>
                <w14:ligatures w14:val="none"/>
              </w:rPr>
              <w:t>）卸油管道采用</w:t>
            </w:r>
            <w:r>
              <w:rPr>
                <w:rFonts w:ascii="Times New Roman" w:eastAsia="宋体" w:hAnsi="Times New Roman" w:cs="Times New Roman"/>
                <w:sz w:val="21"/>
                <w:szCs w:val="21"/>
                <w14:ligatures w14:val="none"/>
              </w:rPr>
              <w:t>20#</w:t>
            </w:r>
            <w:r>
              <w:rPr>
                <w:rFonts w:ascii="Times New Roman" w:eastAsia="宋体" w:hAnsi="Times New Roman" w:cs="Times New Roman"/>
                <w:sz w:val="21"/>
                <w:szCs w:val="21"/>
                <w14:ligatures w14:val="none"/>
              </w:rPr>
              <w:t>无缝钢管，加油管道采用双层热塑性管道，车行道下钢管加装套管保护。</w:t>
            </w:r>
          </w:p>
          <w:p w14:paraId="2092B69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）汽、柴油罐的通气管口设置阻火器，汽油通气管口设置呼吸阀。</w:t>
            </w:r>
          </w:p>
        </w:tc>
        <w:tc>
          <w:tcPr>
            <w:tcW w:w="555" w:type="pct"/>
            <w:vAlign w:val="center"/>
          </w:tcPr>
          <w:p w14:paraId="3774AA6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04392A1C" w14:textId="77777777">
        <w:trPr>
          <w:trHeight w:val="442"/>
          <w:jc w:val="center"/>
        </w:trPr>
        <w:tc>
          <w:tcPr>
            <w:tcW w:w="381" w:type="pct"/>
            <w:vAlign w:val="center"/>
          </w:tcPr>
          <w:p w14:paraId="30E5DD3A"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D64BBC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C84CCF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加油站的卸油管道采用无缝钢管，潜油泵底部的进油管道设置防溢剪切阀；出油管道根据规范要求采用导静电双层热塑性塑料管道，管道坡度</w:t>
            </w:r>
            <w:r>
              <w:rPr>
                <w:rFonts w:ascii="Times New Roman" w:eastAsia="宋体" w:hAnsi="Times New Roman" w:cs="Times New Roman"/>
                <w:sz w:val="21"/>
                <w:szCs w:val="21"/>
                <w14:ligatures w14:val="none"/>
              </w:rPr>
              <w:t>0.005</w:t>
            </w:r>
            <w:r>
              <w:rPr>
                <w:rFonts w:ascii="Times New Roman" w:eastAsia="宋体" w:hAnsi="Times New Roman" w:cs="Times New Roman"/>
                <w:sz w:val="21"/>
                <w:szCs w:val="21"/>
                <w14:ligatures w14:val="none"/>
              </w:rPr>
              <w:t>，坡向操作井，操作井内设置双层管道渗漏检测接口及检测装置。</w:t>
            </w:r>
          </w:p>
        </w:tc>
        <w:tc>
          <w:tcPr>
            <w:tcW w:w="1438" w:type="pct"/>
            <w:vAlign w:val="center"/>
          </w:tcPr>
          <w:p w14:paraId="2DB7C30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加油站的卸油管道采用无缝钢管，潜油泵底部的进油管道设置防溢剪切阀；出油管道采用导静电双层热塑性塑料管道，管道坡度</w:t>
            </w:r>
            <w:r>
              <w:rPr>
                <w:rFonts w:ascii="Times New Roman" w:eastAsia="宋体" w:hAnsi="Times New Roman" w:cs="Times New Roman"/>
                <w:sz w:val="21"/>
                <w:szCs w:val="21"/>
                <w14:ligatures w14:val="none"/>
              </w:rPr>
              <w:t>0.005</w:t>
            </w:r>
            <w:r>
              <w:rPr>
                <w:rFonts w:ascii="Times New Roman" w:eastAsia="宋体" w:hAnsi="Times New Roman" w:cs="Times New Roman"/>
                <w:sz w:val="21"/>
                <w:szCs w:val="21"/>
                <w14:ligatures w14:val="none"/>
              </w:rPr>
              <w:t>，坡向操作井，操作井内设置双层管道渗漏检测接口及检测装置</w:t>
            </w:r>
          </w:p>
        </w:tc>
        <w:tc>
          <w:tcPr>
            <w:tcW w:w="555" w:type="pct"/>
            <w:vAlign w:val="center"/>
          </w:tcPr>
          <w:p w14:paraId="7DC185D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B4CAF55" w14:textId="77777777">
        <w:trPr>
          <w:trHeight w:val="442"/>
          <w:jc w:val="center"/>
        </w:trPr>
        <w:tc>
          <w:tcPr>
            <w:tcW w:w="381" w:type="pct"/>
            <w:vAlign w:val="center"/>
          </w:tcPr>
          <w:p w14:paraId="201117EA"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ACF382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0AA95F2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1EB4E74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1D18CBB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D174BB8" w14:textId="77777777">
        <w:trPr>
          <w:trHeight w:val="442"/>
          <w:jc w:val="center"/>
        </w:trPr>
        <w:tc>
          <w:tcPr>
            <w:tcW w:w="381" w:type="pct"/>
            <w:vAlign w:val="center"/>
          </w:tcPr>
          <w:p w14:paraId="27EF2706"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1CB8CE2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采取的其他安全措施</w:t>
            </w:r>
          </w:p>
        </w:tc>
        <w:tc>
          <w:tcPr>
            <w:tcW w:w="2005" w:type="pct"/>
            <w:vAlign w:val="center"/>
          </w:tcPr>
          <w:p w14:paraId="78CA424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加油机上每条加油枪对应有各油品的文字标识，加油枪有颜色标识；</w:t>
            </w:r>
          </w:p>
        </w:tc>
        <w:tc>
          <w:tcPr>
            <w:tcW w:w="1438" w:type="pct"/>
            <w:vAlign w:val="center"/>
          </w:tcPr>
          <w:p w14:paraId="025D84E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加油机上每条加油枪对应有各油品的文字标识，加油枪有颜色标识</w:t>
            </w:r>
          </w:p>
        </w:tc>
        <w:tc>
          <w:tcPr>
            <w:tcW w:w="555" w:type="pct"/>
            <w:vAlign w:val="center"/>
          </w:tcPr>
          <w:p w14:paraId="58C01CA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7F5AFAC" w14:textId="77777777">
        <w:trPr>
          <w:trHeight w:val="442"/>
          <w:jc w:val="center"/>
        </w:trPr>
        <w:tc>
          <w:tcPr>
            <w:tcW w:w="381" w:type="pct"/>
            <w:vAlign w:val="center"/>
          </w:tcPr>
          <w:p w14:paraId="61C0ACA8"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7AC889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0FFECD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加油岛端部附近设置高度为</w:t>
            </w:r>
            <w:r>
              <w:rPr>
                <w:rFonts w:ascii="Times New Roman" w:eastAsia="宋体" w:hAnsi="Times New Roman" w:cs="Times New Roman"/>
                <w:sz w:val="21"/>
                <w:szCs w:val="21"/>
                <w14:ligatures w14:val="none"/>
              </w:rPr>
              <w:t>0.6m</w:t>
            </w:r>
            <w:r>
              <w:rPr>
                <w:rFonts w:ascii="Times New Roman" w:eastAsia="宋体" w:hAnsi="Times New Roman" w:cs="Times New Roman"/>
                <w:sz w:val="21"/>
                <w:szCs w:val="21"/>
                <w14:ligatures w14:val="none"/>
              </w:rPr>
              <w:t>的防撞柱。</w:t>
            </w:r>
          </w:p>
        </w:tc>
        <w:tc>
          <w:tcPr>
            <w:tcW w:w="1438" w:type="pct"/>
            <w:vAlign w:val="center"/>
          </w:tcPr>
          <w:p w14:paraId="252E60A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加油岛端部附近设置高度为</w:t>
            </w:r>
            <w:r>
              <w:rPr>
                <w:rFonts w:ascii="Times New Roman" w:eastAsia="宋体" w:hAnsi="Times New Roman" w:cs="Times New Roman"/>
                <w:sz w:val="21"/>
                <w:szCs w:val="21"/>
                <w14:ligatures w14:val="none"/>
              </w:rPr>
              <w:t>0.6m</w:t>
            </w:r>
            <w:r>
              <w:rPr>
                <w:rFonts w:ascii="Times New Roman" w:eastAsia="宋体" w:hAnsi="Times New Roman" w:cs="Times New Roman"/>
                <w:sz w:val="21"/>
                <w:szCs w:val="21"/>
                <w14:ligatures w14:val="none"/>
              </w:rPr>
              <w:t>的防撞柱</w:t>
            </w:r>
          </w:p>
        </w:tc>
        <w:tc>
          <w:tcPr>
            <w:tcW w:w="555" w:type="pct"/>
            <w:vAlign w:val="center"/>
          </w:tcPr>
          <w:p w14:paraId="7F3ED17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E54BEB0" w14:textId="77777777">
        <w:trPr>
          <w:trHeight w:val="442"/>
          <w:jc w:val="center"/>
        </w:trPr>
        <w:tc>
          <w:tcPr>
            <w:tcW w:w="381" w:type="pct"/>
            <w:vAlign w:val="center"/>
          </w:tcPr>
          <w:p w14:paraId="1761283D"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5515BF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D41E83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油罐车卸油采用密闭卸油方式。</w:t>
            </w:r>
          </w:p>
        </w:tc>
        <w:tc>
          <w:tcPr>
            <w:tcW w:w="1438" w:type="pct"/>
            <w:vAlign w:val="center"/>
          </w:tcPr>
          <w:p w14:paraId="0476B63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油罐车卸油采用密闭卸油方式</w:t>
            </w:r>
          </w:p>
        </w:tc>
        <w:tc>
          <w:tcPr>
            <w:tcW w:w="555" w:type="pct"/>
            <w:vAlign w:val="center"/>
          </w:tcPr>
          <w:p w14:paraId="593917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C62EBA2" w14:textId="77777777">
        <w:trPr>
          <w:trHeight w:val="442"/>
          <w:jc w:val="center"/>
        </w:trPr>
        <w:tc>
          <w:tcPr>
            <w:tcW w:w="381" w:type="pct"/>
            <w:vAlign w:val="center"/>
          </w:tcPr>
          <w:p w14:paraId="1424647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33007A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4A3196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设置卸油油气回收及加油油气回收系统。</w:t>
            </w:r>
          </w:p>
        </w:tc>
        <w:tc>
          <w:tcPr>
            <w:tcW w:w="1438" w:type="pct"/>
            <w:vAlign w:val="center"/>
          </w:tcPr>
          <w:p w14:paraId="3012DFB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设置卸油油气回收及加油油气回收系统</w:t>
            </w:r>
          </w:p>
        </w:tc>
        <w:tc>
          <w:tcPr>
            <w:tcW w:w="555" w:type="pct"/>
            <w:vAlign w:val="center"/>
          </w:tcPr>
          <w:p w14:paraId="5F1DFC3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D79DE69" w14:textId="77777777">
        <w:trPr>
          <w:trHeight w:val="442"/>
          <w:jc w:val="center"/>
        </w:trPr>
        <w:tc>
          <w:tcPr>
            <w:tcW w:w="5000" w:type="pct"/>
            <w:gridSpan w:val="5"/>
            <w:vAlign w:val="center"/>
          </w:tcPr>
          <w:p w14:paraId="19F66B2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四、</w:t>
            </w:r>
            <w:r>
              <w:rPr>
                <w:rFonts w:ascii="Times New Roman" w:eastAsia="宋体" w:hAnsi="Times New Roman" w:cs="Times New Roman" w:hint="eastAsia"/>
                <w:sz w:val="21"/>
                <w:szCs w:val="21"/>
                <w14:ligatures w14:val="none"/>
              </w:rPr>
              <w:t>电气</w:t>
            </w:r>
          </w:p>
        </w:tc>
      </w:tr>
      <w:tr w:rsidR="00502148" w14:paraId="54FC1873" w14:textId="77777777">
        <w:trPr>
          <w:trHeight w:val="442"/>
          <w:jc w:val="center"/>
        </w:trPr>
        <w:tc>
          <w:tcPr>
            <w:tcW w:w="381" w:type="pct"/>
            <w:vAlign w:val="center"/>
          </w:tcPr>
          <w:p w14:paraId="675625CD"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6EF52A7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供电电源、电气负荷分类、应急或备用电源的设置</w:t>
            </w:r>
          </w:p>
        </w:tc>
        <w:tc>
          <w:tcPr>
            <w:tcW w:w="2005" w:type="pct"/>
            <w:vAlign w:val="center"/>
          </w:tcPr>
          <w:p w14:paraId="4E6C421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供电的负荷等级及供电方案</w:t>
            </w:r>
          </w:p>
          <w:p w14:paraId="2A308B9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负荷等级：本工程供电负荷等级为三级。</w:t>
            </w:r>
            <w:r>
              <w:rPr>
                <w:rFonts w:ascii="Times New Roman" w:eastAsia="宋体" w:hAnsi="Times New Roman" w:cs="Times New Roman"/>
                <w:sz w:val="21"/>
                <w:szCs w:val="21"/>
                <w14:ligatures w14:val="none"/>
              </w:rPr>
              <w:t xml:space="preserve"> </w:t>
            </w:r>
          </w:p>
          <w:p w14:paraId="2367861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供电方案：本工程加油站主电源引自</w:t>
            </w:r>
            <w:r>
              <w:rPr>
                <w:rFonts w:ascii="Times New Roman" w:eastAsia="宋体" w:hAnsi="Times New Roman" w:cs="Times New Roman" w:hint="eastAsia"/>
                <w:sz w:val="21"/>
                <w:szCs w:val="21"/>
                <w14:ligatures w14:val="none"/>
              </w:rPr>
              <w:t>综合楼</w:t>
            </w:r>
            <w:r>
              <w:rPr>
                <w:rFonts w:ascii="Times New Roman" w:eastAsia="宋体" w:hAnsi="Times New Roman" w:cs="Times New Roman"/>
                <w:sz w:val="21"/>
                <w:szCs w:val="21"/>
                <w14:ligatures w14:val="none"/>
              </w:rPr>
              <w:t>低压配电室。配电电压为</w:t>
            </w:r>
            <w:r>
              <w:rPr>
                <w:rFonts w:ascii="Times New Roman" w:eastAsia="宋体" w:hAnsi="Times New Roman" w:cs="Times New Roman"/>
                <w:sz w:val="21"/>
                <w:szCs w:val="21"/>
                <w14:ligatures w14:val="none"/>
              </w:rPr>
              <w:t>380/220V</w:t>
            </w:r>
            <w:r>
              <w:rPr>
                <w:rFonts w:ascii="Times New Roman" w:eastAsia="宋体" w:hAnsi="Times New Roman" w:cs="Times New Roman"/>
                <w:sz w:val="21"/>
                <w:szCs w:val="21"/>
                <w14:ligatures w14:val="none"/>
              </w:rPr>
              <w:t>，加油站配电系统接地型式采用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系统，总配电柜内引出的配电线路</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线分开设置；采用放射式供电方式。总动力配电箱安装于站房控制室内，各分配电箱电源均引自站内总动力配电箱。</w:t>
            </w:r>
          </w:p>
          <w:p w14:paraId="558F9AE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加油站用电负荷约为</w:t>
            </w:r>
            <w:r>
              <w:rPr>
                <w:rFonts w:ascii="Times New Roman" w:eastAsia="宋体" w:hAnsi="Times New Roman" w:cs="Times New Roman"/>
                <w:sz w:val="21"/>
                <w:szCs w:val="21"/>
                <w14:ligatures w14:val="none"/>
              </w:rPr>
              <w:t>62kW</w:t>
            </w:r>
            <w:r>
              <w:rPr>
                <w:rFonts w:ascii="Times New Roman" w:eastAsia="宋体" w:hAnsi="Times New Roman" w:cs="Times New Roman"/>
                <w:sz w:val="21"/>
                <w:szCs w:val="21"/>
                <w14:ligatures w14:val="none"/>
              </w:rPr>
              <w:t>，其中自控、仪表用电负荷约</w:t>
            </w:r>
            <w:r>
              <w:rPr>
                <w:rFonts w:ascii="Times New Roman" w:eastAsia="宋体" w:hAnsi="Times New Roman" w:cs="Times New Roman"/>
                <w:sz w:val="21"/>
                <w:szCs w:val="21"/>
                <w14:ligatures w14:val="none"/>
              </w:rPr>
              <w:t>3.5kW</w:t>
            </w:r>
            <w:r>
              <w:rPr>
                <w:rFonts w:ascii="Times New Roman" w:eastAsia="宋体" w:hAnsi="Times New Roman" w:cs="Times New Roman"/>
                <w:sz w:val="21"/>
                <w:szCs w:val="21"/>
                <w14:ligatures w14:val="none"/>
              </w:rPr>
              <w:t>。自控、仪表用电负荷选用在线式</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作为不间断电源。</w:t>
            </w:r>
          </w:p>
        </w:tc>
        <w:tc>
          <w:tcPr>
            <w:tcW w:w="1438" w:type="pct"/>
            <w:vAlign w:val="center"/>
          </w:tcPr>
          <w:p w14:paraId="0135C65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负荷等级：本工程供电负荷等级为三级。</w:t>
            </w:r>
            <w:r>
              <w:rPr>
                <w:rFonts w:ascii="Times New Roman" w:eastAsia="宋体" w:hAnsi="Times New Roman" w:cs="Times New Roman"/>
                <w:sz w:val="21"/>
                <w:szCs w:val="21"/>
                <w14:ligatures w14:val="none"/>
              </w:rPr>
              <w:t xml:space="preserve"> </w:t>
            </w:r>
          </w:p>
          <w:p w14:paraId="0706C33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供电方案：本工程加油站主电源引自从</w:t>
            </w:r>
            <w:r>
              <w:rPr>
                <w:rFonts w:ascii="Times New Roman" w:eastAsia="宋体" w:hAnsi="Times New Roman" w:cs="Times New Roman" w:hint="eastAsia"/>
                <w:sz w:val="21"/>
                <w:szCs w:val="21"/>
                <w14:ligatures w14:val="none"/>
              </w:rPr>
              <w:t>综合用房</w:t>
            </w:r>
            <w:r>
              <w:rPr>
                <w:rFonts w:ascii="Times New Roman" w:eastAsia="宋体" w:hAnsi="Times New Roman" w:cs="Times New Roman"/>
                <w:sz w:val="21"/>
                <w:szCs w:val="21"/>
                <w14:ligatures w14:val="none"/>
              </w:rPr>
              <w:t>低压配电室二级负荷母线引来一路</w:t>
            </w:r>
            <w:r>
              <w:rPr>
                <w:rFonts w:ascii="Times New Roman" w:eastAsia="宋体" w:hAnsi="Times New Roman" w:cs="Times New Roman"/>
                <w:sz w:val="21"/>
                <w:szCs w:val="21"/>
                <w14:ligatures w14:val="none"/>
              </w:rPr>
              <w:t>380V</w:t>
            </w:r>
            <w:r>
              <w:rPr>
                <w:rFonts w:ascii="Times New Roman" w:eastAsia="宋体" w:hAnsi="Times New Roman" w:cs="Times New Roman"/>
                <w:sz w:val="21"/>
                <w:szCs w:val="21"/>
                <w14:ligatures w14:val="none"/>
              </w:rPr>
              <w:t>电源，加油站配电系统接地型式采用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系统，总配电柜内引出的配电线路</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线分开设置；采用放射式供电方式。总动力配电箱安装于站房控制室内，各分配电箱电源均引自站内总动力配电箱。</w:t>
            </w:r>
          </w:p>
          <w:p w14:paraId="297BACA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加油站用电负荷约为</w:t>
            </w:r>
            <w:r>
              <w:rPr>
                <w:rFonts w:ascii="Times New Roman" w:eastAsia="宋体" w:hAnsi="Times New Roman" w:cs="Times New Roman"/>
                <w:sz w:val="21"/>
                <w:szCs w:val="21"/>
                <w14:ligatures w14:val="none"/>
              </w:rPr>
              <w:t>62kW</w:t>
            </w:r>
            <w:r>
              <w:rPr>
                <w:rFonts w:ascii="Times New Roman" w:eastAsia="宋体" w:hAnsi="Times New Roman" w:cs="Times New Roman"/>
                <w:sz w:val="21"/>
                <w:szCs w:val="21"/>
                <w14:ligatures w14:val="none"/>
              </w:rPr>
              <w:t>，其中自控、仪表用电负荷约</w:t>
            </w:r>
            <w:r>
              <w:rPr>
                <w:rFonts w:ascii="Times New Roman" w:eastAsia="宋体" w:hAnsi="Times New Roman" w:cs="Times New Roman"/>
                <w:sz w:val="21"/>
                <w:szCs w:val="21"/>
                <w14:ligatures w14:val="none"/>
              </w:rPr>
              <w:t>3.5kW</w:t>
            </w:r>
            <w:r>
              <w:rPr>
                <w:rFonts w:ascii="Times New Roman" w:eastAsia="宋体" w:hAnsi="Times New Roman" w:cs="Times New Roman"/>
                <w:sz w:val="21"/>
                <w:szCs w:val="21"/>
                <w14:ligatures w14:val="none"/>
              </w:rPr>
              <w:t>。自控、仪表用电负荷选用在线式</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作为不间断电源</w:t>
            </w:r>
          </w:p>
        </w:tc>
        <w:tc>
          <w:tcPr>
            <w:tcW w:w="555" w:type="pct"/>
            <w:vAlign w:val="center"/>
          </w:tcPr>
          <w:p w14:paraId="089B9DA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8BC24B8" w14:textId="77777777">
        <w:trPr>
          <w:trHeight w:val="442"/>
          <w:jc w:val="center"/>
        </w:trPr>
        <w:tc>
          <w:tcPr>
            <w:tcW w:w="381" w:type="pct"/>
            <w:vAlign w:val="center"/>
          </w:tcPr>
          <w:p w14:paraId="6642D0E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2C54027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按照爆炸危险区域划分等级和火灾危险场所选择电气设备的防爆及防</w:t>
            </w:r>
          </w:p>
          <w:p w14:paraId="2DF0121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护等级</w:t>
            </w:r>
          </w:p>
        </w:tc>
        <w:tc>
          <w:tcPr>
            <w:tcW w:w="2005" w:type="pct"/>
            <w:vAlign w:val="center"/>
          </w:tcPr>
          <w:p w14:paraId="6DF3857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安全距离严格执行现行国家标准《汽车加油加气加氢站技术标准》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32537F5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安全距离</w:t>
            </w:r>
            <w:r>
              <w:rPr>
                <w:rFonts w:ascii="Times New Roman" w:eastAsia="宋体" w:hAnsi="Times New Roman" w:cs="Times New Roman" w:hint="eastAsia"/>
                <w:sz w:val="21"/>
                <w:szCs w:val="21"/>
                <w14:ligatures w14:val="none"/>
              </w:rPr>
              <w:t>符合</w:t>
            </w:r>
            <w:r>
              <w:rPr>
                <w:rFonts w:ascii="Times New Roman" w:eastAsia="宋体" w:hAnsi="Times New Roman" w:cs="Times New Roman"/>
                <w:sz w:val="21"/>
                <w:szCs w:val="21"/>
                <w14:ligatures w14:val="none"/>
              </w:rPr>
              <w:t>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r>
              <w:rPr>
                <w:rFonts w:ascii="Times New Roman" w:eastAsia="宋体" w:hAnsi="Times New Roman" w:cs="Times New Roman" w:hint="eastAsia"/>
                <w:sz w:val="21"/>
                <w:szCs w:val="21"/>
                <w14:ligatures w14:val="none"/>
              </w:rPr>
              <w:t>，具体见附表</w:t>
            </w:r>
            <w:r>
              <w:rPr>
                <w:rFonts w:ascii="Times New Roman" w:eastAsia="宋体" w:hAnsi="Times New Roman" w:cs="Times New Roman" w:hint="eastAsia"/>
                <w:sz w:val="21"/>
                <w:szCs w:val="21"/>
                <w14:ligatures w14:val="none"/>
              </w:rPr>
              <w:t>4.1-3</w:t>
            </w:r>
            <w:r>
              <w:rPr>
                <w:rFonts w:ascii="Times New Roman" w:eastAsia="宋体" w:hAnsi="Times New Roman" w:cs="Times New Roman" w:hint="eastAsia"/>
                <w:sz w:val="21"/>
                <w:szCs w:val="21"/>
                <w14:ligatures w14:val="none"/>
              </w:rPr>
              <w:t>、附表</w:t>
            </w:r>
            <w:r>
              <w:rPr>
                <w:rFonts w:ascii="Times New Roman" w:eastAsia="宋体" w:hAnsi="Times New Roman" w:cs="Times New Roman" w:hint="eastAsia"/>
                <w:sz w:val="21"/>
                <w:szCs w:val="21"/>
                <w14:ligatures w14:val="none"/>
              </w:rPr>
              <w:t>4.1-4</w:t>
            </w:r>
          </w:p>
        </w:tc>
        <w:tc>
          <w:tcPr>
            <w:tcW w:w="555" w:type="pct"/>
            <w:vAlign w:val="center"/>
          </w:tcPr>
          <w:p w14:paraId="4849227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4D183FF" w14:textId="77777777">
        <w:trPr>
          <w:trHeight w:val="442"/>
          <w:jc w:val="center"/>
        </w:trPr>
        <w:tc>
          <w:tcPr>
            <w:tcW w:w="381" w:type="pct"/>
            <w:vAlign w:val="center"/>
          </w:tcPr>
          <w:p w14:paraId="24D9797E"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61697A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BC513C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爆炸危险场所区域的划分根据现行国家标准《汽车加油加气加氢站技术标准》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中有关规定进行。</w:t>
            </w:r>
          </w:p>
        </w:tc>
        <w:tc>
          <w:tcPr>
            <w:tcW w:w="1438" w:type="pct"/>
            <w:vAlign w:val="center"/>
          </w:tcPr>
          <w:p w14:paraId="0294638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爆炸危险场所区域的划分</w:t>
            </w:r>
            <w:r>
              <w:rPr>
                <w:rFonts w:ascii="Times New Roman" w:eastAsia="宋体" w:hAnsi="Times New Roman" w:cs="Times New Roman" w:hint="eastAsia"/>
                <w:sz w:val="21"/>
                <w:szCs w:val="21"/>
                <w14:ligatures w14:val="none"/>
              </w:rPr>
              <w:t>符合</w:t>
            </w:r>
            <w:r>
              <w:rPr>
                <w:rFonts w:ascii="Times New Roman" w:eastAsia="宋体" w:hAnsi="Times New Roman" w:cs="Times New Roman"/>
                <w:sz w:val="21"/>
                <w:szCs w:val="21"/>
                <w14:ligatures w14:val="none"/>
              </w:rPr>
              <w:t>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中有关规定</w:t>
            </w:r>
            <w:r>
              <w:rPr>
                <w:rFonts w:ascii="Times New Roman" w:eastAsia="宋体" w:hAnsi="Times New Roman" w:cs="Times New Roman" w:hint="eastAsia"/>
                <w:sz w:val="21"/>
                <w:szCs w:val="21"/>
                <w14:ligatures w14:val="none"/>
              </w:rPr>
              <w:t>进行了爆炸危险区域的划分</w:t>
            </w:r>
          </w:p>
        </w:tc>
        <w:tc>
          <w:tcPr>
            <w:tcW w:w="555" w:type="pct"/>
            <w:vAlign w:val="center"/>
          </w:tcPr>
          <w:p w14:paraId="11BC032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2A63777" w14:textId="77777777">
        <w:trPr>
          <w:trHeight w:val="442"/>
          <w:jc w:val="center"/>
        </w:trPr>
        <w:tc>
          <w:tcPr>
            <w:tcW w:w="381" w:type="pct"/>
            <w:vAlign w:val="center"/>
          </w:tcPr>
          <w:p w14:paraId="24C1D18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A8F5C7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8DA2A5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加油机壳体内部空间划为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区。以加油机中心线为中心线，以半径为</w:t>
            </w:r>
            <w:r>
              <w:rPr>
                <w:rFonts w:ascii="Times New Roman" w:eastAsia="宋体" w:hAnsi="Times New Roman" w:cs="Times New Roman"/>
                <w:sz w:val="21"/>
                <w:szCs w:val="21"/>
                <w14:ligatures w14:val="none"/>
              </w:rPr>
              <w:t>3m</w:t>
            </w:r>
            <w:r>
              <w:rPr>
                <w:rFonts w:ascii="Times New Roman" w:eastAsia="宋体" w:hAnsi="Times New Roman" w:cs="Times New Roman"/>
                <w:sz w:val="21"/>
                <w:szCs w:val="21"/>
                <w14:ligatures w14:val="none"/>
              </w:rPr>
              <w:t>的地面区域为底面和以加油机顶部以上</w:t>
            </w:r>
            <w:r>
              <w:rPr>
                <w:rFonts w:ascii="Times New Roman" w:eastAsia="宋体" w:hAnsi="Times New Roman" w:cs="Times New Roman"/>
                <w:sz w:val="21"/>
                <w:szCs w:val="21"/>
                <w14:ligatures w14:val="none"/>
              </w:rPr>
              <w:t>0.15m</w:t>
            </w:r>
            <w:r>
              <w:rPr>
                <w:rFonts w:ascii="Times New Roman" w:eastAsia="宋体" w:hAnsi="Times New Roman" w:cs="Times New Roman"/>
                <w:sz w:val="21"/>
                <w:szCs w:val="21"/>
                <w14:ligatures w14:val="none"/>
              </w:rPr>
              <w:t>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的平面为顶面的圆台形空间划为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1438" w:type="pct"/>
            <w:vAlign w:val="center"/>
          </w:tcPr>
          <w:p w14:paraId="549692B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加油机壳体内部空间划为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区。以加油机中心线为中心线，以半径为</w:t>
            </w:r>
            <w:r>
              <w:rPr>
                <w:rFonts w:ascii="Times New Roman" w:eastAsia="宋体" w:hAnsi="Times New Roman" w:cs="Times New Roman"/>
                <w:sz w:val="21"/>
                <w:szCs w:val="21"/>
                <w14:ligatures w14:val="none"/>
              </w:rPr>
              <w:t>3m</w:t>
            </w:r>
            <w:r>
              <w:rPr>
                <w:rFonts w:ascii="Times New Roman" w:eastAsia="宋体" w:hAnsi="Times New Roman" w:cs="Times New Roman"/>
                <w:sz w:val="21"/>
                <w:szCs w:val="21"/>
                <w14:ligatures w14:val="none"/>
              </w:rPr>
              <w:t>的地面区域为底面和以加油机顶部以上</w:t>
            </w:r>
            <w:r>
              <w:rPr>
                <w:rFonts w:ascii="Times New Roman" w:eastAsia="宋体" w:hAnsi="Times New Roman" w:cs="Times New Roman"/>
                <w:sz w:val="21"/>
                <w:szCs w:val="21"/>
                <w14:ligatures w14:val="none"/>
              </w:rPr>
              <w:t>0.15m</w:t>
            </w:r>
            <w:r>
              <w:rPr>
                <w:rFonts w:ascii="Times New Roman" w:eastAsia="宋体" w:hAnsi="Times New Roman" w:cs="Times New Roman"/>
                <w:sz w:val="21"/>
                <w:szCs w:val="21"/>
                <w14:ligatures w14:val="none"/>
              </w:rPr>
              <w:t>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的平面为顶面的圆台形空间划为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555" w:type="pct"/>
            <w:vAlign w:val="center"/>
          </w:tcPr>
          <w:p w14:paraId="2F88154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502148" w14:paraId="24CDE8F9" w14:textId="77777777">
        <w:trPr>
          <w:trHeight w:val="442"/>
          <w:jc w:val="center"/>
        </w:trPr>
        <w:tc>
          <w:tcPr>
            <w:tcW w:w="381" w:type="pct"/>
            <w:vAlign w:val="center"/>
          </w:tcPr>
          <w:p w14:paraId="0DAA99D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4DB824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4219CB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埋地卧式储罐内部油品表面以上的空间划为</w:t>
            </w:r>
            <w:r>
              <w:rPr>
                <w:rFonts w:ascii="Times New Roman" w:eastAsia="宋体" w:hAnsi="Times New Roman" w:cs="Times New Roman"/>
                <w:sz w:val="21"/>
                <w:szCs w:val="21"/>
                <w14:ligatures w14:val="none"/>
              </w:rPr>
              <w:t>0</w:t>
            </w:r>
            <w:r>
              <w:rPr>
                <w:rFonts w:ascii="Times New Roman" w:eastAsia="宋体" w:hAnsi="Times New Roman" w:cs="Times New Roman"/>
                <w:sz w:val="21"/>
                <w:szCs w:val="21"/>
                <w14:ligatures w14:val="none"/>
              </w:rPr>
              <w:t>区。人孔（阀）井内部空间、以通气管管口为中心，半径为</w:t>
            </w:r>
            <w:r>
              <w:rPr>
                <w:rFonts w:ascii="Times New Roman" w:eastAsia="宋体" w:hAnsi="Times New Roman" w:cs="Times New Roman"/>
                <w:sz w:val="21"/>
                <w:szCs w:val="21"/>
                <w14:ligatures w14:val="none"/>
              </w:rPr>
              <w:t>0.75m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0.5m</w:t>
            </w:r>
            <w:r>
              <w:rPr>
                <w:rFonts w:ascii="Times New Roman" w:eastAsia="宋体" w:hAnsi="Times New Roman" w:cs="Times New Roman"/>
                <w:sz w:val="21"/>
                <w:szCs w:val="21"/>
                <w14:ligatures w14:val="none"/>
              </w:rPr>
              <w:t>的球形空间划为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w:t>
            </w:r>
          </w:p>
        </w:tc>
        <w:tc>
          <w:tcPr>
            <w:tcW w:w="1438" w:type="pct"/>
            <w:vAlign w:val="center"/>
          </w:tcPr>
          <w:p w14:paraId="2886A1F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埋地卧式储罐内部油品表面以上的空间划为</w:t>
            </w:r>
            <w:r>
              <w:rPr>
                <w:rFonts w:ascii="Times New Roman" w:eastAsia="宋体" w:hAnsi="Times New Roman" w:cs="Times New Roman"/>
                <w:sz w:val="21"/>
                <w:szCs w:val="21"/>
                <w14:ligatures w14:val="none"/>
              </w:rPr>
              <w:t>0</w:t>
            </w:r>
            <w:r>
              <w:rPr>
                <w:rFonts w:ascii="Times New Roman" w:eastAsia="宋体" w:hAnsi="Times New Roman" w:cs="Times New Roman"/>
                <w:sz w:val="21"/>
                <w:szCs w:val="21"/>
                <w14:ligatures w14:val="none"/>
              </w:rPr>
              <w:t>区。人孔（阀）井内部空间、以通气管管口为中心，半径为</w:t>
            </w:r>
            <w:r>
              <w:rPr>
                <w:rFonts w:ascii="Times New Roman" w:eastAsia="宋体" w:hAnsi="Times New Roman" w:cs="Times New Roman"/>
                <w:sz w:val="21"/>
                <w:szCs w:val="21"/>
                <w14:ligatures w14:val="none"/>
              </w:rPr>
              <w:t>0.75m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0.5m</w:t>
            </w:r>
            <w:r>
              <w:rPr>
                <w:rFonts w:ascii="Times New Roman" w:eastAsia="宋体" w:hAnsi="Times New Roman" w:cs="Times New Roman"/>
                <w:sz w:val="21"/>
                <w:szCs w:val="21"/>
                <w14:ligatures w14:val="none"/>
              </w:rPr>
              <w:t>的球形空间划为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w:t>
            </w:r>
          </w:p>
        </w:tc>
        <w:tc>
          <w:tcPr>
            <w:tcW w:w="555" w:type="pct"/>
            <w:vAlign w:val="center"/>
          </w:tcPr>
          <w:p w14:paraId="4FFFD65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502148" w14:paraId="0A6443E4" w14:textId="77777777">
        <w:trPr>
          <w:trHeight w:val="442"/>
          <w:jc w:val="center"/>
        </w:trPr>
        <w:tc>
          <w:tcPr>
            <w:tcW w:w="381" w:type="pct"/>
            <w:vAlign w:val="center"/>
          </w:tcPr>
          <w:p w14:paraId="0A6F627D"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E221A9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D621F9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距人孔（阀）井外边缘</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以内，自地面算起</w:t>
            </w:r>
            <w:r>
              <w:rPr>
                <w:rFonts w:ascii="Times New Roman" w:eastAsia="宋体" w:hAnsi="Times New Roman" w:cs="Times New Roman"/>
                <w:sz w:val="21"/>
                <w:szCs w:val="21"/>
                <w14:ligatures w14:val="none"/>
              </w:rPr>
              <w:t>1m</w:t>
            </w:r>
            <w:r>
              <w:rPr>
                <w:rFonts w:ascii="Times New Roman" w:eastAsia="宋体" w:hAnsi="Times New Roman" w:cs="Times New Roman"/>
                <w:sz w:val="21"/>
                <w:szCs w:val="21"/>
                <w14:ligatures w14:val="none"/>
              </w:rPr>
              <w:t>高的圆柱形空间、以通气管管口为中心，半径为</w:t>
            </w: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的球形并延至地面的空间划为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1438" w:type="pct"/>
            <w:vAlign w:val="center"/>
          </w:tcPr>
          <w:p w14:paraId="2863BC7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距人孔（阀）井外边缘</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以内，自地面算起</w:t>
            </w:r>
            <w:r>
              <w:rPr>
                <w:rFonts w:ascii="Times New Roman" w:eastAsia="宋体" w:hAnsi="Times New Roman" w:cs="Times New Roman"/>
                <w:sz w:val="21"/>
                <w:szCs w:val="21"/>
                <w14:ligatures w14:val="none"/>
              </w:rPr>
              <w:t>1m</w:t>
            </w:r>
            <w:r>
              <w:rPr>
                <w:rFonts w:ascii="Times New Roman" w:eastAsia="宋体" w:hAnsi="Times New Roman" w:cs="Times New Roman"/>
                <w:sz w:val="21"/>
                <w:szCs w:val="21"/>
                <w14:ligatures w14:val="none"/>
              </w:rPr>
              <w:t>高的圆柱形空间、以通气管管口为中心，半径为</w:t>
            </w: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的球形并延至地面的空间划为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555" w:type="pct"/>
            <w:vAlign w:val="center"/>
          </w:tcPr>
          <w:p w14:paraId="15416FA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502148" w14:paraId="36E321DC" w14:textId="77777777">
        <w:trPr>
          <w:trHeight w:val="442"/>
          <w:jc w:val="center"/>
        </w:trPr>
        <w:tc>
          <w:tcPr>
            <w:tcW w:w="381" w:type="pct"/>
            <w:vAlign w:val="center"/>
          </w:tcPr>
          <w:p w14:paraId="438D317C"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AB0299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338E4B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爆炸和危险场所的配电设备的选择严格执行《爆炸危险环境电力装置设计规范》</w:t>
            </w:r>
            <w:r>
              <w:rPr>
                <w:rFonts w:ascii="Times New Roman" w:eastAsia="宋体" w:hAnsi="Times New Roman" w:cs="Times New Roman"/>
                <w:sz w:val="21"/>
                <w:szCs w:val="21"/>
                <w14:ligatures w14:val="none"/>
              </w:rPr>
              <w:t>GB50058-2014</w:t>
            </w:r>
            <w:r>
              <w:rPr>
                <w:rFonts w:ascii="Times New Roman" w:eastAsia="宋体" w:hAnsi="Times New Roman" w:cs="Times New Roman"/>
                <w:sz w:val="21"/>
                <w:szCs w:val="21"/>
                <w14:ligatures w14:val="none"/>
              </w:rPr>
              <w:t>的规定。电气设备的防爆等级不低于</w:t>
            </w:r>
            <w:r>
              <w:rPr>
                <w:rFonts w:ascii="Times New Roman" w:eastAsia="宋体" w:hAnsi="Times New Roman" w:cs="Times New Roman"/>
                <w:sz w:val="21"/>
                <w:szCs w:val="21"/>
                <w14:ligatures w14:val="none"/>
              </w:rPr>
              <w:t>d IIBT4</w:t>
            </w:r>
            <w:r>
              <w:rPr>
                <w:rFonts w:ascii="Times New Roman" w:eastAsia="宋体" w:hAnsi="Times New Roman" w:cs="Times New Roman"/>
                <w:sz w:val="21"/>
                <w:szCs w:val="21"/>
                <w14:ligatures w14:val="none"/>
              </w:rPr>
              <w:t>。</w:t>
            </w:r>
          </w:p>
        </w:tc>
        <w:tc>
          <w:tcPr>
            <w:tcW w:w="1438" w:type="pct"/>
            <w:vAlign w:val="center"/>
          </w:tcPr>
          <w:p w14:paraId="68AA3BC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爆炸和危险场所的配电设备的选择严格执行《爆炸危险环境电力装置设计规范》</w:t>
            </w:r>
            <w:r>
              <w:rPr>
                <w:rFonts w:ascii="Times New Roman" w:eastAsia="宋体" w:hAnsi="Times New Roman" w:cs="Times New Roman"/>
                <w:sz w:val="21"/>
                <w:szCs w:val="21"/>
                <w14:ligatures w14:val="none"/>
              </w:rPr>
              <w:t>GB50058-2014</w:t>
            </w:r>
            <w:r>
              <w:rPr>
                <w:rFonts w:ascii="Times New Roman" w:eastAsia="宋体" w:hAnsi="Times New Roman" w:cs="Times New Roman"/>
                <w:sz w:val="21"/>
                <w:szCs w:val="21"/>
                <w14:ligatures w14:val="none"/>
              </w:rPr>
              <w:t>的规定。电气设备的防爆等级不低于</w:t>
            </w:r>
            <w:r>
              <w:rPr>
                <w:rFonts w:ascii="Times New Roman" w:eastAsia="宋体" w:hAnsi="Times New Roman" w:cs="Times New Roman"/>
                <w:sz w:val="21"/>
                <w:szCs w:val="21"/>
                <w14:ligatures w14:val="none"/>
              </w:rPr>
              <w:t>d IIBT4</w:t>
            </w:r>
          </w:p>
        </w:tc>
        <w:tc>
          <w:tcPr>
            <w:tcW w:w="555" w:type="pct"/>
            <w:vAlign w:val="center"/>
          </w:tcPr>
          <w:p w14:paraId="65C44DA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502148" w14:paraId="59AB2B5E" w14:textId="77777777">
        <w:trPr>
          <w:trHeight w:val="442"/>
          <w:jc w:val="center"/>
        </w:trPr>
        <w:tc>
          <w:tcPr>
            <w:tcW w:w="381" w:type="pct"/>
            <w:vAlign w:val="center"/>
          </w:tcPr>
          <w:p w14:paraId="4296BEE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C257BE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35102A2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进入防爆区域内电缆采用防爆接线盒</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ExdIIBT4</w:t>
            </w:r>
            <w:r>
              <w:rPr>
                <w:rFonts w:ascii="Times New Roman" w:eastAsia="宋体" w:hAnsi="Times New Roman" w:cs="Times New Roman"/>
                <w:sz w:val="21"/>
                <w:szCs w:val="21"/>
                <w14:ligatures w14:val="none"/>
              </w:rPr>
              <w:t>）接线，用防爆胶泥密封。</w:t>
            </w:r>
          </w:p>
        </w:tc>
        <w:tc>
          <w:tcPr>
            <w:tcW w:w="1438" w:type="pct"/>
            <w:vAlign w:val="center"/>
          </w:tcPr>
          <w:p w14:paraId="482E326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防爆区域内电缆采用防爆接线盒</w:t>
            </w:r>
            <w:r>
              <w:rPr>
                <w:rFonts w:ascii="Times New Roman" w:eastAsia="宋体" w:hAnsi="Times New Roman" w:cs="Times New Roman"/>
                <w:sz w:val="21"/>
                <w:szCs w:val="21"/>
                <w14:ligatures w14:val="none"/>
              </w:rPr>
              <w:t>(ExdIIBT4</w:t>
            </w:r>
            <w:r>
              <w:rPr>
                <w:rFonts w:ascii="Times New Roman" w:eastAsia="宋体" w:hAnsi="Times New Roman" w:cs="Times New Roman"/>
                <w:sz w:val="21"/>
                <w:szCs w:val="21"/>
                <w14:ligatures w14:val="none"/>
              </w:rPr>
              <w:t>）接线，用防爆胶泥密封</w:t>
            </w:r>
          </w:p>
        </w:tc>
        <w:tc>
          <w:tcPr>
            <w:tcW w:w="555" w:type="pct"/>
            <w:vAlign w:val="center"/>
          </w:tcPr>
          <w:p w14:paraId="2F5136A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1CCA745" w14:textId="77777777">
        <w:trPr>
          <w:trHeight w:val="442"/>
          <w:jc w:val="center"/>
        </w:trPr>
        <w:tc>
          <w:tcPr>
            <w:tcW w:w="381" w:type="pct"/>
            <w:vAlign w:val="center"/>
          </w:tcPr>
          <w:p w14:paraId="16AB888C"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DA21CB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F3407E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加油站内爆炸危险区域以外的站房、罩棚等建筑物内的照明灯具，选用非防爆型，罩棚下的灯具选用防护等级不低于</w:t>
            </w:r>
            <w:r>
              <w:rPr>
                <w:rFonts w:ascii="Times New Roman" w:eastAsia="宋体" w:hAnsi="Times New Roman" w:cs="Times New Roman"/>
                <w:sz w:val="21"/>
                <w:szCs w:val="21"/>
                <w14:ligatures w14:val="none"/>
              </w:rPr>
              <w:t>IP55</w:t>
            </w:r>
            <w:r>
              <w:rPr>
                <w:rFonts w:ascii="Times New Roman" w:eastAsia="宋体" w:hAnsi="Times New Roman" w:cs="Times New Roman"/>
                <w:sz w:val="21"/>
                <w:szCs w:val="21"/>
                <w14:ligatures w14:val="none"/>
              </w:rPr>
              <w:t>的节能型照明灯具。</w:t>
            </w:r>
          </w:p>
        </w:tc>
        <w:tc>
          <w:tcPr>
            <w:tcW w:w="1438" w:type="pct"/>
            <w:vAlign w:val="center"/>
          </w:tcPr>
          <w:p w14:paraId="6A20BD1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加油站内爆炸危险区域以外的站房、罩棚等建筑物内的照明灯具，选用非防爆型，罩棚下的灯具选用防护等级不低于</w:t>
            </w:r>
            <w:r>
              <w:rPr>
                <w:rFonts w:ascii="Times New Roman" w:eastAsia="宋体" w:hAnsi="Times New Roman" w:cs="Times New Roman"/>
                <w:sz w:val="21"/>
                <w:szCs w:val="21"/>
                <w14:ligatures w14:val="none"/>
              </w:rPr>
              <w:t>IP55</w:t>
            </w:r>
            <w:r>
              <w:rPr>
                <w:rFonts w:ascii="Times New Roman" w:eastAsia="宋体" w:hAnsi="Times New Roman" w:cs="Times New Roman"/>
                <w:sz w:val="21"/>
                <w:szCs w:val="21"/>
                <w14:ligatures w14:val="none"/>
              </w:rPr>
              <w:t>的节能型照明灯具</w:t>
            </w:r>
          </w:p>
        </w:tc>
        <w:tc>
          <w:tcPr>
            <w:tcW w:w="555" w:type="pct"/>
            <w:vAlign w:val="center"/>
          </w:tcPr>
          <w:p w14:paraId="05037C8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39C4EC9" w14:textId="77777777">
        <w:trPr>
          <w:trHeight w:val="442"/>
          <w:jc w:val="center"/>
        </w:trPr>
        <w:tc>
          <w:tcPr>
            <w:tcW w:w="381" w:type="pct"/>
            <w:vAlign w:val="center"/>
          </w:tcPr>
          <w:p w14:paraId="533A01A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35EE3D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A57D6C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罩棚、便利店、值班室、控制室设置应急照明，应急照明持续供电时间不少于</w:t>
            </w:r>
            <w:r>
              <w:rPr>
                <w:rFonts w:ascii="Times New Roman" w:eastAsia="宋体" w:hAnsi="Times New Roman" w:cs="Times New Roman"/>
                <w:sz w:val="21"/>
                <w:szCs w:val="21"/>
                <w14:ligatures w14:val="none"/>
              </w:rPr>
              <w:t>90min</w:t>
            </w:r>
            <w:r>
              <w:rPr>
                <w:rFonts w:ascii="Times New Roman" w:eastAsia="宋体" w:hAnsi="Times New Roman" w:cs="Times New Roman"/>
                <w:sz w:val="21"/>
                <w:szCs w:val="21"/>
                <w14:ligatures w14:val="none"/>
              </w:rPr>
              <w:t>。采用双控开关控制，市电故障断电时自动点亮。</w:t>
            </w:r>
          </w:p>
        </w:tc>
        <w:tc>
          <w:tcPr>
            <w:tcW w:w="1438" w:type="pct"/>
            <w:vAlign w:val="center"/>
          </w:tcPr>
          <w:p w14:paraId="36D8175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罩棚、便利店、值班室、控制室设置应急照明，应急照明持续供电时间不少于</w:t>
            </w:r>
            <w:r>
              <w:rPr>
                <w:rFonts w:ascii="Times New Roman" w:eastAsia="宋体" w:hAnsi="Times New Roman" w:cs="Times New Roman"/>
                <w:sz w:val="21"/>
                <w:szCs w:val="21"/>
                <w14:ligatures w14:val="none"/>
              </w:rPr>
              <w:t>90min</w:t>
            </w:r>
            <w:r>
              <w:rPr>
                <w:rFonts w:ascii="Times New Roman" w:eastAsia="宋体" w:hAnsi="Times New Roman" w:cs="Times New Roman"/>
                <w:sz w:val="21"/>
                <w:szCs w:val="21"/>
                <w14:ligatures w14:val="none"/>
              </w:rPr>
              <w:t>。采用双控开关控制，市电故障断电时自动点亮</w:t>
            </w:r>
          </w:p>
        </w:tc>
        <w:tc>
          <w:tcPr>
            <w:tcW w:w="555" w:type="pct"/>
            <w:vAlign w:val="center"/>
          </w:tcPr>
          <w:p w14:paraId="1B05410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46E440B" w14:textId="77777777">
        <w:trPr>
          <w:trHeight w:val="442"/>
          <w:jc w:val="center"/>
        </w:trPr>
        <w:tc>
          <w:tcPr>
            <w:tcW w:w="381" w:type="pct"/>
            <w:vAlign w:val="center"/>
          </w:tcPr>
          <w:p w14:paraId="0E87331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3BEAF9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防雷、防静电接地设施</w:t>
            </w:r>
          </w:p>
        </w:tc>
        <w:tc>
          <w:tcPr>
            <w:tcW w:w="2005" w:type="pct"/>
            <w:vAlign w:val="center"/>
          </w:tcPr>
          <w:p w14:paraId="75626E2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本工程的防雷接地、防静电接地、电气设备的工作接地、保护接地及信息系统的接地等，共用接地装置，电阻不大于</w:t>
            </w:r>
            <w:r>
              <w:rPr>
                <w:rFonts w:ascii="Times New Roman" w:eastAsia="宋体" w:hAnsi="Times New Roman" w:cs="Times New Roman"/>
                <w:sz w:val="21"/>
                <w:szCs w:val="21"/>
                <w14:ligatures w14:val="none"/>
              </w:rPr>
              <w:t>1Ω</w:t>
            </w:r>
            <w:r>
              <w:rPr>
                <w:rFonts w:ascii="Times New Roman" w:eastAsia="宋体" w:hAnsi="Times New Roman" w:cs="Times New Roman"/>
                <w:sz w:val="21"/>
                <w:szCs w:val="21"/>
                <w14:ligatures w14:val="none"/>
              </w:rPr>
              <w:t>。</w:t>
            </w:r>
          </w:p>
        </w:tc>
        <w:tc>
          <w:tcPr>
            <w:tcW w:w="1438" w:type="pct"/>
            <w:vAlign w:val="center"/>
          </w:tcPr>
          <w:p w14:paraId="5C296AD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本工程的防雷接地、防静电接地、电气设备的工作接地、保护接地及信息系统的接地等，共用接地装置，电阻不大于</w:t>
            </w:r>
            <w:r>
              <w:rPr>
                <w:rFonts w:ascii="Times New Roman" w:eastAsia="宋体" w:hAnsi="Times New Roman" w:cs="Times New Roman"/>
                <w:sz w:val="21"/>
                <w:szCs w:val="21"/>
                <w14:ligatures w14:val="none"/>
              </w:rPr>
              <w:t>1Ω</w:t>
            </w:r>
          </w:p>
        </w:tc>
        <w:tc>
          <w:tcPr>
            <w:tcW w:w="555" w:type="pct"/>
            <w:vAlign w:val="center"/>
          </w:tcPr>
          <w:p w14:paraId="3BF3D63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29DACF6" w14:textId="77777777">
        <w:trPr>
          <w:trHeight w:val="442"/>
          <w:jc w:val="center"/>
        </w:trPr>
        <w:tc>
          <w:tcPr>
            <w:tcW w:w="381" w:type="pct"/>
            <w:vAlign w:val="center"/>
          </w:tcPr>
          <w:p w14:paraId="65350CB8"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F35EDE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2F552F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1438" w:type="pct"/>
            <w:vAlign w:val="center"/>
          </w:tcPr>
          <w:p w14:paraId="687CE4E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555" w:type="pct"/>
            <w:vAlign w:val="center"/>
          </w:tcPr>
          <w:p w14:paraId="1A6793C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2C883AB" w14:textId="77777777">
        <w:trPr>
          <w:trHeight w:val="442"/>
          <w:jc w:val="center"/>
        </w:trPr>
        <w:tc>
          <w:tcPr>
            <w:tcW w:w="381" w:type="pct"/>
            <w:vAlign w:val="center"/>
          </w:tcPr>
          <w:p w14:paraId="4601278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555DE1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3A365B8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罩棚，防雷系统新建。罩棚为二类防雷。罩棚采用带难燃物质的金属夹芯板，顶层金属板厚度不小于</w:t>
            </w:r>
            <w:r>
              <w:rPr>
                <w:rFonts w:ascii="Times New Roman" w:eastAsia="宋体" w:hAnsi="Times New Roman" w:cs="Times New Roman"/>
                <w:sz w:val="21"/>
                <w:szCs w:val="21"/>
                <w14:ligatures w14:val="none"/>
              </w:rPr>
              <w:t>0.5mm</w:t>
            </w:r>
            <w:r>
              <w:rPr>
                <w:rFonts w:ascii="Times New Roman" w:eastAsia="宋体" w:hAnsi="Times New Roman" w:cs="Times New Roman"/>
                <w:sz w:val="21"/>
                <w:szCs w:val="21"/>
                <w14:ligatures w14:val="none"/>
              </w:rPr>
              <w:t>，利用其金属顶板做为接闪器防雷，利用其金属结构柱体作为引下线。</w:t>
            </w:r>
          </w:p>
        </w:tc>
        <w:tc>
          <w:tcPr>
            <w:tcW w:w="1438" w:type="pct"/>
            <w:vAlign w:val="center"/>
          </w:tcPr>
          <w:p w14:paraId="5262C40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罩棚采用带难燃物质的金属夹芯板，顶层金属板厚度不小于</w:t>
            </w:r>
            <w:r>
              <w:rPr>
                <w:rFonts w:ascii="Times New Roman" w:eastAsia="宋体" w:hAnsi="Times New Roman" w:cs="Times New Roman"/>
                <w:sz w:val="21"/>
                <w:szCs w:val="21"/>
                <w14:ligatures w14:val="none"/>
              </w:rPr>
              <w:t>0.5mm</w:t>
            </w:r>
            <w:r>
              <w:rPr>
                <w:rFonts w:ascii="Times New Roman" w:eastAsia="宋体" w:hAnsi="Times New Roman" w:cs="Times New Roman"/>
                <w:sz w:val="21"/>
                <w:szCs w:val="21"/>
                <w14:ligatures w14:val="none"/>
              </w:rPr>
              <w:t>，利用其金属顶板做为接闪器防雷，利用其金属结构柱体作为引下线</w:t>
            </w:r>
          </w:p>
        </w:tc>
        <w:tc>
          <w:tcPr>
            <w:tcW w:w="555" w:type="pct"/>
            <w:vAlign w:val="center"/>
          </w:tcPr>
          <w:p w14:paraId="3206326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3164B84" w14:textId="77777777">
        <w:trPr>
          <w:trHeight w:val="442"/>
          <w:jc w:val="center"/>
        </w:trPr>
        <w:tc>
          <w:tcPr>
            <w:tcW w:w="381" w:type="pct"/>
            <w:vAlign w:val="center"/>
          </w:tcPr>
          <w:p w14:paraId="51700053"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0C95BC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7D1A84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对本工程设计范围内的信息系统，在其电源、信号输入输出端均加装相应等级的防浪涌设备，用以防止雷电感</w:t>
            </w:r>
            <w:r>
              <w:rPr>
                <w:rFonts w:ascii="Times New Roman" w:eastAsia="宋体" w:hAnsi="Times New Roman" w:cs="Times New Roman"/>
                <w:sz w:val="21"/>
                <w:szCs w:val="21"/>
                <w14:ligatures w14:val="none"/>
              </w:rPr>
              <w:lastRenderedPageBreak/>
              <w:t>应对信息系统的破坏；各类电缆进出信息系统时电缆金属外皮均与就近的接地系统连接，防止雷电波的浸入。</w:t>
            </w:r>
          </w:p>
        </w:tc>
        <w:tc>
          <w:tcPr>
            <w:tcW w:w="1438" w:type="pct"/>
            <w:vAlign w:val="center"/>
          </w:tcPr>
          <w:p w14:paraId="2132336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本工程的信息系统，在其电源、信号输入输出端均加装相应等级的防浪涌设备；各</w:t>
            </w:r>
            <w:r>
              <w:rPr>
                <w:rFonts w:ascii="Times New Roman" w:eastAsia="宋体" w:hAnsi="Times New Roman" w:cs="Times New Roman"/>
                <w:sz w:val="21"/>
                <w:szCs w:val="21"/>
                <w14:ligatures w14:val="none"/>
              </w:rPr>
              <w:lastRenderedPageBreak/>
              <w:t>类电缆进出信息系统时电缆金属外皮均与就近的接地系统连接</w:t>
            </w:r>
          </w:p>
        </w:tc>
        <w:tc>
          <w:tcPr>
            <w:tcW w:w="555" w:type="pct"/>
            <w:vAlign w:val="center"/>
          </w:tcPr>
          <w:p w14:paraId="1DEA5D9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5BC82478" w14:textId="77777777">
        <w:trPr>
          <w:trHeight w:val="442"/>
          <w:jc w:val="center"/>
        </w:trPr>
        <w:tc>
          <w:tcPr>
            <w:tcW w:w="381" w:type="pct"/>
            <w:vAlign w:val="center"/>
          </w:tcPr>
          <w:p w14:paraId="495BEDF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6C586A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2CBB80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埋地油罐两端设接地测试卡。</w:t>
            </w:r>
          </w:p>
        </w:tc>
        <w:tc>
          <w:tcPr>
            <w:tcW w:w="1438" w:type="pct"/>
            <w:vAlign w:val="center"/>
          </w:tcPr>
          <w:p w14:paraId="1C5F5B4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埋地油罐两端设接地测试卡</w:t>
            </w:r>
          </w:p>
        </w:tc>
        <w:tc>
          <w:tcPr>
            <w:tcW w:w="555" w:type="pct"/>
            <w:vAlign w:val="center"/>
          </w:tcPr>
          <w:p w14:paraId="113C926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4DE9988" w14:textId="77777777">
        <w:trPr>
          <w:trHeight w:val="442"/>
          <w:jc w:val="center"/>
        </w:trPr>
        <w:tc>
          <w:tcPr>
            <w:tcW w:w="381" w:type="pct"/>
            <w:vAlign w:val="center"/>
          </w:tcPr>
          <w:p w14:paraId="282C0742"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C1F258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1EF688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罐区防雷接地装置兼作防静电接地装置。埋地管沟敷设管路始末端，作防静电和防感应雷的联合接地装置，其接地电阻不大于</w:t>
            </w:r>
            <w:r>
              <w:rPr>
                <w:rFonts w:ascii="Times New Roman" w:eastAsia="宋体" w:hAnsi="Times New Roman" w:cs="Times New Roman"/>
                <w:sz w:val="21"/>
                <w:szCs w:val="21"/>
                <w14:ligatures w14:val="none"/>
              </w:rPr>
              <w:t>30Ω</w:t>
            </w:r>
            <w:r>
              <w:rPr>
                <w:rFonts w:ascii="Times New Roman" w:eastAsia="宋体" w:hAnsi="Times New Roman" w:cs="Times New Roman"/>
                <w:sz w:val="21"/>
                <w:szCs w:val="21"/>
                <w14:ligatures w14:val="none"/>
              </w:rPr>
              <w:t>。埋地储罐及管件等金属物体进行电气连接并接地，其接地电阻不大于</w:t>
            </w:r>
            <w:r>
              <w:rPr>
                <w:rFonts w:ascii="Times New Roman" w:eastAsia="宋体" w:hAnsi="Times New Roman" w:cs="Times New Roman"/>
                <w:sz w:val="21"/>
                <w:szCs w:val="21"/>
                <w14:ligatures w14:val="none"/>
              </w:rPr>
              <w:t>10Ω</w:t>
            </w:r>
            <w:r>
              <w:rPr>
                <w:rFonts w:ascii="Times New Roman" w:eastAsia="宋体" w:hAnsi="Times New Roman" w:cs="Times New Roman"/>
                <w:sz w:val="21"/>
                <w:szCs w:val="21"/>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Times New Roman"/>
                <w:sz w:val="21"/>
                <w:szCs w:val="21"/>
                <w14:ligatures w14:val="none"/>
              </w:rPr>
              <w:t>0.03Ω</w:t>
            </w:r>
            <w:r>
              <w:rPr>
                <w:rFonts w:ascii="Times New Roman" w:eastAsia="宋体" w:hAnsi="Times New Roman" w:cs="Times New Roman"/>
                <w:sz w:val="21"/>
                <w:szCs w:val="21"/>
                <w14:ligatures w14:val="none"/>
              </w:rPr>
              <w:t>。</w:t>
            </w:r>
          </w:p>
        </w:tc>
        <w:tc>
          <w:tcPr>
            <w:tcW w:w="1438" w:type="pct"/>
            <w:vAlign w:val="center"/>
          </w:tcPr>
          <w:p w14:paraId="2889337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罐区防雷接地装置兼作防静电接地装置。埋地管沟敷设管路始末端，作防静电和防感应雷的联合接地装置，其接地电阻不大于</w:t>
            </w:r>
            <w:r>
              <w:rPr>
                <w:rFonts w:ascii="Times New Roman" w:eastAsia="宋体" w:hAnsi="Times New Roman" w:cs="Times New Roman"/>
                <w:sz w:val="21"/>
                <w:szCs w:val="21"/>
                <w14:ligatures w14:val="none"/>
              </w:rPr>
              <w:t>30Ω</w:t>
            </w:r>
            <w:r>
              <w:rPr>
                <w:rFonts w:ascii="Times New Roman" w:eastAsia="宋体" w:hAnsi="Times New Roman" w:cs="Times New Roman"/>
                <w:sz w:val="21"/>
                <w:szCs w:val="21"/>
                <w14:ligatures w14:val="none"/>
              </w:rPr>
              <w:t>。埋地储罐及管件等金属物体进行电气连接并接地，其接地电阻不大于</w:t>
            </w:r>
            <w:r>
              <w:rPr>
                <w:rFonts w:ascii="Times New Roman" w:eastAsia="宋体" w:hAnsi="Times New Roman" w:cs="Times New Roman"/>
                <w:sz w:val="21"/>
                <w:szCs w:val="21"/>
                <w14:ligatures w14:val="none"/>
              </w:rPr>
              <w:t>10Ω</w:t>
            </w:r>
            <w:r>
              <w:rPr>
                <w:rFonts w:ascii="Times New Roman" w:eastAsia="宋体" w:hAnsi="Times New Roman" w:cs="Times New Roman"/>
                <w:sz w:val="21"/>
                <w:szCs w:val="21"/>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Times New Roman"/>
                <w:sz w:val="21"/>
                <w:szCs w:val="21"/>
                <w14:ligatures w14:val="none"/>
              </w:rPr>
              <w:t>0.03Ω</w:t>
            </w:r>
          </w:p>
        </w:tc>
        <w:tc>
          <w:tcPr>
            <w:tcW w:w="555" w:type="pct"/>
            <w:vAlign w:val="center"/>
          </w:tcPr>
          <w:p w14:paraId="3288602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B35C9BE" w14:textId="77777777">
        <w:trPr>
          <w:trHeight w:val="442"/>
          <w:jc w:val="center"/>
        </w:trPr>
        <w:tc>
          <w:tcPr>
            <w:tcW w:w="381" w:type="pct"/>
            <w:vAlign w:val="center"/>
          </w:tcPr>
          <w:p w14:paraId="5AB4C18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3726BE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37A27EC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油罐车卸车场地设置卸车时专用的防静电接地报警仪，卸油时必须保证防静电接地报警仪接通良好才可卸油。</w:t>
            </w:r>
          </w:p>
        </w:tc>
        <w:tc>
          <w:tcPr>
            <w:tcW w:w="1438" w:type="pct"/>
            <w:vAlign w:val="center"/>
          </w:tcPr>
          <w:p w14:paraId="6FE61D1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油罐车卸车场地设置卸车时专用的防静电接地报警仪，卸油时接通良好才可卸油</w:t>
            </w:r>
          </w:p>
        </w:tc>
        <w:tc>
          <w:tcPr>
            <w:tcW w:w="555" w:type="pct"/>
            <w:vAlign w:val="center"/>
          </w:tcPr>
          <w:p w14:paraId="69F6C6C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150074D" w14:textId="77777777">
        <w:trPr>
          <w:trHeight w:val="442"/>
          <w:jc w:val="center"/>
        </w:trPr>
        <w:tc>
          <w:tcPr>
            <w:tcW w:w="381" w:type="pct"/>
            <w:vAlign w:val="center"/>
          </w:tcPr>
          <w:p w14:paraId="19894FF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3CEB88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C8A43D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油罐接地：地下油罐采用环形接地，每个油罐两点与主接地干线连接，罐进油管始端接地，把接地支线引至操作井内，与油管、电缆保护管做电气连接。</w:t>
            </w:r>
          </w:p>
        </w:tc>
        <w:tc>
          <w:tcPr>
            <w:tcW w:w="1438" w:type="pct"/>
            <w:vAlign w:val="center"/>
          </w:tcPr>
          <w:p w14:paraId="0F5AB5A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地下油罐采用环形接地，每个油罐两点与主接地干线连接，罐进油管始端接地，把接地支线引至操作井内，与油管、电缆保护管做电气连接</w:t>
            </w:r>
          </w:p>
        </w:tc>
        <w:tc>
          <w:tcPr>
            <w:tcW w:w="555" w:type="pct"/>
            <w:vAlign w:val="center"/>
          </w:tcPr>
          <w:p w14:paraId="25F69F7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21D6F21" w14:textId="77777777">
        <w:trPr>
          <w:trHeight w:val="442"/>
          <w:jc w:val="center"/>
        </w:trPr>
        <w:tc>
          <w:tcPr>
            <w:tcW w:w="381" w:type="pct"/>
            <w:vAlign w:val="center"/>
          </w:tcPr>
          <w:p w14:paraId="7634C67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1AFF8D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36E9208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接地装置接地极采用</w:t>
            </w:r>
            <w:r>
              <w:rPr>
                <w:rFonts w:ascii="Cambria Math" w:eastAsia="宋体" w:hAnsi="Cambria Math" w:cs="Cambria Math"/>
                <w:sz w:val="21"/>
                <w:szCs w:val="21"/>
                <w14:ligatures w14:val="none"/>
              </w:rPr>
              <w:t>∠</w:t>
            </w:r>
            <w:r>
              <w:rPr>
                <w:rFonts w:ascii="Times New Roman" w:eastAsia="宋体" w:hAnsi="Times New Roman" w:cs="Times New Roman"/>
                <w:sz w:val="21"/>
                <w:szCs w:val="21"/>
                <w14:ligatures w14:val="none"/>
              </w:rPr>
              <w:t>50*50*5</w:t>
            </w:r>
            <w:r>
              <w:rPr>
                <w:rFonts w:ascii="Times New Roman" w:eastAsia="宋体" w:hAnsi="Times New Roman" w:cs="Times New Roman"/>
                <w:sz w:val="21"/>
                <w:szCs w:val="21"/>
                <w14:ligatures w14:val="none"/>
              </w:rPr>
              <w:t>热镀锌角钢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接地干线采用</w:t>
            </w:r>
            <w:r>
              <w:rPr>
                <w:rFonts w:ascii="Times New Roman" w:eastAsia="宋体" w:hAnsi="Times New Roman" w:cs="Times New Roman"/>
                <w:sz w:val="21"/>
                <w:szCs w:val="21"/>
                <w14:ligatures w14:val="none"/>
              </w:rPr>
              <w:t>-40*4</w:t>
            </w:r>
            <w:r>
              <w:rPr>
                <w:rFonts w:ascii="Times New Roman" w:eastAsia="宋体" w:hAnsi="Times New Roman" w:cs="Times New Roman"/>
                <w:sz w:val="21"/>
                <w:szCs w:val="21"/>
                <w14:ligatures w14:val="none"/>
              </w:rPr>
              <w:t>热镀锌扁钢，支线采用</w:t>
            </w:r>
            <w:r>
              <w:rPr>
                <w:rFonts w:ascii="Times New Roman" w:eastAsia="宋体" w:hAnsi="Times New Roman" w:cs="Times New Roman"/>
                <w:sz w:val="21"/>
                <w:szCs w:val="21"/>
                <w14:ligatures w14:val="none"/>
              </w:rPr>
              <w:t>-25*4</w:t>
            </w:r>
            <w:r>
              <w:rPr>
                <w:rFonts w:ascii="Times New Roman" w:eastAsia="宋体" w:hAnsi="Times New Roman" w:cs="Times New Roman"/>
                <w:sz w:val="21"/>
                <w:szCs w:val="21"/>
                <w14:ligatures w14:val="none"/>
              </w:rPr>
              <w:t>热镀锌扁钢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焊接连接</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埋深</w:t>
            </w:r>
            <w:r>
              <w:rPr>
                <w:rFonts w:ascii="Times New Roman" w:eastAsia="宋体" w:hAnsi="Times New Roman" w:cs="Times New Roman"/>
                <w:sz w:val="21"/>
                <w:szCs w:val="21"/>
                <w14:ligatures w14:val="none"/>
              </w:rPr>
              <w:t>0.8</w:t>
            </w:r>
            <w:r>
              <w:rPr>
                <w:rFonts w:ascii="Times New Roman" w:eastAsia="宋体" w:hAnsi="Times New Roman" w:cs="Times New Roman"/>
                <w:sz w:val="21"/>
                <w:szCs w:val="21"/>
                <w14:ligatures w14:val="none"/>
              </w:rPr>
              <w:t>米。焊接处做防腐。</w:t>
            </w:r>
          </w:p>
        </w:tc>
        <w:tc>
          <w:tcPr>
            <w:tcW w:w="1438" w:type="pct"/>
            <w:vAlign w:val="center"/>
          </w:tcPr>
          <w:p w14:paraId="289284A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接地装置接地极采用</w:t>
            </w:r>
            <w:r>
              <w:rPr>
                <w:rFonts w:ascii="Cambria Math" w:eastAsia="宋体" w:hAnsi="Cambria Math" w:cs="Cambria Math"/>
                <w:sz w:val="21"/>
                <w:szCs w:val="21"/>
                <w14:ligatures w14:val="none"/>
              </w:rPr>
              <w:t>∠</w:t>
            </w:r>
            <w:r>
              <w:rPr>
                <w:rFonts w:ascii="Times New Roman" w:eastAsia="宋体" w:hAnsi="Times New Roman" w:cs="Times New Roman"/>
                <w:sz w:val="21"/>
                <w:szCs w:val="21"/>
                <w14:ligatures w14:val="none"/>
              </w:rPr>
              <w:t>50*50*5</w:t>
            </w:r>
            <w:r>
              <w:rPr>
                <w:rFonts w:ascii="Times New Roman" w:eastAsia="宋体" w:hAnsi="Times New Roman" w:cs="Times New Roman"/>
                <w:sz w:val="21"/>
                <w:szCs w:val="21"/>
                <w14:ligatures w14:val="none"/>
              </w:rPr>
              <w:t>热镀锌角钢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接地干线采用</w:t>
            </w:r>
            <w:r>
              <w:rPr>
                <w:rFonts w:ascii="Times New Roman" w:eastAsia="宋体" w:hAnsi="Times New Roman" w:cs="Times New Roman"/>
                <w:sz w:val="21"/>
                <w:szCs w:val="21"/>
                <w14:ligatures w14:val="none"/>
              </w:rPr>
              <w:t>-40*4</w:t>
            </w:r>
            <w:r>
              <w:rPr>
                <w:rFonts w:ascii="Times New Roman" w:eastAsia="宋体" w:hAnsi="Times New Roman" w:cs="Times New Roman"/>
                <w:sz w:val="21"/>
                <w:szCs w:val="21"/>
                <w14:ligatures w14:val="none"/>
              </w:rPr>
              <w:t>热镀锌扁钢，支线采用</w:t>
            </w:r>
            <w:r>
              <w:rPr>
                <w:rFonts w:ascii="Times New Roman" w:eastAsia="宋体" w:hAnsi="Times New Roman" w:cs="Times New Roman"/>
                <w:sz w:val="21"/>
                <w:szCs w:val="21"/>
                <w14:ligatures w14:val="none"/>
              </w:rPr>
              <w:t>-25*4</w:t>
            </w:r>
            <w:r>
              <w:rPr>
                <w:rFonts w:ascii="Times New Roman" w:eastAsia="宋体" w:hAnsi="Times New Roman" w:cs="Times New Roman"/>
                <w:sz w:val="21"/>
                <w:szCs w:val="21"/>
                <w14:ligatures w14:val="none"/>
              </w:rPr>
              <w:t>热镀锌扁钢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焊接连接</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埋深</w:t>
            </w:r>
            <w:r>
              <w:rPr>
                <w:rFonts w:ascii="Times New Roman" w:eastAsia="宋体" w:hAnsi="Times New Roman" w:cs="Times New Roman"/>
                <w:sz w:val="21"/>
                <w:szCs w:val="21"/>
                <w14:ligatures w14:val="none"/>
              </w:rPr>
              <w:t>0.8</w:t>
            </w:r>
            <w:r>
              <w:rPr>
                <w:rFonts w:ascii="Times New Roman" w:eastAsia="宋体" w:hAnsi="Times New Roman" w:cs="Times New Roman"/>
                <w:sz w:val="21"/>
                <w:szCs w:val="21"/>
                <w14:ligatures w14:val="none"/>
              </w:rPr>
              <w:t>米。焊接处做防腐</w:t>
            </w:r>
          </w:p>
        </w:tc>
        <w:tc>
          <w:tcPr>
            <w:tcW w:w="555" w:type="pct"/>
            <w:vAlign w:val="center"/>
          </w:tcPr>
          <w:p w14:paraId="17F80D2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92923AE" w14:textId="77777777">
        <w:trPr>
          <w:trHeight w:val="442"/>
          <w:jc w:val="center"/>
        </w:trPr>
        <w:tc>
          <w:tcPr>
            <w:tcW w:w="381" w:type="pct"/>
            <w:vAlign w:val="center"/>
          </w:tcPr>
          <w:p w14:paraId="5E3D1649"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688CCB6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采取的其他电气安全措施</w:t>
            </w:r>
          </w:p>
        </w:tc>
        <w:tc>
          <w:tcPr>
            <w:tcW w:w="2005" w:type="pct"/>
            <w:vAlign w:val="center"/>
          </w:tcPr>
          <w:p w14:paraId="7C651DC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系统，站内</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线完全独立</w:t>
            </w:r>
          </w:p>
        </w:tc>
        <w:tc>
          <w:tcPr>
            <w:tcW w:w="1438" w:type="pct"/>
            <w:vAlign w:val="center"/>
          </w:tcPr>
          <w:p w14:paraId="4E34BEA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系统，站内</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线完全独立</w:t>
            </w:r>
          </w:p>
        </w:tc>
        <w:tc>
          <w:tcPr>
            <w:tcW w:w="555" w:type="pct"/>
            <w:vAlign w:val="center"/>
          </w:tcPr>
          <w:p w14:paraId="5881DDD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88967AA" w14:textId="77777777">
        <w:trPr>
          <w:trHeight w:val="442"/>
          <w:jc w:val="center"/>
        </w:trPr>
        <w:tc>
          <w:tcPr>
            <w:tcW w:w="381" w:type="pct"/>
            <w:vAlign w:val="center"/>
          </w:tcPr>
          <w:p w14:paraId="0A4A8D2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914BFF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C15618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本工程电缆均采用铜芯电缆。进户电缆采用铠装电缆直埋敷设</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埋深不小于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米，穿墙、过路穿热镀锌钢管保护</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其余电缆全程穿热镀锌钢管保护，埋深</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米；动力、通讯电缆分开敷设，二者平行敷设时，相距大于</w:t>
            </w:r>
            <w:r>
              <w:rPr>
                <w:rFonts w:ascii="Times New Roman" w:eastAsia="宋体" w:hAnsi="Times New Roman" w:cs="Times New Roman"/>
                <w:sz w:val="21"/>
                <w:szCs w:val="21"/>
                <w14:ligatures w14:val="none"/>
              </w:rPr>
              <w:t>0.1</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米；电缆与油管道平行敷设时，相距大于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米；电缆与其他管道平行敷设时，相距大于</w:t>
            </w:r>
            <w:r>
              <w:rPr>
                <w:rFonts w:ascii="Times New Roman" w:eastAsia="宋体" w:hAnsi="Times New Roman" w:cs="Times New Roman"/>
                <w:sz w:val="21"/>
                <w:szCs w:val="21"/>
                <w14:ligatures w14:val="none"/>
              </w:rPr>
              <w:t>0.5</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w:t>
            </w:r>
          </w:p>
        </w:tc>
        <w:tc>
          <w:tcPr>
            <w:tcW w:w="1438" w:type="pct"/>
            <w:vAlign w:val="center"/>
          </w:tcPr>
          <w:p w14:paraId="3B4BB9C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本工程电缆均采用铜芯电缆。进户电缆采用铠装电缆直埋敷设</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埋深不小于</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，穿墙、过路穿热镀锌钢管保护</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其余电缆全程穿热镀锌钢管保护，埋深</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；动力、通讯电缆分开敷设，二者平行敷设时，相距大于</w:t>
            </w:r>
            <w:r>
              <w:rPr>
                <w:rFonts w:ascii="Times New Roman" w:eastAsia="宋体" w:hAnsi="Times New Roman" w:cs="Times New Roman"/>
                <w:sz w:val="21"/>
                <w:szCs w:val="21"/>
                <w14:ligatures w14:val="none"/>
              </w:rPr>
              <w:t>0.1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；电缆与油管道平行敷设时，相距大于</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w:t>
            </w:r>
            <w:r>
              <w:rPr>
                <w:rFonts w:ascii="Times New Roman" w:eastAsia="宋体" w:hAnsi="Times New Roman" w:cs="Times New Roman"/>
                <w:sz w:val="21"/>
                <w:szCs w:val="21"/>
                <w14:ligatures w14:val="none"/>
              </w:rPr>
              <w:lastRenderedPageBreak/>
              <w:t>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；电缆与其他管道平行敷设时，相距大于</w:t>
            </w:r>
            <w:r>
              <w:rPr>
                <w:rFonts w:ascii="Times New Roman" w:eastAsia="宋体" w:hAnsi="Times New Roman" w:cs="Times New Roman"/>
                <w:sz w:val="21"/>
                <w:szCs w:val="21"/>
                <w14:ligatures w14:val="none"/>
              </w:rPr>
              <w:t>0.5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p>
        </w:tc>
        <w:tc>
          <w:tcPr>
            <w:tcW w:w="555" w:type="pct"/>
            <w:vAlign w:val="center"/>
          </w:tcPr>
          <w:p w14:paraId="6324096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2103D484" w14:textId="77777777">
        <w:trPr>
          <w:trHeight w:val="442"/>
          <w:jc w:val="center"/>
        </w:trPr>
        <w:tc>
          <w:tcPr>
            <w:tcW w:w="381" w:type="pct"/>
            <w:vAlign w:val="center"/>
          </w:tcPr>
          <w:p w14:paraId="4A5AEE40"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D72F31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DE41A5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电缆采用铜芯电缆。进入爆炸危险环境内动力及控制电缆截面不小于</w:t>
            </w:r>
            <w:r>
              <w:rPr>
                <w:rFonts w:ascii="Times New Roman" w:eastAsia="宋体" w:hAnsi="Times New Roman" w:cs="Times New Roman"/>
                <w:sz w:val="21"/>
                <w:szCs w:val="21"/>
                <w14:ligatures w14:val="none"/>
              </w:rPr>
              <w:t>2.5mm²</w:t>
            </w:r>
            <w:r>
              <w:rPr>
                <w:rFonts w:ascii="Times New Roman" w:eastAsia="宋体" w:hAnsi="Times New Roman" w:cs="Times New Roman"/>
                <w:sz w:val="21"/>
                <w:szCs w:val="21"/>
                <w14:ligatures w14:val="none"/>
              </w:rPr>
              <w:t>。</w:t>
            </w:r>
          </w:p>
        </w:tc>
        <w:tc>
          <w:tcPr>
            <w:tcW w:w="1438" w:type="pct"/>
            <w:vAlign w:val="center"/>
          </w:tcPr>
          <w:p w14:paraId="12D3277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电缆采用铜芯电缆。进入爆炸危险环境内动力及控制电缆截面不小于</w:t>
            </w:r>
            <w:r>
              <w:rPr>
                <w:rFonts w:ascii="Times New Roman" w:eastAsia="宋体" w:hAnsi="Times New Roman" w:cs="Times New Roman"/>
                <w:sz w:val="21"/>
                <w:szCs w:val="21"/>
                <w14:ligatures w14:val="none"/>
              </w:rPr>
              <w:t>2.5mm²</w:t>
            </w:r>
          </w:p>
        </w:tc>
        <w:tc>
          <w:tcPr>
            <w:tcW w:w="555" w:type="pct"/>
            <w:vAlign w:val="center"/>
          </w:tcPr>
          <w:p w14:paraId="499CD77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C44516F" w14:textId="77777777">
        <w:trPr>
          <w:trHeight w:val="442"/>
          <w:jc w:val="center"/>
        </w:trPr>
        <w:tc>
          <w:tcPr>
            <w:tcW w:w="381" w:type="pct"/>
            <w:vAlign w:val="center"/>
          </w:tcPr>
          <w:p w14:paraId="2AFC9A5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7B9623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DF94EF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站内设置油罐液位监测系统</w:t>
            </w:r>
          </w:p>
          <w:p w14:paraId="4058218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1438" w:type="pct"/>
            <w:vAlign w:val="center"/>
          </w:tcPr>
          <w:p w14:paraId="100B9EF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555" w:type="pct"/>
            <w:vAlign w:val="center"/>
          </w:tcPr>
          <w:p w14:paraId="28DE894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B98D03D" w14:textId="77777777">
        <w:trPr>
          <w:trHeight w:val="442"/>
          <w:jc w:val="center"/>
        </w:trPr>
        <w:tc>
          <w:tcPr>
            <w:tcW w:w="381" w:type="pct"/>
            <w:vAlign w:val="center"/>
          </w:tcPr>
          <w:p w14:paraId="63F512D2"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BDFFA1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A8A7BE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本站人体静电释放器选用本安型。</w:t>
            </w:r>
          </w:p>
        </w:tc>
        <w:tc>
          <w:tcPr>
            <w:tcW w:w="1438" w:type="pct"/>
            <w:vAlign w:val="center"/>
          </w:tcPr>
          <w:p w14:paraId="5DC1340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本站人体静电释放器</w:t>
            </w:r>
            <w:r>
              <w:rPr>
                <w:rFonts w:ascii="Times New Roman" w:eastAsia="宋体" w:hAnsi="Times New Roman" w:cs="Times New Roman" w:hint="eastAsia"/>
                <w:sz w:val="21"/>
                <w:szCs w:val="21"/>
                <w14:ligatures w14:val="none"/>
              </w:rPr>
              <w:t>为</w:t>
            </w:r>
            <w:r>
              <w:rPr>
                <w:rFonts w:ascii="Times New Roman" w:eastAsia="宋体" w:hAnsi="Times New Roman" w:cs="Times New Roman"/>
                <w:sz w:val="21"/>
                <w:szCs w:val="21"/>
                <w14:ligatures w14:val="none"/>
              </w:rPr>
              <w:t>本安型</w:t>
            </w:r>
          </w:p>
        </w:tc>
        <w:tc>
          <w:tcPr>
            <w:tcW w:w="555" w:type="pct"/>
            <w:vAlign w:val="center"/>
          </w:tcPr>
          <w:p w14:paraId="57F6A15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11B9540" w14:textId="77777777">
        <w:trPr>
          <w:trHeight w:val="442"/>
          <w:jc w:val="center"/>
        </w:trPr>
        <w:tc>
          <w:tcPr>
            <w:tcW w:w="5000" w:type="pct"/>
            <w:gridSpan w:val="5"/>
            <w:vAlign w:val="center"/>
          </w:tcPr>
          <w:p w14:paraId="2079862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五、自控</w:t>
            </w:r>
          </w:p>
        </w:tc>
      </w:tr>
      <w:tr w:rsidR="00502148" w14:paraId="3D4CE67B" w14:textId="77777777">
        <w:trPr>
          <w:trHeight w:val="442"/>
          <w:jc w:val="center"/>
        </w:trPr>
        <w:tc>
          <w:tcPr>
            <w:tcW w:w="381" w:type="pct"/>
            <w:vAlign w:val="center"/>
          </w:tcPr>
          <w:p w14:paraId="4A399C5B"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1F301C5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视频监控系统</w:t>
            </w:r>
          </w:p>
        </w:tc>
        <w:tc>
          <w:tcPr>
            <w:tcW w:w="2005" w:type="pct"/>
            <w:vAlign w:val="center"/>
          </w:tcPr>
          <w:p w14:paraId="13BAE6F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本工程视频监视范围为卸车点、罩棚区、站房出入口、进出口、营业厅等处。室外视频监视摄像机安装高度不低于</w:t>
            </w:r>
            <w:r>
              <w:rPr>
                <w:rFonts w:ascii="Times New Roman" w:eastAsia="宋体" w:hAnsi="Times New Roman" w:cs="Times New Roman"/>
                <w:sz w:val="21"/>
                <w:szCs w:val="21"/>
                <w14:ligatures w14:val="none"/>
              </w:rPr>
              <w:t>3.5m</w:t>
            </w:r>
            <w:r>
              <w:rPr>
                <w:rFonts w:ascii="Times New Roman" w:eastAsia="宋体" w:hAnsi="Times New Roman" w:cs="Times New Roman"/>
                <w:sz w:val="21"/>
                <w:szCs w:val="21"/>
                <w14:ligatures w14:val="none"/>
              </w:rPr>
              <w:t>，安装方式为立柱式，可安装在专用立柱上，也可安装在站区灯柱上；室内视频监视摄像机安装高度不低于</w:t>
            </w:r>
            <w:r>
              <w:rPr>
                <w:rFonts w:ascii="Times New Roman" w:eastAsia="宋体" w:hAnsi="Times New Roman" w:cs="Times New Roman"/>
                <w:sz w:val="21"/>
                <w:szCs w:val="21"/>
                <w14:ligatures w14:val="none"/>
              </w:rPr>
              <w:t>2.5m</w:t>
            </w:r>
            <w:r>
              <w:rPr>
                <w:rFonts w:ascii="Times New Roman" w:eastAsia="宋体" w:hAnsi="Times New Roman" w:cs="Times New Roman"/>
                <w:sz w:val="21"/>
                <w:szCs w:val="21"/>
                <w14:ligatures w14:val="none"/>
              </w:rPr>
              <w:t>，安装方式为壁挂式。所有非防爆视频监视摄像机安装地点应在爆炸危险区以外。</w:t>
            </w:r>
          </w:p>
        </w:tc>
        <w:tc>
          <w:tcPr>
            <w:tcW w:w="1438" w:type="pct"/>
            <w:vAlign w:val="center"/>
          </w:tcPr>
          <w:p w14:paraId="043AF9D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本工程视频监视范围为卸车点、罩棚区、站房出入口、进出口、营业厅等处。室外视频监视摄像机安装高度</w:t>
            </w:r>
            <w:r>
              <w:rPr>
                <w:rFonts w:ascii="Times New Roman" w:eastAsia="宋体" w:hAnsi="Times New Roman" w:cs="Times New Roman"/>
                <w:sz w:val="21"/>
                <w:szCs w:val="21"/>
                <w14:ligatures w14:val="none"/>
              </w:rPr>
              <w:t>3.5m</w:t>
            </w:r>
            <w:r>
              <w:rPr>
                <w:rFonts w:ascii="Times New Roman" w:eastAsia="宋体" w:hAnsi="Times New Roman" w:cs="Times New Roman"/>
                <w:sz w:val="21"/>
                <w:szCs w:val="21"/>
                <w14:ligatures w14:val="none"/>
              </w:rPr>
              <w:t>，安装方式为立柱式，安装在站区灯柱上；室内视频监视摄像机安装高度</w:t>
            </w:r>
            <w:r>
              <w:rPr>
                <w:rFonts w:ascii="Times New Roman" w:eastAsia="宋体" w:hAnsi="Times New Roman" w:cs="Times New Roman"/>
                <w:sz w:val="21"/>
                <w:szCs w:val="21"/>
                <w14:ligatures w14:val="none"/>
              </w:rPr>
              <w:t>2.5m</w:t>
            </w:r>
            <w:r>
              <w:rPr>
                <w:rFonts w:ascii="Times New Roman" w:eastAsia="宋体" w:hAnsi="Times New Roman" w:cs="Times New Roman"/>
                <w:sz w:val="21"/>
                <w:szCs w:val="21"/>
                <w14:ligatures w14:val="none"/>
              </w:rPr>
              <w:t>，安装方式为壁挂式。所有非防爆视频监视摄像机安装地点在爆炸危险区以外</w:t>
            </w:r>
          </w:p>
        </w:tc>
        <w:tc>
          <w:tcPr>
            <w:tcW w:w="555" w:type="pct"/>
            <w:vAlign w:val="center"/>
          </w:tcPr>
          <w:p w14:paraId="658F160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FC3B934" w14:textId="77777777">
        <w:trPr>
          <w:trHeight w:val="442"/>
          <w:jc w:val="center"/>
        </w:trPr>
        <w:tc>
          <w:tcPr>
            <w:tcW w:w="381" w:type="pct"/>
            <w:vAlign w:val="center"/>
          </w:tcPr>
          <w:p w14:paraId="4A32D1A7"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AA1CCC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C39073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根据</w:t>
            </w:r>
            <w:r>
              <w:rPr>
                <w:rFonts w:ascii="Times New Roman" w:eastAsia="宋体" w:hAnsi="Times New Roman" w:cs="Times New Roman"/>
                <w:sz w:val="21"/>
                <w:szCs w:val="21"/>
                <w14:ligatures w14:val="none"/>
              </w:rPr>
              <w:t>GB 50395</w:t>
            </w:r>
            <w:r>
              <w:rPr>
                <w:rFonts w:ascii="Times New Roman" w:eastAsia="宋体" w:hAnsi="Times New Roman" w:cs="Times New Roman"/>
                <w:sz w:val="21"/>
                <w:szCs w:val="21"/>
                <w14:ligatures w14:val="none"/>
              </w:rPr>
              <w:t>规定，监控系统及设备至少应满足以下要求：</w:t>
            </w:r>
          </w:p>
          <w:p w14:paraId="42D5BF0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视频安防监控系统中使用的设备必须符合国家法律法规和现行强制</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矩阵切换和数字视频网络虚拟交换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切换模式的系统应具有系统信息存储功能，在供电中断或关机后，对所有编程信息和时间信息均应保持。</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p w14:paraId="1D0EAD1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监视图像信息和声音信息应具有原始完整性。</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p w14:paraId="5713FA2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系统记录的图像信息应包含图像编号</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地址、记录时的时间和日期。</w:t>
            </w:r>
            <w:r>
              <w:rPr>
                <w:rFonts w:ascii="Times New Roman" w:eastAsia="宋体" w:hAnsi="Times New Roman" w:cs="Times New Roman"/>
                <w:sz w:val="21"/>
                <w:szCs w:val="21"/>
                <w14:ligatures w14:val="none"/>
              </w:rPr>
              <w:t>”</w:t>
            </w:r>
          </w:p>
          <w:p w14:paraId="3470114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视频监视主机及显示器设置在营业厅。</w:t>
            </w:r>
          </w:p>
        </w:tc>
        <w:tc>
          <w:tcPr>
            <w:tcW w:w="1438" w:type="pct"/>
            <w:vAlign w:val="center"/>
          </w:tcPr>
          <w:p w14:paraId="4A54386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视频安防监控系统中使用的设备符合国家法律法规和现行强制</w:t>
            </w:r>
            <w:r>
              <w:rPr>
                <w:rFonts w:ascii="Times New Roman" w:eastAsia="宋体" w:hAnsi="Times New Roman" w:cs="Times New Roman" w:hint="eastAsia"/>
                <w:sz w:val="21"/>
                <w:szCs w:val="21"/>
                <w14:ligatures w14:val="none"/>
              </w:rPr>
              <w:t>标准</w:t>
            </w:r>
          </w:p>
        </w:tc>
        <w:tc>
          <w:tcPr>
            <w:tcW w:w="555" w:type="pct"/>
            <w:vAlign w:val="center"/>
          </w:tcPr>
          <w:p w14:paraId="1C0465D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3861DCD" w14:textId="77777777">
        <w:trPr>
          <w:trHeight w:val="442"/>
          <w:jc w:val="center"/>
        </w:trPr>
        <w:tc>
          <w:tcPr>
            <w:tcW w:w="381" w:type="pct"/>
            <w:vAlign w:val="center"/>
          </w:tcPr>
          <w:p w14:paraId="42A4E066"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4A41811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紧急停车</w:t>
            </w:r>
          </w:p>
        </w:tc>
        <w:tc>
          <w:tcPr>
            <w:tcW w:w="2005" w:type="pct"/>
            <w:vAlign w:val="center"/>
          </w:tcPr>
          <w:p w14:paraId="4E025FF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在营业厅、加油区附近设置。紧急停车按钮在事故状态下切断工艺装置电源，导致事故扩大的设备运行。紧急停车装置为故障安全型，只能现场手动</w:t>
            </w:r>
            <w:r>
              <w:rPr>
                <w:rFonts w:ascii="Times New Roman" w:eastAsia="宋体" w:hAnsi="Times New Roman" w:cs="Times New Roman"/>
                <w:sz w:val="21"/>
                <w:szCs w:val="21"/>
                <w14:ligatures w14:val="none"/>
              </w:rPr>
              <w:lastRenderedPageBreak/>
              <w:t>复位。</w:t>
            </w:r>
          </w:p>
        </w:tc>
        <w:tc>
          <w:tcPr>
            <w:tcW w:w="1438" w:type="pct"/>
            <w:vAlign w:val="center"/>
          </w:tcPr>
          <w:p w14:paraId="4C28764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在营业厅、加油区附近设置紧急停车按钮</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紧急停车装置为故障安全型，只能现场手动复位</w:t>
            </w:r>
          </w:p>
        </w:tc>
        <w:tc>
          <w:tcPr>
            <w:tcW w:w="555" w:type="pct"/>
            <w:vAlign w:val="center"/>
          </w:tcPr>
          <w:p w14:paraId="474F2D3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EE9019E" w14:textId="77777777">
        <w:trPr>
          <w:trHeight w:val="442"/>
          <w:jc w:val="center"/>
        </w:trPr>
        <w:tc>
          <w:tcPr>
            <w:tcW w:w="381" w:type="pct"/>
            <w:vAlign w:val="center"/>
          </w:tcPr>
          <w:p w14:paraId="0B320942"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1999DCE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w:t>
            </w:r>
          </w:p>
        </w:tc>
        <w:tc>
          <w:tcPr>
            <w:tcW w:w="2005" w:type="pct"/>
            <w:vAlign w:val="center"/>
          </w:tcPr>
          <w:p w14:paraId="3EBC5F0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控制系统信号接地和保护接地接入电气专业综合接地系统，接地电阻不大于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欧姆。控制柜落地安装，直接与接地引线连接。所有电缆的铠装层</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或电缆保护金属套管</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在现场侧及控制室侧两端接地，屏蔽层在控制室侧一端接地。</w:t>
            </w:r>
          </w:p>
        </w:tc>
        <w:tc>
          <w:tcPr>
            <w:tcW w:w="1438" w:type="pct"/>
            <w:vAlign w:val="center"/>
          </w:tcPr>
          <w:p w14:paraId="5B96C34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系统信号接地和保护接地接入电气专业综合接地系统，接地电阻不大于</w:t>
            </w:r>
            <w:r>
              <w:rPr>
                <w:rFonts w:ascii="Times New Roman" w:eastAsia="宋体" w:hAnsi="Times New Roman" w:cs="Times New Roman"/>
                <w:sz w:val="21"/>
                <w:szCs w:val="21"/>
                <w14:ligatures w14:val="none"/>
              </w:rPr>
              <w:t>1</w:t>
            </w:r>
            <w:r>
              <w:rPr>
                <w:rFonts w:ascii="宋体" w:eastAsia="宋体" w:hAnsi="宋体" w:cs="Times New Roman" w:hint="eastAsia"/>
                <w:sz w:val="21"/>
                <w:szCs w:val="21"/>
                <w14:ligatures w14:val="none"/>
              </w:rPr>
              <w:t>Ω</w:t>
            </w:r>
            <w:r>
              <w:rPr>
                <w:rFonts w:ascii="Times New Roman" w:eastAsia="宋体" w:hAnsi="Times New Roman" w:cs="Times New Roman"/>
                <w:sz w:val="21"/>
                <w:szCs w:val="21"/>
                <w14:ligatures w14:val="none"/>
              </w:rPr>
              <w:t>。控制柜落地安装，直接与接地引线连接。所有电缆的铠装层在现场侧及控制室侧两端接地，屏蔽层在控制室侧一端接地。</w:t>
            </w:r>
          </w:p>
        </w:tc>
        <w:tc>
          <w:tcPr>
            <w:tcW w:w="555" w:type="pct"/>
            <w:vAlign w:val="center"/>
          </w:tcPr>
          <w:p w14:paraId="41CF0B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9B85081" w14:textId="77777777">
        <w:trPr>
          <w:trHeight w:val="442"/>
          <w:jc w:val="center"/>
        </w:trPr>
        <w:tc>
          <w:tcPr>
            <w:tcW w:w="5000" w:type="pct"/>
            <w:gridSpan w:val="5"/>
            <w:vAlign w:val="center"/>
          </w:tcPr>
          <w:p w14:paraId="0BEFCDD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六、建、构筑物</w:t>
            </w:r>
          </w:p>
        </w:tc>
      </w:tr>
      <w:tr w:rsidR="00502148" w14:paraId="26D2389C" w14:textId="77777777">
        <w:trPr>
          <w:trHeight w:val="432"/>
          <w:jc w:val="center"/>
        </w:trPr>
        <w:tc>
          <w:tcPr>
            <w:tcW w:w="381" w:type="pct"/>
            <w:vAlign w:val="center"/>
          </w:tcPr>
          <w:p w14:paraId="7EF51C7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1C51AC2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防火、防爆、抗爆、防腐、耐火保护等设施</w:t>
            </w:r>
          </w:p>
        </w:tc>
        <w:tc>
          <w:tcPr>
            <w:tcW w:w="2005" w:type="pct"/>
            <w:vAlign w:val="center"/>
          </w:tcPr>
          <w:p w14:paraId="0446A43F"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站房</w:t>
            </w:r>
          </w:p>
          <w:p w14:paraId="2517C853" w14:textId="6636B5E0"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新建一层框架站房一座，站房内设置营业厅、收银室、财务室、控制室、值班室、办公室、卫生间。结构形式采用框架结构，满足抗震设防烈度</w:t>
            </w:r>
            <w:r w:rsidR="00A66FFA">
              <w:rPr>
                <w:rFonts w:ascii="Times New Roman" w:eastAsia="宋体" w:hAnsi="Times New Roman" w:cs="Times New Roman" w:hint="eastAsia"/>
                <w:sz w:val="21"/>
                <w14:ligatures w14:val="none"/>
              </w:rPr>
              <w:t>6</w:t>
            </w:r>
            <w:r>
              <w:rPr>
                <w:rFonts w:ascii="Times New Roman" w:eastAsia="宋体" w:hAnsi="Times New Roman" w:cs="Times New Roman"/>
                <w:sz w:val="21"/>
                <w14:ligatures w14:val="none"/>
              </w:rPr>
              <w:t>度的要求。</w:t>
            </w:r>
          </w:p>
        </w:tc>
        <w:tc>
          <w:tcPr>
            <w:tcW w:w="1438" w:type="pct"/>
            <w:vAlign w:val="center"/>
          </w:tcPr>
          <w:p w14:paraId="1C6CDDEA" w14:textId="0EA28912"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站房内设置营业厅、收银室、财务室、控制室、值班室、办公室、卫生间。结构形式采用框架结构，满足抗震设防烈度</w:t>
            </w:r>
            <w:r w:rsidR="00A66FFA">
              <w:rPr>
                <w:rFonts w:ascii="Times New Roman" w:eastAsia="宋体" w:hAnsi="Times New Roman" w:cs="Times New Roman" w:hint="eastAsia"/>
                <w:sz w:val="21"/>
                <w14:ligatures w14:val="none"/>
              </w:rPr>
              <w:t>6</w:t>
            </w:r>
            <w:r>
              <w:rPr>
                <w:rFonts w:ascii="Times New Roman" w:eastAsia="宋体" w:hAnsi="Times New Roman" w:cs="Times New Roman"/>
                <w:sz w:val="21"/>
                <w14:ligatures w14:val="none"/>
              </w:rPr>
              <w:t>度的要求</w:t>
            </w:r>
          </w:p>
        </w:tc>
        <w:tc>
          <w:tcPr>
            <w:tcW w:w="555" w:type="pct"/>
            <w:vAlign w:val="center"/>
          </w:tcPr>
          <w:p w14:paraId="178A119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74F3E4B" w14:textId="77777777">
        <w:trPr>
          <w:trHeight w:val="432"/>
          <w:jc w:val="center"/>
        </w:trPr>
        <w:tc>
          <w:tcPr>
            <w:tcW w:w="381" w:type="pct"/>
            <w:vAlign w:val="center"/>
          </w:tcPr>
          <w:p w14:paraId="69D26F38"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9019A2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D847A3A"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罩棚</w:t>
            </w:r>
          </w:p>
          <w:p w14:paraId="3E51E0A8"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新建网架罩棚一座，水平投影面积为</w:t>
            </w:r>
            <w:r>
              <w:rPr>
                <w:rFonts w:ascii="Times New Roman" w:eastAsia="宋体" w:hAnsi="Times New Roman" w:cs="Times New Roman"/>
                <w:sz w:val="21"/>
                <w14:ligatures w14:val="none"/>
              </w:rPr>
              <w:t>840.0m2</w:t>
            </w:r>
            <w:r>
              <w:rPr>
                <w:rFonts w:ascii="Times New Roman" w:eastAsia="宋体" w:hAnsi="Times New Roman" w:cs="Times New Roman"/>
                <w:sz w:val="21"/>
                <w14:ligatures w14:val="none"/>
              </w:rPr>
              <w:t>，罩棚高度为</w:t>
            </w:r>
            <w:r>
              <w:rPr>
                <w:rFonts w:ascii="Times New Roman" w:eastAsia="宋体" w:hAnsi="Times New Roman" w:cs="Times New Roman"/>
                <w:sz w:val="21"/>
                <w14:ligatures w14:val="none"/>
              </w:rPr>
              <w:t>6.1m</w:t>
            </w:r>
            <w:r>
              <w:rPr>
                <w:rFonts w:ascii="Times New Roman" w:eastAsia="宋体" w:hAnsi="Times New Roman" w:cs="Times New Roman"/>
                <w:sz w:val="21"/>
                <w14:ligatures w14:val="none"/>
              </w:rPr>
              <w:t>，罩棚柱采用钢筋混凝土立柱。罩棚其他部分采用非燃烧体建造，建筑物的装修材料符合防火要求。</w:t>
            </w:r>
          </w:p>
        </w:tc>
        <w:tc>
          <w:tcPr>
            <w:tcW w:w="1438" w:type="pct"/>
            <w:vAlign w:val="center"/>
          </w:tcPr>
          <w:p w14:paraId="662461D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罩棚水平投影面积为</w:t>
            </w:r>
            <w:r>
              <w:rPr>
                <w:rFonts w:ascii="Times New Roman" w:eastAsia="宋体" w:hAnsi="Times New Roman" w:cs="Times New Roman"/>
                <w:sz w:val="21"/>
                <w14:ligatures w14:val="none"/>
              </w:rPr>
              <w:t>840.0m</w:t>
            </w:r>
            <w:r>
              <w:rPr>
                <w:rFonts w:ascii="Times New Roman" w:eastAsia="宋体" w:hAnsi="Times New Roman" w:cs="Times New Roman"/>
                <w:sz w:val="21"/>
                <w:vertAlign w:val="superscript"/>
                <w14:ligatures w14:val="none"/>
              </w:rPr>
              <w:t>2</w:t>
            </w:r>
            <w:r>
              <w:rPr>
                <w:rFonts w:ascii="Times New Roman" w:eastAsia="宋体" w:hAnsi="Times New Roman" w:cs="Times New Roman"/>
                <w:sz w:val="21"/>
                <w14:ligatures w14:val="none"/>
              </w:rPr>
              <w:t>，罩棚高度为</w:t>
            </w:r>
            <w:r>
              <w:rPr>
                <w:rFonts w:ascii="Times New Roman" w:eastAsia="宋体" w:hAnsi="Times New Roman" w:cs="Times New Roman"/>
                <w:sz w:val="21"/>
                <w14:ligatures w14:val="none"/>
              </w:rPr>
              <w:t>6.1m</w:t>
            </w:r>
            <w:r>
              <w:rPr>
                <w:rFonts w:ascii="Times New Roman" w:eastAsia="宋体" w:hAnsi="Times New Roman" w:cs="Times New Roman"/>
                <w:sz w:val="21"/>
                <w14:ligatures w14:val="none"/>
              </w:rPr>
              <w:t>，采用钢筋混凝土立柱。罩棚其他部分采用非燃烧体建造，建筑物的装修材料符合防火要求</w:t>
            </w:r>
          </w:p>
        </w:tc>
        <w:tc>
          <w:tcPr>
            <w:tcW w:w="555" w:type="pct"/>
            <w:vAlign w:val="center"/>
          </w:tcPr>
          <w:p w14:paraId="1CCAB35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24773B7" w14:textId="77777777">
        <w:trPr>
          <w:trHeight w:val="432"/>
          <w:jc w:val="center"/>
        </w:trPr>
        <w:tc>
          <w:tcPr>
            <w:tcW w:w="381" w:type="pct"/>
            <w:vAlign w:val="center"/>
          </w:tcPr>
          <w:p w14:paraId="2615785F"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0B7A60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06972B9"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油罐区</w:t>
            </w:r>
          </w:p>
          <w:p w14:paraId="2862F9AD"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油罐设在油罐基础上，油罐固定在油罐筏板基础上的条形钢筋混凝土罐枕上，罐枕与筏板基础一体浇筑，采用钢筋连接为一体。每个罐枕上预埋</w:t>
            </w:r>
            <w:r>
              <w:rPr>
                <w:rFonts w:ascii="Times New Roman" w:eastAsia="宋体" w:hAnsi="Times New Roman" w:cs="Times New Roman"/>
                <w:sz w:val="21"/>
                <w14:ligatures w14:val="none"/>
              </w:rPr>
              <w:t>4</w:t>
            </w:r>
            <w:r>
              <w:rPr>
                <w:rFonts w:ascii="Times New Roman" w:eastAsia="宋体" w:hAnsi="Times New Roman" w:cs="Times New Roman"/>
                <w:sz w:val="21"/>
                <w14:ligatures w14:val="none"/>
              </w:rPr>
              <w:t>根</w:t>
            </w:r>
            <w:r>
              <w:rPr>
                <w:rFonts w:ascii="Times New Roman" w:eastAsia="宋体" w:hAnsi="Times New Roman" w:cs="Times New Roman"/>
                <w:sz w:val="21"/>
                <w14:ligatures w14:val="none"/>
              </w:rPr>
              <w:t>M30</w:t>
            </w:r>
            <w:r>
              <w:rPr>
                <w:rFonts w:ascii="Times New Roman" w:eastAsia="宋体" w:hAnsi="Times New Roman" w:cs="Times New Roman"/>
                <w:sz w:val="21"/>
                <w14:ligatures w14:val="none"/>
              </w:rPr>
              <w:t>螺栓，螺栓与抗浮钢带连接，每台储罐设置两条抗浮钢带，共</w:t>
            </w:r>
            <w:r>
              <w:rPr>
                <w:rFonts w:ascii="Times New Roman" w:eastAsia="宋体" w:hAnsi="Times New Roman" w:cs="Times New Roman"/>
                <w:sz w:val="21"/>
                <w14:ligatures w14:val="none"/>
              </w:rPr>
              <w:t>12</w:t>
            </w:r>
            <w:r>
              <w:rPr>
                <w:rFonts w:ascii="Times New Roman" w:eastAsia="宋体" w:hAnsi="Times New Roman" w:cs="Times New Roman"/>
                <w:sz w:val="21"/>
                <w14:ligatures w14:val="none"/>
              </w:rPr>
              <w:t>条，利用筏板及以上覆土重量防止储罐上浮。</w:t>
            </w:r>
          </w:p>
        </w:tc>
        <w:tc>
          <w:tcPr>
            <w:tcW w:w="1438" w:type="pct"/>
            <w:vAlign w:val="center"/>
          </w:tcPr>
          <w:p w14:paraId="78112CD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油罐设在油罐基础上，油罐固定在油罐筏板基础上的条形钢筋混凝土罐枕上，罐枕与筏板基础一体浇筑，采用钢筋连接为一体。每个罐枕上预埋</w:t>
            </w:r>
            <w:r>
              <w:rPr>
                <w:rFonts w:ascii="Times New Roman" w:eastAsia="宋体" w:hAnsi="Times New Roman" w:cs="Times New Roman"/>
                <w:sz w:val="21"/>
                <w14:ligatures w14:val="none"/>
              </w:rPr>
              <w:t>4</w:t>
            </w:r>
            <w:r>
              <w:rPr>
                <w:rFonts w:ascii="Times New Roman" w:eastAsia="宋体" w:hAnsi="Times New Roman" w:cs="Times New Roman"/>
                <w:sz w:val="21"/>
                <w14:ligatures w14:val="none"/>
              </w:rPr>
              <w:t>根</w:t>
            </w:r>
            <w:r>
              <w:rPr>
                <w:rFonts w:ascii="Times New Roman" w:eastAsia="宋体" w:hAnsi="Times New Roman" w:cs="Times New Roman"/>
                <w:sz w:val="21"/>
                <w14:ligatures w14:val="none"/>
              </w:rPr>
              <w:t>M30</w:t>
            </w:r>
            <w:r>
              <w:rPr>
                <w:rFonts w:ascii="Times New Roman" w:eastAsia="宋体" w:hAnsi="Times New Roman" w:cs="Times New Roman"/>
                <w:sz w:val="21"/>
                <w14:ligatures w14:val="none"/>
              </w:rPr>
              <w:t>螺栓，螺栓与抗浮钢带连接，每台储罐设置两条抗浮钢带，共</w:t>
            </w:r>
            <w:r>
              <w:rPr>
                <w:rFonts w:ascii="Times New Roman" w:eastAsia="宋体" w:hAnsi="Times New Roman" w:cs="Times New Roman"/>
                <w:sz w:val="21"/>
                <w14:ligatures w14:val="none"/>
              </w:rPr>
              <w:t>12</w:t>
            </w:r>
            <w:r>
              <w:rPr>
                <w:rFonts w:ascii="Times New Roman" w:eastAsia="宋体" w:hAnsi="Times New Roman" w:cs="Times New Roman"/>
                <w:sz w:val="21"/>
                <w14:ligatures w14:val="none"/>
              </w:rPr>
              <w:t>条，利用筏板及以上覆土重量防止储罐上浮</w:t>
            </w:r>
          </w:p>
        </w:tc>
        <w:tc>
          <w:tcPr>
            <w:tcW w:w="555" w:type="pct"/>
            <w:vAlign w:val="center"/>
          </w:tcPr>
          <w:p w14:paraId="45F27A3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FEA146B" w14:textId="77777777">
        <w:trPr>
          <w:trHeight w:val="432"/>
          <w:jc w:val="center"/>
        </w:trPr>
        <w:tc>
          <w:tcPr>
            <w:tcW w:w="381" w:type="pct"/>
            <w:vAlign w:val="center"/>
          </w:tcPr>
          <w:p w14:paraId="0A2EDDE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4303465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通风、排烟、除尘、降温等设施</w:t>
            </w:r>
          </w:p>
        </w:tc>
        <w:tc>
          <w:tcPr>
            <w:tcW w:w="2005" w:type="pct"/>
            <w:vAlign w:val="center"/>
          </w:tcPr>
          <w:p w14:paraId="6FADCE75"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本工程站房内窗户采用平开窗。</w:t>
            </w:r>
          </w:p>
          <w:p w14:paraId="79D65A22"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站内工艺装置均设在室外，无需另设通风系统。</w:t>
            </w:r>
          </w:p>
        </w:tc>
        <w:tc>
          <w:tcPr>
            <w:tcW w:w="1438" w:type="pct"/>
            <w:vAlign w:val="center"/>
          </w:tcPr>
          <w:p w14:paraId="2F4CBF7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站房内窗户采用平开窗</w:t>
            </w:r>
            <w:r>
              <w:rPr>
                <w:rFonts w:ascii="Times New Roman" w:eastAsia="宋体" w:hAnsi="Times New Roman" w:cs="Times New Roman" w:hint="eastAsia"/>
                <w:sz w:val="21"/>
                <w14:ligatures w14:val="none"/>
              </w:rPr>
              <w:t>，</w:t>
            </w:r>
            <w:r>
              <w:rPr>
                <w:rFonts w:ascii="Times New Roman" w:eastAsia="宋体" w:hAnsi="Times New Roman" w:cs="Times New Roman"/>
                <w:sz w:val="21"/>
                <w14:ligatures w14:val="none"/>
              </w:rPr>
              <w:t>站内工艺装置均设在室外，无通风系统</w:t>
            </w:r>
          </w:p>
        </w:tc>
        <w:tc>
          <w:tcPr>
            <w:tcW w:w="555" w:type="pct"/>
            <w:vAlign w:val="center"/>
          </w:tcPr>
          <w:p w14:paraId="2E5A0E7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A949C38" w14:textId="77777777">
        <w:trPr>
          <w:trHeight w:val="432"/>
          <w:jc w:val="center"/>
        </w:trPr>
        <w:tc>
          <w:tcPr>
            <w:tcW w:w="5000" w:type="pct"/>
            <w:gridSpan w:val="5"/>
            <w:vAlign w:val="center"/>
          </w:tcPr>
          <w:p w14:paraId="621E2C4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七、其他防范设施</w:t>
            </w:r>
          </w:p>
        </w:tc>
      </w:tr>
      <w:tr w:rsidR="00502148" w14:paraId="6E7C210C" w14:textId="77777777">
        <w:trPr>
          <w:trHeight w:val="432"/>
          <w:jc w:val="center"/>
        </w:trPr>
        <w:tc>
          <w:tcPr>
            <w:tcW w:w="381" w:type="pct"/>
            <w:vAlign w:val="center"/>
          </w:tcPr>
          <w:p w14:paraId="7239EBAE"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33135C2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防洪、防台风、防地质灾害、抗震等防范自然灾害的措施</w:t>
            </w:r>
          </w:p>
        </w:tc>
        <w:tc>
          <w:tcPr>
            <w:tcW w:w="2005" w:type="pct"/>
            <w:vAlign w:val="center"/>
          </w:tcPr>
          <w:p w14:paraId="08C364B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根据参考周边地勘，本地区无软弱地质层及灾害性地质情况，地基土较为均匀，适宜该工程的建设。本工程所有埋地设施及基础均采取防冻胀垫层处理措施。本工程所在抗震设防烈度小于</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度，基本风压为</w:t>
            </w:r>
            <w:r>
              <w:rPr>
                <w:rFonts w:ascii="Times New Roman" w:eastAsia="宋体" w:hAnsi="Times New Roman" w:cs="Times New Roman"/>
                <w:sz w:val="21"/>
                <w:szCs w:val="21"/>
                <w14:ligatures w14:val="none"/>
              </w:rPr>
              <w:t>0.55KN/</w:t>
            </w:r>
            <w:r>
              <w:rPr>
                <w:rFonts w:ascii="Times New Roman" w:eastAsia="宋体" w:hAnsi="Times New Roman" w:cs="Times New Roman"/>
                <w:sz w:val="21"/>
                <w:szCs w:val="21"/>
                <w14:ligatures w14:val="none"/>
              </w:rPr>
              <w:t>㎡进行设计，结构设计均按国家现行规范要求进行计算及设防。</w:t>
            </w:r>
          </w:p>
        </w:tc>
        <w:tc>
          <w:tcPr>
            <w:tcW w:w="1438" w:type="pct"/>
            <w:vAlign w:val="center"/>
          </w:tcPr>
          <w:p w14:paraId="4AFC8A5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本工程所有埋地设施及基础均采取防冻胀垫层处理措施。</w:t>
            </w:r>
          </w:p>
        </w:tc>
        <w:tc>
          <w:tcPr>
            <w:tcW w:w="555" w:type="pct"/>
            <w:vAlign w:val="center"/>
          </w:tcPr>
          <w:p w14:paraId="55530F3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288CB4C" w14:textId="77777777">
        <w:trPr>
          <w:trHeight w:val="432"/>
          <w:jc w:val="center"/>
        </w:trPr>
        <w:tc>
          <w:tcPr>
            <w:tcW w:w="381" w:type="pct"/>
            <w:vAlign w:val="center"/>
          </w:tcPr>
          <w:p w14:paraId="2B0CC8AA"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247AEC9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防噪声、防灼烫、</w:t>
            </w:r>
            <w:r>
              <w:rPr>
                <w:rFonts w:ascii="Times New Roman" w:eastAsia="宋体" w:hAnsi="Times New Roman" w:cs="Times New Roman"/>
                <w:sz w:val="21"/>
                <w:szCs w:val="21"/>
                <w14:ligatures w14:val="none"/>
              </w:rPr>
              <w:lastRenderedPageBreak/>
              <w:t>防护栏、安全标志、风向标的设置</w:t>
            </w:r>
          </w:p>
        </w:tc>
        <w:tc>
          <w:tcPr>
            <w:tcW w:w="2005" w:type="pct"/>
            <w:vAlign w:val="center"/>
          </w:tcPr>
          <w:p w14:paraId="1AD4081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本站主要的噪声源为潜油泵、加油机等设备。采用的潜油泵、加油机噪声值</w:t>
            </w:r>
            <w:r>
              <w:rPr>
                <w:rFonts w:ascii="Times New Roman" w:eastAsia="宋体" w:hAnsi="Times New Roman" w:cs="Times New Roman"/>
                <w:sz w:val="21"/>
                <w:szCs w:val="21"/>
                <w14:ligatures w14:val="none"/>
              </w:rPr>
              <w:lastRenderedPageBreak/>
              <w:t>符合国家有关要求。</w:t>
            </w:r>
          </w:p>
          <w:p w14:paraId="534852D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加油岛周边设有防撞栏。进出站及加油区设有地面画线。</w:t>
            </w:r>
          </w:p>
        </w:tc>
        <w:tc>
          <w:tcPr>
            <w:tcW w:w="1438" w:type="pct"/>
            <w:vAlign w:val="center"/>
          </w:tcPr>
          <w:p w14:paraId="18A0050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采用的潜油泵、加油机噪声值符合国家有关要求。</w:t>
            </w:r>
          </w:p>
          <w:p w14:paraId="4DEE03C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加油岛周边设有防撞栏。进出站及加油区设有地面画线。</w:t>
            </w:r>
          </w:p>
        </w:tc>
        <w:tc>
          <w:tcPr>
            <w:tcW w:w="555" w:type="pct"/>
            <w:vAlign w:val="center"/>
          </w:tcPr>
          <w:p w14:paraId="3F14F85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318B80BF" w14:textId="77777777">
        <w:trPr>
          <w:trHeight w:val="432"/>
          <w:jc w:val="center"/>
        </w:trPr>
        <w:tc>
          <w:tcPr>
            <w:tcW w:w="381" w:type="pct"/>
            <w:vAlign w:val="center"/>
          </w:tcPr>
          <w:p w14:paraId="74EBEF5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1A4990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个体防护装备的配备</w:t>
            </w:r>
          </w:p>
        </w:tc>
        <w:tc>
          <w:tcPr>
            <w:tcW w:w="2005" w:type="pct"/>
            <w:vAlign w:val="center"/>
          </w:tcPr>
          <w:p w14:paraId="13294761" w14:textId="77777777" w:rsidR="00502148" w:rsidRDefault="00000000">
            <w:pPr>
              <w:tabs>
                <w:tab w:val="left" w:pos="871"/>
              </w:tabs>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按《个体防护装备选用规范》配备个人防护用品，见下表</w:t>
            </w:r>
          </w:p>
          <w:p w14:paraId="31A40E3C" w14:textId="77777777" w:rsidR="00502148" w:rsidRDefault="00000000">
            <w:pPr>
              <w:tabs>
                <w:tab w:val="left" w:pos="871"/>
              </w:tabs>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表</w:t>
            </w:r>
            <w:r>
              <w:rPr>
                <w:rFonts w:ascii="Times New Roman" w:eastAsia="宋体" w:hAnsi="Times New Roman" w:cs="Times New Roman"/>
                <w:bCs/>
                <w:sz w:val="21"/>
                <w:szCs w:val="21"/>
                <w14:ligatures w14:val="none"/>
              </w:rPr>
              <w:t xml:space="preserve">1  </w:t>
            </w:r>
            <w:r>
              <w:rPr>
                <w:rFonts w:ascii="Times New Roman" w:eastAsia="宋体" w:hAnsi="Times New Roman" w:cs="Times New Roman"/>
                <w:bCs/>
                <w:sz w:val="21"/>
                <w:szCs w:val="21"/>
                <w14:ligatures w14:val="none"/>
              </w:rPr>
              <w:t>个体防护装备配备表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2372"/>
            </w:tblGrid>
            <w:tr w:rsidR="00502148" w14:paraId="032C9BD2" w14:textId="77777777">
              <w:trPr>
                <w:trHeight w:val="57"/>
                <w:jc w:val="center"/>
              </w:trPr>
              <w:tc>
                <w:tcPr>
                  <w:tcW w:w="1564" w:type="pct"/>
                  <w:vAlign w:val="center"/>
                </w:tcPr>
                <w:p w14:paraId="7DC2DDE6"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435" w:type="pct"/>
                  <w:vAlign w:val="center"/>
                </w:tcPr>
                <w:p w14:paraId="37C7B30C"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防静电手套</w:t>
                  </w:r>
                </w:p>
              </w:tc>
            </w:tr>
            <w:tr w:rsidR="00502148" w14:paraId="753CDD8E" w14:textId="77777777">
              <w:trPr>
                <w:trHeight w:val="57"/>
                <w:jc w:val="center"/>
              </w:trPr>
              <w:tc>
                <w:tcPr>
                  <w:tcW w:w="1564" w:type="pct"/>
                  <w:vAlign w:val="center"/>
                </w:tcPr>
                <w:p w14:paraId="61626D33"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435" w:type="pct"/>
                  <w:vAlign w:val="center"/>
                </w:tcPr>
                <w:p w14:paraId="18043A4A"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防静电鞋</w:t>
                  </w:r>
                </w:p>
              </w:tc>
            </w:tr>
            <w:tr w:rsidR="00502148" w14:paraId="51242C62" w14:textId="77777777">
              <w:trPr>
                <w:trHeight w:val="57"/>
                <w:jc w:val="center"/>
              </w:trPr>
              <w:tc>
                <w:tcPr>
                  <w:tcW w:w="1564" w:type="pct"/>
                  <w:vAlign w:val="center"/>
                </w:tcPr>
                <w:p w14:paraId="3B0C8506"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3435" w:type="pct"/>
                  <w:vAlign w:val="center"/>
                </w:tcPr>
                <w:p w14:paraId="6A581B82"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化学品防护服</w:t>
                  </w:r>
                </w:p>
              </w:tc>
            </w:tr>
            <w:tr w:rsidR="00502148" w14:paraId="1C28FE71" w14:textId="77777777">
              <w:trPr>
                <w:trHeight w:val="57"/>
                <w:jc w:val="center"/>
              </w:trPr>
              <w:tc>
                <w:tcPr>
                  <w:tcW w:w="1564" w:type="pct"/>
                  <w:vAlign w:val="center"/>
                </w:tcPr>
                <w:p w14:paraId="73C7837D"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3435" w:type="pct"/>
                  <w:vAlign w:val="center"/>
                </w:tcPr>
                <w:p w14:paraId="480C5516"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阻燃防护服</w:t>
                  </w:r>
                </w:p>
              </w:tc>
            </w:tr>
            <w:tr w:rsidR="00502148" w14:paraId="1C7CAF21" w14:textId="77777777">
              <w:trPr>
                <w:trHeight w:val="57"/>
                <w:jc w:val="center"/>
              </w:trPr>
              <w:tc>
                <w:tcPr>
                  <w:tcW w:w="1564" w:type="pct"/>
                  <w:vAlign w:val="center"/>
                </w:tcPr>
                <w:p w14:paraId="6BB5F988"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w:t>
                  </w:r>
                </w:p>
              </w:tc>
              <w:tc>
                <w:tcPr>
                  <w:tcW w:w="3435" w:type="pct"/>
                  <w:vAlign w:val="center"/>
                </w:tcPr>
                <w:p w14:paraId="3F32D75C"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防静电服</w:t>
                  </w:r>
                </w:p>
              </w:tc>
            </w:tr>
            <w:tr w:rsidR="00502148" w14:paraId="34430207" w14:textId="77777777">
              <w:trPr>
                <w:trHeight w:val="57"/>
                <w:jc w:val="center"/>
              </w:trPr>
              <w:tc>
                <w:tcPr>
                  <w:tcW w:w="1564" w:type="pct"/>
                  <w:vAlign w:val="center"/>
                </w:tcPr>
                <w:p w14:paraId="76573C22"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w:t>
                  </w:r>
                </w:p>
              </w:tc>
              <w:tc>
                <w:tcPr>
                  <w:tcW w:w="3435" w:type="pct"/>
                  <w:vAlign w:val="center"/>
                </w:tcPr>
                <w:p w14:paraId="0BAAD892"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棉布工作服</w:t>
                  </w:r>
                </w:p>
              </w:tc>
            </w:tr>
            <w:tr w:rsidR="00502148" w14:paraId="7053BDCA" w14:textId="77777777">
              <w:trPr>
                <w:trHeight w:val="57"/>
                <w:jc w:val="center"/>
              </w:trPr>
              <w:tc>
                <w:tcPr>
                  <w:tcW w:w="1564" w:type="pct"/>
                  <w:vAlign w:val="center"/>
                </w:tcPr>
                <w:p w14:paraId="09B187BC"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c>
                <w:tcPr>
                  <w:tcW w:w="3435" w:type="pct"/>
                  <w:vAlign w:val="center"/>
                </w:tcPr>
                <w:p w14:paraId="7AB0EBD1"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防尘口罩</w:t>
                  </w:r>
                </w:p>
              </w:tc>
            </w:tr>
            <w:tr w:rsidR="00502148" w14:paraId="21C84B63" w14:textId="77777777">
              <w:trPr>
                <w:trHeight w:val="57"/>
                <w:jc w:val="center"/>
              </w:trPr>
              <w:tc>
                <w:tcPr>
                  <w:tcW w:w="1564" w:type="pct"/>
                  <w:vAlign w:val="center"/>
                </w:tcPr>
                <w:p w14:paraId="57A4DACE"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8</w:t>
                  </w:r>
                </w:p>
              </w:tc>
              <w:tc>
                <w:tcPr>
                  <w:tcW w:w="3435" w:type="pct"/>
                  <w:vAlign w:val="center"/>
                </w:tcPr>
                <w:p w14:paraId="6A6AE461"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防毒面具</w:t>
                  </w:r>
                </w:p>
              </w:tc>
            </w:tr>
            <w:tr w:rsidR="00502148" w14:paraId="3D62D5F1" w14:textId="77777777">
              <w:trPr>
                <w:trHeight w:val="57"/>
                <w:jc w:val="center"/>
              </w:trPr>
              <w:tc>
                <w:tcPr>
                  <w:tcW w:w="1564" w:type="pct"/>
                  <w:vAlign w:val="center"/>
                </w:tcPr>
                <w:p w14:paraId="1C00C8E5"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9</w:t>
                  </w:r>
                </w:p>
              </w:tc>
              <w:tc>
                <w:tcPr>
                  <w:tcW w:w="3435" w:type="pct"/>
                  <w:vAlign w:val="center"/>
                </w:tcPr>
                <w:p w14:paraId="6527A7F2"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防尘服</w:t>
                  </w:r>
                </w:p>
              </w:tc>
            </w:tr>
            <w:tr w:rsidR="00502148" w14:paraId="7D7C130E" w14:textId="77777777">
              <w:trPr>
                <w:trHeight w:val="57"/>
                <w:jc w:val="center"/>
              </w:trPr>
              <w:tc>
                <w:tcPr>
                  <w:tcW w:w="1564" w:type="pct"/>
                  <w:vAlign w:val="center"/>
                </w:tcPr>
                <w:p w14:paraId="13B64F07" w14:textId="77777777" w:rsidR="00502148"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10</w:t>
                  </w:r>
                </w:p>
              </w:tc>
              <w:tc>
                <w:tcPr>
                  <w:tcW w:w="3435" w:type="pct"/>
                  <w:vAlign w:val="center"/>
                </w:tcPr>
                <w:p w14:paraId="5402762A" w14:textId="77777777" w:rsidR="00502148" w:rsidRDefault="00000000">
                  <w:pPr>
                    <w:widowControl/>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防寒服</w:t>
                  </w:r>
                </w:p>
              </w:tc>
            </w:tr>
          </w:tbl>
          <w:p w14:paraId="1BF3EC36" w14:textId="77777777" w:rsidR="00502148" w:rsidRDefault="00502148">
            <w:pPr>
              <w:spacing w:line="240" w:lineRule="auto"/>
              <w:ind w:firstLineChars="0" w:firstLine="0"/>
              <w:rPr>
                <w:rFonts w:ascii="Times New Roman" w:eastAsia="宋体" w:hAnsi="Times New Roman" w:cs="Times New Roman"/>
                <w:sz w:val="21"/>
                <w:szCs w:val="21"/>
                <w14:ligatures w14:val="none"/>
              </w:rPr>
            </w:pPr>
          </w:p>
        </w:tc>
        <w:tc>
          <w:tcPr>
            <w:tcW w:w="1438" w:type="pct"/>
            <w:vAlign w:val="center"/>
          </w:tcPr>
          <w:p w14:paraId="77B98B4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w:t>
            </w:r>
            <w:r>
              <w:rPr>
                <w:rFonts w:ascii="Times New Roman" w:eastAsia="宋体" w:hAnsi="Times New Roman" w:cs="Times New Roman" w:hint="eastAsia"/>
                <w:sz w:val="21"/>
                <w:szCs w:val="21"/>
                <w14:ligatures w14:val="none"/>
              </w:rPr>
              <w:t>个体防护装备配备规范</w:t>
            </w:r>
            <w:r>
              <w:rPr>
                <w:rFonts w:ascii="Times New Roman" w:eastAsia="宋体" w:hAnsi="Times New Roman" w:cs="Times New Roman"/>
                <w:sz w:val="21"/>
                <w:szCs w:val="21"/>
                <w14:ligatures w14:val="none"/>
              </w:rPr>
              <w:t>》配备个人防护用品</w:t>
            </w:r>
          </w:p>
        </w:tc>
        <w:tc>
          <w:tcPr>
            <w:tcW w:w="555" w:type="pct"/>
            <w:vAlign w:val="center"/>
          </w:tcPr>
          <w:p w14:paraId="24216E2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2E231BE" w14:textId="77777777">
        <w:trPr>
          <w:trHeight w:val="432"/>
          <w:jc w:val="center"/>
        </w:trPr>
        <w:tc>
          <w:tcPr>
            <w:tcW w:w="5000" w:type="pct"/>
            <w:gridSpan w:val="5"/>
            <w:vAlign w:val="center"/>
          </w:tcPr>
          <w:p w14:paraId="4FD6EA2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八、事故应急措施及安全管理机构</w:t>
            </w:r>
          </w:p>
        </w:tc>
      </w:tr>
      <w:tr w:rsidR="00502148" w14:paraId="29B0EDF2" w14:textId="77777777">
        <w:trPr>
          <w:trHeight w:val="432"/>
          <w:jc w:val="center"/>
        </w:trPr>
        <w:tc>
          <w:tcPr>
            <w:tcW w:w="381" w:type="pct"/>
            <w:vAlign w:val="center"/>
          </w:tcPr>
          <w:p w14:paraId="3A9AE964"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63F870F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事故应急救援设施</w:t>
            </w:r>
          </w:p>
        </w:tc>
        <w:tc>
          <w:tcPr>
            <w:tcW w:w="2005" w:type="pct"/>
            <w:vAlign w:val="center"/>
          </w:tcPr>
          <w:p w14:paraId="4D131AE2"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加油站应配备相应的应急救援设施，医用急救箱、防化手套、绝缘鞋、绝缘手套等。</w:t>
            </w:r>
          </w:p>
        </w:tc>
        <w:tc>
          <w:tcPr>
            <w:tcW w:w="1438" w:type="pct"/>
            <w:vAlign w:val="center"/>
          </w:tcPr>
          <w:p w14:paraId="70FB37C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加油站配备相应的应急救援设施，医用急救箱、防化手套、绝缘鞋、绝缘手套等</w:t>
            </w:r>
          </w:p>
        </w:tc>
        <w:tc>
          <w:tcPr>
            <w:tcW w:w="555" w:type="pct"/>
            <w:vAlign w:val="center"/>
          </w:tcPr>
          <w:p w14:paraId="70989C4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80FFA8A" w14:textId="77777777">
        <w:trPr>
          <w:trHeight w:val="432"/>
          <w:jc w:val="center"/>
        </w:trPr>
        <w:tc>
          <w:tcPr>
            <w:tcW w:w="381" w:type="pct"/>
            <w:vAlign w:val="center"/>
          </w:tcPr>
          <w:p w14:paraId="03A52AC5" w14:textId="77777777" w:rsidR="00502148" w:rsidRDefault="00502148">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266707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EF5D8E7" w14:textId="77777777" w:rsidR="00502148"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生产运行岗位的操作人员上岗前必须进行岗前技能培训和安全培训。电工应经过劳动及电力部门的培训并取得上岗证。</w:t>
            </w:r>
          </w:p>
        </w:tc>
        <w:tc>
          <w:tcPr>
            <w:tcW w:w="1438" w:type="pct"/>
            <w:vAlign w:val="center"/>
          </w:tcPr>
          <w:p w14:paraId="188EF50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生产运行岗位的操作人员上岗前必须进行岗前技能培训和安全培训。电工经过劳动及电力部门的培训并取得上岗证</w:t>
            </w:r>
          </w:p>
        </w:tc>
        <w:tc>
          <w:tcPr>
            <w:tcW w:w="555" w:type="pct"/>
            <w:vAlign w:val="center"/>
          </w:tcPr>
          <w:p w14:paraId="3F59EE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bl>
    <w:p w14:paraId="180B6896"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0" w:name="_Toc11758"/>
      <w:r>
        <w:rPr>
          <w:rFonts w:ascii="Times New Roman" w:eastAsia="楷体" w:hAnsi="Times New Roman" w:cs="Times New Roman"/>
          <w:b/>
          <w:bCs/>
          <w:sz w:val="32"/>
          <w:szCs w:val="32"/>
        </w:rPr>
        <w:t>6.4</w:t>
      </w:r>
      <w:r>
        <w:rPr>
          <w:rFonts w:ascii="Times New Roman" w:eastAsia="楷体" w:hAnsi="Times New Roman" w:cs="Times New Roman"/>
          <w:b/>
          <w:bCs/>
          <w:sz w:val="32"/>
          <w:szCs w:val="32"/>
        </w:rPr>
        <w:t>事故案例分析</w:t>
      </w:r>
      <w:bookmarkEnd w:id="70"/>
    </w:p>
    <w:p w14:paraId="08B7FE10" w14:textId="77777777" w:rsidR="00502148" w:rsidRDefault="00000000">
      <w:pPr>
        <w:ind w:firstLine="560"/>
        <w:rPr>
          <w:rFonts w:ascii="Times New Roman" w:eastAsia="宋体" w:hAnsi="Times New Roman"/>
        </w:rPr>
      </w:pPr>
      <w:r>
        <w:rPr>
          <w:rFonts w:ascii="Times New Roman" w:eastAsia="宋体" w:hAnsi="Times New Roman"/>
        </w:rPr>
        <w:t>案例</w:t>
      </w:r>
      <w:r>
        <w:rPr>
          <w:rFonts w:ascii="Times New Roman" w:eastAsia="宋体" w:hAnsi="Times New Roman" w:hint="eastAsia"/>
        </w:rPr>
        <w:t>一</w:t>
      </w:r>
      <w:r>
        <w:rPr>
          <w:rFonts w:ascii="Times New Roman" w:eastAsia="宋体" w:hAnsi="Times New Roman"/>
        </w:rPr>
        <w:t>：临海市顺风加油站爆燃事故</w:t>
      </w:r>
    </w:p>
    <w:p w14:paraId="159A6ECD"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）加油站基本状况</w:t>
      </w:r>
    </w:p>
    <w:p w14:paraId="609970C8" w14:textId="77777777" w:rsidR="00502148" w:rsidRDefault="00000000">
      <w:pPr>
        <w:ind w:firstLine="560"/>
        <w:rPr>
          <w:rFonts w:ascii="Times New Roman" w:eastAsia="宋体" w:hAnsi="Times New Roman"/>
        </w:rPr>
      </w:pPr>
      <w:r>
        <w:rPr>
          <w:rFonts w:ascii="Times New Roman" w:eastAsia="宋体" w:hAnsi="Times New Roman"/>
        </w:rPr>
        <w:t>临海市顺风加油站，位于临海市桃渚镇项庄村西边马路旁，法人代表：项某。加油站储备、经营</w:t>
      </w:r>
      <w:r>
        <w:rPr>
          <w:rFonts w:ascii="Times New Roman" w:eastAsia="宋体" w:hAnsi="Times New Roman"/>
        </w:rPr>
        <w:t>93</w:t>
      </w:r>
      <w:r>
        <w:rPr>
          <w:rFonts w:ascii="Times New Roman" w:eastAsia="宋体" w:hAnsi="Times New Roman"/>
        </w:rPr>
        <w:t>号车用乙醇汽油和</w:t>
      </w:r>
      <w:r>
        <w:rPr>
          <w:rFonts w:ascii="Times New Roman" w:eastAsia="宋体" w:hAnsi="Times New Roman"/>
        </w:rPr>
        <w:t>0</w:t>
      </w:r>
      <w:r>
        <w:rPr>
          <w:rFonts w:ascii="Times New Roman" w:eastAsia="宋体" w:hAnsi="Times New Roman"/>
        </w:rPr>
        <w:t>号柴油两种成品油。站内有两个地下储油罐，每个储油罐约</w:t>
      </w:r>
      <w:r>
        <w:rPr>
          <w:rFonts w:ascii="Times New Roman" w:eastAsia="宋体" w:hAnsi="Times New Roman"/>
        </w:rPr>
        <w:t>24</w:t>
      </w:r>
      <w:r>
        <w:rPr>
          <w:rFonts w:ascii="Times New Roman" w:eastAsia="宋体" w:hAnsi="Times New Roman"/>
        </w:rPr>
        <w:t>吨。</w:t>
      </w:r>
    </w:p>
    <w:p w14:paraId="79889F57"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）事故经过</w:t>
      </w:r>
    </w:p>
    <w:p w14:paraId="0955C206" w14:textId="77777777" w:rsidR="00502148" w:rsidRDefault="00000000">
      <w:pPr>
        <w:ind w:firstLine="560"/>
        <w:rPr>
          <w:rFonts w:ascii="Times New Roman" w:eastAsia="宋体" w:hAnsi="Times New Roman"/>
        </w:rPr>
      </w:pPr>
      <w:r>
        <w:rPr>
          <w:rFonts w:ascii="Times New Roman" w:eastAsia="宋体" w:hAnsi="Times New Roman"/>
        </w:rPr>
        <w:t>2022</w:t>
      </w:r>
      <w:r>
        <w:rPr>
          <w:rFonts w:ascii="Times New Roman" w:eastAsia="宋体" w:hAnsi="Times New Roman"/>
        </w:rPr>
        <w:t>年</w:t>
      </w:r>
      <w:r>
        <w:rPr>
          <w:rFonts w:ascii="Times New Roman" w:eastAsia="宋体" w:hAnsi="Times New Roman"/>
        </w:rPr>
        <w:t>6</w:t>
      </w:r>
      <w:r>
        <w:rPr>
          <w:rFonts w:ascii="Times New Roman" w:eastAsia="宋体" w:hAnsi="Times New Roman"/>
        </w:rPr>
        <w:t>月</w:t>
      </w:r>
      <w:r>
        <w:rPr>
          <w:rFonts w:ascii="Times New Roman" w:eastAsia="宋体" w:hAnsi="Times New Roman"/>
        </w:rPr>
        <w:t>1</w:t>
      </w:r>
      <w:r>
        <w:rPr>
          <w:rFonts w:ascii="Times New Roman" w:eastAsia="宋体" w:hAnsi="Times New Roman"/>
        </w:rPr>
        <w:t>日中午，满载车用乙醇汽油（</w:t>
      </w:r>
      <w:r>
        <w:rPr>
          <w:rFonts w:ascii="Times New Roman" w:eastAsia="宋体" w:hAnsi="Times New Roman"/>
        </w:rPr>
        <w:t>29.48t</w:t>
      </w:r>
      <w:r>
        <w:rPr>
          <w:rFonts w:ascii="Times New Roman" w:eastAsia="宋体" w:hAnsi="Times New Roman"/>
        </w:rPr>
        <w:t>）的浙</w:t>
      </w:r>
      <w:r>
        <w:rPr>
          <w:rFonts w:ascii="Times New Roman" w:eastAsia="宋体" w:hAnsi="Times New Roman"/>
        </w:rPr>
        <w:t>BR257</w:t>
      </w:r>
      <w:r>
        <w:rPr>
          <w:rFonts w:ascii="Times New Roman" w:eastAsia="宋体" w:hAnsi="Times New Roman"/>
        </w:rPr>
        <w:t>大油罐车到达临海市顺风加油站，并在</w:t>
      </w:r>
      <w:r>
        <w:rPr>
          <w:rFonts w:ascii="Times New Roman" w:eastAsia="宋体" w:hAnsi="Times New Roman"/>
        </w:rPr>
        <w:t>11</w:t>
      </w:r>
      <w:r>
        <w:rPr>
          <w:rFonts w:ascii="Times New Roman" w:eastAsia="宋体" w:hAnsi="Times New Roman"/>
        </w:rPr>
        <w:t>点</w:t>
      </w:r>
      <w:r>
        <w:rPr>
          <w:rFonts w:ascii="Times New Roman" w:eastAsia="宋体" w:hAnsi="Times New Roman"/>
        </w:rPr>
        <w:t>50</w:t>
      </w:r>
      <w:r>
        <w:rPr>
          <w:rFonts w:ascii="Times New Roman" w:eastAsia="宋体" w:hAnsi="Times New Roman"/>
        </w:rPr>
        <w:t>分左右起先向加油站地下储油罐卸油，当时加油站卸油作业现场人员有林某（浙</w:t>
      </w:r>
      <w:r>
        <w:rPr>
          <w:rFonts w:ascii="Times New Roman" w:eastAsia="宋体" w:hAnsi="Times New Roman"/>
        </w:rPr>
        <w:t>BR257</w:t>
      </w:r>
      <w:r>
        <w:rPr>
          <w:rFonts w:ascii="Times New Roman" w:eastAsia="宋体" w:hAnsi="Times New Roman"/>
        </w:rPr>
        <w:t>大油罐车驾驶员，事故</w:t>
      </w:r>
      <w:r>
        <w:rPr>
          <w:rFonts w:ascii="Times New Roman" w:eastAsia="宋体" w:hAnsi="Times New Roman"/>
        </w:rPr>
        <w:lastRenderedPageBreak/>
        <w:t>发生时在副驾驶室）、潘某（浙</w:t>
      </w:r>
      <w:r>
        <w:rPr>
          <w:rFonts w:ascii="Times New Roman" w:eastAsia="宋体" w:hAnsi="Times New Roman"/>
        </w:rPr>
        <w:t>BR257</w:t>
      </w:r>
      <w:r>
        <w:rPr>
          <w:rFonts w:ascii="Times New Roman" w:eastAsia="宋体" w:hAnsi="Times New Roman"/>
        </w:rPr>
        <w:t>大油罐车押送员）、朱某（加油站工作人员，小油罐车浙</w:t>
      </w:r>
      <w:r>
        <w:rPr>
          <w:rFonts w:ascii="Times New Roman" w:eastAsia="宋体" w:hAnsi="Times New Roman"/>
        </w:rPr>
        <w:t>J76829</w:t>
      </w:r>
      <w:r>
        <w:rPr>
          <w:rFonts w:ascii="Times New Roman" w:eastAsia="宋体" w:hAnsi="Times New Roman"/>
        </w:rPr>
        <w:t>驾驶员）等</w:t>
      </w:r>
      <w:r>
        <w:rPr>
          <w:rFonts w:ascii="Times New Roman" w:eastAsia="宋体" w:hAnsi="Times New Roman"/>
        </w:rPr>
        <w:t>3</w:t>
      </w:r>
      <w:r>
        <w:rPr>
          <w:rFonts w:ascii="Times New Roman" w:eastAsia="宋体" w:hAnsi="Times New Roman"/>
        </w:rPr>
        <w:t>人。</w:t>
      </w:r>
    </w:p>
    <w:p w14:paraId="3A010592" w14:textId="77777777" w:rsidR="00502148" w:rsidRDefault="00000000">
      <w:pPr>
        <w:ind w:firstLine="560"/>
        <w:rPr>
          <w:rFonts w:ascii="Times New Roman" w:eastAsia="宋体" w:hAnsi="Times New Roman"/>
        </w:rPr>
      </w:pPr>
      <w:r>
        <w:rPr>
          <w:rFonts w:ascii="Times New Roman" w:eastAsia="宋体" w:hAnsi="Times New Roman"/>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w:t>
      </w:r>
      <w:r>
        <w:rPr>
          <w:rFonts w:ascii="Times New Roman" w:eastAsia="宋体" w:hAnsi="Times New Roman"/>
        </w:rPr>
        <w:t>J76829</w:t>
      </w:r>
      <w:r>
        <w:rPr>
          <w:rFonts w:ascii="Times New Roman" w:eastAsia="宋体" w:hAnsi="Times New Roman"/>
        </w:rPr>
        <w:t>小型油罐车从大油罐车吸油。因为抽油时，须要开启抽油泵，抽油泵利用小油罐车的发动机作为动力，因此整个抽油作业过程中小油罐车的发动机并未熄火。</w:t>
      </w:r>
      <w:r>
        <w:rPr>
          <w:rFonts w:ascii="Times New Roman" w:eastAsia="宋体" w:hAnsi="Times New Roman"/>
        </w:rPr>
        <w:t>12</w:t>
      </w:r>
      <w:r>
        <w:rPr>
          <w:rFonts w:ascii="Times New Roman" w:eastAsia="宋体" w:hAnsi="Times New Roman"/>
        </w:rPr>
        <w:t>点</w:t>
      </w:r>
      <w:r>
        <w:rPr>
          <w:rFonts w:ascii="Times New Roman" w:eastAsia="宋体" w:hAnsi="Times New Roman"/>
        </w:rPr>
        <w:t>30</w:t>
      </w:r>
      <w:r>
        <w:rPr>
          <w:rFonts w:ascii="Times New Roman" w:eastAsia="宋体" w:hAnsi="Times New Roman"/>
        </w:rPr>
        <w:t>分左右，当朱某从小油罐车车顶下来，去开车门的时候，突然发生爆燃，瞬间火焰高窜，朱某被火焰烧伤。火焰甚至喷到距地面有</w:t>
      </w:r>
      <w:r>
        <w:rPr>
          <w:rFonts w:ascii="Times New Roman" w:eastAsia="宋体" w:hAnsi="Times New Roman"/>
        </w:rPr>
        <w:t>5</w:t>
      </w:r>
      <w:r>
        <w:rPr>
          <w:rFonts w:ascii="Times New Roman" w:eastAsia="宋体" w:hAnsi="Times New Roman"/>
        </w:rPr>
        <w:t>米高的潘某，将其右脸颊和手灼伤。</w:t>
      </w:r>
    </w:p>
    <w:p w14:paraId="543F7E04" w14:textId="77777777" w:rsidR="00502148" w:rsidRDefault="00000000">
      <w:pPr>
        <w:ind w:firstLine="560"/>
        <w:rPr>
          <w:rFonts w:ascii="Times New Roman" w:eastAsia="宋体" w:hAnsi="Times New Roman"/>
        </w:rPr>
      </w:pPr>
      <w:r>
        <w:rPr>
          <w:rFonts w:ascii="Times New Roman" w:eastAsia="宋体" w:hAnsi="Times New Roman"/>
        </w:rPr>
        <w:t>12</w:t>
      </w:r>
      <w:r>
        <w:rPr>
          <w:rFonts w:ascii="Times New Roman" w:eastAsia="宋体" w:hAnsi="Times New Roman"/>
        </w:rPr>
        <w:t>时</w:t>
      </w:r>
      <w:r>
        <w:rPr>
          <w:rFonts w:ascii="Times New Roman" w:eastAsia="宋体" w:hAnsi="Times New Roman"/>
        </w:rPr>
        <w:t>40</w:t>
      </w:r>
      <w:r>
        <w:rPr>
          <w:rFonts w:ascii="Times New Roman" w:eastAsia="宋体" w:hAnsi="Times New Roman"/>
        </w:rPr>
        <w:t>分，临海市消防大队接到临海市公安局指挥中心指令，马上出动</w:t>
      </w:r>
      <w:r>
        <w:rPr>
          <w:rFonts w:ascii="Times New Roman" w:eastAsia="宋体" w:hAnsi="Times New Roman"/>
        </w:rPr>
        <w:t>7</w:t>
      </w:r>
      <w:r>
        <w:rPr>
          <w:rFonts w:ascii="Times New Roman" w:eastAsia="宋体" w:hAnsi="Times New Roman"/>
        </w:rPr>
        <w:t>辆消防车和</w:t>
      </w:r>
      <w:r>
        <w:rPr>
          <w:rFonts w:ascii="Times New Roman" w:eastAsia="宋体" w:hAnsi="Times New Roman"/>
        </w:rPr>
        <w:t>42</w:t>
      </w:r>
      <w:r>
        <w:rPr>
          <w:rFonts w:ascii="Times New Roman" w:eastAsia="宋体" w:hAnsi="Times New Roman"/>
        </w:rPr>
        <w:t>名消防官兵赶往火灾现场。经过消防官兵奋力扑救，大火于</w:t>
      </w:r>
      <w:r>
        <w:rPr>
          <w:rFonts w:ascii="Times New Roman" w:eastAsia="宋体" w:hAnsi="Times New Roman"/>
        </w:rPr>
        <w:t>15</w:t>
      </w:r>
      <w:r>
        <w:rPr>
          <w:rFonts w:ascii="Times New Roman" w:eastAsia="宋体" w:hAnsi="Times New Roman"/>
        </w:rPr>
        <w:t>时左右被扑灭，此次火灾造成</w:t>
      </w:r>
      <w:r>
        <w:rPr>
          <w:rFonts w:ascii="Times New Roman" w:eastAsia="宋体" w:hAnsi="Times New Roman"/>
        </w:rPr>
        <w:t>2</w:t>
      </w:r>
      <w:r>
        <w:rPr>
          <w:rFonts w:ascii="Times New Roman" w:eastAsia="宋体" w:hAnsi="Times New Roman"/>
        </w:rPr>
        <w:t>人受伤。</w:t>
      </w:r>
    </w:p>
    <w:p w14:paraId="22D2405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）事故缘由</w:t>
      </w:r>
    </w:p>
    <w:p w14:paraId="76FAF7C2" w14:textId="77777777" w:rsidR="00502148" w:rsidRDefault="00000000">
      <w:pPr>
        <w:ind w:firstLine="560"/>
        <w:rPr>
          <w:rFonts w:ascii="Times New Roman" w:eastAsia="宋体" w:hAnsi="Times New Roman"/>
        </w:rPr>
      </w:pPr>
      <w:r>
        <w:rPr>
          <w:rFonts w:ascii="Times New Roman" w:eastAsia="宋体" w:hAnsi="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4FFC97C"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）事故教训</w:t>
      </w:r>
    </w:p>
    <w:p w14:paraId="33E16533" w14:textId="77777777" w:rsidR="00502148"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加油站工作人员风险防范意识淡薄。加油站工作人员朱某用来分装车用乙醇汽油的小型油罐车没有独立的抽油泵，利用外部抽油泵并利用车辆发动机作为动力，因此整个抽油作业过程中小油罐车的发动机并未熄火，且该车排气管未安装阻火器，在这种状况下，当事人还是贸然利用此车抽吸车用乙醇汽油，导致发生爆燃事故。</w:t>
      </w:r>
    </w:p>
    <w:p w14:paraId="68F4367B" w14:textId="77777777" w:rsidR="00502148" w:rsidRDefault="00000000">
      <w:pPr>
        <w:ind w:firstLine="560"/>
        <w:rPr>
          <w:rFonts w:ascii="Times New Roman" w:eastAsia="宋体" w:hAnsi="Times New Roman"/>
        </w:rPr>
      </w:pPr>
      <w:r>
        <w:rPr>
          <w:rFonts w:ascii="宋体" w:eastAsia="宋体" w:hAnsi="宋体" w:cs="宋体" w:hint="eastAsia"/>
        </w:rPr>
        <w:lastRenderedPageBreak/>
        <w:t>②</w:t>
      </w:r>
      <w:r>
        <w:rPr>
          <w:rFonts w:ascii="Times New Roman" w:eastAsia="宋体" w:hAnsi="Times New Roman"/>
        </w:rPr>
        <w:t>加油站安全防范措施不到位。</w:t>
      </w:r>
    </w:p>
    <w:p w14:paraId="7BDB0E88" w14:textId="77777777" w:rsidR="00502148" w:rsidRDefault="00000000">
      <w:pPr>
        <w:ind w:firstLine="560"/>
        <w:rPr>
          <w:rFonts w:ascii="Times New Roman" w:eastAsia="宋体" w:hAnsi="Times New Roman"/>
        </w:rPr>
      </w:pPr>
      <w:r>
        <w:rPr>
          <w:rFonts w:ascii="宋体" w:eastAsia="宋体" w:hAnsi="宋体" w:cs="宋体" w:hint="eastAsia"/>
        </w:rPr>
        <w:t>③</w:t>
      </w:r>
      <w:r>
        <w:rPr>
          <w:rFonts w:ascii="Times New Roman" w:eastAsia="宋体" w:hAns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车用乙醇汽油外漏，致使小油罐车下方积聚大量油气。</w:t>
      </w:r>
    </w:p>
    <w:p w14:paraId="1DC96F4B" w14:textId="77777777" w:rsidR="00502148" w:rsidRDefault="00000000">
      <w:pPr>
        <w:ind w:firstLine="560"/>
        <w:rPr>
          <w:rFonts w:ascii="Times New Roman" w:eastAsia="宋体" w:hAnsi="Times New Roman"/>
        </w:rPr>
      </w:pPr>
      <w:r>
        <w:rPr>
          <w:rFonts w:ascii="Times New Roman" w:eastAsia="宋体" w:hAnsi="Times New Roman"/>
        </w:rPr>
        <w:t>案例</w:t>
      </w:r>
      <w:r>
        <w:rPr>
          <w:rFonts w:ascii="Times New Roman" w:eastAsia="宋体" w:hAnsi="Times New Roman" w:hint="eastAsia"/>
        </w:rPr>
        <w:t>二</w:t>
      </w:r>
      <w:r>
        <w:rPr>
          <w:rFonts w:ascii="Times New Roman" w:eastAsia="宋体" w:hAnsi="Times New Roman"/>
        </w:rPr>
        <w:t>：山东济南分公司第</w:t>
      </w:r>
      <w:r>
        <w:rPr>
          <w:rFonts w:ascii="Times New Roman" w:eastAsia="宋体" w:hAnsi="Times New Roman"/>
        </w:rPr>
        <w:t>63</w:t>
      </w:r>
      <w:r>
        <w:rPr>
          <w:rFonts w:ascii="Times New Roman" w:eastAsia="宋体" w:hAnsi="Times New Roman"/>
        </w:rPr>
        <w:t>加油站施工闪爆事故</w:t>
      </w:r>
    </w:p>
    <w:p w14:paraId="53BF5BB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）事故概况</w:t>
      </w:r>
    </w:p>
    <w:p w14:paraId="6F2DB87E" w14:textId="77777777" w:rsidR="00502148" w:rsidRDefault="00000000">
      <w:pPr>
        <w:ind w:firstLine="560"/>
        <w:rPr>
          <w:rFonts w:ascii="Times New Roman" w:eastAsia="宋体" w:hAnsi="Times New Roman"/>
        </w:rPr>
      </w:pPr>
      <w:r>
        <w:rPr>
          <w:rFonts w:ascii="Times New Roman" w:eastAsia="宋体" w:hAnsi="Times New Roman"/>
        </w:rPr>
        <w:t>2022</w:t>
      </w:r>
      <w:r>
        <w:rPr>
          <w:rFonts w:ascii="Times New Roman" w:eastAsia="宋体" w:hAnsi="Times New Roman"/>
        </w:rPr>
        <w:t>年</w:t>
      </w:r>
      <w:r>
        <w:rPr>
          <w:rFonts w:ascii="Times New Roman" w:eastAsia="宋体" w:hAnsi="Times New Roman"/>
        </w:rPr>
        <w:t>9</w:t>
      </w:r>
      <w:r>
        <w:rPr>
          <w:rFonts w:ascii="Times New Roman" w:eastAsia="宋体" w:hAnsi="Times New Roman"/>
        </w:rPr>
        <w:t>月</w:t>
      </w:r>
      <w:r>
        <w:rPr>
          <w:rFonts w:ascii="Times New Roman" w:eastAsia="宋体" w:hAnsi="Times New Roman"/>
        </w:rPr>
        <w:t>8</w:t>
      </w:r>
      <w:r>
        <w:rPr>
          <w:rFonts w:ascii="Times New Roman" w:eastAsia="宋体" w:hAnsi="Times New Roman"/>
        </w:rPr>
        <w:t>日</w:t>
      </w:r>
      <w:r>
        <w:rPr>
          <w:rFonts w:ascii="Times New Roman" w:eastAsia="宋体" w:hAnsi="Times New Roman"/>
        </w:rPr>
        <w:t>15:40</w:t>
      </w:r>
      <w:r>
        <w:rPr>
          <w:rFonts w:ascii="Times New Roman" w:eastAsia="宋体" w:hAnsi="Times New Roman"/>
        </w:rPr>
        <w:t>左右，山东济南分公司第</w:t>
      </w:r>
      <w:r>
        <w:rPr>
          <w:rFonts w:ascii="Times New Roman" w:eastAsia="宋体" w:hAnsi="Times New Roman"/>
        </w:rPr>
        <w:t>63</w:t>
      </w:r>
      <w:r>
        <w:rPr>
          <w:rFonts w:ascii="Times New Roman" w:eastAsia="宋体" w:hAnsi="Times New Roman"/>
        </w:rPr>
        <w:t>加油站在安装加油机和潜油泵过程中，由于油罐人孔盖不符合安装潜油泵的条件，对油罐人孔盖进行改造，承包商天津华北有色建设工程公司山东分公司的施工人员，擅自用自带泵将</w:t>
      </w:r>
      <w:r>
        <w:rPr>
          <w:rFonts w:ascii="Times New Roman" w:eastAsia="宋体" w:hAnsi="Times New Roman"/>
        </w:rPr>
        <w:t>2</w:t>
      </w:r>
      <w:r>
        <w:rPr>
          <w:rFonts w:ascii="Times New Roman" w:eastAsia="宋体" w:hAnsi="Times New Roman"/>
        </w:rPr>
        <w:t>号埋地罐中的注水抽空，并在无人监控的状况下，在操作井边沿用气割对油罐法兰盘、管线短管开坡口，切割过程中，引燃油罐内残余油气发生闪爆，李洪革当即受伤，送医院经抢救无效，于</w:t>
      </w:r>
      <w:r>
        <w:rPr>
          <w:rFonts w:ascii="Times New Roman" w:eastAsia="宋体" w:hAnsi="Times New Roman"/>
        </w:rPr>
        <w:t>9</w:t>
      </w:r>
      <w:r>
        <w:rPr>
          <w:rFonts w:ascii="Times New Roman" w:eastAsia="宋体" w:hAnsi="Times New Roman"/>
        </w:rPr>
        <w:t>月</w:t>
      </w:r>
      <w:r>
        <w:rPr>
          <w:rFonts w:ascii="Times New Roman" w:eastAsia="宋体" w:hAnsi="Times New Roman"/>
        </w:rPr>
        <w:t>9</w:t>
      </w:r>
      <w:r>
        <w:rPr>
          <w:rFonts w:ascii="Times New Roman" w:eastAsia="宋体" w:hAnsi="Times New Roman"/>
        </w:rPr>
        <w:t>日凌晨死亡。</w:t>
      </w:r>
    </w:p>
    <w:p w14:paraId="480BAB24"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）事故原因及分析</w:t>
      </w:r>
    </w:p>
    <w:p w14:paraId="02B1572D" w14:textId="77777777" w:rsidR="00502148" w:rsidRDefault="00000000">
      <w:pPr>
        <w:ind w:firstLine="560"/>
        <w:rPr>
          <w:rFonts w:ascii="Times New Roman" w:eastAsia="宋体" w:hAnsi="Times New Roman"/>
        </w:rPr>
      </w:pPr>
      <w:r>
        <w:rPr>
          <w:rFonts w:ascii="Times New Roman" w:eastAsia="宋体" w:hAnsi="Times New Roman"/>
        </w:rPr>
        <w:t>这是一起典型的施工组织混乱、施工安全监管不严、安全制度落实不到位造成的事故。</w:t>
      </w:r>
    </w:p>
    <w:p w14:paraId="686A1DAE" w14:textId="77777777" w:rsidR="00502148"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事故发生的直接缘由</w:t>
      </w:r>
    </w:p>
    <w:p w14:paraId="4A018F3A" w14:textId="77777777" w:rsidR="00502148" w:rsidRDefault="00000000">
      <w:pPr>
        <w:ind w:firstLine="560"/>
        <w:rPr>
          <w:rFonts w:ascii="Times New Roman" w:eastAsia="宋体" w:hAnsi="Times New Roman"/>
        </w:rPr>
      </w:pPr>
      <w:r>
        <w:rPr>
          <w:rFonts w:ascii="Times New Roman" w:eastAsia="宋体" w:hAnsi="Times New Roman"/>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8E08DF2" w14:textId="77777777" w:rsidR="00502148" w:rsidRDefault="00000000">
      <w:pPr>
        <w:ind w:firstLine="560"/>
        <w:rPr>
          <w:rFonts w:ascii="Times New Roman" w:eastAsia="宋体" w:hAnsi="Times New Roman"/>
        </w:rPr>
      </w:pPr>
      <w:r>
        <w:rPr>
          <w:rFonts w:ascii="宋体" w:eastAsia="宋体" w:hAnsi="宋体" w:cs="宋体" w:hint="eastAsia"/>
        </w:rPr>
        <w:t>②</w:t>
      </w:r>
      <w:r>
        <w:rPr>
          <w:rFonts w:ascii="Times New Roman" w:eastAsia="宋体" w:hAnsi="Times New Roman"/>
        </w:rPr>
        <w:t>事故发生的间接缘由</w:t>
      </w:r>
    </w:p>
    <w:p w14:paraId="19B249A5" w14:textId="77777777" w:rsidR="00502148" w:rsidRDefault="00000000">
      <w:pPr>
        <w:ind w:firstLine="560"/>
        <w:rPr>
          <w:rFonts w:ascii="Times New Roman" w:eastAsia="宋体" w:hAnsi="Times New Roman"/>
        </w:rPr>
      </w:pPr>
      <w:r>
        <w:rPr>
          <w:rFonts w:ascii="Times New Roman" w:eastAsia="宋体" w:hAnsi="Times New Roman"/>
        </w:rPr>
        <w:t>a.</w:t>
      </w:r>
      <w:r>
        <w:rPr>
          <w:rFonts w:ascii="Times New Roman" w:eastAsia="宋体" w:hAnsi="Times New Roman"/>
        </w:rPr>
        <w:t>济南分公司没有落实集团公司新、改、扩建项目</w:t>
      </w:r>
      <w:r>
        <w:rPr>
          <w:rFonts w:ascii="Times New Roman" w:eastAsia="宋体" w:hAnsi="Times New Roman" w:hint="eastAsia"/>
        </w:rPr>
        <w:t>“</w:t>
      </w:r>
      <w:r>
        <w:rPr>
          <w:rFonts w:ascii="Times New Roman" w:eastAsia="宋体" w:hAnsi="Times New Roman"/>
        </w:rPr>
        <w:t>三同时</w:t>
      </w:r>
      <w:r>
        <w:rPr>
          <w:rFonts w:ascii="Times New Roman" w:eastAsia="宋体" w:hAnsi="Times New Roman" w:hint="eastAsia"/>
        </w:rPr>
        <w:t>”</w:t>
      </w:r>
      <w:r>
        <w:rPr>
          <w:rFonts w:ascii="Times New Roman" w:eastAsia="宋体" w:hAnsi="Times New Roman"/>
        </w:rPr>
        <w:t>管理规定，对施工单位资质审查不严，导致不具备施工资质的单位进站施工，为事故的</w:t>
      </w:r>
      <w:r>
        <w:rPr>
          <w:rFonts w:ascii="Times New Roman" w:eastAsia="宋体" w:hAnsi="Times New Roman"/>
        </w:rPr>
        <w:lastRenderedPageBreak/>
        <w:t>发生埋下了隐患。</w:t>
      </w:r>
    </w:p>
    <w:p w14:paraId="67BFF26A" w14:textId="77777777" w:rsidR="00502148" w:rsidRDefault="00000000">
      <w:pPr>
        <w:ind w:firstLine="560"/>
        <w:rPr>
          <w:rFonts w:ascii="Times New Roman" w:eastAsia="宋体" w:hAnsi="Times New Roman"/>
        </w:rPr>
      </w:pPr>
      <w:r>
        <w:rPr>
          <w:rFonts w:ascii="Times New Roman" w:eastAsia="宋体" w:hAnsi="Times New Roman"/>
        </w:rPr>
        <w:t>b.</w:t>
      </w:r>
      <w:r>
        <w:rPr>
          <w:rFonts w:ascii="Times New Roman" w:eastAsia="宋体" w:hAnsi="Times New Roman"/>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9C3C48B" w14:textId="77777777" w:rsidR="00502148" w:rsidRDefault="00000000">
      <w:pPr>
        <w:ind w:firstLine="560"/>
        <w:rPr>
          <w:rFonts w:ascii="Times New Roman" w:eastAsia="宋体" w:hAnsi="Times New Roman"/>
        </w:rPr>
      </w:pPr>
      <w:r>
        <w:rPr>
          <w:rFonts w:ascii="Times New Roman" w:eastAsia="宋体" w:hAnsi="Times New Roman"/>
        </w:rPr>
        <w:t>c.</w:t>
      </w:r>
      <w:r>
        <w:rPr>
          <w:rFonts w:ascii="Times New Roman" w:eastAsia="宋体" w:hAnsi="Times New Roman"/>
        </w:rPr>
        <w:t>施工现场监管严重失职，现场监管责任人（站长）对动火等重大安全作业监管不力，现场安全监督职责未执行到位。</w:t>
      </w:r>
    </w:p>
    <w:p w14:paraId="7657E1E2" w14:textId="77777777" w:rsidR="00502148" w:rsidRDefault="00000000">
      <w:pPr>
        <w:ind w:firstLine="560"/>
        <w:rPr>
          <w:rFonts w:ascii="Times New Roman" w:eastAsia="宋体" w:hAnsi="Times New Roman"/>
        </w:rPr>
      </w:pPr>
      <w:r>
        <w:rPr>
          <w:rFonts w:ascii="Times New Roman" w:eastAsia="宋体" w:hAnsi="Times New Roman"/>
        </w:rPr>
        <w:t>d.</w:t>
      </w:r>
      <w:r>
        <w:rPr>
          <w:rFonts w:ascii="Times New Roman" w:eastAsia="宋体" w:hAnsi="Times New Roman"/>
        </w:rPr>
        <w:t>济南分公司对施工人员安全教化制度落实不到位，对外来施工人员安全教化没有针对性、走过场，施工人员对危害不了解，违规施工成为必定。</w:t>
      </w:r>
    </w:p>
    <w:p w14:paraId="24818FB1"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）事故教训</w:t>
      </w:r>
    </w:p>
    <w:p w14:paraId="1972450E" w14:textId="77777777" w:rsidR="00502148" w:rsidRDefault="00000000">
      <w:pPr>
        <w:ind w:firstLine="560"/>
        <w:rPr>
          <w:rFonts w:ascii="Times New Roman" w:eastAsia="宋体" w:hAnsi="Times New Roman"/>
        </w:rPr>
      </w:pPr>
      <w:r>
        <w:rPr>
          <w:rFonts w:ascii="Times New Roman" w:eastAsia="宋体" w:hAnsi="Times New Roman"/>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ascii="Times New Roman" w:eastAsia="宋体" w:hAnsi="Times New Roman" w:hint="eastAsia"/>
        </w:rPr>
        <w:t>“</w:t>
      </w:r>
      <w:r>
        <w:rPr>
          <w:rFonts w:ascii="Times New Roman" w:eastAsia="宋体" w:hAnsi="Times New Roman"/>
        </w:rPr>
        <w:t>以包代管</w:t>
      </w:r>
      <w:r>
        <w:rPr>
          <w:rFonts w:ascii="Times New Roman" w:eastAsia="宋体" w:hAnsi="Times New Roman" w:hint="eastAsia"/>
        </w:rPr>
        <w:t>”</w:t>
      </w:r>
      <w:r>
        <w:rPr>
          <w:rFonts w:ascii="Times New Roman" w:eastAsia="宋体" w:hAnsi="Times New Roman"/>
        </w:rPr>
        <w:t>现象。</w:t>
      </w:r>
    </w:p>
    <w:p w14:paraId="4FCFF610" w14:textId="77777777" w:rsidR="00502148" w:rsidRDefault="00000000">
      <w:pPr>
        <w:ind w:firstLine="560"/>
        <w:rPr>
          <w:rFonts w:ascii="Times New Roman" w:eastAsia="宋体" w:hAnsi="Times New Roman"/>
        </w:rPr>
      </w:pPr>
      <w:r>
        <w:rPr>
          <w:rFonts w:ascii="Times New Roman" w:eastAsia="宋体" w:hAnsi="Times New Roman"/>
        </w:rPr>
        <w:t>以上加油站火灾、爆炸事故</w:t>
      </w:r>
      <w:r>
        <w:rPr>
          <w:rFonts w:ascii="Times New Roman" w:eastAsia="宋体" w:hAnsi="Times New Roman"/>
        </w:rPr>
        <w:t>2</w:t>
      </w:r>
      <w:r>
        <w:rPr>
          <w:rFonts w:ascii="Times New Roman" w:eastAsia="宋体" w:hAnsi="Times New Roman"/>
        </w:rPr>
        <w:t>例案例，从事故案例的分析来看，发生火灾事故的加油站都存在违规建设和违章操作。因此在加油站的设计和施工建设中应严格按《汽车加油加气加氢站技术标准》（</w:t>
      </w:r>
      <w:r>
        <w:rPr>
          <w:rFonts w:ascii="Times New Roman" w:eastAsia="宋体" w:hAnsi="Times New Roman"/>
        </w:rPr>
        <w:t>GB50156-2021</w:t>
      </w:r>
      <w:r>
        <w:rPr>
          <w:rFonts w:ascii="Times New Roman" w:eastAsia="宋体" w:hAnsi="Times New Roman"/>
        </w:rPr>
        <w:t>）要求进行。</w:t>
      </w:r>
    </w:p>
    <w:p w14:paraId="781FA4B1" w14:textId="77777777" w:rsidR="00502148" w:rsidRDefault="00000000">
      <w:pPr>
        <w:ind w:firstLine="560"/>
        <w:rPr>
          <w:rFonts w:ascii="Times New Roman" w:eastAsia="宋体" w:hAnsi="Times New Roman"/>
        </w:rPr>
      </w:pPr>
      <w:r>
        <w:rPr>
          <w:rFonts w:ascii="Times New Roman" w:eastAsia="宋体" w:hAnsi="Times New Roman"/>
        </w:rPr>
        <w:br w:type="page"/>
      </w:r>
    </w:p>
    <w:p w14:paraId="70FE152E"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1" w:name="_Toc15103"/>
      <w:r>
        <w:rPr>
          <w:rFonts w:ascii="Times New Roman" w:eastAsia="黑体" w:hAnsi="Times New Roman" w:cs="Times New Roman"/>
          <w:b/>
          <w:bCs/>
          <w:sz w:val="32"/>
          <w:szCs w:val="32"/>
        </w:rPr>
        <w:lastRenderedPageBreak/>
        <w:t>7</w:t>
      </w:r>
      <w:r>
        <w:rPr>
          <w:rFonts w:ascii="Times New Roman" w:eastAsia="黑体" w:hAnsi="Times New Roman" w:cs="Times New Roman"/>
          <w:b/>
          <w:bCs/>
          <w:sz w:val="32"/>
          <w:szCs w:val="32"/>
        </w:rPr>
        <w:t>安全设施的施工、检验、检测和调试情况</w:t>
      </w:r>
      <w:bookmarkEnd w:id="71"/>
    </w:p>
    <w:p w14:paraId="5E7F81B7"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2" w:name="_Toc6849"/>
      <w:r>
        <w:rPr>
          <w:rFonts w:ascii="Times New Roman" w:eastAsia="楷体" w:hAnsi="Times New Roman" w:cs="Times New Roman"/>
          <w:b/>
          <w:bCs/>
          <w:sz w:val="32"/>
          <w:szCs w:val="32"/>
        </w:rPr>
        <w:t>7.1</w:t>
      </w:r>
      <w:r>
        <w:rPr>
          <w:rFonts w:ascii="Times New Roman" w:eastAsia="楷体" w:hAnsi="Times New Roman" w:cs="Times New Roman"/>
          <w:b/>
          <w:bCs/>
          <w:sz w:val="32"/>
          <w:szCs w:val="32"/>
        </w:rPr>
        <w:t>安全设施的施工质量情况</w:t>
      </w:r>
      <w:bookmarkEnd w:id="72"/>
    </w:p>
    <w:p w14:paraId="5CA03AFF" w14:textId="77777777" w:rsidR="00502148" w:rsidRDefault="00000000">
      <w:pPr>
        <w:ind w:firstLine="560"/>
        <w:rPr>
          <w:rFonts w:ascii="Times New Roman" w:eastAsia="宋体" w:hAnsi="Times New Roman"/>
        </w:rPr>
      </w:pPr>
      <w:r>
        <w:rPr>
          <w:rFonts w:ascii="Times New Roman" w:eastAsia="宋体" w:hAnsi="Times New Roman"/>
        </w:rPr>
        <w:t>本项目设计单位是设计单位：中交城市能源研究设计院有限公司：化工石化医药行业（石油及化工产品储运）专业甲级等，满足本项目要求；本项目安全设施施工承包单位</w:t>
      </w:r>
      <w:r>
        <w:rPr>
          <w:rFonts w:ascii="Times New Roman" w:eastAsia="宋体" w:hAnsi="Times New Roman" w:hint="eastAsia"/>
        </w:rPr>
        <w:t>是</w:t>
      </w:r>
      <w:r>
        <w:rPr>
          <w:rFonts w:ascii="Times New Roman" w:eastAsia="宋体" w:hAnsi="Times New Roman"/>
        </w:rPr>
        <w:t>大连合壹晟建设工程有限公司：石油化工工程施工总承包贰级等</w:t>
      </w:r>
      <w:r>
        <w:rPr>
          <w:rFonts w:ascii="Times New Roman" w:eastAsia="宋体" w:hAnsi="Times New Roman" w:hint="eastAsia"/>
        </w:rPr>
        <w:t>，</w:t>
      </w:r>
      <w:r>
        <w:rPr>
          <w:rFonts w:ascii="Times New Roman" w:eastAsia="宋体" w:hAnsi="Times New Roman"/>
        </w:rPr>
        <w:t>承包工程范围满足本项目要求</w:t>
      </w:r>
      <w:r>
        <w:rPr>
          <w:rFonts w:ascii="Times New Roman" w:eastAsia="宋体" w:hAnsi="Times New Roman" w:hint="eastAsia"/>
        </w:rPr>
        <w:t>。</w:t>
      </w:r>
    </w:p>
    <w:p w14:paraId="0A042999" w14:textId="77777777" w:rsidR="00502148" w:rsidRDefault="00000000">
      <w:pPr>
        <w:ind w:firstLine="560"/>
        <w:rPr>
          <w:rFonts w:ascii="Times New Roman" w:eastAsia="宋体" w:hAnsi="Times New Roman"/>
        </w:rPr>
      </w:pPr>
      <w:r>
        <w:rPr>
          <w:rFonts w:ascii="Times New Roman" w:eastAsia="宋体" w:hAnsi="Times New Roman"/>
        </w:rPr>
        <w:t>中交城市能源研究设计院有限公司承担了本项目的设计，在设计阶段根据建设项目的特点和过程的危险源及危险和有害因素分析的结果，严格执行现行国家、行业及地方相关法律、法规、标准和规范规定的要求，基于本质安全设计、事故预防优先、可靠性优先等设计原则，采取具有针对性、可操作性和经济合理的安全设施。</w:t>
      </w:r>
    </w:p>
    <w:p w14:paraId="5CBC87B4" w14:textId="77777777" w:rsidR="00502148" w:rsidRDefault="00000000">
      <w:pPr>
        <w:ind w:firstLine="560"/>
        <w:rPr>
          <w:rFonts w:ascii="Times New Roman" w:eastAsia="宋体" w:hAnsi="Times New Roman"/>
        </w:rPr>
      </w:pPr>
      <w:r>
        <w:rPr>
          <w:rFonts w:ascii="Times New Roman" w:eastAsia="宋体" w:hAnsi="Times New Roman"/>
        </w:rPr>
        <w:t>大连合壹晟建设工程有限公司承担了本项目的施工建设，施工前期已制定了全套施工方案及质量保证体系，施工过程中，从原材料的进场检验到土建施工及设备安装过程严格受控于施工方案及质量保证体系，具体落实到每个责任人，确保施工质量合格。</w:t>
      </w:r>
    </w:p>
    <w:p w14:paraId="32462AA1" w14:textId="40D77AB3" w:rsidR="00CB6E10" w:rsidRPr="0082631A" w:rsidRDefault="00CB6E10">
      <w:pPr>
        <w:ind w:firstLine="560"/>
        <w:rPr>
          <w:rFonts w:ascii="Times New Roman" w:eastAsia="宋体" w:hAnsi="Times New Roman"/>
        </w:rPr>
      </w:pPr>
      <w:r w:rsidRPr="0082631A">
        <w:rPr>
          <w:rFonts w:ascii="Times New Roman" w:eastAsia="宋体" w:hAnsi="Times New Roman"/>
        </w:rPr>
        <w:t>建设单位已与中交城市能源研究设计院有限公司、大连合壹晟建设工程有限公司、辽宁省交通规划设计院有限责任公司对加油站设计及施工质量进行验收，验收合格并形成单位工程质量竣工验收记录。</w:t>
      </w:r>
    </w:p>
    <w:p w14:paraId="2A71670F" w14:textId="386952D4" w:rsidR="005F37E5" w:rsidRPr="0082631A" w:rsidRDefault="005F37E5">
      <w:pPr>
        <w:ind w:firstLine="560"/>
        <w:rPr>
          <w:rFonts w:ascii="Times New Roman" w:eastAsia="宋体" w:hAnsi="Times New Roman"/>
        </w:rPr>
      </w:pPr>
      <w:r w:rsidRPr="0082631A">
        <w:rPr>
          <w:rFonts w:ascii="Times New Roman" w:eastAsia="宋体" w:hAnsi="Times New Roman"/>
        </w:rPr>
        <w:t>2025</w:t>
      </w:r>
      <w:r w:rsidRPr="0082631A">
        <w:rPr>
          <w:rFonts w:ascii="Times New Roman" w:eastAsia="宋体" w:hAnsi="Times New Roman"/>
        </w:rPr>
        <w:t>年</w:t>
      </w:r>
      <w:r w:rsidRPr="0082631A">
        <w:rPr>
          <w:rFonts w:ascii="Times New Roman" w:eastAsia="宋体" w:hAnsi="Times New Roman"/>
        </w:rPr>
        <w:t>9</w:t>
      </w:r>
      <w:r w:rsidRPr="0082631A">
        <w:rPr>
          <w:rFonts w:ascii="Times New Roman" w:eastAsia="宋体" w:hAnsi="Times New Roman"/>
        </w:rPr>
        <w:t>月</w:t>
      </w:r>
      <w:r w:rsidRPr="0082631A">
        <w:rPr>
          <w:rFonts w:ascii="Times New Roman" w:eastAsia="宋体" w:hAnsi="Times New Roman"/>
        </w:rPr>
        <w:t>10</w:t>
      </w:r>
      <w:r w:rsidRPr="0082631A">
        <w:rPr>
          <w:rFonts w:ascii="Times New Roman" w:eastAsia="宋体" w:hAnsi="Times New Roman"/>
        </w:rPr>
        <w:t>日，建设单位与施工单位对油罐及管线表面处理记录（防腐）、涂料配制与涂装记录、涂层检测记录；油罐安装基础验收记录、油罐吊装就位安装记录、附件安装及严密性试验记录、沉降观测记录进行验收，全部验收合格。</w:t>
      </w:r>
    </w:p>
    <w:p w14:paraId="47AEFC47" w14:textId="77777777" w:rsidR="00502148"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3" w:name="_Toc9350"/>
      <w:r>
        <w:rPr>
          <w:rFonts w:ascii="Times New Roman" w:eastAsia="楷体" w:hAnsi="Times New Roman" w:cs="Times New Roman"/>
          <w:b/>
          <w:bCs/>
          <w:sz w:val="32"/>
          <w:szCs w:val="32"/>
        </w:rPr>
        <w:lastRenderedPageBreak/>
        <w:t>7.2</w:t>
      </w:r>
      <w:r>
        <w:rPr>
          <w:rFonts w:ascii="Times New Roman" w:eastAsia="楷体" w:hAnsi="Times New Roman" w:cs="Times New Roman"/>
          <w:b/>
          <w:bCs/>
          <w:sz w:val="32"/>
          <w:szCs w:val="32"/>
        </w:rPr>
        <w:t>安全设施在施工前后的检验、检测情况及有效性情况</w:t>
      </w:r>
      <w:bookmarkEnd w:id="73"/>
    </w:p>
    <w:p w14:paraId="1F10FB40" w14:textId="77777777" w:rsidR="00502148" w:rsidRDefault="00000000">
      <w:pPr>
        <w:ind w:firstLine="560"/>
        <w:rPr>
          <w:rFonts w:ascii="Times New Roman" w:eastAsia="宋体" w:hAnsi="Times New Roman"/>
        </w:rPr>
      </w:pPr>
      <w:r>
        <w:rPr>
          <w:rFonts w:ascii="Times New Roman" w:eastAsia="宋体" w:hAnsi="Times New Roman"/>
        </w:rPr>
        <w:t>本项目的安全设施在施工进场前，都有专职工程师对照设计蓝图检验是否符合设计要求，同时查验相关质量文件是否齐全，液位仪、防渗漏检测等检测报警设施都进行了报验，进场检查全部合格后，进行现场安装。防雷接地工程施工过程中，对防雷设施用接地摇表测量，未经负责人员验收合格的地下工程，绝不允许回填。</w:t>
      </w:r>
    </w:p>
    <w:p w14:paraId="6983765A" w14:textId="626B84C8" w:rsidR="00502148" w:rsidRDefault="00000000">
      <w:pPr>
        <w:ind w:firstLine="560"/>
        <w:rPr>
          <w:rFonts w:ascii="Times New Roman" w:eastAsia="宋体" w:hAnsi="Times New Roman"/>
        </w:rPr>
      </w:pPr>
      <w:r>
        <w:rPr>
          <w:rFonts w:ascii="Times New Roman" w:eastAsia="宋体" w:hAnsi="Times New Roman"/>
        </w:rPr>
        <w:t>项目施工结束后，对液位仪、防渗漏检测仪、防雷（静电）设施、防火涂料、消防设施</w:t>
      </w:r>
      <w:r w:rsidR="00CB6E10" w:rsidRPr="0082631A">
        <w:rPr>
          <w:rFonts w:ascii="Times New Roman" w:eastAsia="宋体" w:hAnsi="Times New Roman" w:hint="eastAsia"/>
        </w:rPr>
        <w:t>、管道施工</w:t>
      </w:r>
      <w:r>
        <w:rPr>
          <w:rFonts w:ascii="Times New Roman" w:eastAsia="宋体" w:hAnsi="Times New Roman"/>
        </w:rPr>
        <w:t>等安全设施进行了检验，检验结论都为有效</w:t>
      </w:r>
      <w:r>
        <w:rPr>
          <w:rFonts w:ascii="Times New Roman" w:eastAsia="宋体" w:hAnsi="Times New Roman" w:hint="eastAsia"/>
        </w:rPr>
        <w:t>。</w:t>
      </w:r>
    </w:p>
    <w:p w14:paraId="73604C0F"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4" w:name="_Toc4677"/>
      <w:r>
        <w:rPr>
          <w:rFonts w:ascii="Times New Roman" w:eastAsia="楷体" w:hAnsi="Times New Roman" w:cs="Times New Roman"/>
          <w:b/>
          <w:bCs/>
          <w:sz w:val="32"/>
          <w:szCs w:val="32"/>
        </w:rPr>
        <w:t>7.3</w:t>
      </w:r>
      <w:r>
        <w:rPr>
          <w:rFonts w:ascii="Times New Roman" w:eastAsia="楷体" w:hAnsi="Times New Roman" w:cs="Times New Roman"/>
          <w:b/>
          <w:bCs/>
          <w:sz w:val="32"/>
          <w:szCs w:val="32"/>
        </w:rPr>
        <w:t>安全设施试生产（使用）前的调试情况</w:t>
      </w:r>
      <w:bookmarkEnd w:id="74"/>
    </w:p>
    <w:p w14:paraId="5052D4D5" w14:textId="01801936" w:rsidR="00502148" w:rsidRDefault="00000000">
      <w:pPr>
        <w:ind w:firstLine="560"/>
        <w:rPr>
          <w:rFonts w:ascii="Times New Roman" w:eastAsia="宋体" w:hAnsi="Times New Roman"/>
        </w:rPr>
      </w:pPr>
      <w:r>
        <w:rPr>
          <w:rFonts w:ascii="Times New Roman" w:eastAsia="宋体" w:hAnsi="Times New Roman"/>
        </w:rPr>
        <w:t>在试生产前，</w:t>
      </w:r>
      <w:r>
        <w:rPr>
          <w:rFonts w:ascii="Times New Roman" w:eastAsia="宋体" w:hAnsi="Times New Roman" w:hint="eastAsia"/>
        </w:rPr>
        <w:t>先</w:t>
      </w:r>
      <w:r>
        <w:rPr>
          <w:rFonts w:ascii="Times New Roman" w:eastAsia="宋体" w:hAnsi="Times New Roman"/>
        </w:rPr>
        <w:t>对加油机、油罐液位监测系统、防渗检测系统及安全设施等进行了检验、检测和调试，保证了安全设施能够正常发挥作用。</w:t>
      </w:r>
    </w:p>
    <w:p w14:paraId="14BBD31D" w14:textId="77777777" w:rsidR="00502148" w:rsidRDefault="00000000">
      <w:pPr>
        <w:ind w:firstLine="560"/>
        <w:rPr>
          <w:rFonts w:ascii="Times New Roman" w:eastAsia="宋体" w:hAnsi="Times New Roman"/>
        </w:rPr>
      </w:pPr>
      <w:r>
        <w:rPr>
          <w:rFonts w:ascii="Times New Roman" w:eastAsia="宋体" w:hAnsi="Times New Roman"/>
        </w:rPr>
        <w:br w:type="page"/>
      </w:r>
    </w:p>
    <w:p w14:paraId="049EA9F3"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5" w:name="_Toc21844"/>
      <w:r>
        <w:rPr>
          <w:rFonts w:ascii="Times New Roman" w:eastAsia="黑体" w:hAnsi="Times New Roman" w:cs="Times New Roman"/>
          <w:b/>
          <w:bCs/>
          <w:sz w:val="32"/>
          <w:szCs w:val="32"/>
        </w:rPr>
        <w:lastRenderedPageBreak/>
        <w:t>8</w:t>
      </w:r>
      <w:r>
        <w:rPr>
          <w:rFonts w:ascii="Times New Roman" w:eastAsia="黑体" w:hAnsi="Times New Roman" w:cs="Times New Roman"/>
          <w:b/>
          <w:bCs/>
          <w:sz w:val="32"/>
          <w:szCs w:val="32"/>
        </w:rPr>
        <w:t>结论和建议</w:t>
      </w:r>
      <w:bookmarkEnd w:id="75"/>
    </w:p>
    <w:p w14:paraId="55EA7B69"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6" w:name="_Toc7928"/>
      <w:r>
        <w:rPr>
          <w:rFonts w:ascii="Times New Roman" w:eastAsia="楷体" w:hAnsi="Times New Roman" w:cs="Times New Roman"/>
          <w:b/>
          <w:bCs/>
          <w:sz w:val="32"/>
          <w:szCs w:val="32"/>
        </w:rPr>
        <w:t>8.1</w:t>
      </w:r>
      <w:r>
        <w:rPr>
          <w:rFonts w:ascii="Times New Roman" w:eastAsia="楷体" w:hAnsi="Times New Roman" w:cs="Times New Roman"/>
          <w:b/>
          <w:bCs/>
          <w:sz w:val="32"/>
          <w:szCs w:val="32"/>
        </w:rPr>
        <w:t>结论</w:t>
      </w:r>
      <w:bookmarkEnd w:id="76"/>
    </w:p>
    <w:p w14:paraId="1F8D4476" w14:textId="77777777" w:rsidR="00502148" w:rsidRDefault="00000000">
      <w:pPr>
        <w:ind w:firstLine="560"/>
        <w:rPr>
          <w:rFonts w:ascii="Times New Roman" w:eastAsia="宋体" w:hAnsi="Times New Roman"/>
        </w:rPr>
      </w:pPr>
      <w:r>
        <w:rPr>
          <w:rFonts w:ascii="Times New Roman" w:eastAsia="宋体" w:hAnsi="Times New Roman"/>
        </w:rPr>
        <w:t>根据国家现行有关安全生产法律、法规、部门规章、标准、规范的规定和要求，对中铁（辽宁）本桓高速公路有限公司五里甸子服务区</w:t>
      </w:r>
      <w:r>
        <w:rPr>
          <w:rFonts w:ascii="Times New Roman" w:eastAsia="宋体" w:hAnsi="Times New Roman" w:hint="eastAsia"/>
        </w:rPr>
        <w:t>西</w:t>
      </w:r>
      <w:r>
        <w:rPr>
          <w:rFonts w:ascii="Times New Roman" w:eastAsia="宋体" w:hAnsi="Times New Roman"/>
        </w:rPr>
        <w:t>侧加油站新建项目进行现场核查后，得出安全评价结论。</w:t>
      </w:r>
    </w:p>
    <w:p w14:paraId="09882A21"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8.1.1</w:t>
      </w:r>
      <w:r>
        <w:rPr>
          <w:rFonts w:ascii="Times New Roman" w:eastAsia="黑体" w:hAnsi="Times New Roman" w:cs="Times New Roman"/>
          <w:b/>
          <w:bCs/>
        </w:rPr>
        <w:t>建设项目所在地的安全条件和与周边的安全防护距离</w:t>
      </w:r>
    </w:p>
    <w:p w14:paraId="47C4DD80" w14:textId="77777777" w:rsidR="00502148" w:rsidRDefault="00000000">
      <w:pPr>
        <w:ind w:firstLine="560"/>
        <w:rPr>
          <w:rFonts w:ascii="Times New Roman" w:eastAsia="宋体" w:hAnsi="Times New Roman"/>
        </w:rPr>
      </w:pPr>
      <w:r>
        <w:rPr>
          <w:rFonts w:ascii="Times New Roman" w:eastAsia="宋体" w:hAnsi="Times New Roman"/>
        </w:rPr>
        <w:t>本项目设立安全评价和安全设施设计专篇阶段所依托的外部安全环境和安全条件与项目现阶段未发生变化。</w:t>
      </w:r>
    </w:p>
    <w:p w14:paraId="6672431A" w14:textId="77777777" w:rsidR="00502148" w:rsidRDefault="00000000">
      <w:pPr>
        <w:ind w:firstLine="560"/>
        <w:rPr>
          <w:rFonts w:ascii="Times New Roman" w:eastAsia="宋体" w:hAnsi="Times New Roman"/>
        </w:rPr>
      </w:pPr>
      <w:r>
        <w:rPr>
          <w:rFonts w:ascii="Times New Roman" w:eastAsia="宋体" w:hAnsi="Times New Roman"/>
        </w:rPr>
        <w:t>本项目与站外其它建筑物、设施的安全间距符合《汽车加油加气加氢站技术标准》（</w:t>
      </w:r>
      <w:r>
        <w:rPr>
          <w:rFonts w:ascii="Times New Roman" w:eastAsia="宋体" w:hAnsi="Times New Roman"/>
        </w:rPr>
        <w:t>GB50156-2021</w:t>
      </w:r>
      <w:r>
        <w:rPr>
          <w:rFonts w:ascii="Times New Roman" w:eastAsia="宋体" w:hAnsi="Times New Roman"/>
        </w:rPr>
        <w:t>）第</w:t>
      </w:r>
      <w:r>
        <w:rPr>
          <w:rFonts w:ascii="Times New Roman" w:eastAsia="宋体" w:hAnsi="Times New Roman"/>
        </w:rPr>
        <w:t>4.0.4</w:t>
      </w:r>
      <w:r>
        <w:rPr>
          <w:rFonts w:ascii="Times New Roman" w:eastAsia="宋体" w:hAnsi="Times New Roman"/>
        </w:rPr>
        <w:t>条的要求。</w:t>
      </w:r>
    </w:p>
    <w:p w14:paraId="488520D9"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8.1.2</w:t>
      </w:r>
      <w:r>
        <w:rPr>
          <w:rFonts w:ascii="Times New Roman" w:eastAsia="黑体" w:hAnsi="Times New Roman" w:cs="Times New Roman"/>
          <w:b/>
          <w:bCs/>
        </w:rPr>
        <w:t>建设项目安全设施设计的采纳情况及其安全设施水平</w:t>
      </w:r>
    </w:p>
    <w:p w14:paraId="364A0DF5"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）安全设施设计的采纳情况</w:t>
      </w:r>
    </w:p>
    <w:p w14:paraId="520643C6" w14:textId="77777777" w:rsidR="00502148" w:rsidRDefault="00000000">
      <w:pPr>
        <w:ind w:firstLine="560"/>
        <w:rPr>
          <w:rFonts w:ascii="Times New Roman" w:eastAsia="宋体" w:hAnsi="Times New Roman"/>
        </w:rPr>
      </w:pPr>
      <w:r>
        <w:rPr>
          <w:rFonts w:ascii="Times New Roman" w:eastAsia="宋体" w:hAnsi="Times New Roman"/>
        </w:rPr>
        <w:t>本项目的全部采纳了安全设施设计专篇提出的要求，安全设施设置较为完善，安全状态良好，需要检验检测的安全设施经检验检测合格，处于有效期内。</w:t>
      </w:r>
    </w:p>
    <w:p w14:paraId="5562DF9D"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）采纳的安全设施水平</w:t>
      </w:r>
    </w:p>
    <w:p w14:paraId="4D297E53" w14:textId="77777777" w:rsidR="00502148" w:rsidRDefault="00000000">
      <w:pPr>
        <w:ind w:firstLine="560"/>
        <w:rPr>
          <w:rFonts w:ascii="Times New Roman" w:eastAsia="宋体" w:hAnsi="Times New Roman"/>
        </w:rPr>
      </w:pPr>
      <w:r>
        <w:rPr>
          <w:rFonts w:ascii="Times New Roman" w:eastAsia="宋体" w:hAnsi="Times New Roman"/>
        </w:rPr>
        <w:t>本项目现场的安全设施为目前国内</w:t>
      </w:r>
      <w:r>
        <w:rPr>
          <w:rFonts w:ascii="Times New Roman" w:eastAsia="宋体" w:hAnsi="Times New Roman" w:hint="eastAsia"/>
        </w:rPr>
        <w:t>同等</w:t>
      </w:r>
      <w:r>
        <w:rPr>
          <w:rFonts w:ascii="Times New Roman" w:eastAsia="宋体" w:hAnsi="Times New Roman"/>
        </w:rPr>
        <w:t>水平。</w:t>
      </w:r>
    </w:p>
    <w:p w14:paraId="4BE00C65"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8.1.3</w:t>
      </w:r>
      <w:r>
        <w:rPr>
          <w:rFonts w:ascii="Times New Roman" w:eastAsia="黑体" w:hAnsi="Times New Roman" w:cs="Times New Roman"/>
          <w:b/>
          <w:bCs/>
        </w:rPr>
        <w:t>技术、工艺和设备、设施的安全、可靠性和安全水平</w:t>
      </w:r>
    </w:p>
    <w:p w14:paraId="6D485B27" w14:textId="77777777" w:rsidR="00502148" w:rsidRDefault="00000000">
      <w:pPr>
        <w:ind w:firstLine="560"/>
        <w:rPr>
          <w:rFonts w:ascii="Times New Roman" w:eastAsia="宋体" w:hAnsi="Times New Roman"/>
        </w:rPr>
      </w:pPr>
      <w:r>
        <w:rPr>
          <w:rFonts w:ascii="Times New Roman" w:eastAsia="宋体" w:hAnsi="Times New Roman"/>
        </w:rPr>
        <w:t>采用成熟的工艺技术，具有安全可靠性；选用的设备系专业制造商生产，具有安全可靠性；防雷防静电设施均经相关机构检测合格，具有安全可靠性；各设备、设施日常管理、维护较好，具有较高的安全水平，能够满足安全生产的要求。</w:t>
      </w:r>
    </w:p>
    <w:p w14:paraId="0BDDC68E" w14:textId="77777777" w:rsidR="00502148" w:rsidRDefault="00000000">
      <w:pPr>
        <w:keepNext/>
        <w:keepLines/>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8.1.4</w:t>
      </w:r>
      <w:r>
        <w:rPr>
          <w:rFonts w:ascii="Times New Roman" w:eastAsia="黑体" w:hAnsi="Times New Roman" w:cs="Times New Roman"/>
          <w:b/>
          <w:bCs/>
        </w:rPr>
        <w:t>建设项目试生产（使用）中发现的设计缺陷和事故隐患及其整改情况</w:t>
      </w:r>
    </w:p>
    <w:p w14:paraId="5616F1E7" w14:textId="77777777" w:rsidR="00502148" w:rsidRDefault="00000000">
      <w:pPr>
        <w:ind w:firstLine="560"/>
        <w:rPr>
          <w:rFonts w:ascii="Times New Roman" w:eastAsia="宋体" w:hAnsi="Times New Roman"/>
        </w:rPr>
      </w:pPr>
      <w:r>
        <w:rPr>
          <w:rFonts w:ascii="Times New Roman" w:eastAsia="宋体" w:hAnsi="Times New Roman"/>
        </w:rPr>
        <w:t>评价组通过现场检查和核查该公司提供的相关工程技术资料，从本项目平面布置、工艺设计、设备设施、自动控制、供配电、消防、有害因素控制措施、安全管理措施等方面编制了安全检查表进行检查</w:t>
      </w:r>
      <w:r>
        <w:rPr>
          <w:rFonts w:ascii="Times New Roman" w:eastAsia="宋体" w:hAnsi="Times New Roman" w:hint="eastAsia"/>
        </w:rPr>
        <w:t>，均符合要求</w:t>
      </w:r>
      <w:r>
        <w:rPr>
          <w:rFonts w:ascii="Times New Roman" w:eastAsia="宋体" w:hAnsi="Times New Roman"/>
        </w:rPr>
        <w:t>。本项目在试运行过程中未出现设计缺陷和事故隐患。目前，本项目试运行状况良好、稳定，具备了安全验收的基本条件。</w:t>
      </w:r>
    </w:p>
    <w:p w14:paraId="494B0D39"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8.1.5</w:t>
      </w:r>
      <w:r>
        <w:rPr>
          <w:rFonts w:ascii="Times New Roman" w:eastAsia="黑体" w:hAnsi="Times New Roman" w:cs="Times New Roman"/>
          <w:b/>
          <w:bCs/>
        </w:rPr>
        <w:t>建设项目具备的安全生产条件</w:t>
      </w:r>
    </w:p>
    <w:p w14:paraId="5F472988" w14:textId="77777777" w:rsidR="00502148" w:rsidRDefault="00000000">
      <w:pPr>
        <w:ind w:firstLine="560"/>
        <w:rPr>
          <w:rFonts w:ascii="Times New Roman" w:eastAsia="宋体" w:hAnsi="Times New Roman"/>
        </w:rPr>
      </w:pPr>
      <w:r>
        <w:rPr>
          <w:rFonts w:ascii="Times New Roman" w:eastAsia="宋体" w:hAnsi="Times New Roman" w:hint="eastAsia"/>
        </w:rPr>
        <w:t>本</w:t>
      </w:r>
      <w:r>
        <w:rPr>
          <w:rFonts w:ascii="Times New Roman" w:eastAsia="宋体" w:hAnsi="Times New Roman"/>
        </w:rPr>
        <w:t>项目</w:t>
      </w:r>
      <w:r>
        <w:rPr>
          <w:rFonts w:ascii="Times New Roman" w:eastAsia="宋体" w:hAnsi="Times New Roman" w:hint="eastAsia"/>
        </w:rPr>
        <w:t>选址</w:t>
      </w:r>
      <w:r>
        <w:rPr>
          <w:rFonts w:ascii="Times New Roman" w:eastAsia="宋体" w:hAnsi="Times New Roman"/>
        </w:rPr>
        <w:t>符合有关规划、环境保护和防火安全的要求，并选在交通便利、用户使用方便的地点</w:t>
      </w:r>
      <w:r>
        <w:rPr>
          <w:rFonts w:ascii="Times New Roman" w:eastAsia="宋体" w:hAnsi="Times New Roman" w:hint="eastAsia"/>
        </w:rPr>
        <w:t>。</w:t>
      </w:r>
    </w:p>
    <w:p w14:paraId="481140D7" w14:textId="77777777" w:rsidR="00502148" w:rsidRDefault="00000000">
      <w:pPr>
        <w:ind w:firstLine="560"/>
        <w:rPr>
          <w:rFonts w:ascii="Times New Roman" w:eastAsia="宋体" w:hAnsi="Times New Roman"/>
        </w:rPr>
      </w:pPr>
      <w:r>
        <w:rPr>
          <w:rFonts w:ascii="Times New Roman" w:eastAsia="宋体" w:hAnsi="Times New Roman" w:hint="eastAsia"/>
        </w:rPr>
        <w:t>本项目加油机距</w:t>
      </w:r>
      <w:r>
        <w:rPr>
          <w:rFonts w:ascii="Times New Roman" w:eastAsia="宋体" w:hAnsi="Times New Roman"/>
        </w:rPr>
        <w:t>本溪至集安高速公路（</w:t>
      </w:r>
      <w:r>
        <w:rPr>
          <w:rFonts w:ascii="Times New Roman" w:eastAsia="宋体" w:hAnsi="Times New Roman"/>
        </w:rPr>
        <w:t>G9111</w:t>
      </w:r>
      <w:r>
        <w:rPr>
          <w:rFonts w:ascii="Times New Roman" w:eastAsia="宋体" w:hAnsi="Times New Roman"/>
        </w:rPr>
        <w:t>）</w:t>
      </w:r>
      <w:r>
        <w:rPr>
          <w:rFonts w:ascii="Times New Roman" w:eastAsia="宋体" w:hAnsi="Times New Roman" w:hint="eastAsia"/>
        </w:rPr>
        <w:t>27.9m</w:t>
      </w:r>
      <w:r>
        <w:rPr>
          <w:rFonts w:ascii="Times New Roman" w:eastAsia="宋体" w:hAnsi="Times New Roman" w:hint="eastAsia"/>
        </w:rPr>
        <w:t>，符合规范要求，周边无以下敏感区域：</w:t>
      </w:r>
      <w:r>
        <w:rPr>
          <w:rFonts w:ascii="Times New Roman" w:eastAsia="宋体" w:hAnsi="Times New Roman"/>
        </w:rPr>
        <w:t>居民区、商业中心、公园等人口密集区域；学校、医院、影剧院、体育场（馆）等公共设施；供水水源、水厂及水源保护区；车站、码头（按照国家规定，经批准，专门从事危险化学品装卸作业的除外）、机场以及铁路、水路交通干线、地铁风亭及出入口；基本农田保护区、畜牧区、渔业水域和种子、种畜、水产苗种生产基地；河流、湖泊、风景名胜区和自然保护区；军事禁区、军事管理区；法律、行政法规规定予以保护的其他区域。</w:t>
      </w:r>
    </w:p>
    <w:p w14:paraId="58F14A4D" w14:textId="77777777" w:rsidR="00502148" w:rsidRDefault="00000000">
      <w:pPr>
        <w:ind w:firstLine="560"/>
        <w:rPr>
          <w:rFonts w:ascii="Times New Roman" w:eastAsia="宋体" w:hAnsi="Times New Roman"/>
        </w:rPr>
      </w:pPr>
      <w:r>
        <w:rPr>
          <w:rFonts w:ascii="Times New Roman" w:eastAsia="宋体" w:hAnsi="Times New Roman" w:hint="eastAsia"/>
        </w:rPr>
        <w:t>本项目</w:t>
      </w:r>
      <w:r>
        <w:rPr>
          <w:rFonts w:ascii="Times New Roman" w:eastAsia="宋体" w:hAnsi="Times New Roman"/>
        </w:rPr>
        <w:t>与站外其它建筑物、设施的安全间距符合《汽车加油加气加氢站技术标准》（</w:t>
      </w:r>
      <w:r>
        <w:rPr>
          <w:rFonts w:ascii="Times New Roman" w:eastAsia="宋体" w:hAnsi="Times New Roman"/>
        </w:rPr>
        <w:t>GB50156-2021</w:t>
      </w:r>
      <w:r>
        <w:rPr>
          <w:rFonts w:ascii="Times New Roman" w:eastAsia="宋体" w:hAnsi="Times New Roman"/>
        </w:rPr>
        <w:t>）第</w:t>
      </w:r>
      <w:r>
        <w:rPr>
          <w:rFonts w:ascii="Times New Roman" w:eastAsia="宋体" w:hAnsi="Times New Roman"/>
        </w:rPr>
        <w:t>4.0.4</w:t>
      </w:r>
      <w:r>
        <w:rPr>
          <w:rFonts w:ascii="Times New Roman" w:eastAsia="宋体" w:hAnsi="Times New Roman"/>
        </w:rPr>
        <w:t>条的要求。</w:t>
      </w:r>
    </w:p>
    <w:p w14:paraId="3BBC4FC7" w14:textId="77777777" w:rsidR="00502148" w:rsidRDefault="00000000">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7" w:name="_Toc8839"/>
      <w:r>
        <w:rPr>
          <w:rFonts w:ascii="Times New Roman" w:eastAsia="楷体" w:hAnsi="Times New Roman" w:cs="Times New Roman"/>
          <w:b/>
          <w:bCs/>
          <w:sz w:val="32"/>
          <w:szCs w:val="32"/>
        </w:rPr>
        <w:t>8.2</w:t>
      </w:r>
      <w:r>
        <w:rPr>
          <w:rFonts w:ascii="Times New Roman" w:eastAsia="楷体" w:hAnsi="Times New Roman" w:cs="Times New Roman"/>
          <w:b/>
          <w:bCs/>
          <w:sz w:val="32"/>
          <w:szCs w:val="32"/>
        </w:rPr>
        <w:t>对建设项目的建议</w:t>
      </w:r>
      <w:bookmarkEnd w:id="77"/>
    </w:p>
    <w:p w14:paraId="424D5D09" w14:textId="77777777" w:rsidR="00502148" w:rsidRDefault="00000000">
      <w:pPr>
        <w:ind w:firstLine="560"/>
        <w:rPr>
          <w:rFonts w:ascii="Times New Roman" w:eastAsia="宋体" w:hAnsi="Times New Roman"/>
        </w:rPr>
      </w:pPr>
      <w:r>
        <w:rPr>
          <w:rFonts w:ascii="Times New Roman" w:eastAsia="宋体" w:hAnsi="Times New Roman"/>
        </w:rPr>
        <w:t>依据国家有关安全生产法律、法规和部门规章及标准，为确保本项目投产后实现长周期安全、平稳运行，保障作业人员身体健康，从区域安全、生</w:t>
      </w:r>
      <w:r>
        <w:rPr>
          <w:rFonts w:ascii="Times New Roman" w:eastAsia="宋体" w:hAnsi="Times New Roman"/>
        </w:rPr>
        <w:lastRenderedPageBreak/>
        <w:t>产装置运行安全及持续改进的角度出发，提出如下几方面建议。</w:t>
      </w:r>
    </w:p>
    <w:p w14:paraId="2CF6F0A5"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8.2.1</w:t>
      </w:r>
      <w:r>
        <w:rPr>
          <w:rFonts w:ascii="Times New Roman" w:eastAsia="黑体" w:hAnsi="Times New Roman" w:cs="Times New Roman"/>
          <w:b/>
          <w:bCs/>
        </w:rPr>
        <w:t>安全设施的更新与改进建议</w:t>
      </w:r>
    </w:p>
    <w:p w14:paraId="187AC3A2"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应重点提高爆炸危险区内的防火防爆安全管理水平，定期开展各类设施、设备的检查、检验、检测，确保安全设施的有效性，避免因仪表设备、设施的防爆功能下降和失效产生潜在的引火源，消除各类安全隐患。</w:t>
      </w:r>
    </w:p>
    <w:p w14:paraId="38AFE19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）做好液位检测报警、防渗漏报警等设备的定期校对、检验工作，确保其完好，正常投用。</w:t>
      </w:r>
    </w:p>
    <w:p w14:paraId="4E6E1920"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8.2.2</w:t>
      </w:r>
      <w:r>
        <w:rPr>
          <w:rFonts w:ascii="Times New Roman" w:eastAsia="黑体" w:hAnsi="Times New Roman" w:cs="Times New Roman"/>
          <w:b/>
          <w:bCs/>
        </w:rPr>
        <w:t>安全条件和安全生产条件的完善与维护的建议</w:t>
      </w:r>
    </w:p>
    <w:p w14:paraId="70C6AE19"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w:t>
      </w:r>
      <w:r>
        <w:rPr>
          <w:rFonts w:ascii="Times New Roman" w:eastAsia="宋体" w:hAnsi="Times New Roman" w:hint="eastAsia"/>
        </w:rPr>
        <w:t>火灾</w:t>
      </w:r>
      <w:r>
        <w:rPr>
          <w:rFonts w:ascii="Times New Roman" w:eastAsia="宋体" w:hAnsi="Times New Roman"/>
        </w:rPr>
        <w:t>事故发生都存在着潜伏期、发展初期、发展扩大期、发展后期，从安全管理理念和安全理论上讲，在发展初期的</w:t>
      </w:r>
      <w:r>
        <w:rPr>
          <w:rFonts w:ascii="Times New Roman" w:eastAsia="宋体" w:hAnsi="Times New Roman"/>
        </w:rPr>
        <w:t>5</w:t>
      </w:r>
      <w:r>
        <w:rPr>
          <w:rFonts w:ascii="Times New Roman" w:eastAsia="宋体" w:hAnsi="Times New Roman"/>
        </w:rPr>
        <w:t>分钟左右若能正确应对，完全可以控制事态的扩大。为此，</w:t>
      </w:r>
      <w:r>
        <w:rPr>
          <w:rFonts w:ascii="Times New Roman" w:eastAsia="宋体" w:hAnsi="Times New Roman" w:hint="eastAsia"/>
        </w:rPr>
        <w:t>企业</w:t>
      </w:r>
      <w:r>
        <w:rPr>
          <w:rFonts w:ascii="Times New Roman" w:eastAsia="宋体" w:hAnsi="Times New Roman"/>
        </w:rPr>
        <w:t>应加强应急救援预案的培训演练，并不断加强员工技能教育，定期组织开展多种形式的应急预案演练，不断对预案的实用性、可操作性进行完善，提高对事故现场的应急处置能力，防止和控制事态的扩大。</w:t>
      </w:r>
    </w:p>
    <w:p w14:paraId="1111EE3F"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）企业应提高现场管理水平，对加油站经营过程中出现的渗漏、滴漏等低标准问题要及时整改。同时对应急防护设施及抢险器材，应定期检查维护，确保其完好有效。</w:t>
      </w:r>
    </w:p>
    <w:p w14:paraId="77ED8F6B"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）加大现场隐患排查力度，及时整改装置运行过程中发现的问题。</w:t>
      </w:r>
    </w:p>
    <w:p w14:paraId="6FA4065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保证若有新建的建（构）筑物应与站内现有的设备、设施、建（构）筑物的安全间距符合规定要求，特别应加强对周边后建的建（构）筑物与站内的设备、设施、建（构）筑物的安全间距的符合性进行监督，发现问题及时报告相关领导和政府有关部门。</w:t>
      </w:r>
    </w:p>
    <w:p w14:paraId="029404DC"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8.2.3</w:t>
      </w:r>
      <w:r>
        <w:rPr>
          <w:rFonts w:ascii="Times New Roman" w:eastAsia="黑体" w:hAnsi="Times New Roman" w:cs="Times New Roman"/>
          <w:b/>
          <w:bCs/>
        </w:rPr>
        <w:t>主要设备和特种设备的完善与维护的建议</w:t>
      </w:r>
    </w:p>
    <w:p w14:paraId="038B29E4" w14:textId="77777777" w:rsidR="00502148" w:rsidRDefault="00000000">
      <w:pPr>
        <w:ind w:firstLine="560"/>
        <w:rPr>
          <w:rFonts w:ascii="Times New Roman" w:eastAsia="宋体" w:hAnsi="Times New Roman"/>
        </w:rPr>
      </w:pPr>
      <w:r>
        <w:rPr>
          <w:rFonts w:ascii="Times New Roman" w:eastAsia="宋体" w:hAnsi="Times New Roman"/>
        </w:rPr>
        <w:t>本项目不存在特种设备，对本项目内的主要设备提出以下建议：</w:t>
      </w:r>
    </w:p>
    <w:p w14:paraId="0CD2CBA0" w14:textId="77777777" w:rsidR="00502148"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rPr>
        <w:t>1</w:t>
      </w:r>
      <w:r>
        <w:rPr>
          <w:rFonts w:ascii="Times New Roman" w:eastAsia="宋体" w:hAnsi="Times New Roman"/>
        </w:rPr>
        <w:t>）加强工艺、设施、设备的变更管理。变更严格按照程序进行设计、选材、施工，特别是慎重对待设备、设施更换与维修时材质的选取和焊接材料的选用及施工方法，防止改造过程中因人的随意行为导致选材错误、施工缺陷等形成的重大隐患。</w:t>
      </w:r>
    </w:p>
    <w:p w14:paraId="0DDA81A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）在正常经营过程中，应该从加强安全管理等方面入手，及时发现和消除由设备故障可能造成的安全隐患和危险。</w:t>
      </w:r>
    </w:p>
    <w:p w14:paraId="12AC814C"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8.2.4</w:t>
      </w:r>
      <w:r>
        <w:rPr>
          <w:rFonts w:ascii="Times New Roman" w:eastAsia="黑体" w:hAnsi="Times New Roman" w:cs="Times New Roman"/>
          <w:b/>
          <w:bCs/>
        </w:rPr>
        <w:t>安全投入</w:t>
      </w:r>
    </w:p>
    <w:p w14:paraId="7EE8F1D5"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随着本项目启动运行，可能暴露出一些影响安全生产的问题，如安全设施失效、设备出现故障，会给安全生产带来一定的威胁，企业应在通过安全设施竣工验收以后，及时将其纳入正常的生产管理体系，建立长效的安全检查、隐患治理的管理机制。</w:t>
      </w:r>
    </w:p>
    <w:p w14:paraId="4992858B"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）企业应按要求设置专项安全资金，用于治理隐患、配置劳动防护用品、配备应急救援器材和装备、组织安全培训、设置安全奖励金等。</w:t>
      </w:r>
    </w:p>
    <w:p w14:paraId="151A076E"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8.2.5</w:t>
      </w:r>
      <w:r>
        <w:rPr>
          <w:rFonts w:ascii="Times New Roman" w:eastAsia="黑体" w:hAnsi="Times New Roman" w:cs="Times New Roman"/>
          <w:b/>
          <w:bCs/>
        </w:rPr>
        <w:t>其它方面的建议</w:t>
      </w:r>
    </w:p>
    <w:p w14:paraId="229BC9F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hint="eastAsia"/>
        </w:rPr>
        <w:t>1</w:t>
      </w:r>
      <w:r>
        <w:rPr>
          <w:rFonts w:ascii="Times New Roman" w:eastAsia="宋体" w:hAnsi="Times New Roman"/>
        </w:rPr>
        <w:t>）开展全员、全过程的危害识别和风险评价</w:t>
      </w:r>
    </w:p>
    <w:p w14:paraId="4D9F3197" w14:textId="77777777" w:rsidR="00502148" w:rsidRDefault="00000000">
      <w:pPr>
        <w:ind w:firstLine="560"/>
        <w:rPr>
          <w:rFonts w:ascii="Times New Roman" w:eastAsia="宋体" w:hAnsi="Times New Roman"/>
        </w:rPr>
      </w:pPr>
      <w:r>
        <w:rPr>
          <w:rFonts w:ascii="Times New Roman" w:eastAsia="宋体" w:hAnsi="Times New Roman"/>
        </w:rPr>
        <w:t>危害识别和风险评估是企业安全管理的基础，应针对本项目涉及的危险化学品车用乙醇汽油和柴油易燃、可燃特点，从以下两方面做好危害识别和风险评估工作。</w:t>
      </w:r>
    </w:p>
    <w:p w14:paraId="6F3E3E2D" w14:textId="77777777" w:rsidR="00502148" w:rsidRDefault="00000000">
      <w:pPr>
        <w:ind w:firstLine="560"/>
        <w:rPr>
          <w:rFonts w:ascii="Times New Roman" w:eastAsia="宋体" w:hAnsi="Times New Roman" w:cs="Times New Roman"/>
        </w:rPr>
      </w:pPr>
      <w:r>
        <w:rPr>
          <w:rFonts w:ascii="Times New Roman" w:eastAsia="宋体" w:hAnsi="Times New Roman" w:cs="Times New Roman"/>
        </w:rPr>
        <w:t>1</w:t>
      </w:r>
      <w:r>
        <w:rPr>
          <w:rFonts w:ascii="Times New Roman" w:eastAsia="宋体" w:hAnsi="Times New Roman" w:cs="Times New Roman"/>
        </w:rPr>
        <w:t>）全面充分地识别危险化学品的危险有害特性及操作注意事项、应急处理措施，组织培训操作人员学习掌握，达到有效地预知风险的目的。</w:t>
      </w:r>
    </w:p>
    <w:p w14:paraId="41E439C3" w14:textId="77777777" w:rsidR="00502148" w:rsidRDefault="00000000">
      <w:pPr>
        <w:ind w:firstLine="560"/>
        <w:rPr>
          <w:rFonts w:ascii="Times New Roman" w:eastAsia="宋体" w:hAnsi="Times New Roman"/>
        </w:rPr>
      </w:pPr>
      <w:r>
        <w:rPr>
          <w:rFonts w:ascii="Times New Roman" w:eastAsia="宋体" w:hAnsi="Times New Roman" w:cs="Times New Roman"/>
        </w:rPr>
        <w:t>2</w:t>
      </w:r>
      <w:r>
        <w:rPr>
          <w:rFonts w:ascii="Times New Roman" w:eastAsia="宋体" w:hAnsi="Times New Roman" w:cs="Times New Roman"/>
        </w:rPr>
        <w:t>）</w:t>
      </w:r>
      <w:r>
        <w:rPr>
          <w:rFonts w:ascii="Times New Roman" w:eastAsia="宋体" w:hAnsi="Times New Roman"/>
        </w:rPr>
        <w:t>针对作业现场的各项操作、检维修施工作业，尤其是正常操作规程之外的临时作业，必须从人的不安全行为、物的不安全状态、有害的作业环境、管理缺陷等方面全方位开展危害及风险识别和评估，有的放矢地控制重大风险，实现作业的安全。</w:t>
      </w:r>
    </w:p>
    <w:p w14:paraId="6B88B997" w14:textId="77777777" w:rsidR="00502148"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hint="eastAsia"/>
        </w:rPr>
        <w:t>2</w:t>
      </w:r>
      <w:r>
        <w:rPr>
          <w:rFonts w:ascii="Times New Roman" w:eastAsia="宋体" w:hAnsi="Times New Roman"/>
        </w:rPr>
        <w:t>）加强应急救援预案管理</w:t>
      </w:r>
    </w:p>
    <w:p w14:paraId="7744C831" w14:textId="77777777" w:rsidR="00502148" w:rsidRDefault="00000000">
      <w:pPr>
        <w:ind w:firstLine="560"/>
        <w:rPr>
          <w:rFonts w:ascii="Times New Roman" w:eastAsia="宋体" w:hAnsi="Times New Roman"/>
        </w:rPr>
      </w:pPr>
      <w:r>
        <w:rPr>
          <w:rFonts w:ascii="Times New Roman" w:eastAsia="宋体" w:hAnsi="Times New Roman"/>
        </w:rPr>
        <w:t>通过预案演练，定期检验和评价其有效程度，进一步提高员工的应急处置水平、反应速度、协调能力，真正发挥预案在应急状态下的指导书作用。按规定要求完成应急预案的备案工作，建立与相关部门的沟通、联动机制。</w:t>
      </w:r>
    </w:p>
    <w:p w14:paraId="24C10733"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8" w:name="_Toc27542"/>
      <w:r>
        <w:rPr>
          <w:rFonts w:ascii="Times New Roman" w:eastAsia="楷体" w:hAnsi="Times New Roman" w:cs="Times New Roman"/>
          <w:b/>
          <w:bCs/>
          <w:sz w:val="32"/>
          <w:szCs w:val="32"/>
        </w:rPr>
        <w:t>8.3</w:t>
      </w:r>
      <w:r>
        <w:rPr>
          <w:rFonts w:ascii="Times New Roman" w:eastAsia="楷体" w:hAnsi="Times New Roman" w:cs="Times New Roman"/>
          <w:b/>
          <w:bCs/>
          <w:sz w:val="32"/>
          <w:szCs w:val="32"/>
        </w:rPr>
        <w:t>建设项目竣工验收安全评价总结论</w:t>
      </w:r>
      <w:bookmarkEnd w:id="78"/>
    </w:p>
    <w:p w14:paraId="1C3DEBB3" w14:textId="77777777" w:rsidR="00502148" w:rsidRDefault="00000000">
      <w:pPr>
        <w:ind w:firstLine="560"/>
        <w:rPr>
          <w:rFonts w:ascii="Times New Roman" w:eastAsia="宋体" w:hAnsi="Times New Roman"/>
        </w:rPr>
      </w:pPr>
      <w:r>
        <w:rPr>
          <w:rFonts w:ascii="Times New Roman" w:eastAsia="宋体" w:hAnsi="Times New Roman"/>
        </w:rPr>
        <w:t>通过对本项目的全面调研、检查、分析、验收，得出中铁（辽宁）本桓高速公路有限公司五里甸子服务区</w:t>
      </w:r>
      <w:r>
        <w:rPr>
          <w:rFonts w:ascii="Times New Roman" w:eastAsia="宋体" w:hAnsi="Times New Roman" w:hint="eastAsia"/>
        </w:rPr>
        <w:t>西</w:t>
      </w:r>
      <w:r>
        <w:rPr>
          <w:rFonts w:ascii="Times New Roman" w:eastAsia="宋体" w:hAnsi="Times New Roman"/>
        </w:rPr>
        <w:t>侧加油站新建项目安全设施竣工验收安全评价结论：</w:t>
      </w:r>
    </w:p>
    <w:p w14:paraId="0E87E009" w14:textId="77777777" w:rsidR="00502148" w:rsidRDefault="00000000">
      <w:pPr>
        <w:ind w:firstLine="560"/>
        <w:rPr>
          <w:rFonts w:ascii="Times New Roman" w:eastAsia="宋体" w:hAnsi="Times New Roman"/>
        </w:rPr>
      </w:pPr>
      <w:r>
        <w:rPr>
          <w:rFonts w:ascii="Times New Roman" w:eastAsia="宋体" w:hAnsi="Times New Roman"/>
        </w:rPr>
        <w:t>中铁（辽宁）本桓高速公路有限公司五里甸子服务区</w:t>
      </w:r>
      <w:r>
        <w:rPr>
          <w:rFonts w:ascii="Times New Roman" w:eastAsia="宋体" w:hAnsi="Times New Roman" w:hint="eastAsia"/>
        </w:rPr>
        <w:t>西</w:t>
      </w:r>
      <w:r>
        <w:rPr>
          <w:rFonts w:ascii="Times New Roman" w:eastAsia="宋体" w:hAnsi="Times New Roman"/>
        </w:rPr>
        <w:t>侧加油站新建项目的安全条件和安全生产条件符合国家安全生产有关法律、法规和标准以及部门规章及标准的要求，具备竣工安全验收条件，满足</w:t>
      </w:r>
      <w:r>
        <w:rPr>
          <w:rFonts w:ascii="Times New Roman" w:eastAsia="宋体" w:hAnsi="Times New Roman" w:hint="eastAsia"/>
        </w:rPr>
        <w:t>储存、经营车用乙醇汽油、柴油的</w:t>
      </w:r>
      <w:r>
        <w:rPr>
          <w:rFonts w:ascii="Times New Roman" w:eastAsia="宋体" w:hAnsi="Times New Roman"/>
        </w:rPr>
        <w:t>条件。</w:t>
      </w:r>
      <w:r>
        <w:rPr>
          <w:rFonts w:ascii="Times New Roman" w:eastAsia="宋体" w:hAnsi="Times New Roman"/>
        </w:rPr>
        <w:br w:type="page"/>
      </w:r>
    </w:p>
    <w:p w14:paraId="0DAA80FB"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9" w:name="_Toc30115"/>
      <w:r>
        <w:rPr>
          <w:rFonts w:ascii="Times New Roman" w:eastAsia="黑体" w:hAnsi="Times New Roman" w:cs="Times New Roman"/>
          <w:b/>
          <w:bCs/>
          <w:sz w:val="32"/>
          <w:szCs w:val="32"/>
        </w:rPr>
        <w:lastRenderedPageBreak/>
        <w:t>9</w:t>
      </w:r>
      <w:r>
        <w:rPr>
          <w:rFonts w:ascii="Times New Roman" w:eastAsia="黑体" w:hAnsi="Times New Roman" w:cs="Times New Roman"/>
          <w:b/>
          <w:bCs/>
          <w:sz w:val="32"/>
          <w:szCs w:val="32"/>
        </w:rPr>
        <w:t>与建设单位交换意见</w:t>
      </w:r>
      <w:bookmarkEnd w:id="79"/>
    </w:p>
    <w:p w14:paraId="6122CA24" w14:textId="77777777" w:rsidR="00502148" w:rsidRDefault="00000000">
      <w:pPr>
        <w:ind w:firstLine="560"/>
        <w:rPr>
          <w:rFonts w:ascii="Times New Roman" w:eastAsia="宋体" w:hAnsi="Times New Roman"/>
        </w:rPr>
      </w:pPr>
      <w:r>
        <w:rPr>
          <w:rFonts w:ascii="Times New Roman" w:eastAsia="宋体" w:hAnsi="Times New Roman"/>
        </w:rPr>
        <w:t>辽宁诺诚安全科技有限公司与中铁（辽宁）本桓高速公路有限公司签定了安全设施竣工验收评价技术服务合同后，在评价实施过程中，双方就评价中的问题进行了多次交流，对安全评价内容和评价结果达成了一致意见。</w:t>
      </w:r>
      <w:r>
        <w:rPr>
          <w:rFonts w:ascii="Times New Roman" w:eastAsia="宋体" w:hAnsi="Times New Roman"/>
        </w:rPr>
        <w:br w:type="page"/>
      </w:r>
    </w:p>
    <w:p w14:paraId="0EB1A052"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80" w:name="_Toc18051"/>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1</w:t>
      </w:r>
      <w:r>
        <w:rPr>
          <w:rFonts w:ascii="Times New Roman" w:eastAsia="黑体" w:hAnsi="Times New Roman" w:cs="Times New Roman"/>
          <w:b/>
          <w:bCs/>
          <w:sz w:val="32"/>
          <w:szCs w:val="32"/>
        </w:rPr>
        <w:t>平面布置图等图表</w:t>
      </w:r>
      <w:bookmarkEnd w:id="80"/>
    </w:p>
    <w:p w14:paraId="4F602A14"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1" w:name="_Toc27322"/>
      <w:r>
        <w:rPr>
          <w:rFonts w:ascii="Times New Roman" w:eastAsia="楷体" w:hAnsi="Times New Roman" w:cs="Times New Roman"/>
          <w:b/>
          <w:bCs/>
          <w:sz w:val="32"/>
          <w:szCs w:val="32"/>
        </w:rPr>
        <w:t>F1.1</w:t>
      </w:r>
      <w:r>
        <w:rPr>
          <w:rFonts w:ascii="Times New Roman" w:eastAsia="楷体" w:hAnsi="Times New Roman" w:cs="Times New Roman"/>
          <w:b/>
          <w:bCs/>
          <w:sz w:val="32"/>
          <w:szCs w:val="32"/>
        </w:rPr>
        <w:t>总平面布置示意图</w:t>
      </w:r>
      <w:bookmarkEnd w:id="81"/>
    </w:p>
    <w:p w14:paraId="373B1543" w14:textId="77777777" w:rsidR="00502148" w:rsidRDefault="00000000">
      <w:pPr>
        <w:ind w:firstLine="560"/>
        <w:rPr>
          <w:rFonts w:ascii="Times New Roman" w:eastAsia="宋体" w:hAnsi="Times New Roman"/>
        </w:rPr>
      </w:pPr>
      <w:r>
        <w:rPr>
          <w:rFonts w:ascii="Times New Roman" w:eastAsia="宋体" w:hAnsi="Times New Roman"/>
        </w:rPr>
        <w:t>本项目总平面布置情况，详见附图</w:t>
      </w:r>
      <w:r>
        <w:rPr>
          <w:rFonts w:ascii="Times New Roman" w:eastAsia="宋体" w:hAnsi="Times New Roman" w:hint="eastAsia"/>
        </w:rPr>
        <w:t>1</w:t>
      </w:r>
      <w:r>
        <w:rPr>
          <w:rFonts w:ascii="Times New Roman" w:eastAsia="宋体" w:hAnsi="Times New Roman"/>
        </w:rPr>
        <w:t>。</w:t>
      </w:r>
    </w:p>
    <w:p w14:paraId="70AB7691"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2" w:name="_Toc19905"/>
      <w:r>
        <w:rPr>
          <w:rFonts w:ascii="Times New Roman" w:eastAsia="楷体" w:hAnsi="Times New Roman" w:cs="Times New Roman"/>
          <w:b/>
          <w:bCs/>
          <w:sz w:val="32"/>
          <w:szCs w:val="32"/>
        </w:rPr>
        <w:t>F1.2</w:t>
      </w:r>
      <w:r>
        <w:rPr>
          <w:rFonts w:ascii="Times New Roman" w:eastAsia="楷体" w:hAnsi="Times New Roman" w:cs="Times New Roman"/>
          <w:b/>
          <w:bCs/>
          <w:sz w:val="32"/>
          <w:szCs w:val="32"/>
        </w:rPr>
        <w:t>工艺流程图</w:t>
      </w:r>
      <w:bookmarkEnd w:id="82"/>
    </w:p>
    <w:p w14:paraId="7CF08099" w14:textId="77777777" w:rsidR="00502148" w:rsidRDefault="00000000">
      <w:pPr>
        <w:ind w:firstLine="560"/>
        <w:rPr>
          <w:rFonts w:ascii="Times New Roman" w:eastAsia="宋体" w:hAnsi="Times New Roman"/>
        </w:rPr>
      </w:pPr>
      <w:r>
        <w:rPr>
          <w:rFonts w:ascii="Times New Roman" w:eastAsia="宋体" w:hAnsi="Times New Roman"/>
        </w:rPr>
        <w:t>本项目工艺流程图，详见附图</w:t>
      </w:r>
      <w:r>
        <w:rPr>
          <w:rFonts w:ascii="Times New Roman" w:eastAsia="宋体" w:hAnsi="Times New Roman" w:hint="eastAsia"/>
        </w:rPr>
        <w:t>2</w:t>
      </w:r>
      <w:r>
        <w:rPr>
          <w:rFonts w:ascii="Times New Roman" w:eastAsia="宋体" w:hAnsi="Times New Roman"/>
        </w:rPr>
        <w:t>。</w:t>
      </w:r>
    </w:p>
    <w:p w14:paraId="31826B63"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3" w:name="_Toc14621"/>
      <w:r>
        <w:rPr>
          <w:rFonts w:ascii="Times New Roman" w:eastAsia="楷体" w:hAnsi="Times New Roman" w:cs="Times New Roman"/>
          <w:b/>
          <w:bCs/>
          <w:sz w:val="32"/>
          <w:szCs w:val="32"/>
        </w:rPr>
        <w:t>F1.3</w:t>
      </w:r>
      <w:r>
        <w:rPr>
          <w:rFonts w:ascii="Times New Roman" w:eastAsia="楷体" w:hAnsi="Times New Roman" w:cs="Times New Roman"/>
          <w:b/>
          <w:bCs/>
          <w:sz w:val="32"/>
          <w:szCs w:val="32"/>
        </w:rPr>
        <w:t>爆炸危险区域划分图</w:t>
      </w:r>
      <w:bookmarkEnd w:id="83"/>
    </w:p>
    <w:p w14:paraId="735E8DE7" w14:textId="77777777" w:rsidR="00502148" w:rsidRDefault="00000000">
      <w:pPr>
        <w:ind w:firstLine="560"/>
        <w:rPr>
          <w:rFonts w:ascii="Times New Roman" w:eastAsia="宋体" w:hAnsi="Times New Roman"/>
        </w:rPr>
      </w:pPr>
      <w:r>
        <w:rPr>
          <w:rFonts w:ascii="Times New Roman" w:eastAsia="宋体" w:hAnsi="Times New Roman"/>
        </w:rPr>
        <w:t>本项目爆炸危险区域划分图，详见附图</w:t>
      </w:r>
      <w:r>
        <w:rPr>
          <w:rFonts w:ascii="Times New Roman" w:eastAsia="宋体" w:hAnsi="Times New Roman" w:hint="eastAsia"/>
        </w:rPr>
        <w:t>3</w:t>
      </w:r>
      <w:r>
        <w:rPr>
          <w:rFonts w:ascii="Times New Roman" w:eastAsia="宋体" w:hAnsi="Times New Roman"/>
        </w:rPr>
        <w:t>。</w:t>
      </w:r>
      <w:r>
        <w:rPr>
          <w:rFonts w:ascii="Times New Roman" w:eastAsia="宋体" w:hAnsi="Times New Roman"/>
        </w:rPr>
        <w:br w:type="page"/>
      </w:r>
    </w:p>
    <w:p w14:paraId="0D76C810"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84" w:name="_Toc13728"/>
      <w:bookmarkStart w:id="85" w:name="_Toc28516"/>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2</w:t>
      </w:r>
      <w:r>
        <w:rPr>
          <w:rFonts w:ascii="Times New Roman" w:eastAsia="黑体" w:hAnsi="Times New Roman" w:cs="Times New Roman"/>
          <w:b/>
          <w:bCs/>
          <w:sz w:val="32"/>
          <w:szCs w:val="32"/>
        </w:rPr>
        <w:t>选用的安全评价方法简介</w:t>
      </w:r>
      <w:bookmarkEnd w:id="84"/>
      <w:bookmarkEnd w:id="85"/>
    </w:p>
    <w:p w14:paraId="20E5CC15"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6" w:name="_Toc4735"/>
      <w:bookmarkStart w:id="87" w:name="_Toc207697495"/>
      <w:bookmarkStart w:id="88" w:name="_Toc6292"/>
      <w:bookmarkStart w:id="89" w:name="_Toc216935518"/>
      <w:bookmarkStart w:id="90" w:name="_Toc192321823"/>
      <w:bookmarkStart w:id="91" w:name="_Toc249942908"/>
      <w:bookmarkStart w:id="92" w:name="_Toc622"/>
      <w:bookmarkStart w:id="93" w:name="_Toc17981"/>
      <w:bookmarkStart w:id="94" w:name="_Toc2484"/>
      <w:r>
        <w:rPr>
          <w:rFonts w:ascii="Times New Roman" w:eastAsia="楷体" w:hAnsi="Times New Roman" w:cs="Times New Roman"/>
          <w:b/>
          <w:bCs/>
          <w:sz w:val="32"/>
          <w:szCs w:val="32"/>
        </w:rPr>
        <w:t>F2.1</w:t>
      </w:r>
      <w:r>
        <w:rPr>
          <w:rFonts w:ascii="Times New Roman" w:eastAsia="楷体" w:hAnsi="Times New Roman" w:cs="Times New Roman"/>
          <w:b/>
          <w:bCs/>
          <w:sz w:val="32"/>
          <w:szCs w:val="32"/>
        </w:rPr>
        <w:t>重大危险源辨识</w:t>
      </w:r>
      <w:bookmarkEnd w:id="86"/>
      <w:bookmarkEnd w:id="87"/>
      <w:bookmarkEnd w:id="88"/>
      <w:bookmarkEnd w:id="89"/>
      <w:bookmarkEnd w:id="90"/>
      <w:bookmarkEnd w:id="91"/>
      <w:bookmarkEnd w:id="92"/>
    </w:p>
    <w:p w14:paraId="2AD2F2EF" w14:textId="77777777" w:rsidR="00502148"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GB18218-2018</w:t>
      </w:r>
      <w:r>
        <w:rPr>
          <w:rFonts w:ascii="Times New Roman" w:eastAsia="宋体" w:hAnsi="Times New Roman" w:hint="eastAsia"/>
        </w:rPr>
        <w:t>的规定，重大危险源的辨识指标如下：</w:t>
      </w:r>
    </w:p>
    <w:p w14:paraId="79BE823A" w14:textId="77777777" w:rsidR="00502148" w:rsidRDefault="00000000">
      <w:pPr>
        <w:ind w:firstLine="560"/>
        <w:rPr>
          <w:rFonts w:ascii="Times New Roman" w:eastAsia="宋体" w:hAnsi="Times New Roman"/>
        </w:rPr>
      </w:pPr>
      <w:r>
        <w:rPr>
          <w:rFonts w:ascii="Times New Roman" w:eastAsia="宋体" w:hAnsi="Times New Roman" w:hint="eastAsia"/>
        </w:rPr>
        <w:t>长期地或临时地生产、储存、使用和经营危险化学品，且危险化学品的数量等于或者超过临界量的单元。</w:t>
      </w:r>
    </w:p>
    <w:p w14:paraId="1C96EF3F" w14:textId="77777777" w:rsidR="00502148" w:rsidRDefault="00000000">
      <w:pPr>
        <w:ind w:firstLine="560"/>
        <w:rPr>
          <w:rFonts w:ascii="Times New Roman" w:eastAsia="宋体" w:hAnsi="Times New Roman"/>
        </w:rPr>
      </w:pPr>
      <w:r>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6565073F" w14:textId="77777777" w:rsidR="00502148" w:rsidRDefault="00000000">
      <w:pPr>
        <w:ind w:firstLine="560"/>
        <w:rPr>
          <w:rFonts w:ascii="Times New Roman" w:eastAsia="宋体" w:hAnsi="Times New Roman"/>
        </w:rPr>
      </w:pPr>
      <w:r>
        <w:rPr>
          <w:rFonts w:ascii="Times New Roman" w:eastAsia="宋体" w:hAnsi="Times New Roman" w:hint="eastAsia"/>
        </w:rPr>
        <w:t>储存单元：用于储存危险化学品的储罐或仓库组成的相对独立的区域，储罐区以罐区防火堤为界限划分为独立的单元，从仓库以独立库房（独立建筑物）为界限划分为的独立的单元。</w:t>
      </w:r>
    </w:p>
    <w:p w14:paraId="6FD3E10A" w14:textId="77777777" w:rsidR="00502148" w:rsidRDefault="00000000">
      <w:pPr>
        <w:ind w:firstLine="560"/>
        <w:rPr>
          <w:rFonts w:ascii="Times New Roman" w:eastAsia="宋体" w:hAnsi="Times New Roman"/>
        </w:rPr>
      </w:pPr>
      <w:r>
        <w:rPr>
          <w:rFonts w:ascii="Times New Roman" w:eastAsia="宋体" w:hAnsi="Times New Roman" w:hint="eastAsia"/>
        </w:rPr>
        <w:t>生产单元、储存单元内存在危险化学品的数量等于或者出超过表</w:t>
      </w:r>
      <w:r>
        <w:rPr>
          <w:rFonts w:ascii="Times New Roman" w:eastAsia="宋体" w:hAnsi="Times New Roman" w:hint="eastAsia"/>
        </w:rPr>
        <w:t>1</w:t>
      </w:r>
      <w:r>
        <w:rPr>
          <w:rFonts w:ascii="Times New Roman" w:eastAsia="宋体" w:hAnsi="Times New Roman" w:hint="eastAsia"/>
        </w:rPr>
        <w:t>、表</w:t>
      </w:r>
      <w:r>
        <w:rPr>
          <w:rFonts w:ascii="Times New Roman" w:eastAsia="宋体" w:hAnsi="Times New Roman" w:hint="eastAsia"/>
        </w:rPr>
        <w:t>2</w:t>
      </w:r>
      <w:r>
        <w:rPr>
          <w:rFonts w:ascii="Times New Roman" w:eastAsia="宋体" w:hAnsi="Times New Roman" w:hint="eastAsia"/>
        </w:rPr>
        <w:t>规定地点临界量，即被定为重大危险源，单元内存在的危险化学品的数量根据危险化学品种类的多少区分为以下两种情况：</w:t>
      </w:r>
    </w:p>
    <w:p w14:paraId="2E6D1EB7"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）生产单元、储存单元内存在的危险化学品为单一品种，该危险化学品的数量即为单元内危险化学品的总量，若等于或超过相应的临界量，则定为重大危险源。</w:t>
      </w:r>
    </w:p>
    <w:p w14:paraId="2B40237B"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）生产单元、储存单元内存在的危险化学品为多品种时，则按下式计算，若满足下面公式，则定为重大危险源：</w:t>
      </w:r>
    </w:p>
    <w:p w14:paraId="569DE6B8" w14:textId="77777777" w:rsidR="00502148" w:rsidRDefault="00000000">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02A9142A" w14:textId="77777777" w:rsidR="00502148" w:rsidRDefault="00000000">
      <w:pPr>
        <w:ind w:firstLine="560"/>
        <w:rPr>
          <w:rFonts w:ascii="Times New Roman" w:eastAsia="宋体" w:hAnsi="Times New Roman"/>
        </w:rPr>
      </w:pPr>
      <w:r>
        <w:rPr>
          <w:rFonts w:ascii="Times New Roman" w:eastAsia="宋体" w:hAnsi="Times New Roman" w:hint="eastAsia"/>
        </w:rPr>
        <w:t>式中：</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—每种危险物质实际存在的量，</w:t>
      </w:r>
      <w:r>
        <w:rPr>
          <w:rFonts w:ascii="Times New Roman" w:eastAsia="宋体" w:hAnsi="Times New Roman" w:hint="eastAsia"/>
        </w:rPr>
        <w:t>t</w:t>
      </w:r>
      <w:r>
        <w:rPr>
          <w:rFonts w:ascii="Times New Roman" w:eastAsia="宋体" w:hAnsi="Times New Roman" w:hint="eastAsia"/>
        </w:rPr>
        <w:t>。</w:t>
      </w:r>
    </w:p>
    <w:p w14:paraId="2B773147" w14:textId="77777777" w:rsidR="00502148" w:rsidRDefault="00000000">
      <w:pPr>
        <w:ind w:firstLineChars="500" w:firstLine="1400"/>
        <w:rPr>
          <w:rFonts w:ascii="Times New Roman" w:eastAsia="宋体" w:hAnsi="Times New Roman"/>
        </w:rPr>
      </w:pP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—与各危险物质相对应的临界量，</w:t>
      </w:r>
      <w:r>
        <w:rPr>
          <w:rFonts w:ascii="Times New Roman" w:eastAsia="宋体" w:hAnsi="Times New Roman" w:hint="eastAsia"/>
        </w:rPr>
        <w:t>t</w:t>
      </w:r>
      <w:r>
        <w:rPr>
          <w:rFonts w:ascii="Times New Roman" w:eastAsia="宋体" w:hAnsi="Times New Roman" w:hint="eastAsia"/>
        </w:rPr>
        <w:t>。</w:t>
      </w:r>
    </w:p>
    <w:p w14:paraId="16AA361B" w14:textId="77777777" w:rsidR="00502148" w:rsidRDefault="00000000">
      <w:pPr>
        <w:adjustRightInd/>
        <w:snapToGrid/>
        <w:ind w:firstLineChars="0" w:firstLine="0"/>
        <w:jc w:val="center"/>
        <w:rPr>
          <w:rFonts w:ascii="Times New Roman" w:eastAsia="宋体" w:hAnsi="Times New Roman" w:cs="Times New Roman"/>
          <w:bCs/>
          <w:szCs w:val="28"/>
          <w:lang w:val="zh-CN"/>
          <w14:ligatures w14:val="none"/>
        </w:rPr>
      </w:pPr>
      <w:r>
        <w:rPr>
          <w:rFonts w:ascii="Times New Roman" w:eastAsia="宋体" w:hAnsi="Times New Roman" w:cs="Times New Roman"/>
          <w:noProof/>
          <w:sz w:val="21"/>
          <w14:ligatures w14:val="none"/>
        </w:rPr>
        <w:lastRenderedPageBreak/>
        <w:drawing>
          <wp:inline distT="0" distB="0" distL="0" distR="0" wp14:anchorId="481FE100" wp14:editId="0A0799FD">
            <wp:extent cx="5831840" cy="5935980"/>
            <wp:effectExtent l="0" t="0" r="0" b="7620"/>
            <wp:docPr id="9965027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02741" name="图片 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831840" cy="5935980"/>
                    </a:xfrm>
                    <a:prstGeom prst="rect">
                      <a:avLst/>
                    </a:prstGeom>
                    <a:noFill/>
                    <a:ln>
                      <a:noFill/>
                    </a:ln>
                  </pic:spPr>
                </pic:pic>
              </a:graphicData>
            </a:graphic>
          </wp:inline>
        </w:drawing>
      </w:r>
    </w:p>
    <w:p w14:paraId="1AEA74F7" w14:textId="77777777" w:rsidR="00502148" w:rsidRDefault="00000000">
      <w:pPr>
        <w:pStyle w:val="aff7"/>
        <w:spacing w:beforeLines="50" w:before="156" w:afterLines="50" w:after="156"/>
        <w:rPr>
          <w:rFonts w:eastAsia="黑体"/>
          <w:sz w:val="24"/>
        </w:rPr>
      </w:pPr>
      <w:r>
        <w:rPr>
          <w:rFonts w:eastAsia="黑体" w:hint="eastAsia"/>
          <w:sz w:val="24"/>
        </w:rPr>
        <w:t>附</w:t>
      </w:r>
      <w:r>
        <w:rPr>
          <w:rFonts w:eastAsia="黑体"/>
          <w:sz w:val="24"/>
        </w:rPr>
        <w:t>图</w:t>
      </w:r>
      <w:r>
        <w:rPr>
          <w:rFonts w:eastAsia="黑体"/>
          <w:sz w:val="24"/>
        </w:rPr>
        <w:t>2.1-1</w:t>
      </w:r>
      <w:r>
        <w:rPr>
          <w:rFonts w:eastAsia="黑体" w:hint="eastAsia"/>
          <w:sz w:val="24"/>
        </w:rPr>
        <w:t xml:space="preserve">  </w:t>
      </w:r>
      <w:r>
        <w:rPr>
          <w:rFonts w:eastAsia="黑体"/>
          <w:sz w:val="24"/>
        </w:rPr>
        <w:t>危险化学品重大危险源辨识流程图</w:t>
      </w:r>
    </w:p>
    <w:p w14:paraId="2F95E253"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5" w:name="_Toc20846"/>
      <w:bookmarkStart w:id="96" w:name="_Toc2786"/>
      <w:r>
        <w:rPr>
          <w:rFonts w:ascii="Times New Roman" w:eastAsia="楷体" w:hAnsi="Times New Roman" w:cs="Times New Roman"/>
          <w:b/>
          <w:bCs/>
          <w:sz w:val="32"/>
          <w:szCs w:val="32"/>
        </w:rPr>
        <w:t>F2.2</w:t>
      </w:r>
      <w:r>
        <w:rPr>
          <w:rFonts w:ascii="Times New Roman" w:eastAsia="楷体" w:hAnsi="Times New Roman" w:cs="Times New Roman"/>
          <w:b/>
          <w:bCs/>
          <w:sz w:val="32"/>
          <w:szCs w:val="32"/>
        </w:rPr>
        <w:t>安全检查表法</w:t>
      </w:r>
      <w:bookmarkEnd w:id="93"/>
      <w:bookmarkEnd w:id="94"/>
      <w:bookmarkEnd w:id="95"/>
      <w:bookmarkEnd w:id="96"/>
    </w:p>
    <w:p w14:paraId="241865A4" w14:textId="77777777" w:rsidR="00502148" w:rsidRDefault="00000000">
      <w:pPr>
        <w:ind w:firstLine="560"/>
        <w:rPr>
          <w:rFonts w:ascii="Times New Roman" w:eastAsia="宋体" w:hAnsi="Times New Roman"/>
        </w:rPr>
      </w:pPr>
      <w:r>
        <w:rPr>
          <w:rFonts w:ascii="Times New Roman" w:eastAsia="宋体" w:hAnsi="Times New Roman"/>
        </w:rPr>
        <w:t>安全检查表法是系统安全工程的一种最基础、最简便、最广泛应用的系统安全评价方法。安全检查表不仅用于查找系统中各种潜在的事故隐患，还对检查项目给予量化，用于进行系统安全评价。</w:t>
      </w:r>
    </w:p>
    <w:p w14:paraId="57001619" w14:textId="77777777" w:rsidR="00502148" w:rsidRDefault="00000000">
      <w:pPr>
        <w:ind w:firstLine="560"/>
        <w:rPr>
          <w:rFonts w:ascii="Times New Roman" w:eastAsia="宋体" w:hAnsi="Times New Roman"/>
        </w:rPr>
      </w:pPr>
      <w:r>
        <w:rPr>
          <w:rFonts w:ascii="Times New Roman" w:eastAsia="宋体" w:hAnsi="Times New Roman"/>
        </w:rPr>
        <w:t>安全检查表是由一些对工艺过程、机械设备和作业情况熟悉，并富有安</w:t>
      </w:r>
      <w:r>
        <w:rPr>
          <w:rFonts w:ascii="Times New Roman" w:eastAsia="宋体" w:hAnsi="Times New Roman"/>
        </w:rPr>
        <w:lastRenderedPageBreak/>
        <w:t>全技术、安全管理经验的人员，事先对分析对象进行详尽分析和讨论，列出检查单元和部位、检查项目、检查要求、各项赋分标准、评定系统安全等级分值标准等内容的表格。</w:t>
      </w:r>
    </w:p>
    <w:p w14:paraId="395CAEE6" w14:textId="77777777" w:rsidR="00502148" w:rsidRDefault="00000000">
      <w:pPr>
        <w:ind w:firstLine="560"/>
        <w:rPr>
          <w:rFonts w:ascii="Times New Roman" w:eastAsia="宋体" w:hAnsi="Times New Roman"/>
        </w:rPr>
      </w:pPr>
      <w:r>
        <w:rPr>
          <w:rFonts w:ascii="Times New Roman" w:eastAsia="宋体" w:hAnsi="Times New Roman"/>
        </w:rPr>
        <w:t>对系统进行评价时，对照安全检查表逐项检查、赋分，从而评价出系统的安全等级。</w:t>
      </w:r>
    </w:p>
    <w:p w14:paraId="33AE8406" w14:textId="77777777" w:rsidR="00502148" w:rsidRDefault="00000000">
      <w:pPr>
        <w:ind w:firstLine="560"/>
        <w:rPr>
          <w:rFonts w:ascii="Times New Roman" w:eastAsia="宋体" w:hAnsi="Times New Roman"/>
        </w:rPr>
      </w:pPr>
      <w:r>
        <w:rPr>
          <w:rFonts w:ascii="Times New Roman" w:eastAsia="宋体" w:hAnsi="Times New Roman"/>
        </w:rPr>
        <w:t>当安全检查表用于设计、维修、环境、管理等方面查找缺陷或隐患时，可省略赋分、评级等内容和步骤。</w:t>
      </w:r>
    </w:p>
    <w:p w14:paraId="490BA52F" w14:textId="77777777" w:rsidR="00502148" w:rsidRDefault="00000000">
      <w:pPr>
        <w:ind w:firstLine="560"/>
        <w:rPr>
          <w:rFonts w:ascii="Times New Roman" w:eastAsia="宋体" w:hAnsi="Times New Roman"/>
        </w:rPr>
      </w:pPr>
      <w:r>
        <w:rPr>
          <w:rFonts w:ascii="Times New Roman" w:eastAsia="宋体" w:hAnsi="Times New Roman"/>
        </w:rPr>
        <w:t>本次评价所使用的安全检查表为提问型安全检查表，具体形式见附表</w:t>
      </w:r>
      <w:r>
        <w:rPr>
          <w:rFonts w:ascii="Times New Roman" w:eastAsia="宋体" w:hAnsi="Times New Roman"/>
        </w:rPr>
        <w:t>2.2-1</w:t>
      </w:r>
      <w:r>
        <w:rPr>
          <w:rFonts w:ascii="Times New Roman" w:eastAsia="宋体" w:hAnsi="Times New Roman"/>
        </w:rPr>
        <w:t>。</w:t>
      </w:r>
    </w:p>
    <w:p w14:paraId="5ECCCF18"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2.2-1  </w:t>
      </w:r>
      <w:r>
        <w:rPr>
          <w:rFonts w:ascii="Times New Roman" w:eastAsia="黑体" w:hAnsi="Times New Roman"/>
          <w:sz w:val="24"/>
        </w:rPr>
        <w:t>安全检查表</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083"/>
        <w:gridCol w:w="2401"/>
        <w:gridCol w:w="2115"/>
        <w:gridCol w:w="2462"/>
        <w:gridCol w:w="1157"/>
      </w:tblGrid>
      <w:tr w:rsidR="00502148" w14:paraId="2AB2C857" w14:textId="77777777">
        <w:trPr>
          <w:trHeight w:hRule="exact" w:val="454"/>
          <w:jc w:val="center"/>
        </w:trPr>
        <w:tc>
          <w:tcPr>
            <w:tcW w:w="1083" w:type="dxa"/>
            <w:vAlign w:val="center"/>
          </w:tcPr>
          <w:p w14:paraId="7231AF72" w14:textId="77777777" w:rsidR="00502148"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2401" w:type="dxa"/>
            <w:vAlign w:val="center"/>
          </w:tcPr>
          <w:p w14:paraId="77249F8C" w14:textId="77777777" w:rsidR="00502148"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检查项目</w:t>
            </w:r>
          </w:p>
        </w:tc>
        <w:tc>
          <w:tcPr>
            <w:tcW w:w="2115" w:type="dxa"/>
            <w:vAlign w:val="center"/>
          </w:tcPr>
          <w:p w14:paraId="5309B6DE" w14:textId="77777777" w:rsidR="00502148"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检查依据</w:t>
            </w:r>
          </w:p>
        </w:tc>
        <w:tc>
          <w:tcPr>
            <w:tcW w:w="2462" w:type="dxa"/>
            <w:vAlign w:val="center"/>
          </w:tcPr>
          <w:p w14:paraId="36B949FA" w14:textId="77777777" w:rsidR="00502148"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实际情况</w:t>
            </w:r>
          </w:p>
        </w:tc>
        <w:tc>
          <w:tcPr>
            <w:tcW w:w="1157" w:type="dxa"/>
            <w:vAlign w:val="center"/>
          </w:tcPr>
          <w:p w14:paraId="7D57C1CD" w14:textId="77777777" w:rsidR="00502148"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502148" w14:paraId="37C01D8E" w14:textId="77777777">
        <w:trPr>
          <w:trHeight w:hRule="exact" w:val="454"/>
          <w:jc w:val="center"/>
        </w:trPr>
        <w:tc>
          <w:tcPr>
            <w:tcW w:w="1083" w:type="dxa"/>
            <w:vAlign w:val="center"/>
          </w:tcPr>
          <w:p w14:paraId="27BC769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401" w:type="dxa"/>
            <w:vAlign w:val="center"/>
          </w:tcPr>
          <w:p w14:paraId="041F4A0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115" w:type="dxa"/>
            <w:vAlign w:val="center"/>
          </w:tcPr>
          <w:p w14:paraId="3F6835C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2462" w:type="dxa"/>
            <w:vAlign w:val="center"/>
          </w:tcPr>
          <w:p w14:paraId="1BE3EC7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157" w:type="dxa"/>
            <w:vAlign w:val="center"/>
          </w:tcPr>
          <w:p w14:paraId="11F3243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r>
    </w:tbl>
    <w:p w14:paraId="603A9B70"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7" w:name="_Toc18931"/>
      <w:bookmarkStart w:id="98" w:name="_Toc3683"/>
      <w:bookmarkStart w:id="99" w:name="_Toc17213"/>
      <w:bookmarkStart w:id="100" w:name="_Toc10022"/>
      <w:bookmarkStart w:id="101" w:name="_Toc3450"/>
      <w:r>
        <w:rPr>
          <w:rFonts w:ascii="Times New Roman" w:eastAsia="楷体" w:hAnsi="Times New Roman" w:cs="Times New Roman"/>
          <w:b/>
          <w:bCs/>
          <w:sz w:val="32"/>
          <w:szCs w:val="32"/>
        </w:rPr>
        <w:t>F2.3</w:t>
      </w:r>
      <w:bookmarkEnd w:id="97"/>
      <w:bookmarkEnd w:id="98"/>
      <w:r>
        <w:rPr>
          <w:rFonts w:ascii="Times New Roman" w:eastAsia="楷体" w:hAnsi="Times New Roman" w:cs="Times New Roman"/>
          <w:b/>
          <w:bCs/>
          <w:sz w:val="32"/>
          <w:szCs w:val="32"/>
        </w:rPr>
        <w:t>作业条件危险性分析法</w:t>
      </w:r>
      <w:bookmarkEnd w:id="99"/>
    </w:p>
    <w:p w14:paraId="436A0323" w14:textId="77777777" w:rsidR="00502148" w:rsidRDefault="00000000">
      <w:pPr>
        <w:ind w:firstLine="560"/>
        <w:rPr>
          <w:rFonts w:ascii="Times New Roman" w:eastAsia="宋体" w:hAnsi="Times New Roman"/>
        </w:rPr>
      </w:pPr>
      <w:r>
        <w:rPr>
          <w:rFonts w:ascii="Times New Roman" w:eastAsia="宋体" w:hAnsi="Times New Roman"/>
        </w:rPr>
        <w:t>作业条件危险性分析法是对危险物质或危险作业场所中可能发生的事故事件进行综合评价和分析，以确定其引发事故的频率和后果的程度，并通过评价结果来加强危险物质或危险作业场所的安全措施的安全评价方法。</w:t>
      </w:r>
    </w:p>
    <w:p w14:paraId="55071B53" w14:textId="77777777" w:rsidR="00502148" w:rsidRDefault="00000000">
      <w:pPr>
        <w:ind w:firstLine="560"/>
        <w:rPr>
          <w:rFonts w:ascii="Times New Roman" w:eastAsia="宋体" w:hAnsi="宋体" w:cs="Times New Roman" w:hint="eastAsia"/>
          <w:szCs w:val="28"/>
          <w14:ligatures w14:val="none"/>
        </w:rPr>
      </w:pPr>
      <w:bookmarkStart w:id="102" w:name="_Toc26905"/>
      <w:bookmarkStart w:id="103" w:name="_Toc24219"/>
      <w:r>
        <w:rPr>
          <w:rFonts w:ascii="Times New Roman" w:eastAsia="宋体" w:hAnsi="宋体" w:cs="Times New Roman"/>
          <w:szCs w:val="28"/>
          <w14:ligatures w14:val="none"/>
        </w:rPr>
        <w:t>美国的</w:t>
      </w:r>
      <w:r>
        <w:rPr>
          <w:rFonts w:ascii="Times New Roman" w:eastAsia="宋体" w:hAnsi="宋体" w:cs="Times New Roman"/>
          <w:szCs w:val="28"/>
          <w14:ligatures w14:val="none"/>
        </w:rPr>
        <w:t>K.J.</w:t>
      </w:r>
      <w:r>
        <w:rPr>
          <w:rFonts w:ascii="Times New Roman" w:eastAsia="宋体" w:hAnsi="宋体" w:cs="Times New Roman"/>
          <w:szCs w:val="28"/>
          <w14:ligatures w14:val="none"/>
        </w:rPr>
        <w:t>格雷厄姆（</w:t>
      </w:r>
      <w:r>
        <w:rPr>
          <w:rFonts w:ascii="Times New Roman" w:eastAsia="宋体" w:hAnsi="宋体" w:cs="Times New Roman"/>
          <w:szCs w:val="28"/>
          <w14:ligatures w14:val="none"/>
        </w:rPr>
        <w:t>Keneth J. Graham</w:t>
      </w:r>
      <w:r>
        <w:rPr>
          <w:rFonts w:ascii="Times New Roman" w:eastAsia="宋体" w:hAnsi="宋体" w:cs="Times New Roman"/>
          <w:szCs w:val="28"/>
          <w14:ligatures w14:val="none"/>
        </w:rPr>
        <w:t>）和</w:t>
      </w:r>
      <w:r>
        <w:rPr>
          <w:rFonts w:ascii="Times New Roman" w:eastAsia="宋体" w:hAnsi="宋体" w:cs="Times New Roman"/>
          <w:szCs w:val="28"/>
          <w14:ligatures w14:val="none"/>
        </w:rPr>
        <w:t>G.F.</w:t>
      </w:r>
      <w:r>
        <w:rPr>
          <w:rFonts w:ascii="Times New Roman" w:eastAsia="宋体" w:hAnsi="宋体" w:cs="Times New Roman"/>
          <w:szCs w:val="28"/>
          <w14:ligatures w14:val="none"/>
        </w:rPr>
        <w:t>金尼（</w:t>
      </w:r>
      <w:r>
        <w:rPr>
          <w:rFonts w:ascii="Times New Roman" w:eastAsia="宋体" w:hAnsi="宋体" w:cs="Times New Roman"/>
          <w:szCs w:val="28"/>
          <w14:ligatures w14:val="none"/>
        </w:rPr>
        <w:t>Gilbert F. Kinney</w:t>
      </w:r>
      <w:r>
        <w:rPr>
          <w:rFonts w:ascii="Times New Roman" w:eastAsia="宋体" w:hAnsi="宋体" w:cs="Times New Roman"/>
          <w:szCs w:val="28"/>
          <w14:ligatures w14:val="none"/>
        </w:rPr>
        <w:t>）研究了人们在具有潜在危险环境中作业的危险性，提出了以所评价的环境与某些作为参考环境的对比为基础，将作业条件的危险性作因变量（</w:t>
      </w:r>
      <w:r>
        <w:rPr>
          <w:rFonts w:ascii="Times New Roman" w:eastAsia="宋体" w:hAnsi="宋体" w:cs="Times New Roman"/>
          <w:szCs w:val="28"/>
          <w14:ligatures w14:val="none"/>
        </w:rPr>
        <w:t>D</w:t>
      </w:r>
      <w:r>
        <w:rPr>
          <w:rFonts w:ascii="Times New Roman" w:eastAsia="宋体" w:hAnsi="宋体" w:cs="Times New Roman"/>
          <w:szCs w:val="28"/>
          <w14:ligatures w14:val="none"/>
        </w:rPr>
        <w:t>），事故或危险事件发生的可能性（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）、暴露于危险环境的频率（</w:t>
      </w:r>
      <w:r>
        <w:rPr>
          <w:rFonts w:ascii="Times New Roman" w:eastAsia="宋体" w:hAnsi="宋体" w:cs="Times New Roman"/>
          <w:szCs w:val="28"/>
          <w14:ligatures w14:val="none"/>
        </w:rPr>
        <w:t>E</w:t>
      </w:r>
      <w:r>
        <w:rPr>
          <w:rFonts w:ascii="Times New Roman" w:eastAsia="宋体" w:hAnsi="宋体" w:cs="Times New Roman"/>
          <w:szCs w:val="28"/>
          <w14:ligatures w14:val="none"/>
        </w:rPr>
        <w:t>）及危险严重程度（</w:t>
      </w:r>
      <w:r>
        <w:rPr>
          <w:rFonts w:ascii="Times New Roman" w:eastAsia="宋体" w:hAnsi="宋体" w:cs="Times New Roman"/>
          <w:szCs w:val="28"/>
          <w14:ligatures w14:val="none"/>
        </w:rPr>
        <w:t>C</w:t>
      </w:r>
      <w:r>
        <w:rPr>
          <w:rFonts w:ascii="Times New Roman" w:eastAsia="宋体" w:hAnsi="宋体" w:cs="Times New Roman"/>
          <w:szCs w:val="28"/>
          <w14:ligatures w14:val="none"/>
        </w:rPr>
        <w:t>）为自变量，用这三个因素分值的乘积表示作业条件的危险性（</w:t>
      </w:r>
      <w:r>
        <w:rPr>
          <w:rFonts w:ascii="Times New Roman" w:eastAsia="宋体" w:hAnsi="宋体" w:cs="Times New Roman"/>
          <w:szCs w:val="28"/>
          <w14:ligatures w14:val="none"/>
        </w:rPr>
        <w:t>D</w:t>
      </w:r>
      <w:r>
        <w:rPr>
          <w:rFonts w:ascii="Times New Roman" w:eastAsia="宋体" w:hAnsi="宋体" w:cs="Times New Roman"/>
          <w:szCs w:val="28"/>
          <w14:ligatures w14:val="none"/>
        </w:rPr>
        <w:t>），即</w:t>
      </w:r>
      <w:r>
        <w:rPr>
          <w:rFonts w:ascii="Times New Roman" w:eastAsia="宋体" w:hAnsi="宋体" w:cs="Times New Roman"/>
          <w:szCs w:val="28"/>
          <w14:ligatures w14:val="none"/>
        </w:rPr>
        <w:t>D</w:t>
      </w:r>
      <w:r>
        <w:rPr>
          <w:rFonts w:ascii="Times New Roman" w:eastAsia="宋体" w:hAnsi="宋体" w:cs="Times New Roman"/>
          <w:szCs w:val="28"/>
          <w14:ligatures w14:val="none"/>
        </w:rPr>
        <w:t>＝</w:t>
      </w:r>
      <w:r>
        <w:rPr>
          <w:rFonts w:ascii="Times New Roman" w:eastAsia="宋体" w:hAnsi="宋体" w:cs="Times New Roman"/>
          <w:szCs w:val="28"/>
          <w14:ligatures w14:val="none"/>
        </w:rPr>
        <w:t>L.E.C</w:t>
      </w:r>
      <w:r>
        <w:rPr>
          <w:rFonts w:ascii="Times New Roman" w:eastAsia="宋体" w:hAnsi="宋体" w:cs="Times New Roman"/>
          <w:szCs w:val="28"/>
          <w14:ligatures w14:val="none"/>
        </w:rPr>
        <w:t>。</w:t>
      </w:r>
      <w:r>
        <w:rPr>
          <w:rFonts w:ascii="Times New Roman" w:eastAsia="宋体" w:hAnsi="宋体" w:cs="Times New Roman"/>
          <w:szCs w:val="28"/>
          <w14:ligatures w14:val="none"/>
        </w:rPr>
        <w:t>D</w:t>
      </w:r>
      <w:r>
        <w:rPr>
          <w:rFonts w:ascii="Times New Roman" w:eastAsia="宋体" w:hAnsi="宋体" w:cs="Times New Roman"/>
          <w:szCs w:val="28"/>
          <w14:ligatures w14:val="none"/>
        </w:rPr>
        <w:t>值越大，作业条件的危险性就越大。</w:t>
      </w:r>
    </w:p>
    <w:p w14:paraId="0CB00F2E"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根据实际经验他们给出了</w:t>
      </w:r>
      <w:r>
        <w:rPr>
          <w:rFonts w:ascii="Times New Roman" w:eastAsia="宋体" w:hAnsi="宋体" w:cs="Times New Roman"/>
          <w:szCs w:val="28"/>
          <w14:ligatures w14:val="none"/>
        </w:rPr>
        <w:t>3</w:t>
      </w:r>
      <w:r>
        <w:rPr>
          <w:rFonts w:ascii="Times New Roman" w:eastAsia="宋体" w:hAnsi="宋体" w:cs="Times New Roman"/>
          <w:szCs w:val="28"/>
          <w14:ligatures w14:val="none"/>
        </w:rPr>
        <w:t>个自变量的各种不同情况的分数值，采取对所评价的对象根据情况进行“打分”的办法，然后根据公式计算出其危险性</w:t>
      </w:r>
      <w:r>
        <w:rPr>
          <w:rFonts w:ascii="Times New Roman" w:eastAsia="宋体" w:hAnsi="宋体" w:cs="Times New Roman"/>
          <w:szCs w:val="28"/>
          <w14:ligatures w14:val="none"/>
        </w:rPr>
        <w:lastRenderedPageBreak/>
        <w:t>分数值，再在按经验将危险性分数值划分的危险程度等级表或图上，查出其危险程度的一种评价方法。这是一种简单易行的评价作业条件危险性的方法。</w:t>
      </w:r>
    </w:p>
    <w:p w14:paraId="59430AE3"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w:t>
      </w:r>
      <w:r>
        <w:rPr>
          <w:rFonts w:ascii="Times New Roman" w:eastAsia="宋体" w:hAnsi="宋体" w:cs="Times New Roman"/>
          <w:szCs w:val="28"/>
          <w14:ligatures w14:val="none"/>
        </w:rPr>
        <w:t>1</w:t>
      </w:r>
      <w:r>
        <w:rPr>
          <w:rFonts w:ascii="Times New Roman" w:eastAsia="宋体" w:hAnsi="宋体" w:cs="Times New Roman"/>
          <w:szCs w:val="28"/>
          <w14:ligatures w14:val="none"/>
        </w:rPr>
        <w:t>）赋分标准</w:t>
      </w:r>
    </w:p>
    <w:p w14:paraId="7C0582A0"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Times New Roman" w:cs="Times New Roman"/>
          <w:szCs w:val="28"/>
          <w14:ligatures w14:val="none"/>
        </w:rPr>
        <w:t>1</w:t>
      </w:r>
      <w:r>
        <w:rPr>
          <w:rFonts w:ascii="Times New Roman" w:eastAsia="宋体" w:hAnsi="Times New Roman" w:cs="Times New Roman"/>
          <w:szCs w:val="28"/>
          <w14:ligatures w14:val="none"/>
        </w:rPr>
        <w:t>）</w:t>
      </w:r>
      <w:r>
        <w:rPr>
          <w:rFonts w:ascii="Times New Roman" w:eastAsia="宋体" w:hAnsi="宋体" w:cs="Times New Roman"/>
          <w:szCs w:val="28"/>
          <w14:ligatures w14:val="none"/>
        </w:rPr>
        <w:t>事故发生的可能性（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w:t>
      </w:r>
    </w:p>
    <w:p w14:paraId="7A711DFF"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事故发生的可能性（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）定性表达了事故发生概率。必然发生的事故概率为</w:t>
      </w:r>
      <w:r>
        <w:rPr>
          <w:rFonts w:ascii="Times New Roman" w:eastAsia="宋体" w:hAnsi="宋体" w:cs="Times New Roman"/>
          <w:szCs w:val="28"/>
          <w14:ligatures w14:val="none"/>
        </w:rPr>
        <w:t>1</w:t>
      </w:r>
      <w:r>
        <w:rPr>
          <w:rFonts w:ascii="Times New Roman" w:eastAsia="宋体" w:hAnsi="宋体" w:cs="Times New Roman"/>
          <w:szCs w:val="28"/>
          <w14:ligatures w14:val="none"/>
        </w:rPr>
        <w:t>，规定对应的分值为；绝对不可能发生事故的概率为</w:t>
      </w:r>
      <w:r>
        <w:rPr>
          <w:rFonts w:ascii="Times New Roman" w:eastAsia="宋体" w:hAnsi="宋体" w:cs="Times New Roman"/>
          <w:szCs w:val="28"/>
          <w14:ligatures w14:val="none"/>
        </w:rPr>
        <w:t>0</w:t>
      </w:r>
      <w:r>
        <w:rPr>
          <w:rFonts w:ascii="Times New Roman" w:eastAsia="宋体" w:hAnsi="宋体" w:cs="Times New Roman"/>
          <w:szCs w:val="28"/>
          <w14:ligatures w14:val="none"/>
        </w:rPr>
        <w:t>，而生产作业中不存在绝对不发生的事故的情况，故规定实际上不可能发生事故的情况对应分值为</w:t>
      </w:r>
      <w:r>
        <w:rPr>
          <w:rFonts w:ascii="Times New Roman" w:eastAsia="宋体" w:hAnsi="宋体" w:cs="Times New Roman"/>
          <w:szCs w:val="28"/>
          <w14:ligatures w14:val="none"/>
        </w:rPr>
        <w:t>0.1</w:t>
      </w:r>
      <w:r>
        <w:rPr>
          <w:rFonts w:ascii="Times New Roman" w:eastAsia="宋体" w:hAnsi="宋体" w:cs="Times New Roman"/>
          <w:szCs w:val="28"/>
          <w14:ligatures w14:val="none"/>
        </w:rPr>
        <w:t>；以此为基础规定其他情况相对应的分值，见</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2.3-1</w:t>
      </w:r>
      <w:r>
        <w:rPr>
          <w:rFonts w:ascii="Times New Roman" w:eastAsia="宋体" w:hAnsi="宋体" w:cs="Times New Roman"/>
          <w:szCs w:val="28"/>
          <w14:ligatures w14:val="none"/>
        </w:rPr>
        <w:t>。</w:t>
      </w:r>
    </w:p>
    <w:p w14:paraId="6098B2CD" w14:textId="77777777" w:rsidR="00502148" w:rsidRDefault="00000000">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2.3-1</w:t>
      </w:r>
      <w:r>
        <w:rPr>
          <w:rFonts w:ascii="Times New Roman" w:eastAsia="黑体" w:hAnsi="Times New Roman" w:cs="Times New Roman"/>
          <w:kern w:val="0"/>
          <w:sz w:val="24"/>
          <w14:ligatures w14:val="none"/>
        </w:rPr>
        <w:t xml:space="preserve">  </w:t>
      </w:r>
      <w:r>
        <w:rPr>
          <w:rFonts w:ascii="Times New Roman" w:eastAsia="黑体" w:hAnsi="Times New Roman" w:cs="Times New Roman" w:hint="eastAsia"/>
          <w:kern w:val="0"/>
          <w:sz w:val="24"/>
          <w14:ligatures w14:val="none"/>
        </w:rPr>
        <w:t>事故发生可能性分值（</w:t>
      </w:r>
      <w:r>
        <w:rPr>
          <w:rFonts w:ascii="Times New Roman" w:eastAsia="黑体" w:hAnsi="Times New Roman" w:cs="Times New Roman"/>
          <w:kern w:val="0"/>
          <w:sz w:val="24"/>
          <w14:ligatures w14:val="none"/>
        </w:rPr>
        <w:t>L</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3292"/>
        <w:gridCol w:w="1298"/>
        <w:gridCol w:w="3292"/>
      </w:tblGrid>
      <w:tr w:rsidR="00502148" w14:paraId="43E8D0D9" w14:textId="77777777">
        <w:trPr>
          <w:trHeight w:val="510"/>
          <w:tblHeader/>
        </w:trPr>
        <w:tc>
          <w:tcPr>
            <w:tcW w:w="707" w:type="pct"/>
            <w:vAlign w:val="center"/>
          </w:tcPr>
          <w:p w14:paraId="5D10435A"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1793" w:type="pct"/>
            <w:vAlign w:val="center"/>
          </w:tcPr>
          <w:p w14:paraId="53F4CE9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事故发生可能性</w:t>
            </w:r>
          </w:p>
        </w:tc>
        <w:tc>
          <w:tcPr>
            <w:tcW w:w="707" w:type="pct"/>
            <w:vAlign w:val="center"/>
          </w:tcPr>
          <w:p w14:paraId="71A5D96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1793" w:type="pct"/>
            <w:vAlign w:val="center"/>
          </w:tcPr>
          <w:p w14:paraId="02925C3A"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事故发生可能性</w:t>
            </w:r>
          </w:p>
        </w:tc>
      </w:tr>
      <w:tr w:rsidR="00502148" w14:paraId="7F854173" w14:textId="77777777">
        <w:trPr>
          <w:trHeight w:val="510"/>
        </w:trPr>
        <w:tc>
          <w:tcPr>
            <w:tcW w:w="707" w:type="pct"/>
            <w:vAlign w:val="center"/>
          </w:tcPr>
          <w:p w14:paraId="55A0DC0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w:t>
            </w:r>
          </w:p>
          <w:p w14:paraId="1725655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6</w:t>
            </w:r>
          </w:p>
          <w:p w14:paraId="10AE677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p w14:paraId="0DC33EE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tc>
        <w:tc>
          <w:tcPr>
            <w:tcW w:w="1793" w:type="pct"/>
            <w:vAlign w:val="center"/>
          </w:tcPr>
          <w:p w14:paraId="1651107E"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完全会被预料到</w:t>
            </w:r>
          </w:p>
          <w:p w14:paraId="3EF26CD1"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相当可能</w:t>
            </w:r>
          </w:p>
          <w:p w14:paraId="75456CDB"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可能，但不经常</w:t>
            </w:r>
          </w:p>
          <w:p w14:paraId="036E1316"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kern w:val="0"/>
                <w:sz w:val="21"/>
                <w:szCs w:val="21"/>
                <w14:ligatures w14:val="none"/>
              </w:rPr>
              <w:t>完全意外，很少可能</w:t>
            </w:r>
          </w:p>
        </w:tc>
        <w:tc>
          <w:tcPr>
            <w:tcW w:w="707" w:type="pct"/>
            <w:vAlign w:val="center"/>
          </w:tcPr>
          <w:p w14:paraId="30DEDA7B"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0.5</w:t>
            </w:r>
          </w:p>
          <w:p w14:paraId="70706FF5"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0.2</w:t>
            </w:r>
          </w:p>
          <w:p w14:paraId="2483EA97"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0.1</w:t>
            </w:r>
          </w:p>
        </w:tc>
        <w:tc>
          <w:tcPr>
            <w:tcW w:w="1793" w:type="pct"/>
            <w:vAlign w:val="center"/>
          </w:tcPr>
          <w:p w14:paraId="73CB5B93"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可以设想，但不可能</w:t>
            </w:r>
          </w:p>
          <w:p w14:paraId="5B85037F"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极不可能</w:t>
            </w:r>
          </w:p>
          <w:p w14:paraId="18E40AF6" w14:textId="77777777" w:rsidR="00502148" w:rsidRDefault="00000000">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kern w:val="0"/>
                <w:sz w:val="21"/>
                <w:szCs w:val="21"/>
                <w14:ligatures w14:val="none"/>
              </w:rPr>
              <w:t>实际上不可能</w:t>
            </w:r>
          </w:p>
        </w:tc>
      </w:tr>
    </w:tbl>
    <w:p w14:paraId="362CE0EC"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hint="eastAsia"/>
          <w:szCs w:val="28"/>
          <w14:ligatures w14:val="none"/>
        </w:rPr>
        <w:t>2</w:t>
      </w:r>
      <w:r>
        <w:rPr>
          <w:rFonts w:ascii="Times New Roman" w:eastAsia="宋体" w:hAnsi="宋体" w:cs="Times New Roman" w:hint="eastAsia"/>
          <w:szCs w:val="28"/>
          <w14:ligatures w14:val="none"/>
        </w:rPr>
        <w:t>）</w:t>
      </w:r>
      <w:r>
        <w:rPr>
          <w:rFonts w:ascii="Times New Roman" w:eastAsia="宋体" w:hAnsi="宋体" w:cs="Times New Roman"/>
          <w:szCs w:val="28"/>
          <w14:ligatures w14:val="none"/>
        </w:rPr>
        <w:t>人员暴露于危险环境的频繁程度（</w:t>
      </w:r>
      <w:r>
        <w:rPr>
          <w:rFonts w:ascii="Times New Roman" w:eastAsia="宋体" w:hAnsi="宋体" w:cs="Times New Roman"/>
          <w:szCs w:val="28"/>
          <w14:ligatures w14:val="none"/>
        </w:rPr>
        <w:t>E</w:t>
      </w:r>
      <w:r>
        <w:rPr>
          <w:rFonts w:ascii="Times New Roman" w:eastAsia="宋体" w:hAnsi="宋体" w:cs="Times New Roman"/>
          <w:szCs w:val="28"/>
          <w14:ligatures w14:val="none"/>
        </w:rPr>
        <w:t>）</w:t>
      </w:r>
    </w:p>
    <w:p w14:paraId="72BD9938"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人员暴露于危险环境中的时间越多，受到伤害的可能性越大，相应的危险也越大。规定人员连续出现在危险环境的分值为</w:t>
      </w:r>
      <w:r>
        <w:rPr>
          <w:rFonts w:ascii="Times New Roman" w:eastAsia="宋体" w:hAnsi="宋体" w:cs="Times New Roman"/>
          <w:szCs w:val="28"/>
          <w14:ligatures w14:val="none"/>
        </w:rPr>
        <w:t>10</w:t>
      </w:r>
      <w:r>
        <w:rPr>
          <w:rFonts w:ascii="Times New Roman" w:eastAsia="宋体" w:hAnsi="宋体" w:cs="Times New Roman"/>
          <w:szCs w:val="28"/>
          <w14:ligatures w14:val="none"/>
        </w:rPr>
        <w:t>，最小分值为</w:t>
      </w:r>
      <w:r>
        <w:rPr>
          <w:rFonts w:ascii="Times New Roman" w:eastAsia="宋体" w:hAnsi="宋体" w:cs="Times New Roman"/>
          <w:szCs w:val="28"/>
          <w14:ligatures w14:val="none"/>
        </w:rPr>
        <w:t>0.5</w:t>
      </w:r>
      <w:r>
        <w:rPr>
          <w:rFonts w:ascii="Times New Roman" w:eastAsia="宋体" w:hAnsi="宋体" w:cs="Times New Roman"/>
          <w:szCs w:val="28"/>
          <w14:ligatures w14:val="none"/>
        </w:rPr>
        <w:t>，分值</w:t>
      </w:r>
      <w:r>
        <w:rPr>
          <w:rFonts w:ascii="Times New Roman" w:eastAsia="宋体" w:hAnsi="宋体" w:cs="Times New Roman"/>
          <w:szCs w:val="28"/>
          <w14:ligatures w14:val="none"/>
        </w:rPr>
        <w:t>0</w:t>
      </w:r>
      <w:r>
        <w:rPr>
          <w:rFonts w:ascii="Times New Roman" w:eastAsia="宋体" w:hAnsi="宋体" w:cs="Times New Roman"/>
          <w:szCs w:val="28"/>
          <w14:ligatures w14:val="none"/>
        </w:rPr>
        <w:t>表示人员根本不暴露危险环境中的情况没有实际意义。</w:t>
      </w:r>
      <w:r>
        <w:rPr>
          <w:rFonts w:ascii="Times New Roman" w:eastAsia="宋体" w:hAnsi="宋体" w:cs="Times New Roman" w:hint="eastAsia"/>
          <w:szCs w:val="28"/>
          <w14:ligatures w14:val="none"/>
        </w:rPr>
        <w:t>具体打分的标准见附表</w:t>
      </w:r>
      <w:r>
        <w:rPr>
          <w:rFonts w:ascii="Times New Roman" w:eastAsia="宋体" w:hAnsi="宋体" w:cs="Times New Roman" w:hint="eastAsia"/>
          <w:szCs w:val="28"/>
          <w14:ligatures w14:val="none"/>
        </w:rPr>
        <w:t>2.3-2</w:t>
      </w:r>
      <w:r>
        <w:rPr>
          <w:rFonts w:ascii="Times New Roman" w:eastAsia="宋体" w:hAnsi="宋体" w:cs="Times New Roman" w:hint="eastAsia"/>
          <w:szCs w:val="28"/>
          <w14:ligatures w14:val="none"/>
        </w:rPr>
        <w:t>。</w:t>
      </w:r>
    </w:p>
    <w:p w14:paraId="6EABF13A" w14:textId="77777777" w:rsidR="00502148" w:rsidRDefault="00000000">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2.3-2</w:t>
      </w:r>
      <w:r>
        <w:rPr>
          <w:rFonts w:ascii="Times New Roman" w:eastAsia="黑体" w:hAnsi="Times New Roman" w:cs="Times New Roman"/>
          <w:kern w:val="0"/>
          <w:sz w:val="24"/>
          <w14:ligatures w14:val="none"/>
        </w:rPr>
        <w:t xml:space="preserve">  </w:t>
      </w:r>
      <w:r>
        <w:rPr>
          <w:rFonts w:ascii="Times New Roman" w:eastAsia="黑体" w:hAnsi="Times New Roman" w:cs="Times New Roman" w:hint="eastAsia"/>
          <w:kern w:val="0"/>
          <w:sz w:val="24"/>
          <w14:ligatures w14:val="none"/>
        </w:rPr>
        <w:t>暴露于危险环境的频繁程度（</w:t>
      </w:r>
      <w:r>
        <w:rPr>
          <w:rFonts w:ascii="Times New Roman" w:eastAsia="黑体" w:hAnsi="Times New Roman" w:cs="Times New Roman"/>
          <w:kern w:val="0"/>
          <w:sz w:val="24"/>
          <w14:ligatures w14:val="none"/>
        </w:rPr>
        <w:t>E</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3"/>
        <w:gridCol w:w="3507"/>
        <w:gridCol w:w="1083"/>
        <w:gridCol w:w="3507"/>
      </w:tblGrid>
      <w:tr w:rsidR="00502148" w14:paraId="65F21933" w14:textId="77777777">
        <w:trPr>
          <w:trHeight w:val="510"/>
          <w:tblHeader/>
        </w:trPr>
        <w:tc>
          <w:tcPr>
            <w:tcW w:w="1029" w:type="dxa"/>
            <w:vAlign w:val="center"/>
          </w:tcPr>
          <w:p w14:paraId="55522FE3"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31" w:type="dxa"/>
            <w:vAlign w:val="center"/>
          </w:tcPr>
          <w:p w14:paraId="4D03EE0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暴露于危险环境的频繁程度</w:t>
            </w:r>
          </w:p>
        </w:tc>
        <w:tc>
          <w:tcPr>
            <w:tcW w:w="1029" w:type="dxa"/>
            <w:vAlign w:val="center"/>
          </w:tcPr>
          <w:p w14:paraId="2ACE94B3"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31" w:type="dxa"/>
            <w:vAlign w:val="center"/>
          </w:tcPr>
          <w:p w14:paraId="522B65E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暴露于危险环境的频繁程度</w:t>
            </w:r>
          </w:p>
        </w:tc>
      </w:tr>
      <w:tr w:rsidR="00502148" w14:paraId="03AD0F28" w14:textId="77777777">
        <w:trPr>
          <w:trHeight w:val="510"/>
        </w:trPr>
        <w:tc>
          <w:tcPr>
            <w:tcW w:w="1029" w:type="dxa"/>
            <w:vAlign w:val="center"/>
          </w:tcPr>
          <w:p w14:paraId="13BDAD25"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w:t>
            </w:r>
          </w:p>
          <w:p w14:paraId="6EA8225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6</w:t>
            </w:r>
          </w:p>
          <w:p w14:paraId="4339F211"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tc>
        <w:tc>
          <w:tcPr>
            <w:tcW w:w="3331" w:type="dxa"/>
            <w:vAlign w:val="center"/>
          </w:tcPr>
          <w:p w14:paraId="2108524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连续暴露</w:t>
            </w:r>
          </w:p>
          <w:p w14:paraId="5748B73E"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每天工作时间内暴露</w:t>
            </w:r>
          </w:p>
          <w:p w14:paraId="1BAABCB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每周一次或偶然暴露</w:t>
            </w:r>
          </w:p>
        </w:tc>
        <w:tc>
          <w:tcPr>
            <w:tcW w:w="1029" w:type="dxa"/>
            <w:vAlign w:val="center"/>
          </w:tcPr>
          <w:p w14:paraId="001751C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2</w:t>
            </w:r>
          </w:p>
          <w:p w14:paraId="19A87B09"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p w14:paraId="6F84CFE6"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0.5</w:t>
            </w:r>
          </w:p>
        </w:tc>
        <w:tc>
          <w:tcPr>
            <w:tcW w:w="3331" w:type="dxa"/>
            <w:vAlign w:val="center"/>
          </w:tcPr>
          <w:p w14:paraId="5528AAE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每月暴露一次</w:t>
            </w:r>
          </w:p>
          <w:p w14:paraId="14321DFE"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每年几次暴露</w:t>
            </w:r>
          </w:p>
          <w:p w14:paraId="61B54F3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非常罕见地暴露</w:t>
            </w:r>
          </w:p>
        </w:tc>
      </w:tr>
    </w:tbl>
    <w:p w14:paraId="212B3605"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hint="eastAsia"/>
          <w:szCs w:val="28"/>
          <w14:ligatures w14:val="none"/>
        </w:rPr>
        <w:t>3</w:t>
      </w:r>
      <w:r>
        <w:rPr>
          <w:rFonts w:ascii="Times New Roman" w:eastAsia="宋体" w:hAnsi="宋体" w:cs="Times New Roman" w:hint="eastAsia"/>
          <w:szCs w:val="28"/>
          <w14:ligatures w14:val="none"/>
        </w:rPr>
        <w:t>）</w:t>
      </w:r>
      <w:r>
        <w:rPr>
          <w:rFonts w:ascii="Times New Roman" w:eastAsia="宋体" w:hAnsi="宋体" w:cs="Times New Roman"/>
          <w:szCs w:val="28"/>
          <w14:ligatures w14:val="none"/>
        </w:rPr>
        <w:t>发生事故可能造成的后果（</w:t>
      </w:r>
      <w:r>
        <w:rPr>
          <w:rFonts w:ascii="Times New Roman" w:eastAsia="宋体" w:hAnsi="宋体" w:cs="Times New Roman"/>
          <w:szCs w:val="28"/>
          <w14:ligatures w14:val="none"/>
        </w:rPr>
        <w:t>C</w:t>
      </w:r>
      <w:r>
        <w:rPr>
          <w:rFonts w:ascii="Times New Roman" w:eastAsia="宋体" w:hAnsi="宋体" w:cs="Times New Roman"/>
          <w:szCs w:val="28"/>
          <w14:ligatures w14:val="none"/>
        </w:rPr>
        <w:t>）</w:t>
      </w:r>
    </w:p>
    <w:p w14:paraId="11C4120B"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由于事故造成人员的伤害程度的范围很大，规定把需要治疗的轻伤对应分值为</w:t>
      </w:r>
      <w:r>
        <w:rPr>
          <w:rFonts w:ascii="Times New Roman" w:eastAsia="宋体" w:hAnsi="宋体" w:cs="Times New Roman"/>
          <w:szCs w:val="28"/>
          <w14:ligatures w14:val="none"/>
        </w:rPr>
        <w:t>1</w:t>
      </w:r>
      <w:r>
        <w:rPr>
          <w:rFonts w:ascii="Times New Roman" w:eastAsia="宋体" w:hAnsi="宋体" w:cs="Times New Roman"/>
          <w:szCs w:val="28"/>
          <w14:ligatures w14:val="none"/>
        </w:rPr>
        <w:t>，许多人同时死亡对应的分值为</w:t>
      </w:r>
      <w:r>
        <w:rPr>
          <w:rFonts w:ascii="Times New Roman" w:eastAsia="宋体" w:hAnsi="宋体" w:cs="Times New Roman"/>
          <w:szCs w:val="28"/>
          <w14:ligatures w14:val="none"/>
        </w:rPr>
        <w:t>100</w:t>
      </w:r>
      <w:r>
        <w:rPr>
          <w:rFonts w:ascii="Times New Roman" w:eastAsia="宋体" w:hAnsi="宋体" w:cs="Times New Roman"/>
          <w:szCs w:val="28"/>
          <w14:ligatures w14:val="none"/>
        </w:rPr>
        <w:t>，其他情况评分标准见</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2.3-3</w:t>
      </w:r>
      <w:r>
        <w:rPr>
          <w:rFonts w:ascii="Times New Roman" w:eastAsia="宋体" w:hAnsi="宋体" w:cs="Times New Roman"/>
          <w:szCs w:val="28"/>
          <w14:ligatures w14:val="none"/>
        </w:rPr>
        <w:t>，并可依据事故后果严重程度应用插分法取值、赋分。</w:t>
      </w:r>
    </w:p>
    <w:p w14:paraId="29F4FAA0" w14:textId="77777777" w:rsidR="00502148" w:rsidRDefault="00000000">
      <w:pPr>
        <w:keepNext/>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lastRenderedPageBreak/>
        <w:t>附表</w:t>
      </w:r>
      <w:r>
        <w:rPr>
          <w:rFonts w:ascii="Times New Roman" w:eastAsia="黑体" w:hAnsi="Times New Roman" w:cs="Times New Roman" w:hint="eastAsia"/>
          <w:kern w:val="0"/>
          <w:sz w:val="24"/>
          <w14:ligatures w14:val="none"/>
        </w:rPr>
        <w:t xml:space="preserve">2.3-3  </w:t>
      </w:r>
      <w:r>
        <w:rPr>
          <w:rFonts w:ascii="Times New Roman" w:eastAsia="黑体" w:hAnsi="Times New Roman" w:cs="Times New Roman" w:hint="eastAsia"/>
          <w:kern w:val="0"/>
          <w:sz w:val="24"/>
          <w14:ligatures w14:val="none"/>
        </w:rPr>
        <w:t>事故造成的结果分值（</w:t>
      </w:r>
      <w:r>
        <w:rPr>
          <w:rFonts w:ascii="Times New Roman" w:eastAsia="黑体" w:hAnsi="Times New Roman" w:cs="Times New Roman"/>
          <w:kern w:val="0"/>
          <w:sz w:val="24"/>
          <w14:ligatures w14:val="none"/>
        </w:rPr>
        <w:t>C</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1"/>
        <w:gridCol w:w="3529"/>
        <w:gridCol w:w="1019"/>
        <w:gridCol w:w="3571"/>
      </w:tblGrid>
      <w:tr w:rsidR="00502148" w14:paraId="44CC2A1D" w14:textId="77777777">
        <w:trPr>
          <w:trHeight w:val="510"/>
          <w:tblHeader/>
        </w:trPr>
        <w:tc>
          <w:tcPr>
            <w:tcW w:w="1008" w:type="dxa"/>
            <w:vAlign w:val="center"/>
          </w:tcPr>
          <w:p w14:paraId="363FA2AB"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52" w:type="dxa"/>
            <w:vAlign w:val="center"/>
          </w:tcPr>
          <w:p w14:paraId="42504C1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c>
          <w:tcPr>
            <w:tcW w:w="968" w:type="dxa"/>
            <w:vAlign w:val="center"/>
          </w:tcPr>
          <w:p w14:paraId="1D84039F"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92" w:type="dxa"/>
            <w:vAlign w:val="center"/>
          </w:tcPr>
          <w:p w14:paraId="6C8BA880"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r>
      <w:tr w:rsidR="00502148" w14:paraId="1F6F3081" w14:textId="77777777">
        <w:trPr>
          <w:trHeight w:val="510"/>
        </w:trPr>
        <w:tc>
          <w:tcPr>
            <w:tcW w:w="1008" w:type="dxa"/>
            <w:vAlign w:val="center"/>
          </w:tcPr>
          <w:p w14:paraId="67787ED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100</w:t>
            </w:r>
          </w:p>
          <w:p w14:paraId="14A7C67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40</w:t>
            </w:r>
          </w:p>
          <w:p w14:paraId="0374B4F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15</w:t>
            </w:r>
          </w:p>
        </w:tc>
        <w:tc>
          <w:tcPr>
            <w:tcW w:w="3352" w:type="dxa"/>
            <w:vAlign w:val="center"/>
          </w:tcPr>
          <w:p w14:paraId="2F4E5DD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十人以上死亡</w:t>
            </w:r>
          </w:p>
          <w:p w14:paraId="6C73B8BB"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数人死亡</w:t>
            </w:r>
          </w:p>
          <w:p w14:paraId="2E82C8C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一人死亡</w:t>
            </w:r>
          </w:p>
        </w:tc>
        <w:tc>
          <w:tcPr>
            <w:tcW w:w="968" w:type="dxa"/>
            <w:vAlign w:val="center"/>
          </w:tcPr>
          <w:p w14:paraId="6A5D7B6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7</w:t>
            </w:r>
          </w:p>
          <w:p w14:paraId="1F53AA4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p w14:paraId="67B77446"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tc>
        <w:tc>
          <w:tcPr>
            <w:tcW w:w="3392" w:type="dxa"/>
            <w:vAlign w:val="center"/>
          </w:tcPr>
          <w:p w14:paraId="03F49A85"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严重伤残</w:t>
            </w:r>
          </w:p>
          <w:p w14:paraId="59D881CF"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有伤残</w:t>
            </w:r>
          </w:p>
          <w:p w14:paraId="61F8C37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轻伤，需救护</w:t>
            </w:r>
          </w:p>
        </w:tc>
      </w:tr>
    </w:tbl>
    <w:p w14:paraId="07A485E8"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）危险性等级划分标准：</w:t>
      </w:r>
    </w:p>
    <w:p w14:paraId="4DB1BBDE" w14:textId="77777777" w:rsidR="00502148"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根据经验，规定危险性分值在</w:t>
      </w:r>
      <w:r>
        <w:rPr>
          <w:rFonts w:ascii="Times New Roman" w:eastAsia="宋体" w:hAnsi="宋体" w:cs="Times New Roman"/>
          <w:szCs w:val="28"/>
          <w14:ligatures w14:val="none"/>
        </w:rPr>
        <w:t>20</w:t>
      </w:r>
      <w:r>
        <w:rPr>
          <w:rFonts w:ascii="Times New Roman" w:eastAsia="宋体" w:hAnsi="宋体" w:cs="Times New Roman"/>
          <w:szCs w:val="28"/>
          <w14:ligatures w14:val="none"/>
        </w:rPr>
        <w:t>以下为低危险性，它比日常骑车上班的危险性略低；在</w:t>
      </w:r>
      <w:r>
        <w:rPr>
          <w:rFonts w:ascii="Times New Roman" w:eastAsia="宋体" w:hAnsi="宋体" w:cs="Times New Roman"/>
          <w:szCs w:val="28"/>
          <w14:ligatures w14:val="none"/>
        </w:rPr>
        <w:t>70</w:t>
      </w:r>
      <w:r>
        <w:rPr>
          <w:rFonts w:ascii="Times New Roman" w:eastAsia="宋体" w:hAnsi="宋体" w:cs="Times New Roman"/>
          <w:szCs w:val="28"/>
          <w14:ligatures w14:val="none"/>
        </w:rPr>
        <w:t>～</w:t>
      </w:r>
      <w:r>
        <w:rPr>
          <w:rFonts w:ascii="Times New Roman" w:eastAsia="宋体" w:hAnsi="宋体" w:cs="Times New Roman"/>
          <w:szCs w:val="28"/>
          <w14:ligatures w14:val="none"/>
        </w:rPr>
        <w:t>160</w:t>
      </w:r>
      <w:r>
        <w:rPr>
          <w:rFonts w:ascii="Times New Roman" w:eastAsia="宋体" w:hAnsi="宋体" w:cs="Times New Roman"/>
          <w:szCs w:val="28"/>
          <w14:ligatures w14:val="none"/>
        </w:rPr>
        <w:t>之间，有显著的危险性，需要采取措施整改；在</w:t>
      </w:r>
      <w:r>
        <w:rPr>
          <w:rFonts w:ascii="Times New Roman" w:eastAsia="宋体" w:hAnsi="宋体" w:cs="Times New Roman"/>
          <w:szCs w:val="28"/>
          <w14:ligatures w14:val="none"/>
        </w:rPr>
        <w:t>160</w:t>
      </w:r>
      <w:r>
        <w:rPr>
          <w:rFonts w:ascii="Times New Roman" w:eastAsia="宋体" w:hAnsi="宋体" w:cs="Times New Roman"/>
          <w:szCs w:val="28"/>
          <w14:ligatures w14:val="none"/>
        </w:rPr>
        <w:t>～</w:t>
      </w:r>
      <w:r>
        <w:rPr>
          <w:rFonts w:ascii="Times New Roman" w:eastAsia="宋体" w:hAnsi="宋体" w:cs="Times New Roman"/>
          <w:szCs w:val="28"/>
          <w14:ligatures w14:val="none"/>
        </w:rPr>
        <w:t>320</w:t>
      </w:r>
      <w:r>
        <w:rPr>
          <w:rFonts w:ascii="Times New Roman" w:eastAsia="宋体" w:hAnsi="宋体" w:cs="Times New Roman"/>
          <w:szCs w:val="28"/>
          <w14:ligatures w14:val="none"/>
        </w:rPr>
        <w:t>之间，有高度危险性，必须立即整改；大于</w:t>
      </w:r>
      <w:r>
        <w:rPr>
          <w:rFonts w:ascii="Times New Roman" w:eastAsia="宋体" w:hAnsi="宋体" w:cs="Times New Roman"/>
          <w:szCs w:val="28"/>
          <w14:ligatures w14:val="none"/>
        </w:rPr>
        <w:t>320</w:t>
      </w:r>
      <w:r>
        <w:rPr>
          <w:rFonts w:ascii="Times New Roman" w:eastAsia="宋体" w:hAnsi="宋体" w:cs="Times New Roman"/>
          <w:szCs w:val="28"/>
          <w14:ligatures w14:val="none"/>
        </w:rPr>
        <w:t>时，有异常危险性，应立即停止作业，彻底整改。按危险性分值划分危险性等级的标准如</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2.3-4</w:t>
      </w:r>
      <w:r>
        <w:rPr>
          <w:rFonts w:ascii="Times New Roman" w:eastAsia="宋体" w:hAnsi="宋体" w:cs="Times New Roman"/>
          <w:szCs w:val="28"/>
          <w14:ligatures w14:val="none"/>
        </w:rPr>
        <w:t>：</w:t>
      </w:r>
    </w:p>
    <w:p w14:paraId="36812265" w14:textId="77777777" w:rsidR="00502148" w:rsidRDefault="00000000">
      <w:pPr>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 xml:space="preserve">2.3-4  </w:t>
      </w:r>
      <w:r>
        <w:rPr>
          <w:rFonts w:ascii="Times New Roman" w:eastAsia="黑体" w:hAnsi="Times New Roman" w:cs="Times New Roman" w:hint="eastAsia"/>
          <w:kern w:val="0"/>
          <w:sz w:val="24"/>
          <w14:ligatures w14:val="none"/>
        </w:rPr>
        <w:t>危险性等级划分标准</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754"/>
        <w:gridCol w:w="3066"/>
        <w:gridCol w:w="1855"/>
        <w:gridCol w:w="2499"/>
      </w:tblGrid>
      <w:tr w:rsidR="00502148" w14:paraId="6826289F" w14:textId="77777777">
        <w:trPr>
          <w:trHeight w:val="510"/>
          <w:tblHeader/>
        </w:trPr>
        <w:tc>
          <w:tcPr>
            <w:tcW w:w="956" w:type="pct"/>
            <w:vAlign w:val="center"/>
          </w:tcPr>
          <w:p w14:paraId="13114201"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危险性分值（</w:t>
            </w:r>
            <w:r>
              <w:rPr>
                <w:rFonts w:ascii="Times New Roman" w:eastAsia="宋体" w:hAnsi="宋体" w:cs="Times New Roman"/>
                <w:sz w:val="21"/>
                <w:szCs w:val="21"/>
                <w:lang w:val="zh-CN"/>
                <w14:ligatures w14:val="none"/>
              </w:rPr>
              <w:t>D</w:t>
            </w:r>
            <w:r>
              <w:rPr>
                <w:rFonts w:ascii="Times New Roman" w:eastAsia="宋体" w:hAnsi="宋体" w:cs="Times New Roman"/>
                <w:sz w:val="21"/>
                <w:szCs w:val="21"/>
                <w:lang w:val="zh-CN"/>
                <w14:ligatures w14:val="none"/>
              </w:rPr>
              <w:t>）</w:t>
            </w:r>
          </w:p>
        </w:tc>
        <w:tc>
          <w:tcPr>
            <w:tcW w:w="1671" w:type="pct"/>
            <w:vAlign w:val="center"/>
          </w:tcPr>
          <w:p w14:paraId="181DD48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c>
          <w:tcPr>
            <w:tcW w:w="1011" w:type="pct"/>
            <w:vAlign w:val="center"/>
          </w:tcPr>
          <w:p w14:paraId="4B6E8F9D"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危险性分值（</w:t>
            </w:r>
            <w:r>
              <w:rPr>
                <w:rFonts w:ascii="Times New Roman" w:eastAsia="宋体" w:hAnsi="宋体" w:cs="Times New Roman"/>
                <w:sz w:val="21"/>
                <w:szCs w:val="21"/>
                <w:lang w:val="zh-CN"/>
                <w14:ligatures w14:val="none"/>
              </w:rPr>
              <w:t>D</w:t>
            </w:r>
            <w:r>
              <w:rPr>
                <w:rFonts w:ascii="Times New Roman" w:eastAsia="宋体" w:hAnsi="宋体" w:cs="Times New Roman"/>
                <w:sz w:val="21"/>
                <w:szCs w:val="21"/>
                <w:lang w:val="zh-CN"/>
                <w14:ligatures w14:val="none"/>
              </w:rPr>
              <w:t>）</w:t>
            </w:r>
          </w:p>
        </w:tc>
        <w:tc>
          <w:tcPr>
            <w:tcW w:w="1362" w:type="pct"/>
            <w:vAlign w:val="center"/>
          </w:tcPr>
          <w:p w14:paraId="6B8854B2"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r>
      <w:tr w:rsidR="00502148" w14:paraId="2DED658B" w14:textId="77777777">
        <w:trPr>
          <w:trHeight w:val="510"/>
        </w:trPr>
        <w:tc>
          <w:tcPr>
            <w:tcW w:w="956" w:type="pct"/>
            <w:vAlign w:val="center"/>
          </w:tcPr>
          <w:p w14:paraId="1AF154A0"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320</w:t>
            </w:r>
          </w:p>
          <w:p w14:paraId="3748311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160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320</w:t>
            </w:r>
          </w:p>
          <w:p w14:paraId="678F9385"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70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160</w:t>
            </w:r>
          </w:p>
        </w:tc>
        <w:tc>
          <w:tcPr>
            <w:tcW w:w="1671" w:type="pct"/>
            <w:vAlign w:val="center"/>
          </w:tcPr>
          <w:p w14:paraId="0A1B4B8F"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极度危险，不能继续作业</w:t>
            </w:r>
          </w:p>
          <w:p w14:paraId="542E5230"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高度危险，需要立即整改</w:t>
            </w:r>
          </w:p>
          <w:p w14:paraId="1013DFD8"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显著危险，需要整改</w:t>
            </w:r>
          </w:p>
        </w:tc>
        <w:tc>
          <w:tcPr>
            <w:tcW w:w="1011" w:type="pct"/>
            <w:vAlign w:val="center"/>
          </w:tcPr>
          <w:p w14:paraId="657F243A"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20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70</w:t>
            </w:r>
          </w:p>
          <w:p w14:paraId="599DBF3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20</w:t>
            </w:r>
          </w:p>
        </w:tc>
        <w:tc>
          <w:tcPr>
            <w:tcW w:w="1362" w:type="pct"/>
            <w:vAlign w:val="center"/>
          </w:tcPr>
          <w:p w14:paraId="13BD0A94"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比较危险，需要注意</w:t>
            </w:r>
          </w:p>
          <w:p w14:paraId="564B9DB1" w14:textId="77777777" w:rsidR="00502148"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稍有危险，可以接受</w:t>
            </w:r>
          </w:p>
        </w:tc>
      </w:tr>
    </w:tbl>
    <w:p w14:paraId="075D61F6" w14:textId="77777777" w:rsidR="00502148" w:rsidRDefault="00000000">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4" w:name="_Toc207368061"/>
      <w:bookmarkStart w:id="105" w:name="_Toc8631"/>
      <w:bookmarkEnd w:id="100"/>
      <w:bookmarkEnd w:id="101"/>
      <w:bookmarkEnd w:id="102"/>
      <w:bookmarkEnd w:id="103"/>
      <w:r>
        <w:rPr>
          <w:rFonts w:ascii="Times New Roman" w:eastAsia="楷体" w:hAnsi="Times New Roman" w:cs="Times New Roman"/>
          <w:b/>
          <w:bCs/>
          <w:sz w:val="32"/>
          <w:szCs w:val="32"/>
        </w:rPr>
        <w:t>F2.4TNT</w:t>
      </w:r>
      <w:r>
        <w:rPr>
          <w:rFonts w:ascii="Times New Roman" w:eastAsia="楷体" w:hAnsi="Times New Roman" w:cs="Times New Roman"/>
          <w:b/>
          <w:bCs/>
          <w:sz w:val="32"/>
          <w:szCs w:val="32"/>
        </w:rPr>
        <w:t>当量计算</w:t>
      </w:r>
      <w:bookmarkEnd w:id="104"/>
      <w:bookmarkEnd w:id="105"/>
    </w:p>
    <w:p w14:paraId="2483D364"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14:ligatures w14:val="none"/>
        </w:rPr>
        <w:t>储罐区物质泄漏后形成蒸汽云，蒸汽云爆炸的能量常用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70515F91"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p>
    <w:p w14:paraId="7CCC3F60"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式中：</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蒸气云的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szCs w:val="28"/>
          <w14:ligatures w14:val="none"/>
        </w:rPr>
        <w:t>kg</w:t>
      </w:r>
      <w:r>
        <w:rPr>
          <w:rFonts w:ascii="Times New Roman" w:eastAsia="宋体" w:hAnsi="Times New Roman" w:cs="Times New Roman"/>
          <w:szCs w:val="28"/>
          <w14:ligatures w14:val="none"/>
        </w:rPr>
        <w:t>；</w:t>
      </w:r>
    </w:p>
    <w:p w14:paraId="42A82FE6"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υ</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蒸气云当量系数</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通常取</w:t>
      </w:r>
      <w:r>
        <w:rPr>
          <w:rFonts w:ascii="Times New Roman" w:eastAsia="宋体" w:hAnsi="Times New Roman" w:cs="Times New Roman" w:hint="eastAsia"/>
          <w:szCs w:val="28"/>
          <w14:ligatures w14:val="none"/>
        </w:rPr>
        <w:t>0.04</w:t>
      </w:r>
      <w:r>
        <w:rPr>
          <w:rFonts w:ascii="Times New Roman" w:eastAsia="宋体" w:hAnsi="Times New Roman" w:cs="Times New Roman"/>
          <w:szCs w:val="28"/>
          <w14:ligatures w14:val="none"/>
        </w:rPr>
        <w:t>；</w:t>
      </w:r>
    </w:p>
    <w:p w14:paraId="4942654B"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V</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储罐的公称容积</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 xml:space="preserve"> </w:t>
      </w:r>
    </w:p>
    <w:p w14:paraId="1334C6D0"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ρ</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油品比重，取</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10</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hint="eastAsia"/>
          <w:szCs w:val="28"/>
          <w14:ligatures w14:val="none"/>
        </w:rPr>
        <w:t>kg/m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p>
    <w:p w14:paraId="6ABBE7DC"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lastRenderedPageBreak/>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油品的最大发热量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43.73</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45BADC02"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——TNT</w:t>
      </w:r>
      <w:r>
        <w:rPr>
          <w:rFonts w:ascii="Times New Roman" w:eastAsia="宋体" w:hAnsi="Times New Roman" w:cs="Times New Roman" w:hint="eastAsia"/>
          <w:szCs w:val="28"/>
          <w14:ligatures w14:val="none"/>
        </w:rPr>
        <w:t>爆炸时所释放出的能量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一般取平均值</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00</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2C970096"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14:ligatures w14:val="none"/>
        </w:rPr>
        <w:t>（以汽油储罐蒸汽云爆炸的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当量计算为例）</w:t>
      </w:r>
    </w:p>
    <w:p w14:paraId="37FE3563"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2</w:t>
      </w:r>
      <w:r>
        <w:rPr>
          <w:rFonts w:ascii="Times New Roman" w:eastAsia="宋体" w:hAnsi="Times New Roman" w:cs="Times New Roman" w:hint="eastAsia"/>
          <w:szCs w:val="28"/>
          <w14:ligatures w14:val="none"/>
        </w:rPr>
        <w:t>）</w:t>
      </w:r>
      <w:r>
        <w:rPr>
          <w:rFonts w:ascii="Times New Roman" w:eastAsia="宋体" w:hAnsi="Times New Roman" w:cs="Times New Roman" w:hint="eastAsia"/>
        </w:rPr>
        <w:t>采用</w:t>
      </w:r>
      <w:r>
        <w:rPr>
          <w:rFonts w:ascii="Times New Roman" w:eastAsia="宋体" w:hAnsi="Times New Roman" w:cs="Times New Roman" w:hint="eastAsia"/>
        </w:rPr>
        <w:t>G.M</w:t>
      </w:r>
      <w:r>
        <w:rPr>
          <w:rFonts w:ascii="Times New Roman" w:eastAsia="宋体" w:hAnsi="Times New Roman" w:cs="Times New Roman" w:hint="eastAsia"/>
        </w:rPr>
        <w:t>莱克霍夫的研究成果。莱克霍夫对于砂质土壤中的冲击波超压，有：</w:t>
      </w:r>
    </w:p>
    <w:p w14:paraId="2E52E7F7" w14:textId="77777777" w:rsidR="00502148" w:rsidRDefault="00000000">
      <w:pPr>
        <w:ind w:firstLine="560"/>
        <w:rPr>
          <w:rFonts w:ascii="Times New Roman" w:eastAsia="宋体" w:hAnsi="Times New Roman" w:cs="Times New Roman"/>
          <w:vertAlign w:val="superscript"/>
        </w:rPr>
      </w:pPr>
      <w:r>
        <w:rPr>
          <w:rFonts w:ascii="微软雅黑" w:eastAsia="微软雅黑" w:hAnsi="微软雅黑" w:cs="微软雅黑" w:hint="eastAsia"/>
        </w:rPr>
        <w:t>Δ</w:t>
      </w:r>
      <w:r>
        <w:rPr>
          <w:rFonts w:ascii="Times New Roman" w:eastAsia="宋体" w:hAnsi="Times New Roman" w:cs="Times New Roman" w:hint="eastAsia"/>
        </w:rPr>
        <w:t>Pm=8[R/</w:t>
      </w:r>
      <w:r>
        <w:rPr>
          <w:rFonts w:ascii="Times New Roman" w:eastAsia="宋体" w:hAnsi="Times New Roman" w:cs="Times New Roman" w:hint="eastAsia"/>
        </w:rPr>
        <w:t>（</w:t>
      </w: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vertAlign w:val="superscript"/>
        </w:rPr>
        <w:t>1/3</w:t>
      </w:r>
      <w:r>
        <w:rPr>
          <w:rFonts w:ascii="Times New Roman" w:eastAsia="宋体" w:hAnsi="Times New Roman" w:cs="Times New Roman" w:hint="eastAsia"/>
        </w:rPr>
        <w:t>]</w:t>
      </w:r>
      <w:r>
        <w:rPr>
          <w:rFonts w:ascii="Times New Roman" w:eastAsia="宋体" w:hAnsi="Times New Roman" w:cs="Times New Roman" w:hint="eastAsia"/>
          <w:vertAlign w:val="superscript"/>
        </w:rPr>
        <w:t>-3</w:t>
      </w:r>
    </w:p>
    <w:p w14:paraId="3D99AFC5" w14:textId="77777777" w:rsidR="00502148"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式中Δ</w:t>
      </w:r>
      <w:r>
        <w:rPr>
          <w:rFonts w:ascii="Times New Roman" w:eastAsia="宋体" w:hAnsi="Times New Roman" w:cs="Times New Roman" w:hint="eastAsia"/>
        </w:rPr>
        <w:t>Pm</w:t>
      </w:r>
      <w:r>
        <w:rPr>
          <w:rFonts w:ascii="Times New Roman" w:eastAsia="宋体" w:hAnsi="Times New Roman" w:cs="Times New Roman" w:hint="eastAsia"/>
        </w:rPr>
        <w:t>——爆炸冲击波超压，</w:t>
      </w:r>
      <w:r>
        <w:rPr>
          <w:rFonts w:ascii="Times New Roman" w:eastAsia="宋体" w:hAnsi="Times New Roman" w:cs="Times New Roman" w:hint="eastAsia"/>
        </w:rPr>
        <w:t>kg</w:t>
      </w:r>
      <w:r>
        <w:rPr>
          <w:rFonts w:ascii="Times New Roman" w:eastAsia="宋体" w:hAnsi="Times New Roman" w:cs="Times New Roman" w:hint="eastAsia"/>
        </w:rPr>
        <w:t>·</w:t>
      </w:r>
      <w:r>
        <w:rPr>
          <w:rFonts w:ascii="Times New Roman" w:eastAsia="宋体" w:hAnsi="Times New Roman" w:cs="Times New Roman" w:hint="eastAsia"/>
        </w:rPr>
        <w:t>f/cm</w:t>
      </w:r>
      <w:r>
        <w:rPr>
          <w:rFonts w:ascii="Times New Roman" w:eastAsia="宋体" w:hAnsi="Times New Roman" w:cs="Times New Roman" w:hint="eastAsia"/>
          <w:vertAlign w:val="superscript"/>
        </w:rPr>
        <w:t>2</w:t>
      </w:r>
      <w:r>
        <w:rPr>
          <w:rFonts w:ascii="Times New Roman" w:eastAsia="宋体" w:hAnsi="Times New Roman" w:cs="Times New Roman" w:hint="eastAsia"/>
        </w:rPr>
        <w:t>；</w:t>
      </w:r>
    </w:p>
    <w:p w14:paraId="4BF8E584"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R</w:t>
      </w:r>
      <w:r>
        <w:rPr>
          <w:rFonts w:ascii="Times New Roman" w:eastAsia="宋体" w:hAnsi="Times New Roman" w:cs="Times New Roman" w:hint="eastAsia"/>
        </w:rPr>
        <w:t>——爆心到所研究点的距离，</w:t>
      </w:r>
      <w:r>
        <w:rPr>
          <w:rFonts w:ascii="Times New Roman" w:eastAsia="宋体" w:hAnsi="Times New Roman" w:cs="Times New Roman" w:hint="eastAsia"/>
        </w:rPr>
        <w:t>m</w:t>
      </w:r>
      <w:r>
        <w:rPr>
          <w:rFonts w:ascii="Times New Roman" w:eastAsia="宋体" w:hAnsi="Times New Roman" w:cs="Times New Roman" w:hint="eastAsia"/>
        </w:rPr>
        <w:t>；</w:t>
      </w:r>
    </w:p>
    <w:p w14:paraId="2689E7B3"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——蒸气云的</w:t>
      </w:r>
      <w:r>
        <w:rPr>
          <w:rFonts w:ascii="Times New Roman" w:eastAsia="宋体" w:hAnsi="Times New Roman" w:cs="Times New Roman" w:hint="eastAsia"/>
        </w:rPr>
        <w:t>TNT</w:t>
      </w:r>
      <w:r>
        <w:rPr>
          <w:rFonts w:ascii="Times New Roman" w:eastAsia="宋体" w:hAnsi="Times New Roman" w:cs="Times New Roman" w:hint="eastAsia"/>
        </w:rPr>
        <w:t>当量，</w:t>
      </w:r>
      <w:r>
        <w:rPr>
          <w:rFonts w:ascii="Times New Roman" w:eastAsia="宋体" w:hAnsi="Times New Roman" w:cs="Times New Roman" w:hint="eastAsia"/>
        </w:rPr>
        <w:t>kg</w:t>
      </w:r>
      <w:r>
        <w:rPr>
          <w:rFonts w:ascii="Times New Roman" w:eastAsia="宋体" w:hAnsi="Times New Roman" w:cs="Times New Roman" w:hint="eastAsia"/>
        </w:rPr>
        <w:t>。</w:t>
      </w:r>
    </w:p>
    <w:p w14:paraId="138A8357" w14:textId="77777777" w:rsidR="00502148"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根据上式，则有</w:t>
      </w:r>
      <w:r>
        <w:rPr>
          <w:rFonts w:ascii="Times New Roman" w:eastAsia="宋体" w:hAnsi="Times New Roman" w:cs="Times New Roman" w:hint="eastAsia"/>
        </w:rPr>
        <w:t>R=[8Q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rPr>
        <w:t>Δ</w:t>
      </w:r>
      <w:r>
        <w:rPr>
          <w:rFonts w:ascii="Times New Roman" w:eastAsia="宋体" w:hAnsi="Times New Roman" w:cs="Times New Roman" w:hint="eastAsia"/>
        </w:rPr>
        <w:t>Pm]</w:t>
      </w:r>
      <w:r>
        <w:rPr>
          <w:rFonts w:ascii="Times New Roman" w:eastAsia="宋体" w:hAnsi="Times New Roman" w:cs="Times New Roman" w:hint="eastAsia"/>
          <w:vertAlign w:val="superscript"/>
        </w:rPr>
        <w:t>1/3</w:t>
      </w:r>
    </w:p>
    <w:p w14:paraId="43DD54C1" w14:textId="77777777" w:rsidR="00502148" w:rsidRDefault="00000000">
      <w:pPr>
        <w:ind w:firstLine="560"/>
        <w:rPr>
          <w:rFonts w:ascii="Times New Roman" w:eastAsia="宋体" w:hAnsi="Times New Roman"/>
        </w:rPr>
      </w:pPr>
      <w:r>
        <w:rPr>
          <w:rFonts w:ascii="Times New Roman" w:eastAsia="宋体" w:hAnsi="Times New Roman"/>
        </w:rPr>
        <w:br w:type="page"/>
      </w:r>
    </w:p>
    <w:p w14:paraId="1D095A24"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06" w:name="_Toc31303"/>
      <w:bookmarkStart w:id="107" w:name="_Toc12207"/>
      <w:bookmarkStart w:id="108" w:name="_Toc14747"/>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3</w:t>
      </w:r>
      <w:r>
        <w:rPr>
          <w:rFonts w:ascii="Times New Roman" w:eastAsia="黑体" w:hAnsi="Times New Roman" w:cs="Times New Roman"/>
          <w:b/>
          <w:bCs/>
          <w:sz w:val="32"/>
          <w:szCs w:val="32"/>
        </w:rPr>
        <w:t>危险有害因素分析</w:t>
      </w:r>
      <w:bookmarkEnd w:id="106"/>
      <w:bookmarkEnd w:id="107"/>
      <w:bookmarkEnd w:id="108"/>
    </w:p>
    <w:p w14:paraId="0AD3CB62"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9" w:name="_Toc16310"/>
      <w:bookmarkStart w:id="110" w:name="_Toc12863"/>
      <w:bookmarkStart w:id="111" w:name="_Toc14886"/>
      <w:r>
        <w:rPr>
          <w:rFonts w:ascii="Times New Roman" w:eastAsia="楷体" w:hAnsi="Times New Roman" w:cs="Times New Roman"/>
          <w:b/>
          <w:bCs/>
          <w:sz w:val="32"/>
          <w:szCs w:val="32"/>
        </w:rPr>
        <w:t>F3.1</w:t>
      </w:r>
      <w:r>
        <w:rPr>
          <w:rFonts w:ascii="Times New Roman" w:eastAsia="楷体" w:hAnsi="Times New Roman" w:cs="Times New Roman"/>
          <w:b/>
          <w:bCs/>
          <w:sz w:val="32"/>
          <w:szCs w:val="32"/>
        </w:rPr>
        <w:t>危险化学品的理化性能指标与危险特性</w:t>
      </w:r>
      <w:bookmarkEnd w:id="109"/>
      <w:bookmarkEnd w:id="110"/>
      <w:bookmarkEnd w:id="111"/>
    </w:p>
    <w:p w14:paraId="7A2E19D5" w14:textId="77777777" w:rsidR="00502148" w:rsidRDefault="00000000">
      <w:pPr>
        <w:ind w:firstLine="560"/>
        <w:rPr>
          <w:rFonts w:ascii="Times New Roman" w:eastAsia="宋体" w:hAnsi="Times New Roman" w:cs="Times New Roman"/>
          <w:szCs w:val="22"/>
          <w14:ligatures w14:val="none"/>
        </w:rPr>
      </w:pPr>
      <w:r>
        <w:rPr>
          <w:rFonts w:ascii="Times New Roman" w:eastAsia="宋体" w:hAnsi="Times New Roman" w:cs="Times New Roman"/>
          <w:szCs w:val="22"/>
          <w14:ligatures w14:val="none"/>
        </w:rPr>
        <w:t>危险化学品车用乙醇汽油、柴油的理化性能指标与危险特性的信息来源：《危险化学品目录（</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版）》（</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年版，</w:t>
      </w:r>
      <w:r>
        <w:rPr>
          <w:rFonts w:ascii="Times New Roman" w:eastAsia="宋体" w:hAnsi="Times New Roman" w:cs="Times New Roman" w:hint="eastAsia"/>
          <w:szCs w:val="22"/>
          <w14:ligatures w14:val="none"/>
        </w:rPr>
        <w:t>国家安全生产监督管理局等十部委公告</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年第</w:t>
      </w:r>
      <w:r>
        <w:rPr>
          <w:rFonts w:ascii="Times New Roman" w:eastAsia="宋体" w:hAnsi="Times New Roman" w:cs="Times New Roman"/>
          <w:szCs w:val="22"/>
          <w14:ligatures w14:val="none"/>
        </w:rPr>
        <w:t>5</w:t>
      </w:r>
      <w:r>
        <w:rPr>
          <w:rFonts w:ascii="Times New Roman" w:eastAsia="宋体" w:hAnsi="Times New Roman" w:cs="Times New Roman"/>
          <w:szCs w:val="22"/>
          <w14:ligatures w14:val="none"/>
        </w:rPr>
        <w:t>号，</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w:t>
      </w:r>
      <w:r>
        <w:rPr>
          <w:rFonts w:ascii="Times New Roman" w:eastAsia="宋体" w:hAnsi="Times New Roman" w:cs="Times New Roman"/>
          <w:szCs w:val="22"/>
          <w14:ligatures w14:val="none"/>
        </w:rPr>
        <w:t>05</w:t>
      </w:r>
      <w:r>
        <w:rPr>
          <w:rFonts w:ascii="Times New Roman" w:eastAsia="宋体" w:hAnsi="Times New Roman" w:cs="Times New Roman"/>
          <w:szCs w:val="22"/>
          <w14:ligatures w14:val="none"/>
        </w:rPr>
        <w:t>月</w:t>
      </w:r>
      <w:r>
        <w:rPr>
          <w:rFonts w:ascii="Times New Roman" w:eastAsia="宋体" w:hAnsi="Times New Roman" w:cs="Times New Roman"/>
          <w:szCs w:val="22"/>
          <w14:ligatures w14:val="none"/>
        </w:rPr>
        <w:t>01</w:t>
      </w:r>
      <w:r>
        <w:rPr>
          <w:rFonts w:ascii="Times New Roman" w:eastAsia="宋体" w:hAnsi="Times New Roman" w:cs="Times New Roman"/>
          <w:szCs w:val="22"/>
          <w14:ligatures w14:val="none"/>
        </w:rPr>
        <w:t>日施行）、《首批重点监管的危险化学品安全措施和应急处置原则的通知》（安监总厅管三〔</w:t>
      </w:r>
      <w:r>
        <w:rPr>
          <w:rFonts w:ascii="Times New Roman" w:eastAsia="宋体" w:hAnsi="Times New Roman" w:cs="Times New Roman"/>
          <w:szCs w:val="22"/>
          <w14:ligatures w14:val="none"/>
        </w:rPr>
        <w:t>2011</w:t>
      </w:r>
      <w:r>
        <w:rPr>
          <w:rFonts w:ascii="Times New Roman" w:eastAsia="宋体" w:hAnsi="Times New Roman" w:cs="Times New Roman"/>
          <w:szCs w:val="22"/>
          <w14:ligatures w14:val="none"/>
        </w:rPr>
        <w:t>〕</w:t>
      </w:r>
      <w:r>
        <w:rPr>
          <w:rFonts w:ascii="Times New Roman" w:eastAsia="宋体" w:hAnsi="Times New Roman" w:cs="Times New Roman"/>
          <w:szCs w:val="22"/>
          <w14:ligatures w14:val="none"/>
        </w:rPr>
        <w:t>142</w:t>
      </w:r>
      <w:r>
        <w:rPr>
          <w:rFonts w:ascii="Times New Roman" w:eastAsia="宋体" w:hAnsi="Times New Roman" w:cs="Times New Roman"/>
          <w:szCs w:val="22"/>
          <w14:ligatures w14:val="none"/>
        </w:rPr>
        <w:t>号）、《危险化学品安全技术全书（第三版）》（化学工业出版社）。</w:t>
      </w:r>
    </w:p>
    <w:p w14:paraId="55A1F92A"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F3.1.1</w:t>
      </w:r>
      <w:r>
        <w:rPr>
          <w:rFonts w:ascii="Times New Roman" w:eastAsia="黑体" w:hAnsi="Times New Roman" w:cs="Times New Roman"/>
          <w:b/>
          <w:bCs/>
        </w:rPr>
        <w:t>车用乙醇汽油</w:t>
      </w:r>
    </w:p>
    <w:p w14:paraId="41E0929B"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3.1-1  </w:t>
      </w:r>
      <w:r>
        <w:rPr>
          <w:rFonts w:ascii="Times New Roman" w:eastAsia="黑体" w:hAnsi="Times New Roman"/>
          <w:sz w:val="24"/>
        </w:rPr>
        <w:t>车用乙醇汽油的理化性质表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502"/>
      </w:tblGrid>
      <w:tr w:rsidR="00502148" w14:paraId="7CBF71CF" w14:textId="77777777">
        <w:tc>
          <w:tcPr>
            <w:tcW w:w="817" w:type="dxa"/>
            <w:tcBorders>
              <w:top w:val="single" w:sz="4" w:space="0" w:color="auto"/>
              <w:left w:val="single" w:sz="4" w:space="0" w:color="auto"/>
              <w:bottom w:val="single" w:sz="4" w:space="0" w:color="auto"/>
              <w:right w:val="single" w:sz="4" w:space="0" w:color="auto"/>
            </w:tcBorders>
            <w:vAlign w:val="center"/>
          </w:tcPr>
          <w:p w14:paraId="5F650FAF"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特别警示</w:t>
            </w:r>
          </w:p>
        </w:tc>
        <w:tc>
          <w:tcPr>
            <w:tcW w:w="8502" w:type="dxa"/>
            <w:tcBorders>
              <w:top w:val="single" w:sz="4" w:space="0" w:color="auto"/>
              <w:left w:val="single" w:sz="4" w:space="0" w:color="auto"/>
              <w:bottom w:val="single" w:sz="4" w:space="0" w:color="auto"/>
              <w:right w:val="single" w:sz="4" w:space="0" w:color="auto"/>
            </w:tcBorders>
            <w:vAlign w:val="center"/>
          </w:tcPr>
          <w:p w14:paraId="4317A270"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高度易燃液体；不得使用直流水扑救（用水灭火无效）。</w:t>
            </w:r>
          </w:p>
        </w:tc>
      </w:tr>
      <w:tr w:rsidR="00502148" w14:paraId="79F5B0AB" w14:textId="77777777">
        <w:tc>
          <w:tcPr>
            <w:tcW w:w="817" w:type="dxa"/>
            <w:vAlign w:val="center"/>
          </w:tcPr>
          <w:p w14:paraId="577E0B35"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理</w:t>
            </w:r>
          </w:p>
          <w:p w14:paraId="1980D795"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化</w:t>
            </w:r>
          </w:p>
          <w:p w14:paraId="7EDB351C"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特</w:t>
            </w:r>
          </w:p>
          <w:p w14:paraId="3A91660A"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性</w:t>
            </w:r>
          </w:p>
        </w:tc>
        <w:tc>
          <w:tcPr>
            <w:tcW w:w="8502" w:type="dxa"/>
            <w:vAlign w:val="center"/>
          </w:tcPr>
          <w:p w14:paraId="770452A4"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无色到浅黄色的透明液体。</w:t>
            </w:r>
          </w:p>
          <w:p w14:paraId="7BE34294"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依据</w:t>
            </w:r>
            <w:r>
              <w:rPr>
                <w:rFonts w:ascii="Times New Roman" w:eastAsia="宋体" w:hAnsi="Times New Roman" w:cs="宋体" w:hint="eastAsia"/>
                <w:kern w:val="0"/>
                <w:sz w:val="21"/>
                <w:szCs w:val="21"/>
                <w14:ligatures w14:val="none"/>
              </w:rPr>
              <w:t>《车用乙醇汽油（</w:t>
            </w:r>
            <w:r>
              <w:rPr>
                <w:rFonts w:ascii="Times New Roman" w:eastAsia="宋体" w:hAnsi="Times New Roman" w:cs="宋体" w:hint="eastAsia"/>
                <w:kern w:val="0"/>
                <w:sz w:val="21"/>
                <w:szCs w:val="21"/>
                <w14:ligatures w14:val="none"/>
              </w:rPr>
              <w:t>E10</w:t>
            </w:r>
            <w:r>
              <w:rPr>
                <w:rFonts w:ascii="Times New Roman" w:eastAsia="宋体" w:hAnsi="Times New Roman" w:cs="宋体" w:hint="eastAsia"/>
                <w:kern w:val="0"/>
                <w:sz w:val="21"/>
                <w:szCs w:val="21"/>
                <w14:ligatures w14:val="none"/>
              </w:rPr>
              <w:t>）》（</w:t>
            </w:r>
            <w:r>
              <w:rPr>
                <w:rFonts w:ascii="Times New Roman" w:eastAsia="宋体" w:hAnsi="Times New Roman" w:cs="宋体" w:hint="eastAsia"/>
                <w:kern w:val="0"/>
                <w:sz w:val="21"/>
                <w:szCs w:val="21"/>
                <w14:ligatures w14:val="none"/>
              </w:rPr>
              <w:t>GB 18351-2017</w:t>
            </w:r>
            <w:r>
              <w:rPr>
                <w:rFonts w:ascii="Times New Roman" w:eastAsia="宋体" w:hAnsi="Times New Roman" w:cs="宋体" w:hint="eastAsia"/>
                <w:kern w:val="0"/>
                <w:sz w:val="21"/>
                <w:szCs w:val="21"/>
                <w14:ligatures w14:val="none"/>
              </w:rPr>
              <w:t>）生产的车用无铅汽油，按研究法辛烷值（</w:t>
            </w:r>
            <w:r>
              <w:rPr>
                <w:rFonts w:ascii="Times New Roman" w:eastAsia="宋体" w:hAnsi="Times New Roman" w:cs="宋体" w:hint="eastAsia"/>
                <w:kern w:val="0"/>
                <w:sz w:val="21"/>
                <w:szCs w:val="21"/>
                <w14:ligatures w14:val="none"/>
              </w:rPr>
              <w:t>RON</w:t>
            </w:r>
            <w:r>
              <w:rPr>
                <w:rFonts w:ascii="Times New Roman" w:eastAsia="宋体" w:hAnsi="Times New Roman" w:cs="宋体" w:hint="eastAsia"/>
                <w:kern w:val="0"/>
                <w:sz w:val="21"/>
                <w:szCs w:val="21"/>
                <w14:ligatures w14:val="none"/>
              </w:rPr>
              <w:t>）分为</w:t>
            </w:r>
            <w:r>
              <w:rPr>
                <w:rFonts w:ascii="Times New Roman" w:eastAsia="宋体" w:hAnsi="Times New Roman" w:cs="宋体" w:hint="eastAsia"/>
                <w:kern w:val="0"/>
                <w:sz w:val="21"/>
                <w:szCs w:val="21"/>
                <w14:ligatures w14:val="none"/>
              </w:rPr>
              <w:t>89</w:t>
            </w:r>
            <w:r>
              <w:rPr>
                <w:rFonts w:ascii="Times New Roman" w:eastAsia="宋体" w:hAnsi="Times New Roman" w:cs="宋体" w:hint="eastAsia"/>
                <w:kern w:val="0"/>
                <w:sz w:val="21"/>
                <w:szCs w:val="21"/>
                <w14:ligatures w14:val="none"/>
              </w:rPr>
              <w:t>号、</w:t>
            </w:r>
            <w:r>
              <w:rPr>
                <w:rFonts w:ascii="Times New Roman" w:eastAsia="宋体" w:hAnsi="Times New Roman" w:cs="宋体" w:hint="eastAsia"/>
                <w:kern w:val="0"/>
                <w:sz w:val="21"/>
                <w:szCs w:val="21"/>
                <w14:ligatures w14:val="none"/>
              </w:rPr>
              <w:t>92</w:t>
            </w:r>
            <w:r>
              <w:rPr>
                <w:rFonts w:ascii="Times New Roman" w:eastAsia="宋体" w:hAnsi="Times New Roman" w:cs="宋体" w:hint="eastAsia"/>
                <w:kern w:val="0"/>
                <w:sz w:val="21"/>
                <w:szCs w:val="21"/>
                <w14:ligatures w14:val="none"/>
              </w:rPr>
              <w:t>号、</w:t>
            </w:r>
            <w:r>
              <w:rPr>
                <w:rFonts w:ascii="Times New Roman" w:eastAsia="宋体" w:hAnsi="Times New Roman" w:cs="宋体" w:hint="eastAsia"/>
                <w:kern w:val="0"/>
                <w:sz w:val="21"/>
                <w:szCs w:val="21"/>
                <w14:ligatures w14:val="none"/>
              </w:rPr>
              <w:t>95</w:t>
            </w:r>
            <w:r>
              <w:rPr>
                <w:rFonts w:ascii="Times New Roman" w:eastAsia="宋体" w:hAnsi="Times New Roman" w:cs="宋体" w:hint="eastAsia"/>
                <w:kern w:val="0"/>
                <w:sz w:val="21"/>
                <w:szCs w:val="21"/>
                <w14:ligatures w14:val="none"/>
              </w:rPr>
              <w:t>号和</w:t>
            </w:r>
            <w:r>
              <w:rPr>
                <w:rFonts w:ascii="Times New Roman" w:eastAsia="宋体" w:hAnsi="Times New Roman" w:cs="宋体" w:hint="eastAsia"/>
                <w:kern w:val="0"/>
                <w:sz w:val="21"/>
                <w:szCs w:val="21"/>
                <w14:ligatures w14:val="none"/>
              </w:rPr>
              <w:t>98</w:t>
            </w:r>
            <w:r>
              <w:rPr>
                <w:rFonts w:ascii="Times New Roman" w:eastAsia="宋体" w:hAnsi="Times New Roman" w:cs="宋体" w:hint="eastAsia"/>
                <w:kern w:val="0"/>
                <w:sz w:val="21"/>
                <w:szCs w:val="21"/>
                <w14:ligatures w14:val="none"/>
              </w:rPr>
              <w:t>号四个牌号</w:t>
            </w:r>
            <w:r>
              <w:rPr>
                <w:rFonts w:ascii="Times New Roman" w:eastAsia="宋体" w:hAnsi="Times New Roman" w:cs="宋体"/>
                <w:kern w:val="0"/>
                <w:sz w:val="21"/>
                <w:szCs w:val="21"/>
                <w14:ligatures w14:val="none"/>
              </w:rPr>
              <w:t>，相对密度（水</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0.70</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0.80</w:t>
            </w:r>
            <w:r>
              <w:rPr>
                <w:rFonts w:ascii="Times New Roman" w:eastAsia="宋体" w:hAnsi="Times New Roman" w:cs="宋体"/>
                <w:kern w:val="0"/>
                <w:sz w:val="21"/>
                <w:szCs w:val="21"/>
                <w14:ligatures w14:val="none"/>
              </w:rPr>
              <w:t>，相对蒸气密度（空气</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，闪点</w:t>
            </w:r>
            <w:r>
              <w:rPr>
                <w:rFonts w:ascii="Times New Roman" w:eastAsia="宋体" w:hAnsi="Times New Roman" w:cs="宋体"/>
                <w:kern w:val="0"/>
                <w:sz w:val="21"/>
                <w:szCs w:val="21"/>
                <w14:ligatures w14:val="none"/>
              </w:rPr>
              <w:t>-46℃</w:t>
            </w:r>
            <w:r>
              <w:rPr>
                <w:rFonts w:ascii="Times New Roman" w:eastAsia="宋体" w:hAnsi="Times New Roman" w:cs="宋体"/>
                <w:kern w:val="0"/>
                <w:sz w:val="21"/>
                <w:szCs w:val="21"/>
                <w14:ligatures w14:val="none"/>
              </w:rPr>
              <w:t>，爆炸极限</w:t>
            </w:r>
            <w:r>
              <w:rPr>
                <w:rFonts w:ascii="Times New Roman" w:eastAsia="宋体" w:hAnsi="Times New Roman" w:cs="宋体"/>
                <w:kern w:val="0"/>
                <w:sz w:val="21"/>
                <w:szCs w:val="21"/>
                <w14:ligatures w14:val="none"/>
              </w:rPr>
              <w:t>1.4</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7.6%</w:t>
            </w:r>
            <w:r>
              <w:rPr>
                <w:rFonts w:ascii="Times New Roman" w:eastAsia="宋体" w:hAnsi="Times New Roman" w:cs="宋体"/>
                <w:kern w:val="0"/>
                <w:sz w:val="21"/>
                <w:szCs w:val="21"/>
                <w14:ligatures w14:val="none"/>
              </w:rPr>
              <w:t>（体积比），自燃温度</w:t>
            </w:r>
            <w:r>
              <w:rPr>
                <w:rFonts w:ascii="Times New Roman" w:eastAsia="宋体" w:hAnsi="Times New Roman" w:cs="宋体"/>
                <w:kern w:val="0"/>
                <w:sz w:val="21"/>
                <w:szCs w:val="21"/>
                <w14:ligatures w14:val="none"/>
              </w:rPr>
              <w:t>415</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530℃</w:t>
            </w:r>
            <w:r>
              <w:rPr>
                <w:rFonts w:ascii="Times New Roman" w:eastAsia="宋体" w:hAnsi="Times New Roman" w:cs="宋体"/>
                <w:kern w:val="0"/>
                <w:sz w:val="21"/>
                <w:szCs w:val="21"/>
                <w14:ligatures w14:val="none"/>
              </w:rPr>
              <w:t>，最大爆炸压力</w:t>
            </w:r>
            <w:r>
              <w:rPr>
                <w:rFonts w:ascii="Times New Roman" w:eastAsia="宋体" w:hAnsi="Times New Roman" w:cs="宋体"/>
                <w:kern w:val="0"/>
                <w:sz w:val="21"/>
                <w:szCs w:val="21"/>
                <w14:ligatures w14:val="none"/>
              </w:rPr>
              <w:t>0.813MPa</w:t>
            </w:r>
            <w:r>
              <w:rPr>
                <w:rFonts w:ascii="Times New Roman" w:eastAsia="宋体" w:hAnsi="Times New Roman" w:cs="宋体"/>
                <w:kern w:val="0"/>
                <w:sz w:val="21"/>
                <w:szCs w:val="21"/>
                <w14:ligatures w14:val="none"/>
              </w:rPr>
              <w:t>；石脑油主要成分为</w:t>
            </w:r>
            <w:r>
              <w:rPr>
                <w:rFonts w:ascii="Times New Roman" w:eastAsia="宋体" w:hAnsi="Times New Roman" w:cs="宋体"/>
                <w:kern w:val="0"/>
                <w:sz w:val="21"/>
                <w:szCs w:val="21"/>
                <w14:ligatures w14:val="none"/>
              </w:rPr>
              <w:t>C4</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C6</w:t>
            </w:r>
            <w:r>
              <w:rPr>
                <w:rFonts w:ascii="Times New Roman" w:eastAsia="宋体" w:hAnsi="Times New Roman" w:cs="宋体"/>
                <w:kern w:val="0"/>
                <w:sz w:val="21"/>
                <w:szCs w:val="21"/>
                <w14:ligatures w14:val="none"/>
              </w:rPr>
              <w:t>的烷烃，相对密度</w:t>
            </w:r>
            <w:r>
              <w:rPr>
                <w:rFonts w:ascii="Times New Roman" w:eastAsia="宋体" w:hAnsi="Times New Roman" w:cs="宋体"/>
                <w:kern w:val="0"/>
                <w:sz w:val="21"/>
                <w:szCs w:val="21"/>
                <w14:ligatures w14:val="none"/>
              </w:rPr>
              <w:t>0.78</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0.97</w:t>
            </w:r>
            <w:r>
              <w:rPr>
                <w:rFonts w:ascii="Times New Roman" w:eastAsia="宋体" w:hAnsi="Times New Roman" w:cs="宋体"/>
                <w:kern w:val="0"/>
                <w:sz w:val="21"/>
                <w:szCs w:val="21"/>
                <w14:ligatures w14:val="none"/>
              </w:rPr>
              <w:t>，闪点</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，爆炸极限</w:t>
            </w:r>
            <w:r>
              <w:rPr>
                <w:rFonts w:ascii="Times New Roman" w:eastAsia="宋体" w:hAnsi="Times New Roman" w:cs="宋体"/>
                <w:kern w:val="0"/>
                <w:sz w:val="21"/>
                <w:szCs w:val="21"/>
                <w14:ligatures w14:val="none"/>
              </w:rPr>
              <w:t>1.1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8.7%</w:t>
            </w:r>
            <w:r>
              <w:rPr>
                <w:rFonts w:ascii="Times New Roman" w:eastAsia="宋体" w:hAnsi="Times New Roman" w:cs="宋体"/>
                <w:kern w:val="0"/>
                <w:sz w:val="21"/>
                <w:szCs w:val="21"/>
                <w14:ligatures w14:val="none"/>
              </w:rPr>
              <w:t>（体积比）。</w:t>
            </w:r>
          </w:p>
          <w:p w14:paraId="587E2246"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主要用途：汽油主要用作汽油机的燃料</w:t>
            </w:r>
            <w:r>
              <w:rPr>
                <w:rFonts w:ascii="Times New Roman" w:eastAsia="宋体" w:hAnsi="Times New Roman" w:cs="宋体"/>
                <w:kern w:val="0"/>
                <w:sz w:val="21"/>
                <w:szCs w:val="21"/>
                <w14:ligatures w14:val="none"/>
              </w:rPr>
              <w:t xml:space="preserve">, </w:t>
            </w:r>
            <w:r>
              <w:rPr>
                <w:rFonts w:ascii="Times New Roman" w:eastAsia="宋体" w:hAnsi="Times New Roman" w:cs="宋体"/>
                <w:kern w:val="0"/>
                <w:sz w:val="21"/>
                <w:szCs w:val="21"/>
                <w14:ligatures w14:val="none"/>
              </w:rPr>
              <w:t>可用于橡胶、制鞋、印刷、制革、颜料等行业</w:t>
            </w:r>
            <w:r>
              <w:rPr>
                <w:rFonts w:ascii="Times New Roman" w:eastAsia="宋体" w:hAnsi="Times New Roman" w:cs="宋体"/>
                <w:kern w:val="0"/>
                <w:sz w:val="21"/>
                <w:szCs w:val="21"/>
                <w14:ligatures w14:val="none"/>
              </w:rPr>
              <w:t xml:space="preserve">, </w:t>
            </w:r>
            <w:r>
              <w:rPr>
                <w:rFonts w:ascii="Times New Roman" w:eastAsia="宋体" w:hAnsi="Times New Roman" w:cs="宋体"/>
                <w:kern w:val="0"/>
                <w:sz w:val="21"/>
                <w:szCs w:val="21"/>
                <w14:ligatures w14:val="none"/>
              </w:rPr>
              <w:t>也可用作机械零件的去污剂；石脑油主要用作裂解、催化重整和制氨原料，也可作为化工原料或一般溶剂，在石油炼制方面是制作清洁汽油的主要原料。</w:t>
            </w:r>
          </w:p>
        </w:tc>
      </w:tr>
      <w:tr w:rsidR="00502148" w14:paraId="16573CC8" w14:textId="77777777">
        <w:tc>
          <w:tcPr>
            <w:tcW w:w="817" w:type="dxa"/>
            <w:vAlign w:val="center"/>
          </w:tcPr>
          <w:p w14:paraId="618776C5"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危</w:t>
            </w:r>
          </w:p>
          <w:p w14:paraId="24E45E13"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害</w:t>
            </w:r>
          </w:p>
          <w:p w14:paraId="67F9D811"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信</w:t>
            </w:r>
          </w:p>
          <w:p w14:paraId="76E2E3DB"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息</w:t>
            </w:r>
          </w:p>
        </w:tc>
        <w:tc>
          <w:tcPr>
            <w:tcW w:w="8502" w:type="dxa"/>
            <w:vAlign w:val="center"/>
          </w:tcPr>
          <w:p w14:paraId="794C4709" w14:textId="77777777" w:rsidR="00502148" w:rsidRDefault="00000000">
            <w:pPr>
              <w:widowControl/>
              <w:adjustRightInd/>
              <w:snapToGrid/>
              <w:spacing w:line="360" w:lineRule="exact"/>
              <w:ind w:firstLineChars="0" w:firstLine="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【燃烧和爆炸危险性】</w:t>
            </w:r>
          </w:p>
          <w:p w14:paraId="7E4E157C"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149B2192" w14:textId="77777777" w:rsidR="00502148"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【健康危害】</w:t>
            </w:r>
          </w:p>
          <w:p w14:paraId="1E63AAB1"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汽油为麻醉性毒物，高浓度吸入出现中毒性脑病，极高浓度吸入引起意识突然丧失、反射性呼吸停止。误将汽油吸入呼吸道可引起吸入性肺炎。</w:t>
            </w:r>
          </w:p>
          <w:p w14:paraId="70981B2B"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职业接触限值：</w:t>
            </w:r>
            <w:r>
              <w:rPr>
                <w:rFonts w:ascii="Times New Roman" w:eastAsia="宋体" w:hAnsi="Times New Roman" w:cs="宋体"/>
                <w:kern w:val="0"/>
                <w:sz w:val="21"/>
                <w:szCs w:val="21"/>
                <w14:ligatures w14:val="none"/>
              </w:rPr>
              <w:t>PC-TWA(</w:t>
            </w:r>
            <w:r>
              <w:rPr>
                <w:rFonts w:ascii="Times New Roman" w:eastAsia="宋体" w:hAnsi="Times New Roman" w:cs="宋体"/>
                <w:kern w:val="0"/>
                <w:sz w:val="21"/>
                <w:szCs w:val="21"/>
                <w14:ligatures w14:val="none"/>
              </w:rPr>
              <w:t>时间加权平均容许浓度</w:t>
            </w:r>
            <w:r>
              <w:rPr>
                <w:rFonts w:ascii="Times New Roman" w:eastAsia="宋体" w:hAnsi="Times New Roman" w:cs="宋体"/>
                <w:kern w:val="0"/>
                <w:sz w:val="21"/>
                <w:szCs w:val="21"/>
                <w14:ligatures w14:val="none"/>
              </w:rPr>
              <w:t>)(mg/m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):300</w:t>
            </w:r>
            <w:r>
              <w:rPr>
                <w:rFonts w:ascii="Times New Roman" w:eastAsia="宋体" w:hAnsi="Times New Roman" w:cs="宋体"/>
                <w:kern w:val="0"/>
                <w:sz w:val="21"/>
                <w:szCs w:val="21"/>
                <w14:ligatures w14:val="none"/>
              </w:rPr>
              <w:t>（汽油）。</w:t>
            </w:r>
          </w:p>
        </w:tc>
      </w:tr>
      <w:tr w:rsidR="00502148" w14:paraId="4F73CD09" w14:textId="77777777">
        <w:tc>
          <w:tcPr>
            <w:tcW w:w="817" w:type="dxa"/>
            <w:vAlign w:val="center"/>
          </w:tcPr>
          <w:p w14:paraId="2BC37762"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安</w:t>
            </w:r>
          </w:p>
          <w:p w14:paraId="04C7C352"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全</w:t>
            </w:r>
          </w:p>
          <w:p w14:paraId="7E9CD6A9"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lastRenderedPageBreak/>
              <w:t>措</w:t>
            </w:r>
          </w:p>
          <w:p w14:paraId="61E4023C"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施</w:t>
            </w:r>
          </w:p>
        </w:tc>
        <w:tc>
          <w:tcPr>
            <w:tcW w:w="8502" w:type="dxa"/>
            <w:vAlign w:val="center"/>
          </w:tcPr>
          <w:p w14:paraId="0336A6EB" w14:textId="77777777" w:rsidR="00502148"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lastRenderedPageBreak/>
              <w:t>【一般要求】</w:t>
            </w:r>
          </w:p>
          <w:p w14:paraId="62AE4728"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lastRenderedPageBreak/>
              <w:t>操作人员必须经过专门培训，严格遵守操作规程，熟练掌握操作技能，具备应急处置知识。</w:t>
            </w:r>
          </w:p>
          <w:p w14:paraId="52ECB5CE"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5E077C5F"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储罐等容器和设备应设置液位计、温度计，并应装有带液位、温度远传记录和报警功能的安全装置。</w:t>
            </w:r>
          </w:p>
          <w:p w14:paraId="603B2EDD"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避免与氧化剂接触。</w:t>
            </w:r>
          </w:p>
          <w:p w14:paraId="5981B2C5"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5FB40B47" w14:textId="77777777" w:rsidR="00502148"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【特殊要求】</w:t>
            </w:r>
          </w:p>
          <w:p w14:paraId="19218939" w14:textId="77777777" w:rsidR="00502148" w:rsidRDefault="00000000">
            <w:pPr>
              <w:widowControl/>
              <w:adjustRightInd/>
              <w:snapToGrid/>
              <w:spacing w:line="360" w:lineRule="exact"/>
              <w:ind w:firstLine="422"/>
              <w:jc w:val="left"/>
              <w:rPr>
                <w:rFonts w:ascii="Times New Roman" w:eastAsia="宋体" w:hAnsi="Times New Roman" w:cs="宋体"/>
                <w:kern w:val="0"/>
                <w:sz w:val="21"/>
                <w:szCs w:val="21"/>
                <w14:ligatures w14:val="none"/>
              </w:rPr>
            </w:pPr>
            <w:r>
              <w:rPr>
                <w:rFonts w:ascii="Times New Roman" w:eastAsia="宋体" w:hAnsi="Times New Roman" w:cs="宋体" w:hint="eastAsia"/>
                <w:b/>
                <w:kern w:val="0"/>
                <w:sz w:val="21"/>
                <w:szCs w:val="21"/>
                <w14:ligatures w14:val="none"/>
              </w:rPr>
              <w:t>【</w:t>
            </w:r>
            <w:r>
              <w:rPr>
                <w:rFonts w:ascii="Times New Roman" w:eastAsia="宋体" w:hAnsi="Times New Roman" w:cs="宋体"/>
                <w:kern w:val="0"/>
                <w:sz w:val="21"/>
                <w:szCs w:val="21"/>
                <w14:ligatures w14:val="none"/>
              </w:rPr>
              <w:t>操作安全</w:t>
            </w:r>
            <w:r>
              <w:rPr>
                <w:rFonts w:ascii="Times New Roman" w:eastAsia="宋体" w:hAnsi="Times New Roman" w:cs="宋体" w:hint="eastAsia"/>
                <w:b/>
                <w:kern w:val="0"/>
                <w:sz w:val="21"/>
                <w:szCs w:val="21"/>
                <w14:ligatures w14:val="none"/>
              </w:rPr>
              <w:t>】</w:t>
            </w:r>
          </w:p>
          <w:p w14:paraId="369A0ECC"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）油罐及贮存桶装汽油附近要严禁烟火。禁止将汽油与其他易燃物放在一起。</w:t>
            </w:r>
          </w:p>
          <w:p w14:paraId="4F367FB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78CDDCD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）当进行灌装汽油时，邻近的汽车、拖拉机的排气管要戴上防火帽后才能发动，存汽油地点附近严禁检修车辆。</w:t>
            </w:r>
          </w:p>
          <w:p w14:paraId="0C9D92F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）汽油油罐和贮存汽油区的上空，不应有电线通过。油罐、库房与电线的距离要为电杆长度的</w:t>
            </w:r>
            <w:r>
              <w:rPr>
                <w:rFonts w:ascii="Times New Roman" w:eastAsia="宋体" w:hAnsi="Times New Roman" w:cs="宋体"/>
                <w:kern w:val="0"/>
                <w:sz w:val="21"/>
                <w:szCs w:val="21"/>
                <w14:ligatures w14:val="none"/>
              </w:rPr>
              <w:t>1.5</w:t>
            </w:r>
            <w:r>
              <w:rPr>
                <w:rFonts w:ascii="Times New Roman" w:eastAsia="宋体" w:hAnsi="Times New Roman" w:cs="宋体"/>
                <w:kern w:val="0"/>
                <w:sz w:val="21"/>
                <w:szCs w:val="21"/>
                <w14:ligatures w14:val="none"/>
              </w:rPr>
              <w:t>倍以上。</w:t>
            </w:r>
          </w:p>
          <w:p w14:paraId="141B3757"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w:t>
            </w:r>
            <w:r>
              <w:rPr>
                <w:rFonts w:ascii="Times New Roman" w:eastAsia="宋体" w:hAnsi="Times New Roman" w:cs="宋体"/>
                <w:kern w:val="0"/>
                <w:sz w:val="21"/>
                <w:szCs w:val="21"/>
                <w14:ligatures w14:val="none"/>
              </w:rPr>
              <w:t>）注意仓库及操作场所的通风，使油蒸气容易逸散。</w:t>
            </w:r>
          </w:p>
          <w:p w14:paraId="7326CDE2" w14:textId="77777777" w:rsidR="00502148"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【储存安全】</w:t>
            </w:r>
          </w:p>
          <w:p w14:paraId="32B549AB"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）储存于阴凉、通风的库房。远离火种、热源。库房温度不宜超过</w:t>
            </w:r>
            <w:r>
              <w:rPr>
                <w:rFonts w:ascii="Times New Roman" w:eastAsia="宋体" w:hAnsi="Times New Roman" w:cs="宋体"/>
                <w:kern w:val="0"/>
                <w:sz w:val="21"/>
                <w:szCs w:val="21"/>
                <w14:ligatures w14:val="none"/>
              </w:rPr>
              <w:t>30℃</w:t>
            </w:r>
            <w:r>
              <w:rPr>
                <w:rFonts w:ascii="Times New Roman" w:eastAsia="宋体" w:hAnsi="Times New Roman" w:cs="宋体"/>
                <w:kern w:val="0"/>
                <w:sz w:val="21"/>
                <w:szCs w:val="21"/>
                <w14:ligatures w14:val="none"/>
              </w:rPr>
              <w:t>。炎热季节应采取喷淋、通风等降温措施。</w:t>
            </w:r>
          </w:p>
          <w:p w14:paraId="6FD7F49E"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）应与氧化剂分开存放，切忌混储。用储罐、铁桶等容器盛装，不要用塑料桶来存放汽油。盛装时，切不可充满，要留出必要的安全空间。</w:t>
            </w:r>
          </w:p>
          <w:p w14:paraId="4AD046E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）采用防爆型照明、通风设施。禁止使用易产生火花的机械设备和工具。储存区应备有泄漏应急处理设备和合适的收容材料。罐储时要有防火防爆技术措施。对于</w:t>
            </w:r>
            <w:r>
              <w:rPr>
                <w:rFonts w:ascii="Times New Roman" w:eastAsia="宋体" w:hAnsi="Times New Roman" w:cs="宋体"/>
                <w:kern w:val="0"/>
                <w:sz w:val="21"/>
                <w:szCs w:val="21"/>
                <w14:ligatures w14:val="none"/>
              </w:rPr>
              <w:t>1000m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及以上的储罐顶部应有泡沫灭火设施等。</w:t>
            </w:r>
          </w:p>
          <w:p w14:paraId="333C451D" w14:textId="77777777" w:rsidR="00502148"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【运输安全】</w:t>
            </w:r>
          </w:p>
          <w:p w14:paraId="2A342A6D"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）运输车辆应有危险货物运输标志、安装具有行驶记录功能的卫星定位装置。未经公安机关批准，运输车辆不得进入危险化学品运输车辆限制通行的区域。</w:t>
            </w:r>
          </w:p>
          <w:p w14:paraId="2E4C569D"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）汽油装于专用的槽车</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船</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内运输，槽车</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船</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应定期清理；用其他包装容器运输时，容器须用盖密封。运送汽油的油罐汽车，必须有导静电拖线。对有每分钟</w:t>
            </w:r>
            <w:r>
              <w:rPr>
                <w:rFonts w:ascii="Times New Roman" w:eastAsia="宋体" w:hAnsi="Times New Roman" w:cs="宋体"/>
                <w:kern w:val="0"/>
                <w:sz w:val="21"/>
                <w:szCs w:val="21"/>
                <w14:ligatures w14:val="none"/>
              </w:rPr>
              <w:t>0.5m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以上的快速装卸油设备的油罐汽车，在装卸油时，除了保证铁链接地外，更要将车上油罐的接地线插入地下并不得浅于</w:t>
            </w:r>
            <w:r>
              <w:rPr>
                <w:rFonts w:ascii="Times New Roman" w:eastAsia="宋体" w:hAnsi="Times New Roman" w:cs="宋体"/>
                <w:kern w:val="0"/>
                <w:sz w:val="21"/>
                <w:szCs w:val="21"/>
                <w14:ligatures w14:val="none"/>
              </w:rPr>
              <w:t>100mm</w:t>
            </w:r>
            <w:r>
              <w:rPr>
                <w:rFonts w:ascii="Times New Roman" w:eastAsia="宋体" w:hAnsi="Times New Roman" w:cs="宋体"/>
                <w:kern w:val="0"/>
                <w:sz w:val="21"/>
                <w:szCs w:val="21"/>
                <w14:ligatures w14:val="none"/>
              </w:rPr>
              <w:t>。运输时运输车辆应配备相应品种和数量的消防器材。装</w:t>
            </w:r>
            <w:r>
              <w:rPr>
                <w:rFonts w:ascii="Times New Roman" w:eastAsia="宋体" w:hAnsi="Times New Roman" w:cs="宋体"/>
                <w:kern w:val="0"/>
                <w:sz w:val="21"/>
                <w:szCs w:val="21"/>
                <w14:ligatures w14:val="none"/>
              </w:rPr>
              <w:lastRenderedPageBreak/>
              <w:t>运该物品的车辆排气管必须配备阻火装置，禁止使用易产生火花的机械设备和工具装卸。汽车槽罐内可设孔隔板以减少震荡产生静电。</w:t>
            </w:r>
          </w:p>
          <w:p w14:paraId="41A395A9"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）严禁与氧化剂等混装混运。夏季最好早晚运输，运输途中应防曝晒、防雨淋、防高温。中途停留时应远离火种、热源、高温区及人口密集地段。</w:t>
            </w:r>
          </w:p>
          <w:p w14:paraId="3BB138F4"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w:t>
            </w:r>
            <w:r>
              <w:rPr>
                <w:rFonts w:ascii="Times New Roman" w:eastAsia="宋体" w:hAnsi="Times New Roman" w:cs="宋体"/>
                <w:kern w:val="0"/>
                <w:sz w:val="21"/>
                <w:szCs w:val="21"/>
                <w14:ligatures w14:val="none"/>
              </w:rPr>
              <w:t>GB 7231</w:t>
            </w:r>
            <w:r>
              <w:rPr>
                <w:rFonts w:ascii="Times New Roman" w:eastAsia="宋体" w:hAnsi="Times New Roman" w:cs="宋体"/>
                <w:kern w:val="0"/>
                <w:sz w:val="21"/>
                <w:szCs w:val="21"/>
                <w14:ligatures w14:val="none"/>
              </w:rPr>
              <w:t>）的规定。</w:t>
            </w:r>
          </w:p>
          <w:p w14:paraId="18E2CA3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w:t>
            </w:r>
            <w:r>
              <w:rPr>
                <w:rFonts w:ascii="Times New Roman" w:eastAsia="宋体" w:hAnsi="Times New Roman" w:cs="宋体"/>
                <w:kern w:val="0"/>
                <w:sz w:val="21"/>
                <w:szCs w:val="21"/>
                <w14:ligatures w14:val="none"/>
              </w:rPr>
              <w:t>）输油管道地下铺设时，沿线应设置里程桩、转角桩、标志桩和测试桩，并设警示标志。运行应符合有关法律法规规定。</w:t>
            </w:r>
          </w:p>
        </w:tc>
      </w:tr>
      <w:tr w:rsidR="00502148" w14:paraId="1E22B059" w14:textId="77777777">
        <w:tc>
          <w:tcPr>
            <w:tcW w:w="817" w:type="dxa"/>
            <w:vAlign w:val="center"/>
          </w:tcPr>
          <w:p w14:paraId="288DA930"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lastRenderedPageBreak/>
              <w:t>应</w:t>
            </w:r>
          </w:p>
          <w:p w14:paraId="5DA064E3"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急</w:t>
            </w:r>
          </w:p>
          <w:p w14:paraId="6D4B391F"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处</w:t>
            </w:r>
          </w:p>
          <w:p w14:paraId="79DB403C"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置</w:t>
            </w:r>
          </w:p>
          <w:p w14:paraId="6B3C463D"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原</w:t>
            </w:r>
          </w:p>
          <w:p w14:paraId="025F8986" w14:textId="77777777" w:rsidR="00502148"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则</w:t>
            </w:r>
          </w:p>
        </w:tc>
        <w:tc>
          <w:tcPr>
            <w:tcW w:w="8502" w:type="dxa"/>
            <w:vAlign w:val="center"/>
          </w:tcPr>
          <w:p w14:paraId="262B9ACB" w14:textId="77777777" w:rsidR="00502148"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【急救措施】</w:t>
            </w:r>
          </w:p>
          <w:p w14:paraId="71DE31AA"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吸入：迅速脱离现场至空气新鲜处。保持呼吸道通畅。如呼吸困难，给氧。如呼吸停止，立即进行人工呼吸。就医。</w:t>
            </w:r>
          </w:p>
          <w:p w14:paraId="74244862"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食入：给饮牛奶或用植物油洗胃和灌肠。就医。</w:t>
            </w:r>
          </w:p>
          <w:p w14:paraId="2EF9BABC"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皮肤接触：立即脱去污染的衣着，用肥皂水和清水彻底冲洗皮肤。就医。</w:t>
            </w:r>
          </w:p>
          <w:p w14:paraId="3D7D7DC3"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眼睛接触：立即提起眼睑，用大量流动清水或生理盐水彻底冲洗至少</w:t>
            </w:r>
            <w:r>
              <w:rPr>
                <w:rFonts w:ascii="Times New Roman" w:eastAsia="宋体" w:hAnsi="Times New Roman" w:cs="宋体"/>
                <w:kern w:val="0"/>
                <w:sz w:val="21"/>
                <w:szCs w:val="21"/>
                <w14:ligatures w14:val="none"/>
              </w:rPr>
              <w:t>15</w:t>
            </w:r>
            <w:r>
              <w:rPr>
                <w:rFonts w:ascii="Times New Roman" w:eastAsia="宋体" w:hAnsi="Times New Roman" w:cs="宋体"/>
                <w:kern w:val="0"/>
                <w:sz w:val="21"/>
                <w:szCs w:val="21"/>
                <w14:ligatures w14:val="none"/>
              </w:rPr>
              <w:t>分钟。就医。</w:t>
            </w:r>
          </w:p>
          <w:p w14:paraId="124E75EA" w14:textId="77777777" w:rsidR="00502148"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【灭火方法】</w:t>
            </w:r>
          </w:p>
          <w:p w14:paraId="670E3DD7"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喷水冷却容器，尽可能将容器从火场移至空旷处。</w:t>
            </w:r>
          </w:p>
          <w:p w14:paraId="286744E9"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灭火剂：泡沫、干粉、二氧化碳。用水灭火无效。</w:t>
            </w:r>
          </w:p>
          <w:p w14:paraId="1CCB7663" w14:textId="77777777" w:rsidR="00502148"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【泄漏应急处置】</w:t>
            </w:r>
          </w:p>
          <w:p w14:paraId="44898257"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6A5A1D4B" w14:textId="77777777" w:rsidR="00502148"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作为一项紧急预防措施，泄漏隔离距离至少为</w:t>
            </w:r>
            <w:r>
              <w:rPr>
                <w:rFonts w:ascii="Times New Roman" w:eastAsia="宋体" w:hAnsi="Times New Roman" w:cs="宋体"/>
                <w:kern w:val="0"/>
                <w:sz w:val="21"/>
                <w:szCs w:val="21"/>
                <w14:ligatures w14:val="none"/>
              </w:rPr>
              <w:t>50m</w:t>
            </w:r>
            <w:r>
              <w:rPr>
                <w:rFonts w:ascii="Times New Roman" w:eastAsia="宋体" w:hAnsi="Times New Roman" w:cs="宋体"/>
                <w:kern w:val="0"/>
                <w:sz w:val="21"/>
                <w:szCs w:val="21"/>
                <w14:ligatures w14:val="none"/>
              </w:rPr>
              <w:t>。如果为大量泄漏，下风向的初始疏散距离应至少为</w:t>
            </w:r>
            <w:r>
              <w:rPr>
                <w:rFonts w:ascii="Times New Roman" w:eastAsia="宋体" w:hAnsi="Times New Roman" w:cs="宋体"/>
                <w:kern w:val="0"/>
                <w:sz w:val="21"/>
                <w:szCs w:val="21"/>
                <w14:ligatures w14:val="none"/>
              </w:rPr>
              <w:t>300m</w:t>
            </w:r>
            <w:r>
              <w:rPr>
                <w:rFonts w:ascii="Times New Roman" w:eastAsia="宋体" w:hAnsi="Times New Roman" w:cs="宋体"/>
                <w:kern w:val="0"/>
                <w:sz w:val="21"/>
                <w:szCs w:val="21"/>
                <w14:ligatures w14:val="none"/>
              </w:rPr>
              <w:t>。</w:t>
            </w:r>
          </w:p>
        </w:tc>
      </w:tr>
    </w:tbl>
    <w:p w14:paraId="33D4019A"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F3.1.2</w:t>
      </w:r>
      <w:r>
        <w:rPr>
          <w:rFonts w:ascii="Times New Roman" w:eastAsia="黑体" w:hAnsi="Times New Roman" w:cs="Times New Roman"/>
          <w:b/>
          <w:bCs/>
        </w:rPr>
        <w:t>柴油</w:t>
      </w:r>
    </w:p>
    <w:p w14:paraId="674E3E6B"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3.1-2  </w:t>
      </w:r>
      <w:r>
        <w:rPr>
          <w:rFonts w:ascii="Times New Roman" w:eastAsia="黑体" w:hAnsi="Times New Roman"/>
          <w:sz w:val="24"/>
        </w:rPr>
        <w:t>柴油的理化特性表</w:t>
      </w:r>
    </w:p>
    <w:tbl>
      <w:tblPr>
        <w:tblW w:w="931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44"/>
        <w:gridCol w:w="8575"/>
      </w:tblGrid>
      <w:tr w:rsidR="00502148" w14:paraId="749D0811" w14:textId="77777777">
        <w:tc>
          <w:tcPr>
            <w:tcW w:w="744" w:type="dxa"/>
            <w:vAlign w:val="center"/>
          </w:tcPr>
          <w:p w14:paraId="3FBD8808" w14:textId="77777777" w:rsidR="00502148"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特别警示</w:t>
            </w:r>
          </w:p>
        </w:tc>
        <w:tc>
          <w:tcPr>
            <w:tcW w:w="8575" w:type="dxa"/>
          </w:tcPr>
          <w:p w14:paraId="651869BB" w14:textId="77777777" w:rsidR="00502148"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该物质对环境有危害，建议不要让其进入环境。对水体和大气可造成污染，破坏水生生物呼吸系统。对海藻应给予特别注意。</w:t>
            </w:r>
          </w:p>
        </w:tc>
      </w:tr>
      <w:tr w:rsidR="00502148" w14:paraId="09C8D45D" w14:textId="77777777">
        <w:tc>
          <w:tcPr>
            <w:tcW w:w="744" w:type="dxa"/>
            <w:vAlign w:val="center"/>
          </w:tcPr>
          <w:p w14:paraId="474B6BE9"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理</w:t>
            </w:r>
          </w:p>
          <w:p w14:paraId="3377ADAD"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化</w:t>
            </w:r>
          </w:p>
          <w:p w14:paraId="114E8C22"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lastRenderedPageBreak/>
              <w:t>特</w:t>
            </w:r>
          </w:p>
          <w:p w14:paraId="0D62B65E" w14:textId="77777777" w:rsidR="00502148"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性</w:t>
            </w:r>
          </w:p>
        </w:tc>
        <w:tc>
          <w:tcPr>
            <w:tcW w:w="8575" w:type="dxa"/>
          </w:tcPr>
          <w:p w14:paraId="1EFAE89A"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lastRenderedPageBreak/>
              <w:t>稍有粘性的棕色液体。</w:t>
            </w:r>
          </w:p>
          <w:p w14:paraId="1ABA151E"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lastRenderedPageBreak/>
              <w:t>相对密度（水</w:t>
            </w:r>
            <w:r>
              <w:rPr>
                <w:rFonts w:ascii="Times New Roman" w:eastAsia="宋体" w:hAnsi="Times New Roman" w:cs="Times New Roman"/>
                <w:kern w:val="0"/>
                <w:sz w:val="21"/>
                <w:szCs w:val="22"/>
                <w14:ligatures w14:val="none"/>
              </w:rPr>
              <w:t>=1</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0.79</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0.85</w:t>
            </w:r>
            <w:r>
              <w:rPr>
                <w:rFonts w:ascii="Times New Roman" w:eastAsia="宋体" w:hAnsi="Times New Roman" w:cs="Times New Roman"/>
                <w:kern w:val="0"/>
                <w:sz w:val="21"/>
                <w:szCs w:val="22"/>
                <w14:ligatures w14:val="none"/>
              </w:rPr>
              <w:t>，闪点（闭口）（</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）：其中</w:t>
            </w:r>
            <w:r>
              <w:rPr>
                <w:rFonts w:ascii="Times New Roman" w:eastAsia="宋体" w:hAnsi="Times New Roman" w:cs="Times New Roman"/>
                <w:kern w:val="0"/>
                <w:sz w:val="21"/>
                <w:szCs w:val="22"/>
                <w14:ligatures w14:val="none"/>
              </w:rPr>
              <w:t>5</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0</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-10</w:t>
            </w:r>
            <w:r>
              <w:rPr>
                <w:rFonts w:ascii="Times New Roman" w:eastAsia="宋体" w:hAnsi="Times New Roman" w:cs="Times New Roman"/>
                <w:kern w:val="0"/>
                <w:sz w:val="21"/>
                <w:szCs w:val="22"/>
                <w14:ligatures w14:val="none"/>
              </w:rPr>
              <w:t>号柴油的闪点不低于</w:t>
            </w:r>
            <w:r>
              <w:rPr>
                <w:rFonts w:ascii="Times New Roman" w:eastAsia="宋体" w:hAnsi="Times New Roman" w:cs="Times New Roman"/>
                <w:kern w:val="0"/>
                <w:sz w:val="21"/>
                <w:szCs w:val="22"/>
                <w14:ligatures w14:val="none"/>
              </w:rPr>
              <w:t>60℃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-20</w:t>
            </w:r>
            <w:r>
              <w:rPr>
                <w:rFonts w:ascii="Times New Roman" w:eastAsia="宋体" w:hAnsi="Times New Roman" w:cs="Times New Roman"/>
                <w:kern w:val="0"/>
                <w:sz w:val="21"/>
                <w:szCs w:val="22"/>
                <w14:ligatures w14:val="none"/>
              </w:rPr>
              <w:t>号柴油闪点不低于</w:t>
            </w:r>
            <w:r>
              <w:rPr>
                <w:rFonts w:ascii="Times New Roman" w:eastAsia="宋体" w:hAnsi="Times New Roman" w:cs="Times New Roman"/>
                <w:kern w:val="0"/>
                <w:sz w:val="21"/>
                <w:szCs w:val="22"/>
                <w14:ligatures w14:val="none"/>
              </w:rPr>
              <w:t>50℃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-35</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-50</w:t>
            </w:r>
            <w:r>
              <w:rPr>
                <w:rFonts w:ascii="Times New Roman" w:eastAsia="宋体" w:hAnsi="Times New Roman" w:cs="Times New Roman"/>
                <w:kern w:val="0"/>
                <w:sz w:val="21"/>
                <w:szCs w:val="22"/>
                <w14:ligatures w14:val="none"/>
              </w:rPr>
              <w:t>号柴油的闪点不低于</w:t>
            </w:r>
            <w:r>
              <w:rPr>
                <w:rFonts w:ascii="Times New Roman" w:eastAsia="宋体" w:hAnsi="Times New Roman" w:cs="Times New Roman"/>
                <w:kern w:val="0"/>
                <w:sz w:val="21"/>
                <w:szCs w:val="22"/>
                <w14:ligatures w14:val="none"/>
              </w:rPr>
              <w:t>45℃</w:t>
            </w:r>
            <w:r>
              <w:rPr>
                <w:rFonts w:ascii="Times New Roman" w:eastAsia="宋体" w:hAnsi="Times New Roman" w:cs="Times New Roman"/>
                <w:kern w:val="0"/>
                <w:sz w:val="21"/>
                <w:szCs w:val="22"/>
                <w14:ligatures w14:val="none"/>
              </w:rPr>
              <w:t>，沸点</w:t>
            </w:r>
            <w:r>
              <w:rPr>
                <w:rFonts w:ascii="Times New Roman" w:eastAsia="宋体" w:hAnsi="Times New Roman" w:cs="Times New Roman"/>
                <w:kern w:val="0"/>
                <w:sz w:val="21"/>
                <w:szCs w:val="22"/>
                <w14:ligatures w14:val="none"/>
              </w:rPr>
              <w:t>282-338℃</w:t>
            </w:r>
            <w:r>
              <w:rPr>
                <w:rFonts w:ascii="Times New Roman" w:eastAsia="宋体" w:hAnsi="Times New Roman" w:cs="Times New Roman"/>
                <w:kern w:val="0"/>
                <w:sz w:val="21"/>
                <w:szCs w:val="22"/>
                <w14:ligatures w14:val="none"/>
              </w:rPr>
              <w:t>，引燃温度</w:t>
            </w:r>
            <w:r>
              <w:rPr>
                <w:rFonts w:ascii="Times New Roman" w:eastAsia="宋体" w:hAnsi="Times New Roman" w:cs="Times New Roman"/>
                <w:kern w:val="0"/>
                <w:sz w:val="21"/>
                <w:szCs w:val="22"/>
                <w14:ligatures w14:val="none"/>
              </w:rPr>
              <w:t>257℃</w:t>
            </w:r>
            <w:r>
              <w:rPr>
                <w:rFonts w:ascii="Times New Roman" w:eastAsia="宋体" w:hAnsi="Times New Roman" w:cs="Times New Roman"/>
                <w:kern w:val="0"/>
                <w:sz w:val="21"/>
                <w:szCs w:val="22"/>
                <w14:ligatures w14:val="none"/>
              </w:rPr>
              <w:t>。</w:t>
            </w:r>
          </w:p>
          <w:p w14:paraId="6FC8EA13" w14:textId="77777777" w:rsidR="00502148"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主要用途：柴油主要用作柴油机的燃料。</w:t>
            </w:r>
          </w:p>
        </w:tc>
      </w:tr>
      <w:tr w:rsidR="00502148" w14:paraId="75C95BDE" w14:textId="77777777">
        <w:tc>
          <w:tcPr>
            <w:tcW w:w="744" w:type="dxa"/>
            <w:vAlign w:val="center"/>
          </w:tcPr>
          <w:p w14:paraId="7887B831"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lastRenderedPageBreak/>
              <w:t>危</w:t>
            </w:r>
          </w:p>
          <w:p w14:paraId="09B229CA"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害</w:t>
            </w:r>
          </w:p>
          <w:p w14:paraId="12F9D2C6"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信</w:t>
            </w:r>
          </w:p>
          <w:p w14:paraId="1517A5BD" w14:textId="77777777" w:rsidR="00502148"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息</w:t>
            </w:r>
          </w:p>
        </w:tc>
        <w:tc>
          <w:tcPr>
            <w:tcW w:w="8575" w:type="dxa"/>
          </w:tcPr>
          <w:p w14:paraId="473DF2CA" w14:textId="77777777" w:rsidR="00502148"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【燃烧和爆炸危险性】</w:t>
            </w:r>
          </w:p>
          <w:p w14:paraId="2E9812E4" w14:textId="77777777" w:rsidR="00502148" w:rsidRDefault="00000000">
            <w:pPr>
              <w:widowControl/>
              <w:spacing w:line="240" w:lineRule="auto"/>
              <w:ind w:firstLineChars="0" w:firstLine="0"/>
              <w:rPr>
                <w:rFonts w:ascii="Times New Roman" w:eastAsia="宋体" w:hAnsi="Times New Roman" w:cs="Times New Roman"/>
                <w:kern w:val="0"/>
                <w:sz w:val="21"/>
                <w:szCs w:val="22"/>
                <w14:ligatures w14:val="none"/>
              </w:rPr>
            </w:pPr>
            <w:r>
              <w:rPr>
                <w:rFonts w:ascii="Times New Roman" w:eastAsia="宋体" w:hAnsi="Times New Roman" w:cs="Times New Roman"/>
                <w:kern w:val="0"/>
                <w:sz w:val="21"/>
                <w:szCs w:val="22"/>
                <w14:ligatures w14:val="none"/>
              </w:rPr>
              <w:t>本品易燃，具刺激性。遇明火、高热或与氧化剂接触，有引起燃烧爆炸的危险。若遇高热，容器内压增大，有开裂和爆炸的危险。</w:t>
            </w:r>
          </w:p>
          <w:p w14:paraId="1B1970B3" w14:textId="77777777" w:rsidR="00502148"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【健康危害】</w:t>
            </w:r>
          </w:p>
          <w:p w14:paraId="3A053B86" w14:textId="77777777" w:rsidR="00502148" w:rsidRDefault="00000000">
            <w:pPr>
              <w:widowControl/>
              <w:spacing w:line="240" w:lineRule="auto"/>
              <w:ind w:firstLineChars="0" w:firstLine="0"/>
              <w:rPr>
                <w:rFonts w:ascii="Times New Roman" w:eastAsia="宋体" w:hAnsi="Times New Roman" w:cs="Times New Roman"/>
                <w:sz w:val="21"/>
                <w:szCs w:val="20"/>
                <w14:ligatures w14:val="none"/>
              </w:rPr>
            </w:pPr>
            <w:r>
              <w:rPr>
                <w:rFonts w:ascii="Times New Roman" w:eastAsia="宋体" w:hAnsi="Times New Roman" w:cs="Times New Roman"/>
                <w:kern w:val="0"/>
                <w:sz w:val="21"/>
                <w:szCs w:val="22"/>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rsidR="00502148" w14:paraId="782C3B86" w14:textId="77777777">
        <w:tc>
          <w:tcPr>
            <w:tcW w:w="744" w:type="dxa"/>
            <w:vAlign w:val="center"/>
          </w:tcPr>
          <w:p w14:paraId="48D64BD5"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安</w:t>
            </w:r>
          </w:p>
          <w:p w14:paraId="602811B4"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全</w:t>
            </w:r>
          </w:p>
          <w:p w14:paraId="7C3C12BC"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措</w:t>
            </w:r>
          </w:p>
          <w:p w14:paraId="27A7A92A" w14:textId="77777777" w:rsidR="00502148"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施</w:t>
            </w:r>
          </w:p>
        </w:tc>
        <w:tc>
          <w:tcPr>
            <w:tcW w:w="8575" w:type="dxa"/>
          </w:tcPr>
          <w:p w14:paraId="66117544" w14:textId="77777777" w:rsidR="00502148"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【一般要求】</w:t>
            </w:r>
          </w:p>
          <w:p w14:paraId="46CC96B5" w14:textId="77777777" w:rsidR="00502148"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szCs w:val="22"/>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1BE71E6" w14:textId="77777777" w:rsidR="00502148" w:rsidRDefault="00000000">
            <w:pPr>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【储存安全】</w:t>
            </w:r>
          </w:p>
          <w:p w14:paraId="72245DB7" w14:textId="77777777" w:rsidR="00502148"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rsidR="00502148" w14:paraId="481D800B" w14:textId="77777777">
        <w:tc>
          <w:tcPr>
            <w:tcW w:w="744" w:type="dxa"/>
            <w:vAlign w:val="center"/>
          </w:tcPr>
          <w:p w14:paraId="53F4823C"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应</w:t>
            </w:r>
          </w:p>
          <w:p w14:paraId="663509B1"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急</w:t>
            </w:r>
          </w:p>
          <w:p w14:paraId="1BC1B999"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处</w:t>
            </w:r>
          </w:p>
          <w:p w14:paraId="71F9E471"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置</w:t>
            </w:r>
          </w:p>
          <w:p w14:paraId="1ABDB64B" w14:textId="77777777" w:rsidR="00502148"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原</w:t>
            </w:r>
          </w:p>
          <w:p w14:paraId="7B071CCE" w14:textId="77777777" w:rsidR="00502148"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则</w:t>
            </w:r>
          </w:p>
        </w:tc>
        <w:tc>
          <w:tcPr>
            <w:tcW w:w="8575" w:type="dxa"/>
          </w:tcPr>
          <w:p w14:paraId="5AE90890" w14:textId="77777777" w:rsidR="00502148"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【急救措施】</w:t>
            </w:r>
          </w:p>
          <w:p w14:paraId="38FA74B9"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吸入：迅速脱离现场至空气新鲜处。保持呼吸道通畅。如呼吸困难，给输氧。如呼吸停止，立即进行人工呼吸。就医。</w:t>
            </w:r>
          </w:p>
          <w:p w14:paraId="7B5CB312"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食入：尽快彻底洗胃。就医。</w:t>
            </w:r>
          </w:p>
          <w:p w14:paraId="2E4EBFE3"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皮肤接触：立即脱去污染的衣着，用肥皂水和清水彻底冲洗皮肤。就医。</w:t>
            </w:r>
          </w:p>
          <w:p w14:paraId="1E24352B"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眼睛接触：提起眼睑，用流动清水或生理盐水冲洗。就医。</w:t>
            </w:r>
          </w:p>
          <w:p w14:paraId="6E1873F5" w14:textId="77777777" w:rsidR="00502148"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【灭火方法】</w:t>
            </w:r>
          </w:p>
          <w:p w14:paraId="3B2566D4"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24E6B15A" w14:textId="77777777" w:rsidR="00502148"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灭火剂：雾状水、泡沫、干粉、二氧化碳、砂土。</w:t>
            </w:r>
          </w:p>
          <w:p w14:paraId="412E9779" w14:textId="77777777" w:rsidR="00502148"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【泄漏应急处置】</w:t>
            </w:r>
          </w:p>
          <w:p w14:paraId="3375C544" w14:textId="77777777" w:rsidR="00502148" w:rsidRDefault="00000000">
            <w:pPr>
              <w:widowControl/>
              <w:spacing w:line="240" w:lineRule="auto"/>
              <w:ind w:firstLineChars="0" w:firstLine="0"/>
              <w:rPr>
                <w:rFonts w:ascii="Times New Roman" w:eastAsia="宋体" w:hAnsi="Times New Roman" w:cs="Times New Roman"/>
                <w:sz w:val="21"/>
                <w:szCs w:val="20"/>
                <w14:ligatures w14:val="none"/>
              </w:rPr>
            </w:pPr>
            <w:r>
              <w:rPr>
                <w:rFonts w:ascii="Times New Roman" w:eastAsia="宋体" w:hAnsi="Times New Roman" w:cs="Times New Roman"/>
                <w:kern w:val="0"/>
                <w:sz w:val="21"/>
                <w:szCs w:val="22"/>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2EC604A2"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2" w:name="_Toc31053"/>
      <w:r>
        <w:rPr>
          <w:rFonts w:ascii="Times New Roman" w:eastAsia="楷体" w:hAnsi="Times New Roman" w:cs="Times New Roman"/>
          <w:b/>
          <w:bCs/>
          <w:sz w:val="32"/>
          <w:szCs w:val="32"/>
        </w:rPr>
        <w:t>F3.2</w:t>
      </w:r>
      <w:r>
        <w:rPr>
          <w:rFonts w:ascii="Times New Roman" w:eastAsia="楷体" w:hAnsi="Times New Roman" w:cs="Times New Roman"/>
          <w:b/>
          <w:bCs/>
          <w:sz w:val="32"/>
          <w:szCs w:val="32"/>
        </w:rPr>
        <w:t>火灾、爆炸、中毒和窒息事故分析</w:t>
      </w:r>
      <w:bookmarkEnd w:id="112"/>
    </w:p>
    <w:p w14:paraId="7DAC7E22"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.2.1</w:t>
      </w:r>
      <w:r>
        <w:rPr>
          <w:rFonts w:ascii="Times New Roman" w:eastAsia="黑体" w:hAnsi="Times New Roman" w:cs="Times New Roman"/>
          <w:b/>
          <w:bCs/>
        </w:rPr>
        <w:t>火灾、爆炸</w:t>
      </w:r>
    </w:p>
    <w:p w14:paraId="5D6FE2E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）油品的装卸</w:t>
      </w:r>
    </w:p>
    <w:p w14:paraId="286077D5" w14:textId="77777777" w:rsidR="00502148" w:rsidRDefault="00000000">
      <w:pPr>
        <w:ind w:firstLine="560"/>
        <w:rPr>
          <w:rFonts w:ascii="Times New Roman" w:eastAsia="宋体" w:hAnsi="Times New Roman"/>
        </w:rPr>
      </w:pPr>
      <w:r>
        <w:rPr>
          <w:rFonts w:ascii="Times New Roman" w:eastAsia="宋体" w:hAnsi="Times New Roman"/>
        </w:rPr>
        <w:t>如果装卸油品过程中因设备泄漏跑油、罐装过满冒油或卸油时逸散油气，</w:t>
      </w:r>
      <w:r>
        <w:rPr>
          <w:rFonts w:ascii="Times New Roman" w:eastAsia="宋体" w:hAnsi="Times New Roman"/>
        </w:rPr>
        <w:lastRenderedPageBreak/>
        <w:t>遇明火、机械火星、静电火花、雷电、烟囱飞火等点火源，有导致火灾爆炸的危险。</w:t>
      </w:r>
    </w:p>
    <w:p w14:paraId="17E1FDE6" w14:textId="77777777" w:rsidR="00502148" w:rsidRDefault="00000000">
      <w:pPr>
        <w:ind w:firstLine="560"/>
        <w:rPr>
          <w:rFonts w:ascii="Times New Roman" w:eastAsia="宋体" w:hAnsi="Times New Roman"/>
        </w:rPr>
      </w:pPr>
      <w:r>
        <w:rPr>
          <w:rFonts w:ascii="Times New Roman" w:eastAsia="宋体" w:hAnsi="Times New Roman"/>
        </w:rPr>
        <w:t>在接卸油品或加油的作业中，汽车油罐车不熄火、静电接地不良、卸油时连通软管静电传导性能差；雷雨天往油罐卸油或往汽车油箱加油速度过快；加油操作失误；密闭卸油接口处漏油；卸油时对液位监测不力，造成油罐漫溢；对明火源管理不严等，都会导致火灾爆炸、设备损坏或人身伤亡事故。</w:t>
      </w:r>
    </w:p>
    <w:p w14:paraId="53D61A06"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）埋地储罐</w:t>
      </w:r>
    </w:p>
    <w:p w14:paraId="57B13E3B" w14:textId="77777777" w:rsidR="00502148" w:rsidRDefault="00000000">
      <w:pPr>
        <w:ind w:firstLine="560"/>
        <w:rPr>
          <w:rFonts w:ascii="Times New Roman" w:eastAsia="宋体" w:hAnsi="Times New Roman"/>
        </w:rPr>
      </w:pPr>
      <w:r>
        <w:rPr>
          <w:rFonts w:ascii="Times New Roman" w:eastAsia="宋体" w:hAnsi="Times New Roman"/>
        </w:rPr>
        <w:t>加油站的卧式油罐埋地设置是比较安全的。从国内外的有关调查资料统计来看，油罐埋地设置，火灾发生机率较低，即使油罐发生着火，也容易扑救。但也存在一定的火灾、爆炸事故可能，如地面水进入地下油罐，使油品溢出；油罐管线腐蚀穿孔或外力，如抗浮措施不当、机械损害等造成管线断裂而发生漏油、跑油；埋地油罐注油过量溢出；输油管未插入油面以下或接近罐的底部，导致卸油时油品喷溅，与空气摩擦发生火灾爆炸；卸油时油气外逸明火引爆；油罐、卸油接管等处接地不良，通气管遇雷击或静电闪火均会引起燃爆事故的发生；在油罐区附近违规实施动火作业及汽车修理作业等。</w:t>
      </w:r>
    </w:p>
    <w:p w14:paraId="45AD4668"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）加油场地</w:t>
      </w:r>
    </w:p>
    <w:p w14:paraId="2372EFFB" w14:textId="77777777" w:rsidR="00502148" w:rsidRDefault="00000000">
      <w:pPr>
        <w:ind w:firstLine="560"/>
        <w:rPr>
          <w:rFonts w:ascii="Times New Roman" w:eastAsia="宋体" w:hAnsi="Times New Roman"/>
        </w:rPr>
      </w:pPr>
      <w:r>
        <w:rPr>
          <w:rFonts w:ascii="Times New Roman" w:eastAsia="宋体" w:hAnsi="Times New Roman"/>
        </w:rPr>
        <w:t>加油场地是安装有不同种类加油机专为各种机动车辆加油的作业区域。由于人员、车辆流动频繁，不安全因素较多，是加油站事故多发高发的危险场所。譬如：未熄火加油、油箱漏油、加油过满溢出、加油机漏油、电气故障，加油作业过程中因修车或机械碰撞产生火花等原因，均容易引发火灾爆炸事故。未在指定地点给摩托车加油、违章用油枪往塑料桶（瓶）注汽、柴油等，也可能会引发爆炸与火灾事故的发生。此外，加油场地也可能因外来加油车辆违章驾驶、路面沉积油污、路面积雪积冰，以及加油岛照明不好等原因造成车辆及人员伤害或燃爆事故等。</w:t>
      </w:r>
    </w:p>
    <w:p w14:paraId="0B6D2EC1"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）站房</w:t>
      </w:r>
    </w:p>
    <w:p w14:paraId="76A748EC" w14:textId="77777777" w:rsidR="00502148" w:rsidRDefault="00000000">
      <w:pPr>
        <w:ind w:firstLine="560"/>
        <w:rPr>
          <w:rFonts w:ascii="Times New Roman" w:eastAsia="宋体" w:hAnsi="Times New Roman"/>
        </w:rPr>
      </w:pPr>
      <w:r>
        <w:rPr>
          <w:rFonts w:ascii="Times New Roman" w:eastAsia="宋体" w:hAnsi="Times New Roman"/>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AA5896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5</w:t>
      </w:r>
      <w:r>
        <w:rPr>
          <w:rFonts w:ascii="Times New Roman" w:eastAsia="宋体" w:hAnsi="Times New Roman"/>
        </w:rPr>
        <w:t>）其他</w:t>
      </w:r>
    </w:p>
    <w:p w14:paraId="0B9453FD" w14:textId="77777777" w:rsidR="00502148" w:rsidRDefault="00000000">
      <w:pPr>
        <w:ind w:firstLine="560"/>
        <w:rPr>
          <w:rFonts w:ascii="Times New Roman" w:eastAsia="宋体" w:hAnsi="Times New Roman"/>
        </w:rPr>
      </w:pPr>
      <w:r>
        <w:rPr>
          <w:rFonts w:ascii="Times New Roman" w:eastAsia="宋体" w:hAnsi="Times New Roman"/>
        </w:rPr>
        <w:t>站内配电线路老化、乱接、超负荷过载、配电间进入小动物啃食电线等可能会引起电气火灾，导致加油站发生火灾、爆炸、设备损坏等事故。</w:t>
      </w:r>
    </w:p>
    <w:p w14:paraId="5466CD27"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6</w:t>
      </w:r>
      <w:r>
        <w:rPr>
          <w:rFonts w:ascii="Times New Roman" w:eastAsia="宋体" w:hAnsi="Times New Roman"/>
        </w:rPr>
        <w:t>）检维修</w:t>
      </w:r>
    </w:p>
    <w:p w14:paraId="06D92C82" w14:textId="77777777" w:rsidR="00502148"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在加油作业区修理加油机是加油站火灾隐患之一，因为在加油机的拆卸过程中难免会洒出一些油品，修理过程中使用工具对零部件进行敲打，容易引起火花，遇到混合性爆炸气体，容易引起火灾爆炸事故。</w:t>
      </w:r>
    </w:p>
    <w:p w14:paraId="548D3AD0" w14:textId="77777777" w:rsidR="00502148" w:rsidRDefault="00000000">
      <w:pPr>
        <w:ind w:firstLine="560"/>
        <w:rPr>
          <w:rFonts w:ascii="Times New Roman" w:eastAsia="宋体" w:hAnsi="Times New Roman"/>
        </w:rPr>
      </w:pPr>
      <w:r>
        <w:rPr>
          <w:rFonts w:ascii="宋体" w:eastAsia="宋体" w:hAnsi="宋体" w:cs="宋体" w:hint="eastAsia"/>
        </w:rPr>
        <w:t>②</w:t>
      </w:r>
      <w:r>
        <w:rPr>
          <w:rFonts w:ascii="Times New Roman" w:eastAsia="宋体" w:hAnsi="Times New Roman"/>
        </w:rPr>
        <w:t>在卸油作业的防爆区域内作业时，使用工具敲打容易产生火花或有其他明火，可引起爆炸事故。</w:t>
      </w:r>
    </w:p>
    <w:p w14:paraId="49161142" w14:textId="77777777" w:rsidR="00502148" w:rsidRDefault="00000000">
      <w:pPr>
        <w:ind w:firstLine="560"/>
        <w:rPr>
          <w:rFonts w:ascii="Times New Roman" w:eastAsia="宋体" w:hAnsi="Times New Roman"/>
        </w:rPr>
      </w:pPr>
      <w:r>
        <w:rPr>
          <w:rFonts w:ascii="宋体" w:eastAsia="宋体" w:hAnsi="宋体" w:cs="宋体" w:hint="eastAsia"/>
        </w:rPr>
        <w:t>③</w:t>
      </w:r>
      <w:r>
        <w:rPr>
          <w:rFonts w:ascii="Times New Roman" w:eastAsia="宋体" w:hAnsi="Times New Roman"/>
        </w:rPr>
        <w:t>在储罐区检修管道、油罐时，如没按要求进行置换、清洗、检测油品蒸汽，违章动火极易发生火灾爆炸事故。</w:t>
      </w:r>
    </w:p>
    <w:p w14:paraId="6EA0E6B1" w14:textId="77777777" w:rsidR="00502148" w:rsidRDefault="00000000">
      <w:pPr>
        <w:ind w:firstLine="560"/>
        <w:rPr>
          <w:rFonts w:ascii="Times New Roman" w:eastAsia="宋体" w:hAnsi="Times New Roman"/>
        </w:rPr>
      </w:pPr>
      <w:r>
        <w:rPr>
          <w:rFonts w:ascii="宋体" w:eastAsia="宋体" w:hAnsi="宋体" w:cs="宋体" w:hint="eastAsia"/>
        </w:rPr>
        <w:t>④</w:t>
      </w:r>
      <w:r>
        <w:rPr>
          <w:rFonts w:ascii="Times New Roman" w:eastAsia="宋体" w:hAnsi="Times New Roman"/>
        </w:rPr>
        <w:t>违反动火作业制度，作业前未按规定进行风险辨识等开动火或临电票据，或在电气设施及罐区等存在电火火灾危害及爆炸危险区域范围内进行动火作业及临时用电作业，容易产生火灾爆炸事故。</w:t>
      </w:r>
    </w:p>
    <w:p w14:paraId="2DBF0CB6" w14:textId="77777777" w:rsidR="00502148" w:rsidRDefault="00000000">
      <w:pPr>
        <w:ind w:firstLine="560"/>
        <w:rPr>
          <w:rFonts w:ascii="Times New Roman" w:eastAsia="宋体" w:hAnsi="Times New Roman"/>
        </w:rPr>
      </w:pPr>
      <w:r>
        <w:rPr>
          <w:rFonts w:ascii="宋体" w:eastAsia="宋体" w:hAnsi="宋体" w:cs="宋体" w:hint="eastAsia"/>
        </w:rPr>
        <w:t>⑤</w:t>
      </w:r>
      <w:r>
        <w:rPr>
          <w:rFonts w:ascii="Times New Roman" w:eastAsia="宋体" w:hAnsi="Times New Roman"/>
        </w:rPr>
        <w:t>进行清罐作业时，穿戴化纤服装、使用化纤物品、气液或液固摩擦产生静电火花、不规范使用电器设备引起电火花、穿带铁钉的鞋、用铁制工具作业引起装机火花、通风不良至油气浓度在爆炸极限内都易引起火灾爆炸事故。</w:t>
      </w:r>
    </w:p>
    <w:p w14:paraId="15577810"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.2.2</w:t>
      </w:r>
      <w:r>
        <w:rPr>
          <w:rFonts w:ascii="Times New Roman" w:eastAsia="黑体" w:hAnsi="Times New Roman" w:cs="Times New Roman"/>
          <w:b/>
          <w:bCs/>
        </w:rPr>
        <w:t>中毒和窒息</w:t>
      </w:r>
    </w:p>
    <w:p w14:paraId="57A5BE66" w14:textId="77777777" w:rsidR="00502148" w:rsidRDefault="00000000">
      <w:pPr>
        <w:ind w:firstLine="560"/>
        <w:rPr>
          <w:rFonts w:ascii="Times New Roman" w:eastAsia="宋体" w:hAnsi="Times New Roman"/>
        </w:rPr>
      </w:pPr>
      <w:r>
        <w:rPr>
          <w:rFonts w:ascii="Times New Roman" w:eastAsia="宋体" w:hAnsi="Times New Roman"/>
        </w:rPr>
        <w:t>车用乙醇汽油、柴油均有一定的毒性，且毒性物质在密闭管道内运行。正常作业情况下，作业场所的毒性物质污染较少，但有部分工序还需手工操</w:t>
      </w:r>
      <w:r>
        <w:rPr>
          <w:rFonts w:ascii="Times New Roman" w:eastAsia="宋体" w:hAnsi="Times New Roman"/>
        </w:rPr>
        <w:lastRenderedPageBreak/>
        <w:t>作完成（如：连接装卸管线等）及各种原因引起的跑、冒、漏气等现象，可使作业场所受到一定的污染。</w:t>
      </w:r>
    </w:p>
    <w:p w14:paraId="0C863EED" w14:textId="77777777" w:rsidR="00502148" w:rsidRDefault="00000000">
      <w:pPr>
        <w:ind w:firstLine="560"/>
        <w:rPr>
          <w:rFonts w:ascii="Times New Roman" w:eastAsia="宋体" w:hAnsi="Times New Roman"/>
        </w:rPr>
      </w:pPr>
      <w:r>
        <w:rPr>
          <w:rFonts w:ascii="Times New Roman" w:eastAsia="宋体" w:hAnsi="Times New Roman"/>
        </w:rPr>
        <w:t>在清理、维修储罐作业时，操作人员处于受限空间，罐内油气浓度较高或罐体内残留油品会使进罐作业人员存在缺氧发生油品中毒和窒息。</w:t>
      </w:r>
    </w:p>
    <w:p w14:paraId="1528C4D8" w14:textId="77777777" w:rsidR="00502148" w:rsidRDefault="00000000">
      <w:pPr>
        <w:ind w:firstLine="560"/>
        <w:rPr>
          <w:rFonts w:ascii="Times New Roman" w:eastAsia="宋体" w:hAnsi="Times New Roman"/>
        </w:rPr>
      </w:pPr>
      <w:r>
        <w:rPr>
          <w:rFonts w:ascii="Times New Roman" w:eastAsia="宋体" w:hAnsi="Times New Roman"/>
        </w:rPr>
        <w:t>若不慎发生火灾事故，引发汽油、柴油燃烧会产生</w:t>
      </w:r>
      <w:r>
        <w:rPr>
          <w:rFonts w:ascii="Times New Roman" w:eastAsia="宋体" w:hAnsi="Times New Roman"/>
        </w:rPr>
        <w:t>CO</w:t>
      </w:r>
      <w:r>
        <w:rPr>
          <w:rFonts w:ascii="Times New Roman" w:eastAsia="宋体" w:hAnsi="Times New Roman"/>
        </w:rPr>
        <w:t>、</w:t>
      </w:r>
      <w:r>
        <w:rPr>
          <w:rFonts w:ascii="Times New Roman" w:eastAsia="宋体" w:hAnsi="Times New Roman"/>
        </w:rPr>
        <w:t>CO</w:t>
      </w:r>
      <w:r>
        <w:rPr>
          <w:rFonts w:ascii="Times New Roman" w:eastAsia="宋体" w:hAnsi="Times New Roman"/>
          <w:vertAlign w:val="subscript"/>
        </w:rPr>
        <w:t>2</w:t>
      </w:r>
      <w:r>
        <w:rPr>
          <w:rFonts w:ascii="Times New Roman" w:eastAsia="宋体" w:hAnsi="Times New Roman"/>
        </w:rPr>
        <w:t>有毒气体，造成人员中毒窒息。</w:t>
      </w:r>
    </w:p>
    <w:p w14:paraId="58145587"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3" w:name="_Toc27949"/>
      <w:r>
        <w:rPr>
          <w:rFonts w:ascii="Times New Roman" w:eastAsia="楷体" w:hAnsi="Times New Roman" w:cs="Times New Roman"/>
          <w:b/>
          <w:bCs/>
          <w:sz w:val="32"/>
          <w:szCs w:val="32"/>
        </w:rPr>
        <w:t>F3.3</w:t>
      </w:r>
      <w:r>
        <w:rPr>
          <w:rFonts w:ascii="Times New Roman" w:eastAsia="楷体" w:hAnsi="Times New Roman" w:cs="Times New Roman"/>
          <w:b/>
          <w:bCs/>
          <w:sz w:val="32"/>
          <w:szCs w:val="32"/>
        </w:rPr>
        <w:t>可能造成作业人员伤亡的其它危险、有害因素分析</w:t>
      </w:r>
      <w:bookmarkEnd w:id="113"/>
    </w:p>
    <w:p w14:paraId="1F220BB0"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w:t>
      </w:r>
      <w:r>
        <w:rPr>
          <w:rFonts w:ascii="Times New Roman" w:eastAsia="黑体" w:hAnsi="Times New Roman" w:cs="Times New Roman" w:hint="eastAsia"/>
          <w:b/>
          <w:bCs/>
        </w:rPr>
        <w:t>3</w:t>
      </w:r>
      <w:r>
        <w:rPr>
          <w:rFonts w:ascii="Times New Roman" w:eastAsia="黑体" w:hAnsi="Times New Roman" w:cs="Times New Roman"/>
          <w:b/>
          <w:bCs/>
        </w:rPr>
        <w:t>.</w:t>
      </w:r>
      <w:r>
        <w:rPr>
          <w:rFonts w:ascii="Times New Roman" w:eastAsia="黑体" w:hAnsi="Times New Roman" w:cs="Times New Roman" w:hint="eastAsia"/>
          <w:b/>
          <w:bCs/>
        </w:rPr>
        <w:t>1</w:t>
      </w:r>
      <w:r>
        <w:rPr>
          <w:rFonts w:ascii="Times New Roman" w:eastAsia="黑体" w:hAnsi="Times New Roman" w:cs="Times New Roman"/>
          <w:b/>
          <w:bCs/>
        </w:rPr>
        <w:t>触电</w:t>
      </w:r>
    </w:p>
    <w:p w14:paraId="78272B23"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）触电伤害</w:t>
      </w:r>
    </w:p>
    <w:p w14:paraId="11AED381" w14:textId="77777777" w:rsidR="00502148" w:rsidRDefault="00000000">
      <w:pPr>
        <w:ind w:firstLine="560"/>
        <w:rPr>
          <w:rFonts w:ascii="Times New Roman" w:eastAsia="宋体" w:hAnsi="Times New Roman"/>
        </w:rPr>
      </w:pPr>
      <w:r>
        <w:rPr>
          <w:rFonts w:ascii="Times New Roman" w:eastAsia="宋体" w:hAnsi="Times New Roman"/>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烙伤和皮肤金属化三种。</w:t>
      </w:r>
    </w:p>
    <w:p w14:paraId="7AF4C404" w14:textId="77777777" w:rsidR="00502148" w:rsidRDefault="00000000">
      <w:pPr>
        <w:ind w:firstLine="560"/>
        <w:rPr>
          <w:rFonts w:ascii="Times New Roman" w:eastAsia="宋体" w:hAnsi="Times New Roman"/>
        </w:rPr>
      </w:pPr>
      <w:r>
        <w:rPr>
          <w:rFonts w:ascii="Times New Roman" w:eastAsia="宋体" w:hAnsi="Times New Roman"/>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1B10CA96" w14:textId="77777777" w:rsidR="00502148" w:rsidRDefault="00000000">
      <w:pPr>
        <w:ind w:firstLine="560"/>
        <w:rPr>
          <w:rFonts w:ascii="Times New Roman" w:eastAsia="宋体" w:hAnsi="Times New Roman"/>
        </w:rPr>
      </w:pPr>
      <w:r>
        <w:rPr>
          <w:rFonts w:ascii="Times New Roman" w:eastAsia="宋体" w:hAnsi="Times New Roman"/>
        </w:rPr>
        <w:t>该项目用电系统的电气设备、线路和正常不带电的金属部件等，在异常情况下均有可能对人体造成电击和电伤。</w:t>
      </w:r>
    </w:p>
    <w:p w14:paraId="6E389D27" w14:textId="77777777" w:rsidR="00502148"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）静电伤害</w:t>
      </w:r>
    </w:p>
    <w:p w14:paraId="0CF1D802" w14:textId="77777777" w:rsidR="00502148" w:rsidRDefault="00000000">
      <w:pPr>
        <w:ind w:firstLine="560"/>
        <w:rPr>
          <w:rFonts w:ascii="Times New Roman" w:eastAsia="宋体" w:hAnsi="Times New Roman"/>
        </w:rPr>
      </w:pPr>
      <w:r>
        <w:rPr>
          <w:rFonts w:ascii="Times New Roman" w:eastAsia="宋体" w:hAnsi="Times New Roman"/>
        </w:rPr>
        <w:t>汽</w:t>
      </w:r>
      <w:r>
        <w:rPr>
          <w:rFonts w:ascii="Times New Roman" w:eastAsia="宋体" w:hAnsi="Times New Roman" w:hint="eastAsia"/>
        </w:rPr>
        <w:t>、</w:t>
      </w:r>
      <w:r>
        <w:rPr>
          <w:rFonts w:ascii="Times New Roman" w:eastAsia="宋体" w:hAnsi="Times New Roman"/>
        </w:rPr>
        <w:t>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34F87B80" w14:textId="77777777" w:rsidR="00502148"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hint="eastAsia"/>
        </w:rPr>
        <w:t>3</w:t>
      </w:r>
      <w:r>
        <w:rPr>
          <w:rFonts w:ascii="Times New Roman" w:eastAsia="宋体" w:hAnsi="Times New Roman"/>
        </w:rPr>
        <w:t>）雷电伤害</w:t>
      </w:r>
    </w:p>
    <w:p w14:paraId="3BA6AEDF" w14:textId="77777777" w:rsidR="00502148" w:rsidRDefault="00000000">
      <w:pPr>
        <w:ind w:firstLine="560"/>
        <w:rPr>
          <w:rFonts w:ascii="Times New Roman" w:eastAsia="宋体" w:hAnsi="Times New Roman"/>
        </w:rPr>
      </w:pPr>
      <w:r>
        <w:rPr>
          <w:rFonts w:ascii="Times New Roman" w:eastAsia="宋体" w:hAnsi="Times New Roman"/>
        </w:rPr>
        <w:t>加油站工艺设施、罩棚、站房等建（构）筑物在雷雨天气存在着被雷击的危险。由于雷电具有电流很大、电压很高、冲击性很强的特点，一旦被雷电击中，不但有可能损坏生产设备和设施，造成停电，而且还会导致火灾和爆炸，造成人员伤亡事故。</w:t>
      </w:r>
    </w:p>
    <w:p w14:paraId="048F84E5" w14:textId="77777777" w:rsidR="00502148" w:rsidRDefault="00000000">
      <w:pPr>
        <w:ind w:firstLine="560"/>
        <w:rPr>
          <w:rFonts w:ascii="Times New Roman" w:eastAsia="宋体" w:hAnsi="Times New Roman"/>
        </w:rPr>
      </w:pPr>
      <w:r>
        <w:rPr>
          <w:rFonts w:ascii="Times New Roman" w:eastAsia="宋体" w:hAnsi="Times New Roman"/>
        </w:rPr>
        <w:t>雷电伤害的方式：直接雷击放电、二次放电、雷电流的热量可能引起爆炸和火灾；雷击的直接击中、跨步电压的作用及火灾爆炸的间接作用会造成人员伤亡；直接损坏建（构）筑物，导致电气设备击穿或烧毁；变压器、电力线路等遭受雷击，可导致大规模停电事故。</w:t>
      </w:r>
    </w:p>
    <w:p w14:paraId="10E9FD8A" w14:textId="77777777" w:rsidR="00502148" w:rsidRDefault="00000000">
      <w:pPr>
        <w:ind w:firstLine="560"/>
        <w:rPr>
          <w:rFonts w:ascii="Times New Roman" w:eastAsia="宋体" w:hAnsi="Times New Roman"/>
        </w:rPr>
      </w:pPr>
      <w:r>
        <w:rPr>
          <w:rFonts w:ascii="Times New Roman" w:eastAsia="宋体" w:hAnsi="Times New Roman"/>
        </w:rPr>
        <w:t>伤害的途径：由直击雷、雷蜗居感应、雷电波的电性质、热性质、机械性质的破坏作用引起。</w:t>
      </w:r>
    </w:p>
    <w:p w14:paraId="7BB06162" w14:textId="77777777" w:rsidR="00502148" w:rsidRDefault="00000000">
      <w:pPr>
        <w:ind w:firstLine="560"/>
        <w:rPr>
          <w:rFonts w:ascii="Times New Roman" w:eastAsia="宋体" w:hAnsi="Times New Roman"/>
        </w:rPr>
      </w:pPr>
      <w:r>
        <w:rPr>
          <w:rFonts w:ascii="Times New Roman" w:eastAsia="宋体" w:hAnsi="Times New Roman"/>
        </w:rPr>
        <w:t>从雷电防护的角度分析，雷电危险因素的产生原因主要有：</w:t>
      </w:r>
    </w:p>
    <w:p w14:paraId="3894ED08" w14:textId="77777777" w:rsidR="00502148" w:rsidRDefault="00000000">
      <w:pPr>
        <w:ind w:firstLine="560"/>
        <w:rPr>
          <w:rFonts w:ascii="Times New Roman" w:eastAsia="宋体" w:hAnsi="Times New Roman" w:cs="Times New Roman"/>
        </w:rPr>
      </w:pPr>
      <w:r>
        <w:rPr>
          <w:rFonts w:ascii="Times New Roman" w:eastAsia="宋体" w:hAnsi="Times New Roman" w:cs="Times New Roman"/>
        </w:rPr>
        <w:t>1</w:t>
      </w:r>
      <w:r>
        <w:rPr>
          <w:rFonts w:ascii="Times New Roman" w:eastAsia="宋体" w:hAnsi="Times New Roman" w:cs="Times New Roman"/>
        </w:rPr>
        <w:t>）防雷装置设计不合理；</w:t>
      </w:r>
    </w:p>
    <w:p w14:paraId="44560C45" w14:textId="77777777" w:rsidR="00502148" w:rsidRDefault="00000000">
      <w:pPr>
        <w:ind w:firstLine="560"/>
        <w:rPr>
          <w:rFonts w:ascii="Times New Roman" w:eastAsia="宋体" w:hAnsi="Times New Roman" w:cs="Times New Roman"/>
        </w:rPr>
      </w:pPr>
      <w:r>
        <w:rPr>
          <w:rFonts w:ascii="Times New Roman" w:eastAsia="宋体" w:hAnsi="Times New Roman" w:cs="Times New Roman"/>
        </w:rPr>
        <w:t>2</w:t>
      </w:r>
      <w:r>
        <w:rPr>
          <w:rFonts w:ascii="Times New Roman" w:eastAsia="宋体" w:hAnsi="Times New Roman" w:cs="Times New Roman"/>
        </w:rPr>
        <w:t>）防雷装置安装存在缺陷；</w:t>
      </w:r>
    </w:p>
    <w:p w14:paraId="34218E08" w14:textId="77777777" w:rsidR="00502148" w:rsidRDefault="00000000">
      <w:pPr>
        <w:ind w:firstLine="560"/>
        <w:rPr>
          <w:rFonts w:ascii="Times New Roman" w:eastAsia="宋体" w:hAnsi="Times New Roman" w:cs="Times New Roman"/>
        </w:rPr>
      </w:pPr>
      <w:r>
        <w:rPr>
          <w:rFonts w:ascii="Times New Roman" w:eastAsia="宋体" w:hAnsi="Times New Roman" w:cs="Times New Roman"/>
        </w:rPr>
        <w:t>3</w:t>
      </w:r>
      <w:r>
        <w:rPr>
          <w:rFonts w:ascii="Times New Roman" w:eastAsia="宋体" w:hAnsi="Times New Roman" w:cs="Times New Roman"/>
        </w:rPr>
        <w:t>）防雷装置失效，防雷接地体接地电阻不符合要求；</w:t>
      </w:r>
    </w:p>
    <w:p w14:paraId="06529004" w14:textId="77777777" w:rsidR="00502148" w:rsidRDefault="00000000">
      <w:pPr>
        <w:ind w:firstLine="560"/>
        <w:rPr>
          <w:rFonts w:ascii="Times New Roman" w:eastAsia="宋体" w:hAnsi="Times New Roman" w:cs="Times New Roman"/>
        </w:rPr>
      </w:pPr>
      <w:r>
        <w:rPr>
          <w:rFonts w:ascii="Times New Roman" w:eastAsia="宋体" w:hAnsi="Times New Roman" w:cs="Times New Roman"/>
        </w:rPr>
        <w:t>4</w:t>
      </w:r>
      <w:r>
        <w:rPr>
          <w:rFonts w:ascii="Times New Roman" w:eastAsia="宋体" w:hAnsi="Times New Roman" w:cs="Times New Roman"/>
        </w:rPr>
        <w:t>）缺乏必要的人身防雷安全知识等。</w:t>
      </w:r>
    </w:p>
    <w:p w14:paraId="286BAB64"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F3.3.2</w:t>
      </w:r>
      <w:r>
        <w:rPr>
          <w:rFonts w:ascii="Times New Roman" w:eastAsia="黑体" w:hAnsi="Times New Roman" w:cs="Times New Roman"/>
          <w:b/>
          <w:bCs/>
        </w:rPr>
        <w:t>物体打击</w:t>
      </w:r>
    </w:p>
    <w:p w14:paraId="459AEF2C" w14:textId="77777777" w:rsidR="00502148" w:rsidRDefault="00000000">
      <w:pPr>
        <w:ind w:firstLine="560"/>
        <w:rPr>
          <w:rFonts w:ascii="Times New Roman" w:eastAsia="宋体" w:hAnsi="Times New Roman"/>
        </w:rPr>
      </w:pPr>
      <w:r>
        <w:rPr>
          <w:rFonts w:ascii="Times New Roman" w:eastAsia="宋体" w:hAnsi="Times New Roman"/>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63D64EA3" w14:textId="77777777" w:rsidR="00502148"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F3.3.3</w:t>
      </w:r>
      <w:r>
        <w:rPr>
          <w:rFonts w:ascii="Times New Roman" w:eastAsia="黑体" w:hAnsi="Times New Roman" w:cs="Times New Roman"/>
          <w:b/>
          <w:bCs/>
        </w:rPr>
        <w:t>车辆伤害</w:t>
      </w:r>
    </w:p>
    <w:p w14:paraId="2F93B362" w14:textId="77777777" w:rsidR="00502148" w:rsidRDefault="00000000">
      <w:pPr>
        <w:ind w:firstLine="560"/>
        <w:rPr>
          <w:rFonts w:ascii="Times New Roman" w:eastAsia="宋体" w:hAnsi="Times New Roman"/>
        </w:rPr>
      </w:pPr>
      <w:r>
        <w:rPr>
          <w:rFonts w:ascii="Times New Roman" w:eastAsia="宋体" w:hAnsi="Times New Roman"/>
        </w:rPr>
        <w:t>车辆伤害是指机动车辆在行驶中引起的人体伤害或载运物体倾翻等事故。如果车速过快，车辆技术状况不好，如：制动失灵、转向失灵、灯光音响信号损坏失灵，或安全标志不全、道路设计不合理、转弯处没有反光镜等，</w:t>
      </w:r>
      <w:r>
        <w:rPr>
          <w:rFonts w:ascii="Times New Roman" w:eastAsia="宋体" w:hAnsi="Times New Roman"/>
        </w:rPr>
        <w:lastRenderedPageBreak/>
        <w:t>均容易导致车辆伤害，造成人员伤亡或财产损失。</w:t>
      </w:r>
    </w:p>
    <w:p w14:paraId="50558D38" w14:textId="77777777" w:rsidR="00502148" w:rsidRDefault="00000000">
      <w:pPr>
        <w:ind w:firstLine="560"/>
        <w:rPr>
          <w:rFonts w:ascii="Times New Roman" w:eastAsia="宋体" w:hAnsi="Times New Roman"/>
        </w:rPr>
      </w:pPr>
      <w:r>
        <w:rPr>
          <w:rFonts w:ascii="Times New Roman" w:eastAsia="宋体" w:hAnsi="Times New Roman"/>
        </w:rPr>
        <w:t>当汽车进站加油时，罩棚及罩棚支柱、加油机和作业人员可能受到车辆的碰撞，造成财产损失和人员伤害。</w:t>
      </w:r>
    </w:p>
    <w:p w14:paraId="7D177648" w14:textId="77777777" w:rsidR="00502148" w:rsidRDefault="00000000">
      <w:pPr>
        <w:ind w:firstLine="560"/>
        <w:rPr>
          <w:rFonts w:ascii="Times New Roman" w:eastAsia="宋体" w:hAnsi="Times New Roman"/>
        </w:rPr>
      </w:pPr>
      <w:r>
        <w:rPr>
          <w:rFonts w:ascii="Times New Roman" w:eastAsia="宋体" w:hAnsi="Times New Roman"/>
        </w:rPr>
        <w:t>另外，当汽车槽车入站卸油时，若操作不当或事先未进行车辆人员疏导，易造成人员、车辆伤害。</w:t>
      </w:r>
    </w:p>
    <w:p w14:paraId="0821994D"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F3.3.4</w:t>
      </w:r>
      <w:r>
        <w:rPr>
          <w:rFonts w:ascii="Times New Roman" w:eastAsia="黑体" w:hAnsi="Times New Roman" w:cs="Times New Roman"/>
          <w:b/>
          <w:bCs/>
        </w:rPr>
        <w:t>高处坠落</w:t>
      </w:r>
    </w:p>
    <w:p w14:paraId="0C02DD3E" w14:textId="77777777" w:rsidR="00502148" w:rsidRDefault="00000000">
      <w:pPr>
        <w:ind w:firstLine="560"/>
        <w:rPr>
          <w:rFonts w:ascii="Times New Roman" w:eastAsia="宋体" w:hAnsi="Times New Roman"/>
        </w:rPr>
      </w:pPr>
      <w:r>
        <w:rPr>
          <w:rFonts w:ascii="Times New Roman" w:eastAsia="宋体" w:hAnsi="Times New Roman"/>
        </w:rPr>
        <w:t>高处坠落是指作业人员在坠落高度基准面</w:t>
      </w:r>
      <w:r>
        <w:rPr>
          <w:rFonts w:ascii="Times New Roman" w:eastAsia="宋体" w:hAnsi="Times New Roman"/>
        </w:rPr>
        <w:t>2m</w:t>
      </w:r>
      <w:r>
        <w:rPr>
          <w:rFonts w:ascii="Times New Roman" w:eastAsia="宋体" w:hAnsi="Times New Roman"/>
        </w:rPr>
        <w:t>以上（含</w:t>
      </w:r>
      <w:r>
        <w:rPr>
          <w:rFonts w:ascii="Times New Roman" w:eastAsia="宋体" w:hAnsi="Times New Roman"/>
        </w:rPr>
        <w:t>2m</w:t>
      </w:r>
      <w:r>
        <w:rPr>
          <w:rFonts w:ascii="Times New Roman" w:eastAsia="宋体" w:hAnsi="Times New Roman"/>
        </w:rPr>
        <w:t>）的可能坠落的高处进行作业时，因为未防护、防护不好或作业不当而发生人或物的坠落。</w:t>
      </w:r>
    </w:p>
    <w:p w14:paraId="64EE44D3"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F3.3.5</w:t>
      </w:r>
      <w:r>
        <w:rPr>
          <w:rFonts w:ascii="Times New Roman" w:eastAsia="黑体" w:hAnsi="Times New Roman" w:cs="Times New Roman"/>
          <w:b/>
          <w:bCs/>
        </w:rPr>
        <w:t>坍塌</w:t>
      </w:r>
    </w:p>
    <w:p w14:paraId="23D3406D" w14:textId="77777777" w:rsidR="00502148" w:rsidRDefault="00000000">
      <w:pPr>
        <w:ind w:firstLine="560"/>
        <w:rPr>
          <w:rFonts w:ascii="Times New Roman" w:eastAsia="宋体" w:hAnsi="Times New Roman"/>
        </w:rPr>
      </w:pPr>
      <w:r>
        <w:rPr>
          <w:rFonts w:ascii="Times New Roman" w:eastAsia="宋体" w:hAnsi="Times New Roman"/>
        </w:rPr>
        <w:t>坍塌是指物体在外力和重力的作用下，超过自身极限强度，结构稳定失衡塌落。大风尤以春季多发、暴雪和外腐蚀等原因，容易造成站内罩棚、站房等建（构）筑物坍塌，对作业人员、加油机及车辆造成伤害。</w:t>
      </w:r>
      <w:r>
        <w:rPr>
          <w:rFonts w:ascii="Times New Roman" w:eastAsia="宋体" w:hAnsi="Times New Roman" w:hint="eastAsia"/>
        </w:rPr>
        <w:t>此外，若</w:t>
      </w:r>
      <w:r>
        <w:rPr>
          <w:rFonts w:ascii="Times New Roman" w:eastAsia="宋体" w:hAnsi="Times New Roman"/>
        </w:rPr>
        <w:t>罩棚设计有缺陷</w:t>
      </w:r>
      <w:r>
        <w:rPr>
          <w:rFonts w:ascii="Times New Roman" w:eastAsia="宋体" w:hAnsi="Times New Roman" w:hint="eastAsia"/>
        </w:rPr>
        <w:t>、施工质量不良、</w:t>
      </w:r>
      <w:r>
        <w:rPr>
          <w:rFonts w:ascii="Times New Roman" w:eastAsia="宋体" w:hAnsi="Times New Roman"/>
        </w:rPr>
        <w:t>罩棚高度不足，大型超高车辆通过时碰撞</w:t>
      </w:r>
      <w:r>
        <w:rPr>
          <w:rFonts w:ascii="Times New Roman" w:eastAsia="宋体" w:hAnsi="Times New Roman" w:hint="eastAsia"/>
        </w:rPr>
        <w:t>、</w:t>
      </w:r>
      <w:r>
        <w:rPr>
          <w:rFonts w:ascii="Times New Roman" w:eastAsia="宋体" w:hAnsi="Times New Roman"/>
        </w:rPr>
        <w:t>罩棚支柱距岛端的距离不足，失控车辆碰撞支柱，驾驶员注意力不集中碰撞支柱</w:t>
      </w:r>
      <w:r>
        <w:rPr>
          <w:rFonts w:ascii="Times New Roman" w:eastAsia="宋体" w:hAnsi="Times New Roman" w:hint="eastAsia"/>
        </w:rPr>
        <w:t>等都会导致罩棚坍塌。</w:t>
      </w:r>
    </w:p>
    <w:p w14:paraId="7A5B4D0B"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F3.3.6</w:t>
      </w:r>
      <w:r>
        <w:rPr>
          <w:rFonts w:ascii="Times New Roman" w:eastAsia="黑体" w:hAnsi="Times New Roman" w:cs="Times New Roman" w:hint="eastAsia"/>
          <w:b/>
          <w:bCs/>
        </w:rPr>
        <w:t>机械伤害</w:t>
      </w:r>
    </w:p>
    <w:p w14:paraId="1BA788B9" w14:textId="77777777" w:rsidR="00502148" w:rsidRDefault="00000000">
      <w:pPr>
        <w:ind w:firstLine="560"/>
        <w:rPr>
          <w:rFonts w:ascii="Times New Roman" w:eastAsia="宋体" w:hAnsi="Times New Roman"/>
        </w:rPr>
      </w:pPr>
      <w:r>
        <w:rPr>
          <w:rFonts w:ascii="Times New Roman" w:eastAsia="宋体" w:hAnsi="Times New Roman"/>
        </w:rPr>
        <w:t>加油机、油泵等机械设备在运行过程中，如果操作人员违反操作规程</w:t>
      </w:r>
      <w:r>
        <w:rPr>
          <w:rFonts w:ascii="Times New Roman" w:eastAsia="宋体" w:hAnsi="Times New Roman" w:hint="eastAsia"/>
        </w:rPr>
        <w:t>、</w:t>
      </w:r>
      <w:r>
        <w:rPr>
          <w:rFonts w:ascii="Times New Roman" w:eastAsia="宋体" w:hAnsi="Times New Roman"/>
        </w:rPr>
        <w:t>设备防护装置失效</w:t>
      </w:r>
      <w:r>
        <w:rPr>
          <w:rFonts w:ascii="Times New Roman" w:eastAsia="宋体" w:hAnsi="Times New Roman" w:hint="eastAsia"/>
        </w:rPr>
        <w:t>、</w:t>
      </w:r>
      <w:r>
        <w:rPr>
          <w:rFonts w:ascii="Times New Roman" w:eastAsia="宋体" w:hAnsi="Times New Roman"/>
        </w:rPr>
        <w:t>加油机零部件老化、磨损</w:t>
      </w:r>
      <w:r>
        <w:rPr>
          <w:rFonts w:ascii="Times New Roman" w:eastAsia="宋体" w:hAnsi="Times New Roman" w:hint="eastAsia"/>
        </w:rPr>
        <w:t>等</w:t>
      </w:r>
      <w:r>
        <w:rPr>
          <w:rFonts w:ascii="Times New Roman" w:eastAsia="宋体" w:hAnsi="Times New Roman"/>
        </w:rPr>
        <w:t>可能导致机械伤害事故</w:t>
      </w:r>
      <w:r>
        <w:rPr>
          <w:rFonts w:ascii="Times New Roman" w:eastAsia="宋体" w:hAnsi="Times New Roman" w:hint="eastAsia"/>
        </w:rPr>
        <w:t>。在检维修过程中，若操作人员错误使用机械设备，也会造成机械伤害事故。</w:t>
      </w:r>
    </w:p>
    <w:p w14:paraId="0534E013" w14:textId="77777777" w:rsidR="00502148"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F3.3.7</w:t>
      </w:r>
      <w:r>
        <w:rPr>
          <w:rFonts w:ascii="Times New Roman" w:eastAsia="黑体" w:hAnsi="Times New Roman" w:cs="Times New Roman"/>
          <w:b/>
          <w:bCs/>
        </w:rPr>
        <w:t>噪声</w:t>
      </w:r>
      <w:r>
        <w:rPr>
          <w:rFonts w:ascii="Times New Roman" w:eastAsia="黑体" w:hAnsi="Times New Roman" w:cs="Times New Roman" w:hint="eastAsia"/>
          <w:b/>
          <w:bCs/>
        </w:rPr>
        <w:t>与振动</w:t>
      </w:r>
    </w:p>
    <w:p w14:paraId="5884FB96" w14:textId="77777777" w:rsidR="00502148" w:rsidRDefault="00000000">
      <w:pPr>
        <w:ind w:firstLine="560"/>
        <w:rPr>
          <w:rFonts w:ascii="Times New Roman" w:eastAsia="宋体" w:hAnsi="Times New Roman"/>
        </w:rPr>
      </w:pPr>
      <w:r>
        <w:rPr>
          <w:rFonts w:ascii="Times New Roman" w:eastAsia="宋体" w:hAnsi="Times New Roman"/>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00B49CA9" w14:textId="77777777" w:rsidR="00502148" w:rsidRDefault="00000000">
      <w:pPr>
        <w:ind w:firstLine="560"/>
        <w:rPr>
          <w:rFonts w:ascii="Times New Roman" w:eastAsia="宋体" w:hAnsi="Times New Roman"/>
        </w:rPr>
      </w:pPr>
      <w:r>
        <w:rPr>
          <w:rFonts w:ascii="Times New Roman" w:eastAsia="宋体" w:hAnsi="Times New Roman"/>
        </w:rPr>
        <w:lastRenderedPageBreak/>
        <w:t>该项目中的噪声源主要为加油机及潜油泵产生的空气动力性噪声和机械性噪声。因此应尽量选用低噪声设备，同时应减少工作人员的连续接触噪声时间。</w:t>
      </w:r>
    </w:p>
    <w:p w14:paraId="2BEAB9D7" w14:textId="77777777" w:rsidR="00502148"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4" w:name="_Toc179746381"/>
      <w:bookmarkStart w:id="115" w:name="_Toc25217"/>
      <w:r>
        <w:rPr>
          <w:rFonts w:ascii="Times New Roman" w:eastAsia="楷体" w:hAnsi="Times New Roman" w:cs="Times New Roman" w:hint="eastAsia"/>
          <w:b/>
          <w:bCs/>
          <w:sz w:val="32"/>
          <w:szCs w:val="32"/>
        </w:rPr>
        <w:t>F3.4</w:t>
      </w:r>
      <w:r>
        <w:rPr>
          <w:rFonts w:ascii="Times New Roman" w:eastAsia="楷体" w:hAnsi="Times New Roman" w:cs="Times New Roman" w:hint="eastAsia"/>
          <w:b/>
          <w:bCs/>
          <w:sz w:val="32"/>
          <w:szCs w:val="32"/>
        </w:rPr>
        <w:t>重大危险源辨识</w:t>
      </w:r>
      <w:bookmarkEnd w:id="114"/>
      <w:bookmarkEnd w:id="115"/>
    </w:p>
    <w:p w14:paraId="66E83AA8" w14:textId="77777777" w:rsidR="00502148" w:rsidRDefault="00000000">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F3.4.1</w:t>
      </w:r>
      <w:r>
        <w:rPr>
          <w:rFonts w:ascii="黑体" w:eastAsia="黑体" w:hAnsi="黑体" w:hint="eastAsia"/>
          <w:b/>
          <w:bCs/>
        </w:rPr>
        <w:t>重大危险源定义</w:t>
      </w:r>
    </w:p>
    <w:p w14:paraId="761F244B" w14:textId="77777777" w:rsidR="00502148"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GB18218-2018</w:t>
      </w:r>
      <w:r>
        <w:rPr>
          <w:rFonts w:ascii="Times New Roman" w:eastAsia="宋体" w:hAnsi="Times New Roman" w:hint="eastAsia"/>
        </w:rPr>
        <w:t>的规定，重大危险源的辨识指标如下：</w:t>
      </w:r>
    </w:p>
    <w:p w14:paraId="23C050ED" w14:textId="77777777" w:rsidR="00502148" w:rsidRDefault="00000000">
      <w:pPr>
        <w:ind w:firstLine="560"/>
        <w:rPr>
          <w:rFonts w:ascii="Times New Roman" w:eastAsia="宋体" w:hAnsi="Times New Roman"/>
        </w:rPr>
      </w:pPr>
      <w:r>
        <w:rPr>
          <w:rFonts w:ascii="Times New Roman" w:eastAsia="宋体" w:hAnsi="Times New Roman" w:hint="eastAsia"/>
        </w:rPr>
        <w:t>长期地或临时地生产、储存、使用和经营危险化学品，且危险化学品的数量等于或者超过临界量的单元。</w:t>
      </w:r>
    </w:p>
    <w:p w14:paraId="23ED5B5B" w14:textId="77777777" w:rsidR="00502148" w:rsidRDefault="00000000">
      <w:pPr>
        <w:ind w:firstLine="560"/>
        <w:rPr>
          <w:rFonts w:ascii="Times New Roman" w:eastAsia="宋体" w:hAnsi="Times New Roman"/>
        </w:rPr>
      </w:pPr>
      <w:r>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63D681EE" w14:textId="77777777" w:rsidR="00502148" w:rsidRDefault="00000000">
      <w:pPr>
        <w:ind w:firstLine="560"/>
        <w:rPr>
          <w:rFonts w:ascii="Times New Roman" w:eastAsia="宋体" w:hAnsi="Times New Roman"/>
        </w:rPr>
      </w:pPr>
      <w:r>
        <w:rPr>
          <w:rFonts w:ascii="Times New Roman" w:eastAsia="宋体" w:hAnsi="Times New Roman" w:hint="eastAsia"/>
        </w:rPr>
        <w:t>储存单元：用于储存危险化学品的储罐或仓库组成的相对独立的区域，储罐区以罐区防火堤为界限划分为独立的单元，从仓库以独立库房（独立建筑物）为界限划分为的独立的单元。</w:t>
      </w:r>
    </w:p>
    <w:p w14:paraId="3743796D" w14:textId="77777777" w:rsidR="00502148" w:rsidRDefault="00000000">
      <w:pPr>
        <w:ind w:firstLine="560"/>
        <w:rPr>
          <w:rFonts w:ascii="Times New Roman" w:eastAsia="宋体" w:hAnsi="Times New Roman"/>
        </w:rPr>
      </w:pPr>
      <w:r>
        <w:rPr>
          <w:rFonts w:ascii="Times New Roman" w:eastAsia="宋体" w:hAnsi="Times New Roman" w:hint="eastAsia"/>
        </w:rPr>
        <w:t>生产单元、储存单元内存在危险化学品的数量等于或者出超过表</w:t>
      </w:r>
      <w:r>
        <w:rPr>
          <w:rFonts w:ascii="Times New Roman" w:eastAsia="宋体" w:hAnsi="Times New Roman" w:hint="eastAsia"/>
        </w:rPr>
        <w:t>1</w:t>
      </w:r>
      <w:r>
        <w:rPr>
          <w:rFonts w:ascii="Times New Roman" w:eastAsia="宋体" w:hAnsi="Times New Roman" w:hint="eastAsia"/>
        </w:rPr>
        <w:t>、表</w:t>
      </w:r>
      <w:r>
        <w:rPr>
          <w:rFonts w:ascii="Times New Roman" w:eastAsia="宋体" w:hAnsi="Times New Roman" w:hint="eastAsia"/>
        </w:rPr>
        <w:t>2</w:t>
      </w:r>
      <w:r>
        <w:rPr>
          <w:rFonts w:ascii="Times New Roman" w:eastAsia="宋体" w:hAnsi="Times New Roman" w:hint="eastAsia"/>
        </w:rPr>
        <w:t>规定地点临界量，即被定为重大危险源，单元内存在的危险化学品的数量根据危险化学品种类的多少区分为以下两种情况：</w:t>
      </w:r>
    </w:p>
    <w:p w14:paraId="32962F01"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）生产单元、储存单元内存在的危险化学品为单一品种，该危险化学品的数量即为单元内危险化学品的总量，若等于或超过相应的临界量，则定为重大危险源。</w:t>
      </w:r>
    </w:p>
    <w:p w14:paraId="4695FC20" w14:textId="77777777" w:rsidR="00502148"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）生产单元、储存单元内存在的危险化学品为多品种时，则按下式计算，若满足下面公式，则定为重大危险源：</w:t>
      </w:r>
    </w:p>
    <w:p w14:paraId="02F62B66" w14:textId="77777777" w:rsidR="00502148" w:rsidRDefault="00000000">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38EB9E61" w14:textId="77777777" w:rsidR="00502148" w:rsidRDefault="00000000">
      <w:pPr>
        <w:ind w:firstLine="560"/>
        <w:rPr>
          <w:rFonts w:ascii="Times New Roman" w:eastAsia="宋体" w:hAnsi="Times New Roman"/>
        </w:rPr>
      </w:pPr>
      <w:r>
        <w:rPr>
          <w:rFonts w:ascii="Times New Roman" w:eastAsia="宋体" w:hAnsi="Times New Roman" w:hint="eastAsia"/>
        </w:rPr>
        <w:lastRenderedPageBreak/>
        <w:t>式中：</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w:t>
      </w:r>
      <w:r>
        <w:rPr>
          <w:rFonts w:ascii="Times New Roman" w:eastAsia="宋体" w:hAnsi="Times New Roman"/>
        </w:rPr>
        <w:t>每种危险化学品的实际存在的量</w:t>
      </w:r>
      <w:r>
        <w:rPr>
          <w:rFonts w:ascii="Times New Roman" w:eastAsia="宋体" w:hAnsi="Times New Roman" w:hint="eastAsia"/>
        </w:rPr>
        <w:t>，</w:t>
      </w:r>
      <w:r>
        <w:rPr>
          <w:rFonts w:ascii="Times New Roman" w:eastAsia="宋体" w:hAnsi="Times New Roman" w:hint="eastAsia"/>
        </w:rPr>
        <w:t>t</w:t>
      </w:r>
      <w:r>
        <w:rPr>
          <w:rFonts w:ascii="Times New Roman" w:eastAsia="宋体" w:hAnsi="Times New Roman" w:hint="eastAsia"/>
        </w:rPr>
        <w:t>。</w:t>
      </w:r>
    </w:p>
    <w:p w14:paraId="4227BD2B" w14:textId="77777777" w:rsidR="00502148" w:rsidRDefault="00000000">
      <w:pPr>
        <w:ind w:firstLineChars="500" w:firstLine="1400"/>
        <w:rPr>
          <w:rFonts w:ascii="Times New Roman" w:eastAsia="宋体" w:hAnsi="Times New Roman"/>
        </w:rPr>
      </w:pP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w:t>
      </w:r>
      <w:r>
        <w:rPr>
          <w:rFonts w:ascii="Times New Roman" w:eastAsia="宋体" w:hAnsi="Times New Roman"/>
        </w:rPr>
        <w:t>与每种危险化学品相对应的临界量</w:t>
      </w:r>
      <w:r>
        <w:rPr>
          <w:rFonts w:ascii="Times New Roman" w:eastAsia="宋体" w:hAnsi="Times New Roman" w:hint="eastAsia"/>
        </w:rPr>
        <w:t>，</w:t>
      </w:r>
      <w:r>
        <w:rPr>
          <w:rFonts w:ascii="Times New Roman" w:eastAsia="宋体" w:hAnsi="Times New Roman" w:hint="eastAsia"/>
        </w:rPr>
        <w:t>t</w:t>
      </w:r>
      <w:r>
        <w:rPr>
          <w:rFonts w:ascii="Times New Roman" w:eastAsia="宋体" w:hAnsi="Times New Roman" w:hint="eastAsia"/>
        </w:rPr>
        <w:t>。</w:t>
      </w:r>
    </w:p>
    <w:p w14:paraId="0990E182" w14:textId="77777777" w:rsidR="00502148" w:rsidRDefault="00000000">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F3.4.2</w:t>
      </w:r>
      <w:r>
        <w:rPr>
          <w:rFonts w:ascii="黑体" w:eastAsia="黑体" w:hAnsi="黑体" w:hint="eastAsia"/>
          <w:b/>
          <w:bCs/>
        </w:rPr>
        <w:t>重大危险源辨识</w:t>
      </w:r>
    </w:p>
    <w:p w14:paraId="1627E543" w14:textId="77777777" w:rsidR="00502148"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 18218-2018</w:t>
      </w:r>
      <w:r>
        <w:rPr>
          <w:rFonts w:ascii="Times New Roman" w:eastAsia="宋体" w:hAnsi="Times New Roman" w:hint="eastAsia"/>
        </w:rPr>
        <w:t>）的相关规定，危险化学品储罐以及其他容器、设备或仓储区的危险化学品的实际存在量按设计最大量确定。</w:t>
      </w:r>
    </w:p>
    <w:p w14:paraId="1392F530" w14:textId="77777777" w:rsidR="00502148" w:rsidRDefault="00000000">
      <w:pPr>
        <w:ind w:firstLine="560"/>
        <w:rPr>
          <w:rFonts w:ascii="Times New Roman" w:eastAsia="宋体" w:hAnsi="Times New Roman"/>
        </w:rPr>
      </w:pPr>
      <w:r>
        <w:rPr>
          <w:rFonts w:ascii="Times New Roman" w:eastAsia="宋体" w:hAnsi="Times New Roman" w:hint="eastAsia"/>
        </w:rPr>
        <w:t>对于危险化学品混合物，如果混合物与其纯物质属于相同危险类别，则视混合物为纯物质，按混合物整体进行计算。如果混合物遇其纯物质不属于相同危险类别，则应按新危险类别考虑其临界量。</w:t>
      </w:r>
    </w:p>
    <w:p w14:paraId="07D4EE9C" w14:textId="77777777" w:rsidR="00502148" w:rsidRDefault="00000000">
      <w:pPr>
        <w:ind w:firstLine="560"/>
        <w:rPr>
          <w:rFonts w:ascii="Times New Roman" w:eastAsia="宋体" w:hAnsi="Times New Roman"/>
        </w:rPr>
      </w:pPr>
      <w:r>
        <w:rPr>
          <w:rFonts w:ascii="Times New Roman" w:eastAsia="宋体" w:hAnsi="Times New Roman" w:hint="eastAsia"/>
        </w:rPr>
        <w:t>该站在经营、储存过程中，涉及构成危险化学品重大危险源的物质为车用乙醇汽油、柴油，其临界量分别为</w:t>
      </w:r>
      <w:r>
        <w:rPr>
          <w:rFonts w:ascii="Times New Roman" w:eastAsia="宋体" w:hAnsi="Times New Roman" w:hint="eastAsia"/>
        </w:rPr>
        <w:t>200t</w:t>
      </w:r>
      <w:r>
        <w:rPr>
          <w:rFonts w:ascii="Times New Roman" w:eastAsia="宋体" w:hAnsi="Times New Roman" w:hint="eastAsia"/>
        </w:rPr>
        <w:t>、</w:t>
      </w:r>
      <w:r>
        <w:rPr>
          <w:rFonts w:ascii="Times New Roman" w:eastAsia="宋体" w:hAnsi="Times New Roman" w:hint="eastAsia"/>
        </w:rPr>
        <w:t>5000t</w:t>
      </w:r>
      <w:r>
        <w:rPr>
          <w:rFonts w:ascii="Times New Roman" w:eastAsia="宋体" w:hAnsi="Times New Roman" w:hint="eastAsia"/>
        </w:rPr>
        <w:t>。</w:t>
      </w:r>
    </w:p>
    <w:p w14:paraId="0ED284AE" w14:textId="77777777" w:rsidR="00502148" w:rsidRDefault="00000000">
      <w:pPr>
        <w:ind w:firstLine="560"/>
        <w:rPr>
          <w:rFonts w:ascii="Times New Roman" w:eastAsia="宋体" w:hAnsi="Times New Roman"/>
        </w:rPr>
      </w:pPr>
      <w:r>
        <w:rPr>
          <w:rFonts w:ascii="Times New Roman" w:eastAsia="宋体" w:hAnsi="Times New Roman" w:hint="eastAsia"/>
        </w:rPr>
        <w:t>储罐区单元：</w:t>
      </w:r>
    </w:p>
    <w:p w14:paraId="3D38CEEB" w14:textId="77777777" w:rsidR="00502148" w:rsidRDefault="00000000">
      <w:pPr>
        <w:ind w:firstLine="560"/>
        <w:rPr>
          <w:rFonts w:ascii="Times New Roman" w:eastAsia="宋体" w:hAnsi="Times New Roman"/>
        </w:rPr>
      </w:pPr>
      <w:r>
        <w:rPr>
          <w:rFonts w:ascii="Times New Roman" w:eastAsia="宋体" w:hAnsi="Times New Roman" w:hint="eastAsia"/>
        </w:rPr>
        <w:t>加油站储罐区单元有</w:t>
      </w:r>
      <w:r>
        <w:rPr>
          <w:rFonts w:ascii="Times New Roman" w:eastAsia="宋体" w:hAnsi="Times New Roman" w:hint="eastAsia"/>
        </w:rPr>
        <w:t>2</w:t>
      </w:r>
      <w:r>
        <w:rPr>
          <w:rFonts w:ascii="Times New Roman" w:eastAsia="宋体" w:hAnsi="Times New Roman" w:hint="eastAsia"/>
        </w:rPr>
        <w:t>座车用乙醇汽油储罐，总容积为</w:t>
      </w:r>
      <w:r>
        <w:rPr>
          <w:rFonts w:ascii="Times New Roman" w:eastAsia="宋体" w:hAnsi="Times New Roman" w:hint="eastAsia"/>
        </w:rPr>
        <w:t>60m</w:t>
      </w:r>
      <w:r>
        <w:rPr>
          <w:rFonts w:ascii="Times New Roman" w:eastAsia="宋体" w:hAnsi="Times New Roman" w:hint="eastAsia"/>
        </w:rPr>
        <w:t>³，车用乙醇汽油的密度为</w:t>
      </w:r>
      <w:r>
        <w:rPr>
          <w:rFonts w:ascii="Times New Roman" w:eastAsia="宋体" w:hAnsi="Times New Roman" w:hint="eastAsia"/>
        </w:rPr>
        <w:t>0.8t/m</w:t>
      </w:r>
      <w:r>
        <w:rPr>
          <w:rFonts w:ascii="Times New Roman" w:eastAsia="宋体" w:hAnsi="Times New Roman" w:hint="eastAsia"/>
        </w:rPr>
        <w:t>³；</w:t>
      </w:r>
      <w:r>
        <w:rPr>
          <w:rFonts w:ascii="Times New Roman" w:eastAsia="宋体" w:hAnsi="Times New Roman" w:hint="eastAsia"/>
        </w:rPr>
        <w:t>4</w:t>
      </w:r>
      <w:r>
        <w:rPr>
          <w:rFonts w:ascii="Times New Roman" w:eastAsia="宋体" w:hAnsi="Times New Roman" w:hint="eastAsia"/>
        </w:rPr>
        <w:t>座柴油储罐，总容积为</w:t>
      </w:r>
      <w:r>
        <w:rPr>
          <w:rFonts w:ascii="Times New Roman" w:eastAsia="宋体" w:hAnsi="Times New Roman" w:hint="eastAsia"/>
        </w:rPr>
        <w:t>120m</w:t>
      </w:r>
      <w:r>
        <w:rPr>
          <w:rFonts w:ascii="Times New Roman" w:eastAsia="宋体" w:hAnsi="Times New Roman" w:hint="eastAsia"/>
        </w:rPr>
        <w:t>³，柴油的密度为</w:t>
      </w:r>
      <w:r>
        <w:rPr>
          <w:rFonts w:ascii="Times New Roman" w:eastAsia="宋体" w:hAnsi="Times New Roman" w:hint="eastAsia"/>
        </w:rPr>
        <w:t>0.85t/m</w:t>
      </w:r>
      <w:r>
        <w:rPr>
          <w:rFonts w:ascii="Times New Roman" w:eastAsia="宋体" w:hAnsi="Times New Roman" w:hint="eastAsia"/>
        </w:rPr>
        <w:t>³。储罐区单元危险化学品的临界量与最大储存量对照见下表。</w:t>
      </w:r>
    </w:p>
    <w:p w14:paraId="4766E0B1" w14:textId="77777777" w:rsidR="00502148"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附表</w:t>
      </w:r>
      <w:r>
        <w:rPr>
          <w:rFonts w:ascii="Times New Roman" w:eastAsia="黑体" w:hAnsi="Times New Roman" w:cs="Times New Roman" w:hint="eastAsia"/>
          <w:sz w:val="24"/>
        </w:rPr>
        <w:t>3.4-1</w:t>
      </w:r>
      <w:r>
        <w:rPr>
          <w:rFonts w:ascii="黑体" w:eastAsia="黑体" w:hAnsi="黑体" w:hint="eastAsia"/>
          <w:sz w:val="24"/>
        </w:rPr>
        <w:t xml:space="preserve">  储罐区单元危险化学品的临界量与最大储存量对照表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2207"/>
        <w:gridCol w:w="2813"/>
        <w:gridCol w:w="1807"/>
        <w:gridCol w:w="1357"/>
      </w:tblGrid>
      <w:tr w:rsidR="00502148" w14:paraId="020298FA" w14:textId="77777777">
        <w:trPr>
          <w:cantSplit/>
          <w:trHeight w:val="447"/>
          <w:tblHeader/>
          <w:jc w:val="center"/>
        </w:trPr>
        <w:tc>
          <w:tcPr>
            <w:tcW w:w="543" w:type="pct"/>
            <w:vAlign w:val="center"/>
          </w:tcPr>
          <w:p w14:paraId="50C6BF8A"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bookmarkStart w:id="116" w:name="_Hlk161603343"/>
            <w:r>
              <w:rPr>
                <w:rFonts w:ascii="Times New Roman" w:eastAsia="宋体" w:hAnsi="Times New Roman" w:cs="宋体" w:hint="eastAsia"/>
                <w:sz w:val="21"/>
                <w:szCs w:val="21"/>
                <w14:ligatures w14:val="none"/>
              </w:rPr>
              <w:t>序号</w:t>
            </w:r>
          </w:p>
        </w:tc>
        <w:tc>
          <w:tcPr>
            <w:tcW w:w="1202" w:type="pct"/>
            <w:vAlign w:val="center"/>
          </w:tcPr>
          <w:p w14:paraId="73AEF7C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物质名称</w:t>
            </w:r>
          </w:p>
        </w:tc>
        <w:tc>
          <w:tcPr>
            <w:tcW w:w="1532" w:type="pct"/>
            <w:vAlign w:val="center"/>
          </w:tcPr>
          <w:p w14:paraId="1A64AE04"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危险性类别</w:t>
            </w:r>
          </w:p>
        </w:tc>
        <w:tc>
          <w:tcPr>
            <w:tcW w:w="984" w:type="pct"/>
            <w:vAlign w:val="center"/>
          </w:tcPr>
          <w:p w14:paraId="23749AC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最大储存量（</w:t>
            </w:r>
            <w:r>
              <w:rPr>
                <w:rFonts w:ascii="Times New Roman" w:eastAsia="宋体" w:hAnsi="Times New Roman" w:cs="宋体" w:hint="eastAsia"/>
                <w:sz w:val="21"/>
                <w:szCs w:val="21"/>
                <w14:ligatures w14:val="none"/>
              </w:rPr>
              <w:t>t</w:t>
            </w:r>
            <w:r>
              <w:rPr>
                <w:rFonts w:ascii="Times New Roman" w:eastAsia="宋体" w:hAnsi="Times New Roman" w:cs="宋体" w:hint="eastAsia"/>
                <w:sz w:val="21"/>
                <w:szCs w:val="21"/>
                <w14:ligatures w14:val="none"/>
              </w:rPr>
              <w:t>）</w:t>
            </w:r>
          </w:p>
        </w:tc>
        <w:tc>
          <w:tcPr>
            <w:tcW w:w="739" w:type="pct"/>
            <w:vAlign w:val="center"/>
          </w:tcPr>
          <w:p w14:paraId="4B61CD0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临界量（</w:t>
            </w:r>
            <w:r>
              <w:rPr>
                <w:rFonts w:ascii="Times New Roman" w:eastAsia="宋体" w:hAnsi="Times New Roman" w:cs="宋体" w:hint="eastAsia"/>
                <w:sz w:val="21"/>
                <w:szCs w:val="21"/>
                <w14:ligatures w14:val="none"/>
              </w:rPr>
              <w:t>t</w:t>
            </w:r>
            <w:r>
              <w:rPr>
                <w:rFonts w:ascii="Times New Roman" w:eastAsia="宋体" w:hAnsi="Times New Roman" w:cs="宋体" w:hint="eastAsia"/>
                <w:sz w:val="21"/>
                <w:szCs w:val="21"/>
                <w14:ligatures w14:val="none"/>
              </w:rPr>
              <w:t>）</w:t>
            </w:r>
          </w:p>
        </w:tc>
      </w:tr>
      <w:tr w:rsidR="00502148" w14:paraId="17718E11" w14:textId="77777777">
        <w:trPr>
          <w:cantSplit/>
          <w:trHeight w:val="500"/>
          <w:jc w:val="center"/>
        </w:trPr>
        <w:tc>
          <w:tcPr>
            <w:tcW w:w="543" w:type="pct"/>
            <w:vAlign w:val="center"/>
          </w:tcPr>
          <w:p w14:paraId="38B35ABB" w14:textId="77777777" w:rsidR="00502148" w:rsidRDefault="00000000">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hint="eastAsia"/>
                <w:kern w:val="0"/>
                <w:sz w:val="21"/>
                <w14:ligatures w14:val="none"/>
              </w:rPr>
              <w:t>1</w:t>
            </w:r>
          </w:p>
        </w:tc>
        <w:tc>
          <w:tcPr>
            <w:tcW w:w="1202" w:type="pct"/>
            <w:vAlign w:val="center"/>
          </w:tcPr>
          <w:p w14:paraId="53AC7C5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车用乙醇汽油</w:t>
            </w:r>
          </w:p>
        </w:tc>
        <w:tc>
          <w:tcPr>
            <w:tcW w:w="1532" w:type="pct"/>
            <w:vAlign w:val="center"/>
          </w:tcPr>
          <w:p w14:paraId="1B2B2698" w14:textId="77777777" w:rsidR="00502148" w:rsidRDefault="00000000">
            <w:pPr>
              <w:widowControl/>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2</w:t>
            </w:r>
            <w:r>
              <w:rPr>
                <w:rFonts w:ascii="Times New Roman" w:eastAsia="宋体" w:hAnsi="Times New Roman" w:cs="Times New Roman"/>
                <w:kern w:val="0"/>
                <w:sz w:val="21"/>
                <w14:ligatures w14:val="none"/>
              </w:rPr>
              <w:t>*</w:t>
            </w:r>
          </w:p>
        </w:tc>
        <w:tc>
          <w:tcPr>
            <w:tcW w:w="984" w:type="pct"/>
            <w:vAlign w:val="center"/>
          </w:tcPr>
          <w:p w14:paraId="61745AE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739" w:type="pct"/>
            <w:vAlign w:val="center"/>
          </w:tcPr>
          <w:p w14:paraId="47D026E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sz w:val="21"/>
                <w:szCs w:val="21"/>
                <w14:ligatures w14:val="none"/>
              </w:rPr>
              <w:t>00</w:t>
            </w:r>
          </w:p>
        </w:tc>
      </w:tr>
      <w:tr w:rsidR="00502148" w14:paraId="502B6DA6" w14:textId="77777777">
        <w:trPr>
          <w:cantSplit/>
          <w:trHeight w:val="500"/>
          <w:jc w:val="center"/>
        </w:trPr>
        <w:tc>
          <w:tcPr>
            <w:tcW w:w="543" w:type="pct"/>
            <w:vAlign w:val="center"/>
          </w:tcPr>
          <w:p w14:paraId="7A63D858" w14:textId="77777777" w:rsidR="00502148" w:rsidRDefault="00000000">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hint="eastAsia"/>
                <w:kern w:val="0"/>
                <w:sz w:val="21"/>
                <w14:ligatures w14:val="none"/>
              </w:rPr>
              <w:t>2</w:t>
            </w:r>
          </w:p>
        </w:tc>
        <w:tc>
          <w:tcPr>
            <w:tcW w:w="1202" w:type="pct"/>
            <w:vAlign w:val="center"/>
          </w:tcPr>
          <w:p w14:paraId="636FB4A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柴油</w:t>
            </w:r>
          </w:p>
        </w:tc>
        <w:tc>
          <w:tcPr>
            <w:tcW w:w="1532" w:type="pct"/>
            <w:vAlign w:val="center"/>
          </w:tcPr>
          <w:p w14:paraId="4F737C35" w14:textId="77777777" w:rsidR="00502148" w:rsidRDefault="00000000">
            <w:pPr>
              <w:widowControl/>
              <w:adjustRightInd/>
              <w:snapToGrid/>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3</w:t>
            </w:r>
          </w:p>
        </w:tc>
        <w:tc>
          <w:tcPr>
            <w:tcW w:w="984" w:type="pct"/>
            <w:vAlign w:val="center"/>
          </w:tcPr>
          <w:p w14:paraId="1C70E6E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739" w:type="pct"/>
            <w:vAlign w:val="center"/>
          </w:tcPr>
          <w:p w14:paraId="32570A1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5000</w:t>
            </w:r>
          </w:p>
        </w:tc>
      </w:tr>
    </w:tbl>
    <w:bookmarkEnd w:id="116"/>
    <w:p w14:paraId="2D1A49DB" w14:textId="77777777" w:rsidR="00502148" w:rsidRDefault="00000000">
      <w:pPr>
        <w:ind w:firstLine="560"/>
        <w:rPr>
          <w:rFonts w:ascii="Times New Roman" w:eastAsia="宋体" w:hAnsi="Times New Roman"/>
        </w:rPr>
      </w:pPr>
      <w:r>
        <w:rPr>
          <w:rFonts w:ascii="Times New Roman" w:eastAsia="宋体" w:hAnsi="Times New Roman" w:hint="eastAsia"/>
        </w:rPr>
        <w:t>S=q</w:t>
      </w:r>
      <w:r>
        <w:rPr>
          <w:rFonts w:ascii="Times New Roman" w:eastAsia="宋体" w:hAnsi="Times New Roman" w:hint="eastAsia"/>
          <w:vertAlign w:val="subscript"/>
        </w:rPr>
        <w:t>1</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=48/200+102/5000=0.2604</w:t>
      </w: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w:t>
      </w:r>
    </w:p>
    <w:p w14:paraId="64901426" w14:textId="77777777" w:rsidR="00502148" w:rsidRDefault="00000000">
      <w:pPr>
        <w:ind w:firstLine="560"/>
        <w:rPr>
          <w:rFonts w:ascii="Times New Roman" w:eastAsia="宋体" w:hAnsi="Times New Roman"/>
        </w:rPr>
      </w:pPr>
      <w:r>
        <w:rPr>
          <w:rFonts w:ascii="Times New Roman" w:eastAsia="宋体" w:hAnsi="Times New Roman" w:hint="eastAsia"/>
        </w:rPr>
        <w:t>因此，储罐区未构成危险化学品重大危险源。</w:t>
      </w:r>
    </w:p>
    <w:p w14:paraId="0661DB7C" w14:textId="77777777" w:rsidR="00502148" w:rsidRDefault="00000000">
      <w:pPr>
        <w:ind w:firstLine="560"/>
        <w:rPr>
          <w:rFonts w:ascii="Times New Roman" w:eastAsia="宋体" w:hAnsi="Times New Roman"/>
        </w:rPr>
      </w:pPr>
      <w:r>
        <w:rPr>
          <w:rFonts w:ascii="Times New Roman" w:eastAsia="宋体" w:hAnsi="Times New Roman" w:hint="eastAsia"/>
        </w:rPr>
        <w:t>综上，该站未构成危险化学品重大危险源。</w:t>
      </w:r>
      <w:r>
        <w:rPr>
          <w:rFonts w:ascii="Times New Roman" w:eastAsia="宋体" w:hAnsi="Times New Roman"/>
        </w:rPr>
        <w:br w:type="page"/>
      </w:r>
    </w:p>
    <w:p w14:paraId="732DEA2D"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17" w:name="_Toc31133"/>
      <w:bookmarkStart w:id="118" w:name="_Toc8414"/>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4</w:t>
      </w:r>
      <w:r>
        <w:rPr>
          <w:rFonts w:ascii="Times New Roman" w:eastAsia="黑体" w:hAnsi="Times New Roman" w:cs="Times New Roman"/>
          <w:b/>
          <w:bCs/>
          <w:sz w:val="32"/>
          <w:szCs w:val="32"/>
        </w:rPr>
        <w:t>定性、定量分析危险、有害程度的过程</w:t>
      </w:r>
      <w:bookmarkEnd w:id="117"/>
      <w:bookmarkEnd w:id="118"/>
    </w:p>
    <w:p w14:paraId="437DC126"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9" w:name="_Toc6698"/>
      <w:bookmarkStart w:id="120" w:name="_Toc28797"/>
      <w:bookmarkStart w:id="121" w:name="_Toc17510"/>
      <w:bookmarkStart w:id="122" w:name="_Toc5933"/>
      <w:bookmarkStart w:id="123" w:name="_Toc15223"/>
      <w:r>
        <w:rPr>
          <w:rFonts w:ascii="Times New Roman" w:eastAsia="楷体" w:hAnsi="Times New Roman" w:cs="Times New Roman"/>
          <w:b/>
          <w:bCs/>
          <w:sz w:val="32"/>
          <w:szCs w:val="32"/>
        </w:rPr>
        <w:t>F4.1</w:t>
      </w:r>
      <w:r>
        <w:rPr>
          <w:rFonts w:ascii="Times New Roman" w:eastAsia="楷体" w:hAnsi="Times New Roman" w:cs="Times New Roman"/>
          <w:b/>
          <w:bCs/>
          <w:sz w:val="32"/>
          <w:szCs w:val="32"/>
        </w:rPr>
        <w:t>安全检查表法定性评价过程</w:t>
      </w:r>
      <w:bookmarkEnd w:id="119"/>
      <w:bookmarkEnd w:id="120"/>
      <w:bookmarkEnd w:id="121"/>
      <w:bookmarkEnd w:id="122"/>
    </w:p>
    <w:p w14:paraId="4A67B1EF"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0"/>
          <w14:ligatures w14:val="none"/>
        </w:rPr>
        <w:t>根据《</w:t>
      </w:r>
      <w:r>
        <w:rPr>
          <w:rFonts w:ascii="Times New Roman" w:eastAsia="宋体" w:hAnsi="Times New Roman" w:cs="Times New Roman"/>
          <w:szCs w:val="20"/>
          <w14:ligatures w14:val="none"/>
        </w:rPr>
        <w:t>中铁（辽宁）本桓高速公路有限公司五里甸子服务区</w:t>
      </w:r>
      <w:r>
        <w:rPr>
          <w:rFonts w:ascii="Times New Roman" w:eastAsia="宋体" w:hAnsi="Times New Roman" w:cs="Times New Roman" w:hint="eastAsia"/>
          <w:szCs w:val="20"/>
          <w14:ligatures w14:val="none"/>
        </w:rPr>
        <w:t>西</w:t>
      </w:r>
      <w:r>
        <w:rPr>
          <w:rFonts w:ascii="Times New Roman" w:eastAsia="宋体" w:hAnsi="Times New Roman" w:cs="Times New Roman"/>
          <w:szCs w:val="20"/>
          <w14:ligatures w14:val="none"/>
        </w:rPr>
        <w:t>侧加油站新建项目安全设施设计专篇</w:t>
      </w:r>
      <w:r>
        <w:rPr>
          <w:rFonts w:ascii="Times New Roman" w:eastAsia="宋体" w:hAnsi="Times New Roman" w:cs="Times New Roman" w:hint="eastAsia"/>
          <w:szCs w:val="20"/>
          <w14:ligatures w14:val="none"/>
        </w:rPr>
        <w:t>》针对设立安全评价报告提出安全对策措施的采纳情况，</w:t>
      </w:r>
      <w:r>
        <w:rPr>
          <w:rFonts w:ascii="Times New Roman" w:eastAsia="宋体" w:hAnsi="Times New Roman" w:cs="Times New Roman"/>
          <w:szCs w:val="20"/>
          <w14:ligatures w14:val="none"/>
        </w:rPr>
        <w:t>采用</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安全检查表法</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对</w:t>
      </w:r>
      <w:r>
        <w:rPr>
          <w:rFonts w:ascii="Times New Roman" w:eastAsia="宋体" w:hAnsi="Times New Roman" w:cs="Times New Roman" w:hint="eastAsia"/>
          <w:szCs w:val="20"/>
          <w14:ligatures w14:val="none"/>
        </w:rPr>
        <w:t>本项目</w:t>
      </w:r>
      <w:r>
        <w:rPr>
          <w:rFonts w:ascii="Times New Roman" w:eastAsia="宋体" w:hAnsi="Times New Roman" w:cs="Times New Roman"/>
          <w:szCs w:val="20"/>
          <w14:ligatures w14:val="none"/>
        </w:rPr>
        <w:t>的选址及总平面布置、</w:t>
      </w:r>
      <w:r>
        <w:rPr>
          <w:rFonts w:ascii="Times New Roman" w:eastAsia="宋体" w:hAnsi="Times New Roman" w:cs="Times New Roman"/>
          <w:szCs w:val="28"/>
          <w14:ligatures w14:val="none"/>
        </w:rPr>
        <w:t>加油工艺设备及设施、公用工程及辅助设施</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消防设施及给排水</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电气、防雷、防静电、报警和紧急切断系统</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建（构）筑物、绿化</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以及安全管理单元</w:t>
      </w:r>
      <w:r>
        <w:rPr>
          <w:rFonts w:ascii="Times New Roman" w:eastAsia="宋体" w:hAnsi="Times New Roman" w:cs="Times New Roman"/>
          <w:szCs w:val="20"/>
          <w14:ligatures w14:val="none"/>
        </w:rPr>
        <w:t>进行分析评价详见附表</w:t>
      </w:r>
      <w:r>
        <w:rPr>
          <w:rFonts w:ascii="Times New Roman" w:eastAsia="宋体" w:hAnsi="Times New Roman" w:cs="Times New Roman"/>
          <w:szCs w:val="20"/>
          <w14:ligatures w14:val="none"/>
        </w:rPr>
        <w:t>4.1-1</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针对</w:t>
      </w:r>
      <w:r>
        <w:rPr>
          <w:rFonts w:ascii="Times New Roman" w:eastAsia="宋体" w:hAnsi="Times New Roman" w:cs="Times New Roman"/>
          <w:szCs w:val="20"/>
          <w14:ligatures w14:val="none"/>
        </w:rPr>
        <w:t>重大生产安全事故隐患判定</w:t>
      </w:r>
      <w:r>
        <w:rPr>
          <w:rFonts w:ascii="Times New Roman" w:eastAsia="宋体" w:hAnsi="Times New Roman" w:cs="Times New Roman" w:hint="eastAsia"/>
          <w:szCs w:val="20"/>
          <w14:ligatures w14:val="none"/>
        </w:rPr>
        <w:t>单元</w:t>
      </w:r>
      <w:r>
        <w:rPr>
          <w:rFonts w:ascii="Times New Roman" w:eastAsia="宋体" w:hAnsi="Times New Roman" w:cs="Times New Roman"/>
          <w:szCs w:val="20"/>
          <w14:ligatures w14:val="none"/>
        </w:rPr>
        <w:t>评价过程</w:t>
      </w:r>
      <w:r>
        <w:rPr>
          <w:rFonts w:ascii="Times New Roman" w:eastAsia="宋体" w:hAnsi="Times New Roman" w:cs="Times New Roman" w:hint="eastAsia"/>
          <w:szCs w:val="20"/>
          <w14:ligatures w14:val="none"/>
        </w:rPr>
        <w:t>见</w:t>
      </w:r>
      <w:r>
        <w:rPr>
          <w:rFonts w:ascii="Times New Roman" w:eastAsia="宋体" w:hAnsi="Times New Roman" w:cs="Times New Roman"/>
          <w:szCs w:val="20"/>
          <w14:ligatures w14:val="none"/>
        </w:rPr>
        <w:t>附表</w:t>
      </w:r>
      <w:r>
        <w:rPr>
          <w:rFonts w:ascii="Times New Roman" w:eastAsia="宋体" w:hAnsi="Times New Roman" w:cs="Times New Roman"/>
          <w:szCs w:val="20"/>
          <w14:ligatures w14:val="none"/>
        </w:rPr>
        <w:t>4.1-2</w:t>
      </w:r>
      <w:r>
        <w:rPr>
          <w:rFonts w:ascii="Times New Roman" w:eastAsia="宋体" w:hAnsi="Times New Roman" w:cs="Times New Roman"/>
          <w:szCs w:val="20"/>
          <w14:ligatures w14:val="none"/>
        </w:rPr>
        <w:t>，站内加油工艺设备</w:t>
      </w:r>
      <w:r>
        <w:rPr>
          <w:rFonts w:ascii="Times New Roman" w:eastAsia="宋体" w:hAnsi="Times New Roman" w:cs="Times New Roman" w:hint="eastAsia"/>
          <w:szCs w:val="20"/>
          <w14:ligatures w14:val="none"/>
        </w:rPr>
        <w:t>防火间距及</w:t>
      </w:r>
      <w:r>
        <w:rPr>
          <w:rFonts w:ascii="Times New Roman" w:eastAsia="宋体" w:hAnsi="Times New Roman" w:cs="Times New Roman"/>
          <w:szCs w:val="20"/>
          <w14:ligatures w14:val="none"/>
        </w:rPr>
        <w:t>与站外建（构）筑物安全间距详见附表</w:t>
      </w:r>
      <w:r>
        <w:rPr>
          <w:rFonts w:ascii="Times New Roman" w:eastAsia="宋体" w:hAnsi="Times New Roman" w:cs="Times New Roman"/>
          <w:szCs w:val="20"/>
          <w14:ligatures w14:val="none"/>
        </w:rPr>
        <w:t>4.1-3</w:t>
      </w:r>
      <w:r>
        <w:rPr>
          <w:rFonts w:ascii="Times New Roman" w:eastAsia="宋体" w:hAnsi="Times New Roman" w:cs="Times New Roman" w:hint="eastAsia"/>
          <w:szCs w:val="20"/>
          <w14:ligatures w14:val="none"/>
        </w:rPr>
        <w:t>和</w:t>
      </w:r>
      <w:r>
        <w:rPr>
          <w:rFonts w:ascii="Times New Roman" w:eastAsia="宋体" w:hAnsi="Times New Roman" w:cs="Times New Roman"/>
          <w:szCs w:val="20"/>
          <w14:ligatures w14:val="none"/>
        </w:rPr>
        <w:t>4.1-4</w:t>
      </w:r>
      <w:r>
        <w:rPr>
          <w:rFonts w:ascii="Times New Roman" w:eastAsia="宋体" w:hAnsi="Times New Roman" w:cs="Times New Roman"/>
          <w:szCs w:val="20"/>
          <w14:ligatures w14:val="none"/>
        </w:rPr>
        <w:t>。</w:t>
      </w:r>
    </w:p>
    <w:p w14:paraId="07220395"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4.1-1  </w:t>
      </w:r>
      <w:r>
        <w:rPr>
          <w:rFonts w:ascii="Times New Roman" w:eastAsia="黑体" w:hAnsi="Times New Roman"/>
          <w:sz w:val="24"/>
        </w:rPr>
        <w:t>安全检查表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235"/>
        <w:gridCol w:w="2240"/>
        <w:gridCol w:w="2077"/>
        <w:gridCol w:w="773"/>
      </w:tblGrid>
      <w:tr w:rsidR="00502148" w14:paraId="0C93B07C" w14:textId="77777777">
        <w:trPr>
          <w:trHeight w:val="442"/>
          <w:tblHeader/>
          <w:jc w:val="center"/>
        </w:trPr>
        <w:tc>
          <w:tcPr>
            <w:tcW w:w="458" w:type="pct"/>
            <w:vAlign w:val="center"/>
          </w:tcPr>
          <w:p w14:paraId="3EF011DE" w14:textId="77777777" w:rsidR="00502148"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项目</w:t>
            </w:r>
          </w:p>
        </w:tc>
        <w:tc>
          <w:tcPr>
            <w:tcW w:w="1765" w:type="pct"/>
            <w:vAlign w:val="center"/>
          </w:tcPr>
          <w:p w14:paraId="1AEA47F8"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检查内容</w:t>
            </w:r>
          </w:p>
        </w:tc>
        <w:tc>
          <w:tcPr>
            <w:tcW w:w="1222" w:type="pct"/>
            <w:vAlign w:val="center"/>
          </w:tcPr>
          <w:p w14:paraId="28D7B229"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依据</w:t>
            </w:r>
          </w:p>
        </w:tc>
        <w:tc>
          <w:tcPr>
            <w:tcW w:w="1133" w:type="pct"/>
            <w:vAlign w:val="center"/>
          </w:tcPr>
          <w:p w14:paraId="75DAAA2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检查记录</w:t>
            </w:r>
          </w:p>
        </w:tc>
        <w:tc>
          <w:tcPr>
            <w:tcW w:w="419" w:type="pct"/>
            <w:vAlign w:val="center"/>
          </w:tcPr>
          <w:p w14:paraId="60BEA383"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结论</w:t>
            </w:r>
          </w:p>
        </w:tc>
      </w:tr>
      <w:tr w:rsidR="00502148" w14:paraId="53721A15" w14:textId="77777777">
        <w:trPr>
          <w:trHeight w:val="442"/>
          <w:jc w:val="center"/>
        </w:trPr>
        <w:tc>
          <w:tcPr>
            <w:tcW w:w="5000" w:type="pct"/>
            <w:gridSpan w:val="5"/>
            <w:vAlign w:val="center"/>
          </w:tcPr>
          <w:p w14:paraId="18E63AF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一</w:t>
            </w:r>
            <w:r>
              <w:rPr>
                <w:rFonts w:ascii="Times New Roman" w:eastAsia="宋体" w:hAnsi="Times New Roman" w:cs="Times New Roman"/>
                <w:kern w:val="28"/>
                <w:sz w:val="21"/>
                <w:szCs w:val="21"/>
                <w14:ligatures w14:val="none"/>
              </w:rPr>
              <w:t>、选址及总平面布置</w:t>
            </w:r>
            <w:r>
              <w:rPr>
                <w:rFonts w:ascii="Times New Roman" w:eastAsia="宋体" w:hAnsi="Times New Roman" w:cs="Times New Roman" w:hint="eastAsia"/>
                <w:kern w:val="28"/>
                <w:sz w:val="21"/>
                <w:szCs w:val="21"/>
                <w14:ligatures w14:val="none"/>
              </w:rPr>
              <w:t>单元</w:t>
            </w:r>
          </w:p>
        </w:tc>
      </w:tr>
      <w:tr w:rsidR="00502148" w14:paraId="75264C2F" w14:textId="77777777">
        <w:trPr>
          <w:trHeight w:val="442"/>
          <w:jc w:val="center"/>
        </w:trPr>
        <w:tc>
          <w:tcPr>
            <w:tcW w:w="458" w:type="pct"/>
            <w:vMerge w:val="restart"/>
            <w:vAlign w:val="center"/>
          </w:tcPr>
          <w:p w14:paraId="5B5F827A"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选址及总平面布置</w:t>
            </w:r>
            <w:r>
              <w:rPr>
                <w:rFonts w:ascii="Times New Roman" w:eastAsia="宋体" w:hAnsi="Times New Roman" w:cs="Times New Roman" w:hint="eastAsia"/>
                <w:kern w:val="28"/>
                <w:sz w:val="21"/>
                <w:szCs w:val="21"/>
                <w14:ligatures w14:val="none"/>
              </w:rPr>
              <w:t>单元</w:t>
            </w:r>
          </w:p>
        </w:tc>
        <w:tc>
          <w:tcPr>
            <w:tcW w:w="1765" w:type="pct"/>
            <w:vAlign w:val="center"/>
          </w:tcPr>
          <w:p w14:paraId="7A1D5CE8"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加油站内乙醇汽油设施的设计，除应符合本标准的规定外，尚应符合现行国家标准《车用乙醇汽油储运设计规范》（</w:t>
            </w:r>
            <w:r>
              <w:rPr>
                <w:rFonts w:ascii="Times New Roman" w:eastAsia="宋体" w:hAnsi="Times New Roman" w:cs="Times New Roman" w:hint="eastAsia"/>
                <w:kern w:val="28"/>
                <w:sz w:val="21"/>
                <w:szCs w:val="21"/>
                <w14:ligatures w14:val="none"/>
              </w:rPr>
              <w:t>GB/T 50610-2010</w:t>
            </w:r>
            <w:r>
              <w:rPr>
                <w:rFonts w:ascii="Times New Roman" w:eastAsia="宋体" w:hAnsi="Times New Roman" w:cs="Times New Roman" w:hint="eastAsia"/>
                <w:kern w:val="28"/>
                <w:sz w:val="21"/>
                <w:szCs w:val="21"/>
                <w14:ligatures w14:val="none"/>
              </w:rPr>
              <w:t>）的有关规定。</w:t>
            </w:r>
          </w:p>
        </w:tc>
        <w:tc>
          <w:tcPr>
            <w:tcW w:w="1222" w:type="pct"/>
            <w:vAlign w:val="center"/>
          </w:tcPr>
          <w:p w14:paraId="53822146"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p>
          <w:p w14:paraId="424350F9"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2B86326E"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3.0.4</w:t>
            </w:r>
            <w:r>
              <w:rPr>
                <w:rFonts w:ascii="Times New Roman" w:eastAsia="宋体" w:hAnsi="Times New Roman" w:cs="Times New Roman" w:hint="eastAsia"/>
                <w:kern w:val="28"/>
                <w:sz w:val="21"/>
                <w:szCs w:val="21"/>
                <w14:ligatures w14:val="none"/>
              </w:rPr>
              <w:t>条</w:t>
            </w:r>
          </w:p>
        </w:tc>
        <w:tc>
          <w:tcPr>
            <w:tcW w:w="1133" w:type="pct"/>
            <w:vAlign w:val="center"/>
          </w:tcPr>
          <w:p w14:paraId="564974DC" w14:textId="77777777" w:rsidR="00502148" w:rsidRDefault="00000000">
            <w:pPr>
              <w:spacing w:line="240" w:lineRule="auto"/>
              <w:ind w:firstLineChars="0" w:firstLine="0"/>
              <w:rPr>
                <w:rFonts w:ascii="Times New Roman" w:eastAsia="宋体" w:hAnsi="Times New Roman" w:cs="宋体"/>
                <w:sz w:val="21"/>
                <w:szCs w:val="21"/>
                <w14:ligatures w14:val="none"/>
              </w:rPr>
            </w:pPr>
            <w:r>
              <w:rPr>
                <w:rFonts w:ascii="宋体" w:eastAsia="宋体" w:hAnsi="宋体" w:cs="宋体" w:hint="eastAsia"/>
                <w:kern w:val="0"/>
                <w:sz w:val="21"/>
                <w:szCs w:val="21"/>
                <w14:ligatures w14:val="none"/>
              </w:rPr>
              <w:t>站</w:t>
            </w:r>
            <w:r>
              <w:rPr>
                <w:rFonts w:ascii="Times New Roman" w:eastAsia="宋体" w:hAnsi="Times New Roman" w:cs="宋体" w:hint="eastAsia"/>
                <w:sz w:val="21"/>
                <w:szCs w:val="21"/>
                <w14:ligatures w14:val="none"/>
              </w:rPr>
              <w:t>内乙醇汽油设施的设计符合现行国家标准《车用乙醇汽油储运设计规范》</w:t>
            </w:r>
          </w:p>
          <w:p w14:paraId="5B150006" w14:textId="77777777" w:rsidR="00502148" w:rsidRDefault="00000000">
            <w:pPr>
              <w:spacing w:line="240" w:lineRule="auto"/>
              <w:ind w:firstLineChars="0" w:firstLine="0"/>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GB/T50610-2010</w:t>
            </w:r>
            <w:r>
              <w:rPr>
                <w:rFonts w:ascii="Times New Roman" w:eastAsia="宋体" w:hAnsi="Times New Roman" w:cs="宋体" w:hint="eastAsia"/>
                <w:sz w:val="21"/>
                <w:szCs w:val="21"/>
                <w14:ligatures w14:val="none"/>
              </w:rPr>
              <w:t>）</w:t>
            </w:r>
          </w:p>
          <w:p w14:paraId="4FAED9CB" w14:textId="77777777" w:rsidR="00502148"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宋体" w:hint="eastAsia"/>
                <w:sz w:val="21"/>
                <w:szCs w:val="21"/>
                <w14:ligatures w14:val="none"/>
              </w:rPr>
              <w:t>的有关规定</w:t>
            </w:r>
          </w:p>
        </w:tc>
        <w:tc>
          <w:tcPr>
            <w:tcW w:w="419" w:type="pct"/>
            <w:vAlign w:val="center"/>
          </w:tcPr>
          <w:p w14:paraId="01E62501" w14:textId="77777777" w:rsidR="00502148"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03CF51EC" w14:textId="77777777">
        <w:trPr>
          <w:trHeight w:val="442"/>
          <w:jc w:val="center"/>
        </w:trPr>
        <w:tc>
          <w:tcPr>
            <w:tcW w:w="458" w:type="pct"/>
            <w:vMerge/>
            <w:vAlign w:val="center"/>
          </w:tcPr>
          <w:p w14:paraId="5945A973"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608293CA"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汽车加油加气站内不应设置存放甲、乙类火灾危险性物品的封闭式房间。</w:t>
            </w:r>
          </w:p>
        </w:tc>
        <w:tc>
          <w:tcPr>
            <w:tcW w:w="1222" w:type="pct"/>
            <w:vAlign w:val="center"/>
          </w:tcPr>
          <w:p w14:paraId="0C6CA59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3F1A743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3.0.25</w:t>
            </w:r>
            <w:r>
              <w:rPr>
                <w:rFonts w:ascii="Times New Roman" w:eastAsia="宋体" w:hAnsi="Times New Roman" w:cs="Times New Roman" w:hint="eastAsia"/>
                <w:kern w:val="28"/>
                <w:sz w:val="21"/>
                <w:szCs w:val="21"/>
                <w14:ligatures w14:val="none"/>
              </w:rPr>
              <w:t>条</w:t>
            </w:r>
          </w:p>
        </w:tc>
        <w:tc>
          <w:tcPr>
            <w:tcW w:w="1133" w:type="pct"/>
            <w:vAlign w:val="center"/>
          </w:tcPr>
          <w:p w14:paraId="74E854D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kern w:val="0"/>
                <w:sz w:val="21"/>
                <w:szCs w:val="21"/>
                <w14:ligatures w14:val="none"/>
              </w:rPr>
              <w:t>站内未</w:t>
            </w:r>
            <w:r>
              <w:rPr>
                <w:rFonts w:ascii="Times New Roman" w:eastAsia="宋体" w:hAnsi="Times New Roman" w:cs="宋体" w:hint="eastAsia"/>
                <w:sz w:val="21"/>
                <w:szCs w:val="21"/>
                <w14:ligatures w14:val="none"/>
              </w:rPr>
              <w:t>设置存放甲、乙类火灾危险性物品的封闭式房间</w:t>
            </w:r>
          </w:p>
        </w:tc>
        <w:tc>
          <w:tcPr>
            <w:tcW w:w="419" w:type="pct"/>
            <w:vAlign w:val="center"/>
          </w:tcPr>
          <w:p w14:paraId="100AA7AD"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5259D356" w14:textId="77777777">
        <w:trPr>
          <w:trHeight w:val="442"/>
          <w:jc w:val="center"/>
        </w:trPr>
        <w:tc>
          <w:tcPr>
            <w:tcW w:w="458" w:type="pct"/>
            <w:vMerge/>
            <w:vAlign w:val="center"/>
          </w:tcPr>
          <w:p w14:paraId="43867572"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18545E6C"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汽车加油加气站应设置电视监视系统，监视范围应覆盖作业区。</w:t>
            </w:r>
          </w:p>
        </w:tc>
        <w:tc>
          <w:tcPr>
            <w:tcW w:w="1222" w:type="pct"/>
            <w:vAlign w:val="center"/>
          </w:tcPr>
          <w:p w14:paraId="77B71E10"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47093AEE"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3.0.27</w:t>
            </w:r>
            <w:r>
              <w:rPr>
                <w:rFonts w:ascii="Times New Roman" w:eastAsia="宋体" w:hAnsi="Times New Roman" w:cs="Times New Roman" w:hint="eastAsia"/>
                <w:kern w:val="28"/>
                <w:sz w:val="21"/>
                <w:szCs w:val="21"/>
                <w14:ligatures w14:val="none"/>
              </w:rPr>
              <w:t>条</w:t>
            </w:r>
          </w:p>
        </w:tc>
        <w:tc>
          <w:tcPr>
            <w:tcW w:w="1133" w:type="pct"/>
            <w:vAlign w:val="center"/>
          </w:tcPr>
          <w:p w14:paraId="4826A4B0" w14:textId="77777777" w:rsidR="00502148"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宋体" w:hint="eastAsia"/>
                <w:sz w:val="21"/>
                <w:szCs w:val="21"/>
                <w14:ligatures w14:val="none"/>
              </w:rPr>
              <w:t>站内设置电视监视系统，且监视范围覆盖作业区</w:t>
            </w:r>
          </w:p>
        </w:tc>
        <w:tc>
          <w:tcPr>
            <w:tcW w:w="419" w:type="pct"/>
            <w:vAlign w:val="center"/>
          </w:tcPr>
          <w:p w14:paraId="0D88C0D1" w14:textId="77777777" w:rsidR="00502148"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0CD397C5" w14:textId="77777777">
        <w:trPr>
          <w:trHeight w:val="442"/>
          <w:jc w:val="center"/>
        </w:trPr>
        <w:tc>
          <w:tcPr>
            <w:tcW w:w="458" w:type="pct"/>
            <w:vMerge/>
            <w:vAlign w:val="center"/>
          </w:tcPr>
          <w:p w14:paraId="5B0D7A09"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2F0F8569"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加油作业区与辅助服务区之间应有界线标识。</w:t>
            </w:r>
          </w:p>
        </w:tc>
        <w:tc>
          <w:tcPr>
            <w:tcW w:w="1222" w:type="pct"/>
            <w:vAlign w:val="center"/>
          </w:tcPr>
          <w:p w14:paraId="017DD455"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5347636C"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5.0.3</w:t>
            </w:r>
            <w:r>
              <w:rPr>
                <w:rFonts w:ascii="Times New Roman" w:eastAsia="宋体" w:hAnsi="Times New Roman" w:cs="Times New Roman" w:hint="eastAsia"/>
                <w:kern w:val="28"/>
                <w:sz w:val="21"/>
                <w:szCs w:val="21"/>
                <w14:ligatures w14:val="none"/>
              </w:rPr>
              <w:t>条</w:t>
            </w:r>
          </w:p>
        </w:tc>
        <w:tc>
          <w:tcPr>
            <w:tcW w:w="1133" w:type="pct"/>
            <w:vAlign w:val="center"/>
          </w:tcPr>
          <w:p w14:paraId="74BDF5F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t>加油作业区与辅助作业区之间有明显界线标识</w:t>
            </w:r>
          </w:p>
        </w:tc>
        <w:tc>
          <w:tcPr>
            <w:tcW w:w="419" w:type="pct"/>
            <w:vAlign w:val="center"/>
          </w:tcPr>
          <w:p w14:paraId="3691A780"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502148" w14:paraId="6FA2E894" w14:textId="77777777">
        <w:trPr>
          <w:trHeight w:val="442"/>
          <w:jc w:val="center"/>
        </w:trPr>
        <w:tc>
          <w:tcPr>
            <w:tcW w:w="458" w:type="pct"/>
            <w:vMerge/>
            <w:vAlign w:val="center"/>
          </w:tcPr>
          <w:p w14:paraId="2C7211DF"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2F245F6B"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加油作业区内，不得有“明火地点”或“散发火花地点”。</w:t>
            </w:r>
          </w:p>
        </w:tc>
        <w:tc>
          <w:tcPr>
            <w:tcW w:w="1222" w:type="pct"/>
            <w:vAlign w:val="center"/>
          </w:tcPr>
          <w:p w14:paraId="216D69A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7D7C21EE"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第</w:t>
            </w:r>
            <w:r>
              <w:rPr>
                <w:rFonts w:ascii="Times New Roman" w:eastAsia="宋体" w:hAnsi="Times New Roman" w:cs="Times New Roman" w:hint="eastAsia"/>
                <w:kern w:val="28"/>
                <w:sz w:val="21"/>
                <w:szCs w:val="21"/>
                <w14:ligatures w14:val="none"/>
              </w:rPr>
              <w:t>5.0.5</w:t>
            </w:r>
            <w:r>
              <w:rPr>
                <w:rFonts w:ascii="Times New Roman" w:eastAsia="宋体" w:hAnsi="Times New Roman" w:cs="Times New Roman" w:hint="eastAsia"/>
                <w:kern w:val="28"/>
                <w:sz w:val="21"/>
                <w:szCs w:val="21"/>
                <w14:ligatures w14:val="none"/>
              </w:rPr>
              <w:t>条</w:t>
            </w:r>
          </w:p>
        </w:tc>
        <w:tc>
          <w:tcPr>
            <w:tcW w:w="1133" w:type="pct"/>
            <w:vAlign w:val="center"/>
          </w:tcPr>
          <w:p w14:paraId="1E2EB2F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lastRenderedPageBreak/>
              <w:t>加油作业区内无明火或散发火花地点</w:t>
            </w:r>
          </w:p>
        </w:tc>
        <w:tc>
          <w:tcPr>
            <w:tcW w:w="419" w:type="pct"/>
            <w:vAlign w:val="center"/>
          </w:tcPr>
          <w:p w14:paraId="0095030E"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502148" w14:paraId="07D17676" w14:textId="77777777">
        <w:trPr>
          <w:trHeight w:val="442"/>
          <w:jc w:val="center"/>
        </w:trPr>
        <w:tc>
          <w:tcPr>
            <w:tcW w:w="458" w:type="pct"/>
            <w:vMerge/>
            <w:vAlign w:val="center"/>
          </w:tcPr>
          <w:p w14:paraId="57C17452"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33984B3A"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加油站的爆炸危险区域，不应超出站区围墙和可用地界线。</w:t>
            </w:r>
          </w:p>
        </w:tc>
        <w:tc>
          <w:tcPr>
            <w:tcW w:w="1222" w:type="pct"/>
            <w:vAlign w:val="center"/>
          </w:tcPr>
          <w:p w14:paraId="748AB6F3"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0899820A"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5.0.11</w:t>
            </w:r>
            <w:r>
              <w:rPr>
                <w:rFonts w:ascii="Times New Roman" w:eastAsia="宋体" w:hAnsi="Times New Roman" w:cs="Times New Roman" w:hint="eastAsia"/>
                <w:kern w:val="28"/>
                <w:sz w:val="21"/>
                <w:szCs w:val="21"/>
                <w14:ligatures w14:val="none"/>
              </w:rPr>
              <w:t>条</w:t>
            </w:r>
          </w:p>
        </w:tc>
        <w:tc>
          <w:tcPr>
            <w:tcW w:w="1133" w:type="pct"/>
            <w:vAlign w:val="center"/>
          </w:tcPr>
          <w:p w14:paraId="041E738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t>爆炸危险区域没有超出站区围墙和可用地界线</w:t>
            </w:r>
          </w:p>
        </w:tc>
        <w:tc>
          <w:tcPr>
            <w:tcW w:w="419" w:type="pct"/>
            <w:vAlign w:val="center"/>
          </w:tcPr>
          <w:p w14:paraId="1F43D1B9"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502148" w14:paraId="0ECCEC3C" w14:textId="77777777">
        <w:trPr>
          <w:trHeight w:val="442"/>
          <w:jc w:val="center"/>
        </w:trPr>
        <w:tc>
          <w:tcPr>
            <w:tcW w:w="458" w:type="pct"/>
            <w:vMerge/>
            <w:vAlign w:val="center"/>
          </w:tcPr>
          <w:p w14:paraId="09BA2E97"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469A004A"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本标准表</w:t>
            </w:r>
            <w:r>
              <w:rPr>
                <w:rFonts w:ascii="Times New Roman" w:eastAsia="宋体" w:hAnsi="Times New Roman" w:cs="Times New Roman" w:hint="eastAsia"/>
                <w:kern w:val="28"/>
                <w:sz w:val="21"/>
                <w:szCs w:val="21"/>
                <w14:ligatures w14:val="none"/>
              </w:rPr>
              <w:t>5.0.13-1</w:t>
            </w:r>
            <w:r>
              <w:rPr>
                <w:rFonts w:ascii="Times New Roman" w:eastAsia="宋体" w:hAnsi="Times New Roman" w:cs="Times New Roman" w:hint="eastAsia"/>
                <w:kern w:val="28"/>
                <w:sz w:val="21"/>
                <w:szCs w:val="21"/>
                <w14:ligatures w14:val="none"/>
              </w:rPr>
              <w:t>和表</w:t>
            </w:r>
            <w:r>
              <w:rPr>
                <w:rFonts w:ascii="Times New Roman" w:eastAsia="宋体" w:hAnsi="Times New Roman" w:cs="Times New Roman" w:hint="eastAsia"/>
                <w:kern w:val="28"/>
                <w:sz w:val="21"/>
                <w:szCs w:val="21"/>
                <w14:ligatures w14:val="none"/>
              </w:rPr>
              <w:t>5.0.13-2</w:t>
            </w:r>
            <w:r>
              <w:rPr>
                <w:rFonts w:ascii="Times New Roman" w:eastAsia="宋体" w:hAnsi="Times New Roman" w:cs="Times New Roman" w:hint="eastAsia"/>
                <w:kern w:val="28"/>
                <w:sz w:val="21"/>
                <w:szCs w:val="21"/>
                <w14:ligatures w14:val="none"/>
              </w:rPr>
              <w:t>中，工艺设备与站区围墙的防火间距还应符合本标准第</w:t>
            </w:r>
            <w:r>
              <w:rPr>
                <w:rFonts w:ascii="Times New Roman" w:eastAsia="宋体" w:hAnsi="Times New Roman" w:cs="Times New Roman" w:hint="eastAsia"/>
                <w:kern w:val="28"/>
                <w:sz w:val="21"/>
                <w:szCs w:val="21"/>
                <w14:ligatures w14:val="none"/>
              </w:rPr>
              <w:t>5.0.11</w:t>
            </w:r>
            <w:r>
              <w:rPr>
                <w:rFonts w:ascii="Times New Roman" w:eastAsia="宋体" w:hAnsi="Times New Roman" w:cs="Times New Roman" w:hint="eastAsia"/>
                <w:kern w:val="28"/>
                <w:sz w:val="21"/>
                <w:szCs w:val="21"/>
                <w14:ligatures w14:val="none"/>
              </w:rPr>
              <w:t>条的规定。设备或建（构）筑物的计算间距起止点应符合本标准附录</w:t>
            </w:r>
            <w:r>
              <w:rPr>
                <w:rFonts w:ascii="Times New Roman" w:eastAsia="宋体" w:hAnsi="Times New Roman" w:cs="Times New Roman" w:hint="eastAsia"/>
                <w:kern w:val="28"/>
                <w:sz w:val="21"/>
                <w:szCs w:val="21"/>
                <w14:ligatures w14:val="none"/>
              </w:rPr>
              <w:t>A</w:t>
            </w:r>
            <w:r>
              <w:rPr>
                <w:rFonts w:ascii="Times New Roman" w:eastAsia="宋体" w:hAnsi="Times New Roman" w:cs="Times New Roman" w:hint="eastAsia"/>
                <w:kern w:val="28"/>
                <w:sz w:val="21"/>
                <w:szCs w:val="21"/>
                <w14:ligatures w14:val="none"/>
              </w:rPr>
              <w:t>的规定。</w:t>
            </w:r>
          </w:p>
        </w:tc>
        <w:tc>
          <w:tcPr>
            <w:tcW w:w="1222" w:type="pct"/>
            <w:vAlign w:val="center"/>
          </w:tcPr>
          <w:p w14:paraId="1D0A01E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3F6FD44"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5.0.15</w:t>
            </w:r>
            <w:r>
              <w:rPr>
                <w:rFonts w:ascii="Times New Roman" w:eastAsia="宋体" w:hAnsi="Times New Roman" w:cs="宋体" w:hint="eastAsia"/>
                <w:sz w:val="21"/>
                <w:szCs w:val="21"/>
                <w14:ligatures w14:val="none"/>
              </w:rPr>
              <w:t>条</w:t>
            </w:r>
          </w:p>
        </w:tc>
        <w:tc>
          <w:tcPr>
            <w:tcW w:w="1133" w:type="pct"/>
            <w:vAlign w:val="center"/>
          </w:tcPr>
          <w:p w14:paraId="555EDC1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宋体" w:hint="eastAsia"/>
                <w:sz w:val="21"/>
                <w:szCs w:val="21"/>
                <w14:ligatures w14:val="none"/>
              </w:rPr>
              <w:t>本站工艺设备与站区围墙的防火间距符合本标准的规定。</w:t>
            </w:r>
          </w:p>
        </w:tc>
        <w:tc>
          <w:tcPr>
            <w:tcW w:w="419" w:type="pct"/>
            <w:vAlign w:val="center"/>
          </w:tcPr>
          <w:p w14:paraId="332E35A6"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7894A69C" w14:textId="77777777">
        <w:trPr>
          <w:trHeight w:val="442"/>
          <w:jc w:val="center"/>
        </w:trPr>
        <w:tc>
          <w:tcPr>
            <w:tcW w:w="458" w:type="pct"/>
            <w:vMerge/>
            <w:vAlign w:val="center"/>
          </w:tcPr>
          <w:p w14:paraId="668F85D9" w14:textId="77777777" w:rsidR="00502148" w:rsidRDefault="00502148">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2B0EBDAF" w14:textId="77777777" w:rsidR="00502148"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加油站内爆炸危险区域的等级和范围划分，应符合本标准附录</w:t>
            </w:r>
            <w:r>
              <w:rPr>
                <w:rFonts w:ascii="Times New Roman" w:eastAsia="宋体" w:hAnsi="Times New Roman" w:cs="Times New Roman" w:hint="eastAsia"/>
                <w:kern w:val="28"/>
                <w:sz w:val="21"/>
                <w:szCs w:val="21"/>
                <w14:ligatures w14:val="none"/>
              </w:rPr>
              <w:t>C</w:t>
            </w:r>
            <w:r>
              <w:rPr>
                <w:rFonts w:ascii="Times New Roman" w:eastAsia="宋体" w:hAnsi="Times New Roman" w:cs="Times New Roman" w:hint="eastAsia"/>
                <w:kern w:val="28"/>
                <w:sz w:val="21"/>
                <w:szCs w:val="21"/>
                <w14:ligatures w14:val="none"/>
              </w:rPr>
              <w:t>的规定。</w:t>
            </w:r>
          </w:p>
        </w:tc>
        <w:tc>
          <w:tcPr>
            <w:tcW w:w="1222" w:type="pct"/>
            <w:vAlign w:val="center"/>
          </w:tcPr>
          <w:p w14:paraId="6F8FB2F8"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76D1D079"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5.0.16</w:t>
            </w:r>
            <w:r>
              <w:rPr>
                <w:rFonts w:ascii="Times New Roman" w:eastAsia="宋体" w:hAnsi="Times New Roman" w:cs="Times New Roman" w:hint="eastAsia"/>
                <w:kern w:val="28"/>
                <w:sz w:val="21"/>
                <w:szCs w:val="21"/>
                <w14:ligatures w14:val="none"/>
              </w:rPr>
              <w:t>条</w:t>
            </w:r>
          </w:p>
        </w:tc>
        <w:tc>
          <w:tcPr>
            <w:tcW w:w="1133" w:type="pct"/>
            <w:vAlign w:val="center"/>
          </w:tcPr>
          <w:p w14:paraId="6A379FE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kern w:val="0"/>
                <w:sz w:val="21"/>
                <w:szCs w:val="21"/>
                <w14:ligatures w14:val="none"/>
              </w:rPr>
              <w:t>已按附录</w:t>
            </w:r>
            <w:r>
              <w:rPr>
                <w:rFonts w:ascii="Times New Roman" w:eastAsia="宋体" w:hAnsi="Times New Roman" w:cs="Times New Roman"/>
                <w:kern w:val="0"/>
                <w:sz w:val="21"/>
                <w:szCs w:val="21"/>
                <w14:ligatures w14:val="none"/>
              </w:rPr>
              <w:t>C</w:t>
            </w:r>
            <w:r>
              <w:rPr>
                <w:rFonts w:ascii="宋体" w:eastAsia="宋体" w:hAnsi="宋体" w:cs="宋体" w:hint="eastAsia"/>
                <w:kern w:val="0"/>
                <w:sz w:val="21"/>
                <w:szCs w:val="21"/>
                <w14:ligatures w14:val="none"/>
              </w:rPr>
              <w:t>划分爆炸危险区域</w:t>
            </w:r>
          </w:p>
        </w:tc>
        <w:tc>
          <w:tcPr>
            <w:tcW w:w="419" w:type="pct"/>
            <w:vAlign w:val="center"/>
          </w:tcPr>
          <w:p w14:paraId="72FD4032"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502148" w14:paraId="24200B28" w14:textId="77777777">
        <w:trPr>
          <w:trHeight w:val="442"/>
          <w:jc w:val="center"/>
        </w:trPr>
        <w:tc>
          <w:tcPr>
            <w:tcW w:w="5000" w:type="pct"/>
            <w:gridSpan w:val="5"/>
            <w:vAlign w:val="center"/>
          </w:tcPr>
          <w:p w14:paraId="79C8B6F7"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二</w:t>
            </w:r>
            <w:r>
              <w:rPr>
                <w:rFonts w:ascii="Times New Roman" w:eastAsia="宋体" w:hAnsi="Times New Roman" w:cs="Times New Roman"/>
                <w:kern w:val="28"/>
                <w:sz w:val="21"/>
                <w:szCs w:val="21"/>
                <w14:ligatures w14:val="none"/>
              </w:rPr>
              <w:t>、加油工艺设备及设施</w:t>
            </w:r>
            <w:r>
              <w:rPr>
                <w:rFonts w:ascii="Times New Roman" w:eastAsia="宋体" w:hAnsi="Times New Roman" w:cs="Times New Roman" w:hint="eastAsia"/>
                <w:kern w:val="28"/>
                <w:sz w:val="21"/>
                <w:szCs w:val="21"/>
                <w14:ligatures w14:val="none"/>
              </w:rPr>
              <w:t>单元</w:t>
            </w:r>
          </w:p>
        </w:tc>
      </w:tr>
      <w:tr w:rsidR="00502148" w14:paraId="4763A6DD" w14:textId="77777777">
        <w:trPr>
          <w:trHeight w:val="442"/>
          <w:jc w:val="center"/>
        </w:trPr>
        <w:tc>
          <w:tcPr>
            <w:tcW w:w="458" w:type="pct"/>
            <w:vMerge w:val="restart"/>
            <w:vAlign w:val="center"/>
          </w:tcPr>
          <w:p w14:paraId="7C58C6E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加油工艺设备及设施</w:t>
            </w:r>
            <w:r>
              <w:rPr>
                <w:rFonts w:ascii="Times New Roman" w:eastAsia="宋体" w:hAnsi="Times New Roman" w:cs="Times New Roman" w:hint="eastAsia"/>
                <w:sz w:val="21"/>
                <w:szCs w:val="21"/>
                <w14:ligatures w14:val="none"/>
              </w:rPr>
              <w:t>单元</w:t>
            </w:r>
          </w:p>
        </w:tc>
        <w:tc>
          <w:tcPr>
            <w:tcW w:w="1765" w:type="pct"/>
            <w:vAlign w:val="center"/>
          </w:tcPr>
          <w:p w14:paraId="74D2C5A2"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SF</w:t>
            </w:r>
            <w:r>
              <w:rPr>
                <w:rFonts w:ascii="Times New Roman" w:eastAsia="宋体" w:hAnsi="Times New Roman" w:cs="Times New Roman" w:hint="eastAsia"/>
                <w:kern w:val="28"/>
                <w:sz w:val="21"/>
                <w:szCs w:val="21"/>
                <w14:ligatures w14:val="none"/>
              </w:rPr>
              <w:t>双层储罐，可按现行行业标准《钢制常压储罐</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hint="eastAsia"/>
                <w:kern w:val="28"/>
                <w:sz w:val="21"/>
                <w:szCs w:val="21"/>
                <w14:ligatures w14:val="none"/>
              </w:rPr>
              <w:t>第一部分：储存对水有污染的易燃和不易燃液体的埋地卧式圆筒形单层和双层储罐》</w:t>
            </w:r>
            <w:r>
              <w:rPr>
                <w:rFonts w:ascii="Times New Roman" w:eastAsia="宋体" w:hAnsi="Times New Roman" w:cs="Times New Roman" w:hint="eastAsia"/>
                <w:kern w:val="28"/>
                <w:sz w:val="21"/>
                <w:szCs w:val="21"/>
                <w14:ligatures w14:val="none"/>
              </w:rPr>
              <w:t>AQ 3020</w:t>
            </w:r>
            <w:r>
              <w:rPr>
                <w:rFonts w:ascii="Times New Roman" w:eastAsia="宋体" w:hAnsi="Times New Roman" w:cs="Times New Roman" w:hint="eastAsia"/>
                <w:kern w:val="28"/>
                <w:sz w:val="21"/>
                <w:szCs w:val="21"/>
                <w14:ligatures w14:val="none"/>
              </w:rPr>
              <w:t>的有关规定执行，并应符合下列规定：</w:t>
            </w:r>
          </w:p>
          <w:p w14:paraId="54F4C9A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①钢制油罐的罐体和封头所用钢板的公称厚度，不应小于下表的规定。</w:t>
            </w:r>
          </w:p>
          <w:p w14:paraId="4DE97BAA"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②钢制油罐的设计内压不应低于</w:t>
            </w:r>
            <w:r>
              <w:rPr>
                <w:rFonts w:ascii="Times New Roman" w:eastAsia="宋体" w:hAnsi="Times New Roman" w:cs="Times New Roman" w:hint="eastAsia"/>
                <w:kern w:val="28"/>
                <w:sz w:val="21"/>
                <w:szCs w:val="21"/>
                <w14:ligatures w14:val="none"/>
              </w:rPr>
              <w:t>0.08M</w:t>
            </w:r>
            <w:r>
              <w:rPr>
                <w:rFonts w:ascii="Times New Roman" w:eastAsia="宋体" w:hAnsi="Times New Roman" w:cs="Times New Roman"/>
                <w:kern w:val="28"/>
                <w:sz w:val="21"/>
                <w:szCs w:val="21"/>
                <w14:ligatures w14:val="none"/>
              </w:rPr>
              <w:t>p</w:t>
            </w:r>
            <w:r>
              <w:rPr>
                <w:rFonts w:ascii="Times New Roman" w:eastAsia="宋体" w:hAnsi="Times New Roman" w:cs="Times New Roman" w:hint="eastAsia"/>
                <w:kern w:val="28"/>
                <w:sz w:val="21"/>
                <w:szCs w:val="21"/>
                <w14:ligatures w14:val="none"/>
              </w:rPr>
              <w:t>a</w:t>
            </w:r>
            <w:r>
              <w:rPr>
                <w:rFonts w:ascii="Times New Roman" w:eastAsia="宋体" w:hAnsi="Times New Roman" w:cs="Times New Roman" w:hint="eastAsia"/>
                <w:kern w:val="28"/>
                <w:sz w:val="21"/>
                <w:szCs w:val="21"/>
                <w14:ligatures w14:val="none"/>
              </w:rPr>
              <w:t>。</w:t>
            </w:r>
          </w:p>
        </w:tc>
        <w:tc>
          <w:tcPr>
            <w:tcW w:w="1222" w:type="pct"/>
            <w:vAlign w:val="center"/>
          </w:tcPr>
          <w:p w14:paraId="1139FAB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854A6D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6.1.4</w:t>
            </w:r>
            <w:r>
              <w:rPr>
                <w:rFonts w:ascii="Times New Roman" w:eastAsia="宋体" w:hAnsi="Times New Roman" w:cs="宋体" w:hint="eastAsia"/>
                <w:sz w:val="21"/>
                <w:szCs w:val="21"/>
                <w14:ligatures w14:val="none"/>
              </w:rPr>
              <w:t>条</w:t>
            </w:r>
          </w:p>
        </w:tc>
        <w:tc>
          <w:tcPr>
            <w:tcW w:w="1133" w:type="pct"/>
            <w:vAlign w:val="center"/>
          </w:tcPr>
          <w:p w14:paraId="62911D7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储罐</w:t>
            </w:r>
            <w:r>
              <w:rPr>
                <w:rFonts w:ascii="Times New Roman" w:eastAsia="宋体" w:hAnsi="Times New Roman" w:cs="宋体" w:hint="eastAsia"/>
                <w:sz w:val="21"/>
                <w:szCs w:val="21"/>
                <w14:ligatures w14:val="none"/>
              </w:rPr>
              <w:t>的罐体和封头所用钢板的公称厚度，符合相关规定。钢制油罐的设计内压不低于</w:t>
            </w:r>
            <w:r>
              <w:rPr>
                <w:rFonts w:ascii="Times New Roman" w:eastAsia="宋体" w:hAnsi="Times New Roman" w:cs="宋体" w:hint="eastAsia"/>
                <w:sz w:val="21"/>
                <w:szCs w:val="21"/>
                <w14:ligatures w14:val="none"/>
              </w:rPr>
              <w:t>0.08MPa</w:t>
            </w:r>
          </w:p>
        </w:tc>
        <w:tc>
          <w:tcPr>
            <w:tcW w:w="419" w:type="pct"/>
            <w:vAlign w:val="center"/>
          </w:tcPr>
          <w:p w14:paraId="7424EB4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E8FE476" w14:textId="77777777">
        <w:trPr>
          <w:trHeight w:val="442"/>
          <w:jc w:val="center"/>
        </w:trPr>
        <w:tc>
          <w:tcPr>
            <w:tcW w:w="458" w:type="pct"/>
            <w:vMerge/>
            <w:vAlign w:val="center"/>
          </w:tcPr>
          <w:p w14:paraId="5505479F"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69988B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选用的钢</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外玻璃纤维增强塑料双层油罐应符合现行行业标准《加油站用埋地钢</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玻璃纤维增强塑料双层油罐工程技术规范》</w:t>
            </w:r>
            <w:r>
              <w:rPr>
                <w:rFonts w:ascii="Times New Roman" w:eastAsia="宋体" w:hAnsi="Times New Roman" w:cs="Times New Roman" w:hint="eastAsia"/>
                <w:kern w:val="28"/>
                <w:sz w:val="21"/>
                <w:szCs w:val="21"/>
                <w14:ligatures w14:val="none"/>
              </w:rPr>
              <w:t>SH/T 3178</w:t>
            </w:r>
            <w:r>
              <w:rPr>
                <w:rFonts w:ascii="Times New Roman" w:eastAsia="宋体" w:hAnsi="Times New Roman" w:cs="Times New Roman" w:hint="eastAsia"/>
                <w:kern w:val="28"/>
                <w:sz w:val="21"/>
                <w:szCs w:val="21"/>
                <w14:ligatures w14:val="none"/>
              </w:rPr>
              <w:t>的有关规定。</w:t>
            </w:r>
          </w:p>
        </w:tc>
        <w:tc>
          <w:tcPr>
            <w:tcW w:w="1222" w:type="pct"/>
            <w:vAlign w:val="center"/>
          </w:tcPr>
          <w:p w14:paraId="0B1E81D1"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C66DE48"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6.1.5</w:t>
            </w:r>
            <w:r>
              <w:rPr>
                <w:rFonts w:ascii="Times New Roman" w:eastAsia="宋体" w:hAnsi="Times New Roman" w:cs="宋体" w:hint="eastAsia"/>
                <w:sz w:val="21"/>
                <w:szCs w:val="21"/>
                <w14:ligatures w14:val="none"/>
              </w:rPr>
              <w:t>条</w:t>
            </w:r>
          </w:p>
        </w:tc>
        <w:tc>
          <w:tcPr>
            <w:tcW w:w="1133" w:type="pct"/>
            <w:vAlign w:val="center"/>
          </w:tcPr>
          <w:p w14:paraId="016A4235"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szCs w:val="21"/>
                <w14:ligatures w14:val="none"/>
              </w:rPr>
              <w:t>选用的双层油罐符合相关规定</w:t>
            </w:r>
          </w:p>
        </w:tc>
        <w:tc>
          <w:tcPr>
            <w:tcW w:w="419" w:type="pct"/>
            <w:vAlign w:val="center"/>
          </w:tcPr>
          <w:p w14:paraId="647A9AC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1C7F794" w14:textId="77777777">
        <w:trPr>
          <w:trHeight w:val="442"/>
          <w:jc w:val="center"/>
        </w:trPr>
        <w:tc>
          <w:tcPr>
            <w:tcW w:w="458" w:type="pct"/>
            <w:vMerge/>
            <w:vAlign w:val="center"/>
          </w:tcPr>
          <w:p w14:paraId="013C5BF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3A09EB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双层油罐内壁与外壁之间应有满足渗漏检测要求的贯通间隙。</w:t>
            </w:r>
          </w:p>
        </w:tc>
        <w:tc>
          <w:tcPr>
            <w:tcW w:w="1222" w:type="pct"/>
            <w:vAlign w:val="center"/>
          </w:tcPr>
          <w:p w14:paraId="43F5D51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8FC5C9B"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6.1.9</w:t>
            </w:r>
            <w:r>
              <w:rPr>
                <w:rFonts w:ascii="Times New Roman" w:eastAsia="宋体" w:hAnsi="Times New Roman" w:cs="宋体" w:hint="eastAsia"/>
                <w:sz w:val="21"/>
                <w:szCs w:val="21"/>
                <w14:ligatures w14:val="none"/>
              </w:rPr>
              <w:t>条</w:t>
            </w:r>
          </w:p>
        </w:tc>
        <w:tc>
          <w:tcPr>
            <w:tcW w:w="1133" w:type="pct"/>
            <w:vAlign w:val="center"/>
          </w:tcPr>
          <w:p w14:paraId="147975F6"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szCs w:val="21"/>
                <w14:ligatures w14:val="none"/>
              </w:rPr>
              <w:t>双层油罐</w:t>
            </w:r>
            <w:r>
              <w:rPr>
                <w:rFonts w:ascii="Times New Roman" w:eastAsia="宋体" w:hAnsi="Times New Roman" w:cs="宋体" w:hint="eastAsia"/>
                <w:sz w:val="21"/>
                <w:szCs w:val="21"/>
                <w14:ligatures w14:val="none"/>
              </w:rPr>
              <w:t>内壁与外壁之间有满足渗漏检测要求的贯通间隙</w:t>
            </w:r>
          </w:p>
        </w:tc>
        <w:tc>
          <w:tcPr>
            <w:tcW w:w="419" w:type="pct"/>
            <w:vAlign w:val="center"/>
          </w:tcPr>
          <w:p w14:paraId="12AF151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7F5F393" w14:textId="77777777">
        <w:trPr>
          <w:trHeight w:val="442"/>
          <w:jc w:val="center"/>
        </w:trPr>
        <w:tc>
          <w:tcPr>
            <w:tcW w:w="458" w:type="pct"/>
            <w:vMerge/>
            <w:vAlign w:val="center"/>
          </w:tcPr>
          <w:p w14:paraId="4F71D0C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C62CD8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双层钢制油罐、内钢外玻璃纤维增强塑料双层油罐和玻璃纤维增强塑料等非金属防渗衬里的双层油罐，应设渗漏检测立管，并应符合下列规定：</w:t>
            </w:r>
          </w:p>
          <w:p w14:paraId="5573F4E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①检测立管应采用钢管，直径宜为</w:t>
            </w:r>
            <w:r>
              <w:rPr>
                <w:rFonts w:ascii="Times New Roman" w:eastAsia="宋体" w:hAnsi="Times New Roman" w:cs="Times New Roman" w:hint="eastAsia"/>
                <w:kern w:val="28"/>
                <w:sz w:val="21"/>
                <w:szCs w:val="21"/>
                <w14:ligatures w14:val="none"/>
              </w:rPr>
              <w:t>80mm</w:t>
            </w:r>
            <w:r>
              <w:rPr>
                <w:rFonts w:ascii="Times New Roman" w:eastAsia="宋体" w:hAnsi="Times New Roman" w:cs="Times New Roman" w:hint="eastAsia"/>
                <w:kern w:val="28"/>
                <w:sz w:val="21"/>
                <w:szCs w:val="21"/>
                <w14:ligatures w14:val="none"/>
              </w:rPr>
              <w:t>，壁厚不宜小于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w:t>
            </w:r>
          </w:p>
          <w:p w14:paraId="5C8756F3"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②检测立管应位于油罐顶部的纵向中心线上；</w:t>
            </w:r>
          </w:p>
          <w:p w14:paraId="4F1F8CF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③检测立管的底部管口应与油罐内、外壁间隙相连通，顶部管口应装防尘盖；</w:t>
            </w:r>
          </w:p>
          <w:p w14:paraId="087057D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4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④</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检测立管应满足人工检测和在线监测的要求，并应保证油罐内、外壁任何部位出现渗漏均能被发现。</w:t>
            </w:r>
          </w:p>
        </w:tc>
        <w:tc>
          <w:tcPr>
            <w:tcW w:w="1222" w:type="pct"/>
            <w:vAlign w:val="center"/>
          </w:tcPr>
          <w:p w14:paraId="58E5D69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465A397"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6.1.10</w:t>
            </w:r>
            <w:r>
              <w:rPr>
                <w:rFonts w:ascii="Times New Roman" w:eastAsia="宋体" w:hAnsi="Times New Roman" w:cs="宋体" w:hint="eastAsia"/>
                <w:sz w:val="21"/>
                <w:szCs w:val="21"/>
                <w14:ligatures w14:val="none"/>
              </w:rPr>
              <w:t>条</w:t>
            </w:r>
          </w:p>
        </w:tc>
        <w:tc>
          <w:tcPr>
            <w:tcW w:w="1133" w:type="pct"/>
            <w:vAlign w:val="center"/>
          </w:tcPr>
          <w:p w14:paraId="4A4197B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双层油罐设置渗漏检测立管</w:t>
            </w:r>
          </w:p>
        </w:tc>
        <w:tc>
          <w:tcPr>
            <w:tcW w:w="419" w:type="pct"/>
            <w:vAlign w:val="center"/>
          </w:tcPr>
          <w:p w14:paraId="5165583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0F85515" w14:textId="77777777">
        <w:trPr>
          <w:trHeight w:val="442"/>
          <w:jc w:val="center"/>
        </w:trPr>
        <w:tc>
          <w:tcPr>
            <w:tcW w:w="458" w:type="pct"/>
            <w:vMerge/>
            <w:vAlign w:val="center"/>
          </w:tcPr>
          <w:p w14:paraId="718E0DB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1B111F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油罐应采用钢制人孔盖。</w:t>
            </w:r>
          </w:p>
        </w:tc>
        <w:tc>
          <w:tcPr>
            <w:tcW w:w="1222" w:type="pct"/>
            <w:vAlign w:val="center"/>
          </w:tcPr>
          <w:p w14:paraId="310B7E4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p>
          <w:p w14:paraId="20F78D1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53ED2A8F"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6.1.11</w:t>
            </w:r>
            <w:r>
              <w:rPr>
                <w:rFonts w:ascii="Times New Roman" w:eastAsia="宋体" w:hAnsi="Times New Roman" w:cs="宋体" w:hint="eastAsia"/>
                <w:sz w:val="21"/>
                <w:szCs w:val="21"/>
                <w14:ligatures w14:val="none"/>
              </w:rPr>
              <w:t>条</w:t>
            </w:r>
          </w:p>
        </w:tc>
        <w:tc>
          <w:tcPr>
            <w:tcW w:w="1133" w:type="pct"/>
            <w:vAlign w:val="center"/>
          </w:tcPr>
          <w:p w14:paraId="4C86A36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lang w:val="zh-CN"/>
                <w14:ligatures w14:val="none"/>
              </w:rPr>
              <w:t>油罐采用</w:t>
            </w:r>
            <w:r>
              <w:rPr>
                <w:rFonts w:ascii="宋体" w:eastAsia="宋体" w:hAnsi="宋体" w:cs="宋体" w:hint="eastAsia"/>
                <w:sz w:val="21"/>
                <w:szCs w:val="21"/>
                <w:lang w:val="zh-CN"/>
                <w14:ligatures w14:val="none"/>
              </w:rPr>
              <w:t>成品承重钢制</w:t>
            </w:r>
            <w:r>
              <w:rPr>
                <w:rFonts w:ascii="宋体" w:eastAsia="宋体" w:hAnsi="宋体" w:cs="宋体"/>
                <w:sz w:val="21"/>
                <w:szCs w:val="21"/>
                <w:lang w:val="zh-CN"/>
                <w14:ligatures w14:val="none"/>
              </w:rPr>
              <w:t>人孔盖</w:t>
            </w:r>
          </w:p>
        </w:tc>
        <w:tc>
          <w:tcPr>
            <w:tcW w:w="419" w:type="pct"/>
            <w:vAlign w:val="center"/>
          </w:tcPr>
          <w:p w14:paraId="6437EFD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27676A5" w14:textId="77777777">
        <w:trPr>
          <w:trHeight w:val="442"/>
          <w:jc w:val="center"/>
        </w:trPr>
        <w:tc>
          <w:tcPr>
            <w:tcW w:w="458" w:type="pct"/>
            <w:vMerge/>
            <w:vAlign w:val="center"/>
          </w:tcPr>
          <w:p w14:paraId="61E4E1E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4BACAC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油罐设在非车行道下面时，罐顶的覆土厚度不应小于</w:t>
            </w:r>
            <w:r>
              <w:rPr>
                <w:rFonts w:ascii="Times New Roman" w:eastAsia="宋体" w:hAnsi="Times New Roman" w:cs="Times New Roman" w:hint="eastAsia"/>
                <w:kern w:val="28"/>
                <w:sz w:val="21"/>
                <w:szCs w:val="21"/>
                <w14:ligatures w14:val="none"/>
              </w:rPr>
              <w:t>0.5m</w:t>
            </w:r>
            <w:r>
              <w:rPr>
                <w:rFonts w:ascii="Times New Roman" w:eastAsia="宋体" w:hAnsi="Times New Roman" w:cs="Times New Roman" w:hint="eastAsia"/>
                <w:kern w:val="28"/>
                <w:sz w:val="21"/>
                <w:szCs w:val="21"/>
                <w14:ligatures w14:val="none"/>
              </w:rPr>
              <w:t>；设在车行道下面时，罐顶低于混凝土路面不宜小于</w:t>
            </w:r>
            <w:r>
              <w:rPr>
                <w:rFonts w:ascii="Times New Roman" w:eastAsia="宋体" w:hAnsi="Times New Roman" w:cs="Times New Roman" w:hint="eastAsia"/>
                <w:kern w:val="28"/>
                <w:sz w:val="21"/>
                <w:szCs w:val="21"/>
                <w14:ligatures w14:val="none"/>
              </w:rPr>
              <w:t>0.9m</w:t>
            </w:r>
            <w:r>
              <w:rPr>
                <w:rFonts w:ascii="Times New Roman" w:eastAsia="宋体" w:hAnsi="Times New Roman" w:cs="Times New Roman" w:hint="eastAsia"/>
                <w:kern w:val="28"/>
                <w:sz w:val="21"/>
                <w:szCs w:val="21"/>
                <w14:ligatures w14:val="none"/>
              </w:rPr>
              <w:t>。钢制油罐的周围应回填中性沙或细土，其厚度不应小于</w:t>
            </w:r>
            <w:r>
              <w:rPr>
                <w:rFonts w:ascii="Times New Roman" w:eastAsia="宋体" w:hAnsi="Times New Roman" w:cs="Times New Roman" w:hint="eastAsia"/>
                <w:kern w:val="28"/>
                <w:sz w:val="21"/>
                <w:szCs w:val="21"/>
                <w14:ligatures w14:val="none"/>
              </w:rPr>
              <w:t>0.3m</w:t>
            </w:r>
            <w:r>
              <w:rPr>
                <w:rFonts w:ascii="Times New Roman" w:eastAsia="宋体" w:hAnsi="Times New Roman" w:cs="Times New Roman" w:hint="eastAsia"/>
                <w:kern w:val="28"/>
                <w:sz w:val="21"/>
                <w:szCs w:val="21"/>
                <w14:ligatures w14:val="none"/>
              </w:rPr>
              <w:t>；外层为玻璃纤维增强塑料材料的油罐，回填料应符合产品说明书的要求。</w:t>
            </w:r>
          </w:p>
        </w:tc>
        <w:tc>
          <w:tcPr>
            <w:tcW w:w="1222" w:type="pct"/>
            <w:vAlign w:val="center"/>
          </w:tcPr>
          <w:p w14:paraId="2D033F04"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09551CB"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6.1.12</w:t>
            </w:r>
            <w:r>
              <w:rPr>
                <w:rFonts w:ascii="Times New Roman" w:eastAsia="宋体" w:hAnsi="Times New Roman" w:cs="宋体" w:hint="eastAsia"/>
                <w:sz w:val="21"/>
                <w:szCs w:val="21"/>
                <w14:ligatures w14:val="none"/>
              </w:rPr>
              <w:t>条</w:t>
            </w:r>
          </w:p>
        </w:tc>
        <w:tc>
          <w:tcPr>
            <w:tcW w:w="1133" w:type="pct"/>
            <w:vAlign w:val="center"/>
          </w:tcPr>
          <w:p w14:paraId="2B6FD4A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油罐设在非车行道下，罐顶的覆土厚度为</w:t>
            </w:r>
            <w:r>
              <w:rPr>
                <w:rFonts w:ascii="Times New Roman" w:eastAsia="宋体" w:hAnsi="Times New Roman" w:cs="宋体" w:hint="eastAsia"/>
                <w:sz w:val="21"/>
                <w:szCs w:val="21"/>
                <w14:ligatures w14:val="none"/>
              </w:rPr>
              <w:t>2.0m</w:t>
            </w:r>
            <w:r>
              <w:rPr>
                <w:rFonts w:ascii="Times New Roman" w:eastAsia="宋体" w:hAnsi="Times New Roman" w:cs="宋体" w:hint="eastAsia"/>
                <w:sz w:val="21"/>
                <w:szCs w:val="21"/>
                <w14:ligatures w14:val="none"/>
              </w:rPr>
              <w:t>。钢制油罐的周围应回填中性沙或细土，厚度</w:t>
            </w:r>
            <w:r>
              <w:rPr>
                <w:rFonts w:ascii="Times New Roman" w:eastAsia="宋体" w:hAnsi="Times New Roman" w:cs="宋体" w:hint="eastAsia"/>
                <w:sz w:val="21"/>
                <w:szCs w:val="21"/>
                <w14:ligatures w14:val="none"/>
              </w:rPr>
              <w:t>0.3m</w:t>
            </w:r>
          </w:p>
        </w:tc>
        <w:tc>
          <w:tcPr>
            <w:tcW w:w="419" w:type="pct"/>
            <w:vAlign w:val="center"/>
          </w:tcPr>
          <w:p w14:paraId="7C3EDB7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B2F5023" w14:textId="77777777">
        <w:trPr>
          <w:trHeight w:val="442"/>
          <w:jc w:val="center"/>
        </w:trPr>
        <w:tc>
          <w:tcPr>
            <w:tcW w:w="458" w:type="pct"/>
            <w:vMerge/>
            <w:vAlign w:val="center"/>
          </w:tcPr>
          <w:p w14:paraId="65B248B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39C9E3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当埋地油罐受地下水或雨水作用有上浮的可能时，应采取防止油罐上浮的措施。</w:t>
            </w:r>
          </w:p>
        </w:tc>
        <w:tc>
          <w:tcPr>
            <w:tcW w:w="1222" w:type="pct"/>
            <w:vAlign w:val="center"/>
          </w:tcPr>
          <w:p w14:paraId="2A6DDED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40A0564"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6.1.13</w:t>
            </w:r>
            <w:r>
              <w:rPr>
                <w:rFonts w:ascii="Times New Roman" w:eastAsia="宋体" w:hAnsi="Times New Roman" w:cs="宋体" w:hint="eastAsia"/>
                <w:sz w:val="21"/>
                <w:szCs w:val="21"/>
                <w14:ligatures w14:val="none"/>
              </w:rPr>
              <w:t>条</w:t>
            </w:r>
          </w:p>
        </w:tc>
        <w:tc>
          <w:tcPr>
            <w:tcW w:w="1133" w:type="pct"/>
            <w:vAlign w:val="center"/>
          </w:tcPr>
          <w:p w14:paraId="1F7DA4C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油罐设在油罐基础上，油罐固定在油罐筏板基础上的条形钢筋混凝土</w:t>
            </w:r>
            <w:r>
              <w:rPr>
                <w:rFonts w:ascii="Times New Roman" w:eastAsia="宋体" w:hAnsi="Times New Roman" w:cs="Times New Roman"/>
                <w:spacing w:val="-6"/>
                <w:position w:val="2"/>
                <w:sz w:val="21"/>
                <w:szCs w:val="21"/>
                <w:lang w:val="zh-CN"/>
                <w14:ligatures w14:val="none"/>
              </w:rPr>
              <w:t>罐枕上，利用筏板及以上覆土重量防止储罐上浮</w:t>
            </w:r>
          </w:p>
        </w:tc>
        <w:tc>
          <w:tcPr>
            <w:tcW w:w="419" w:type="pct"/>
            <w:vAlign w:val="center"/>
          </w:tcPr>
          <w:p w14:paraId="3226F26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1BF3987" w14:textId="77777777">
        <w:trPr>
          <w:trHeight w:val="442"/>
          <w:jc w:val="center"/>
        </w:trPr>
        <w:tc>
          <w:tcPr>
            <w:tcW w:w="458" w:type="pct"/>
            <w:vMerge/>
            <w:vAlign w:val="center"/>
          </w:tcPr>
          <w:p w14:paraId="012210F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2F12A0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埋地油罐的人孔应设操作井。</w:t>
            </w:r>
          </w:p>
        </w:tc>
        <w:tc>
          <w:tcPr>
            <w:tcW w:w="1222" w:type="pct"/>
            <w:vAlign w:val="center"/>
          </w:tcPr>
          <w:p w14:paraId="48E4EEC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1AA5202" w14:textId="77777777" w:rsidR="00502148" w:rsidRDefault="00000000">
            <w:pPr>
              <w:spacing w:line="240" w:lineRule="auto"/>
              <w:ind w:firstLineChars="0" w:firstLine="0"/>
              <w:jc w:val="center"/>
              <w:rPr>
                <w:rFonts w:ascii="Times New Roman" w:eastAsia="宋体" w:hAnsi="Times New Roman" w:cs="Times New Roman"/>
                <w:spacing w:val="1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6.1.14</w:t>
            </w:r>
            <w:r>
              <w:rPr>
                <w:rFonts w:ascii="Times New Roman" w:eastAsia="宋体" w:hAnsi="Times New Roman" w:cs="宋体" w:hint="eastAsia"/>
                <w:sz w:val="21"/>
                <w:szCs w:val="21"/>
                <w14:ligatures w14:val="none"/>
              </w:rPr>
              <w:t>条</w:t>
            </w:r>
          </w:p>
        </w:tc>
        <w:tc>
          <w:tcPr>
            <w:tcW w:w="1133" w:type="pct"/>
            <w:vAlign w:val="center"/>
          </w:tcPr>
          <w:p w14:paraId="4E18C794" w14:textId="77777777" w:rsidR="00502148"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14:ligatures w14:val="none"/>
              </w:rPr>
              <w:t>油罐人孔设置操作井</w:t>
            </w:r>
          </w:p>
        </w:tc>
        <w:tc>
          <w:tcPr>
            <w:tcW w:w="419" w:type="pct"/>
            <w:vAlign w:val="center"/>
          </w:tcPr>
          <w:p w14:paraId="27AD6317" w14:textId="77777777" w:rsidR="00502148" w:rsidRDefault="00000000">
            <w:pPr>
              <w:spacing w:line="240" w:lineRule="auto"/>
              <w:ind w:firstLineChars="0" w:firstLine="0"/>
              <w:jc w:val="center"/>
              <w:rPr>
                <w:rFonts w:ascii="Times New Roman" w:eastAsia="宋体" w:hAnsi="Times New Roman" w:cs="Times New Roman"/>
                <w:spacing w:val="10"/>
                <w:sz w:val="21"/>
                <w:szCs w:val="21"/>
                <w14:ligatures w14:val="none"/>
              </w:rPr>
            </w:pPr>
            <w:r>
              <w:rPr>
                <w:rFonts w:ascii="Times New Roman" w:eastAsia="宋体" w:hAnsi="Times New Roman" w:cs="Times New Roman"/>
                <w:sz w:val="21"/>
                <w:szCs w:val="21"/>
                <w14:ligatures w14:val="none"/>
              </w:rPr>
              <w:t>符合</w:t>
            </w:r>
          </w:p>
        </w:tc>
      </w:tr>
      <w:tr w:rsidR="00502148" w14:paraId="0C76FB6E" w14:textId="77777777">
        <w:trPr>
          <w:trHeight w:val="442"/>
          <w:jc w:val="center"/>
        </w:trPr>
        <w:tc>
          <w:tcPr>
            <w:tcW w:w="458" w:type="pct"/>
            <w:vMerge/>
            <w:vAlign w:val="center"/>
          </w:tcPr>
          <w:p w14:paraId="600ED78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46EDD3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油罐卸油应采取防满溢措施。油料达到油罐容量</w:t>
            </w:r>
            <w:r>
              <w:rPr>
                <w:rFonts w:ascii="Times New Roman" w:eastAsia="宋体" w:hAnsi="Times New Roman" w:cs="Times New Roman" w:hint="eastAsia"/>
                <w:kern w:val="28"/>
                <w:sz w:val="21"/>
                <w:szCs w:val="21"/>
                <w14:ligatures w14:val="none"/>
              </w:rPr>
              <w:t>90%</w:t>
            </w:r>
            <w:r>
              <w:rPr>
                <w:rFonts w:ascii="Times New Roman" w:eastAsia="宋体" w:hAnsi="Times New Roman" w:cs="Times New Roman" w:hint="eastAsia"/>
                <w:kern w:val="28"/>
                <w:sz w:val="21"/>
                <w:szCs w:val="21"/>
                <w14:ligatures w14:val="none"/>
              </w:rPr>
              <w:t>时，应能触动高液位报警装置；油料达到油罐容量</w:t>
            </w:r>
            <w:r>
              <w:rPr>
                <w:rFonts w:ascii="Times New Roman" w:eastAsia="宋体" w:hAnsi="Times New Roman" w:cs="Times New Roman" w:hint="eastAsia"/>
                <w:kern w:val="28"/>
                <w:sz w:val="21"/>
                <w:szCs w:val="21"/>
                <w14:ligatures w14:val="none"/>
              </w:rPr>
              <w:t>95%</w:t>
            </w:r>
            <w:r>
              <w:rPr>
                <w:rFonts w:ascii="Times New Roman" w:eastAsia="宋体" w:hAnsi="Times New Roman" w:cs="Times New Roman" w:hint="eastAsia"/>
                <w:kern w:val="28"/>
                <w:sz w:val="21"/>
                <w:szCs w:val="21"/>
                <w14:ligatures w14:val="none"/>
              </w:rPr>
              <w:t>时，应能自动停止油料继续进罐。高液位报警装置应位于工作人员便于观察的地点。</w:t>
            </w:r>
          </w:p>
        </w:tc>
        <w:tc>
          <w:tcPr>
            <w:tcW w:w="1222" w:type="pct"/>
            <w:vAlign w:val="center"/>
          </w:tcPr>
          <w:p w14:paraId="1C2A316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9B6C1E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6.1.15</w:t>
            </w:r>
            <w:r>
              <w:rPr>
                <w:rFonts w:ascii="Times New Roman" w:eastAsia="宋体" w:hAnsi="Times New Roman" w:cs="宋体" w:hint="eastAsia"/>
                <w:sz w:val="21"/>
                <w:szCs w:val="21"/>
                <w14:ligatures w14:val="none"/>
              </w:rPr>
              <w:t>条</w:t>
            </w:r>
          </w:p>
        </w:tc>
        <w:tc>
          <w:tcPr>
            <w:tcW w:w="1133" w:type="pct"/>
            <w:vAlign w:val="center"/>
          </w:tcPr>
          <w:p w14:paraId="133A2B5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油罐采用机械式卸油防溢阀及高液位报警，</w:t>
            </w:r>
            <w:r>
              <w:rPr>
                <w:rFonts w:ascii="宋体" w:eastAsia="宋体" w:hAnsi="宋体" w:cs="宋体"/>
                <w:sz w:val="21"/>
                <w:szCs w:val="21"/>
                <w:lang w:val="zh-CN"/>
                <w14:ligatures w14:val="none"/>
              </w:rPr>
              <w:t>油料达到油罐容量</w:t>
            </w:r>
            <w:r>
              <w:rPr>
                <w:rFonts w:ascii="Times New Roman" w:eastAsia="宋体" w:hAnsi="Times New Roman" w:cs="Times New Roman"/>
                <w:sz w:val="21"/>
                <w:szCs w:val="21"/>
                <w:lang w:val="zh-CN"/>
                <w14:ligatures w14:val="none"/>
              </w:rPr>
              <w:t>90%</w:t>
            </w:r>
            <w:r>
              <w:rPr>
                <w:rFonts w:ascii="宋体" w:eastAsia="宋体" w:hAnsi="宋体" w:cs="宋体"/>
                <w:sz w:val="21"/>
                <w:szCs w:val="21"/>
                <w:lang w:val="zh-CN"/>
                <w14:ligatures w14:val="none"/>
              </w:rPr>
              <w:t>时，能触动高液位报警装置；油料达到油罐容量</w:t>
            </w:r>
            <w:r>
              <w:rPr>
                <w:rFonts w:ascii="Times New Roman" w:eastAsia="宋体" w:hAnsi="Times New Roman" w:cs="Times New Roman"/>
                <w:sz w:val="21"/>
                <w:szCs w:val="21"/>
                <w:lang w:val="zh-CN"/>
                <w14:ligatures w14:val="none"/>
              </w:rPr>
              <w:t>95%</w:t>
            </w:r>
            <w:r>
              <w:rPr>
                <w:rFonts w:ascii="宋体" w:eastAsia="宋体" w:hAnsi="宋体" w:cs="宋体"/>
                <w:sz w:val="21"/>
                <w:szCs w:val="21"/>
                <w:lang w:val="zh-CN"/>
                <w14:ligatures w14:val="none"/>
              </w:rPr>
              <w:t>时，能自动停止油料继续进罐</w:t>
            </w:r>
          </w:p>
        </w:tc>
        <w:tc>
          <w:tcPr>
            <w:tcW w:w="419" w:type="pct"/>
            <w:vAlign w:val="center"/>
          </w:tcPr>
          <w:p w14:paraId="399E643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5289B0D" w14:textId="77777777">
        <w:trPr>
          <w:trHeight w:val="442"/>
          <w:jc w:val="center"/>
        </w:trPr>
        <w:tc>
          <w:tcPr>
            <w:tcW w:w="458" w:type="pct"/>
            <w:vMerge/>
            <w:vAlign w:val="center"/>
          </w:tcPr>
          <w:p w14:paraId="4B986AF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14BCAC3"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设有油气回收系统的加油站，其站内油罐应设带有高液位报警功能的液位监测系统。</w:t>
            </w:r>
          </w:p>
        </w:tc>
        <w:tc>
          <w:tcPr>
            <w:tcW w:w="1222" w:type="pct"/>
            <w:vAlign w:val="center"/>
          </w:tcPr>
          <w:p w14:paraId="43AE768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706E5A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6.1.16</w:t>
            </w:r>
            <w:r>
              <w:rPr>
                <w:rFonts w:ascii="Times New Roman" w:eastAsia="宋体" w:hAnsi="Times New Roman" w:cs="宋体" w:hint="eastAsia"/>
                <w:sz w:val="21"/>
                <w:szCs w:val="21"/>
                <w14:ligatures w14:val="none"/>
              </w:rPr>
              <w:t>条</w:t>
            </w:r>
          </w:p>
        </w:tc>
        <w:tc>
          <w:tcPr>
            <w:tcW w:w="1133" w:type="pct"/>
            <w:vAlign w:val="center"/>
          </w:tcPr>
          <w:p w14:paraId="7EA4F6C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sz w:val="21"/>
                <w:szCs w:val="21"/>
                <w14:ligatures w14:val="none"/>
              </w:rPr>
              <w:t>油罐</w:t>
            </w:r>
            <w:r>
              <w:rPr>
                <w:rFonts w:ascii="宋体" w:eastAsia="宋体" w:hAnsi="宋体" w:cs="宋体"/>
                <w:sz w:val="21"/>
                <w:szCs w:val="21"/>
                <w:lang w:val="zh-CN"/>
                <w14:ligatures w14:val="none"/>
              </w:rPr>
              <w:t>设有高液位报警功能的液位监测系统</w:t>
            </w:r>
          </w:p>
        </w:tc>
        <w:tc>
          <w:tcPr>
            <w:tcW w:w="419" w:type="pct"/>
            <w:vAlign w:val="center"/>
          </w:tcPr>
          <w:p w14:paraId="199B481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EE7A5C3" w14:textId="77777777">
        <w:trPr>
          <w:trHeight w:val="442"/>
          <w:jc w:val="center"/>
        </w:trPr>
        <w:tc>
          <w:tcPr>
            <w:tcW w:w="458" w:type="pct"/>
            <w:vMerge/>
            <w:vAlign w:val="center"/>
          </w:tcPr>
          <w:p w14:paraId="31D12AA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05CFAF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加油软管上宜设安全拉断阀。</w:t>
            </w:r>
          </w:p>
        </w:tc>
        <w:tc>
          <w:tcPr>
            <w:tcW w:w="1222" w:type="pct"/>
            <w:vAlign w:val="center"/>
          </w:tcPr>
          <w:p w14:paraId="4A15A4F6"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p>
          <w:p w14:paraId="3B663E2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5C6BD86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6.2.3</w:t>
            </w:r>
            <w:r>
              <w:rPr>
                <w:rFonts w:ascii="Times New Roman" w:eastAsia="宋体" w:hAnsi="Times New Roman" w:cs="宋体" w:hint="eastAsia"/>
                <w:sz w:val="21"/>
                <w:szCs w:val="21"/>
                <w14:ligatures w14:val="none"/>
              </w:rPr>
              <w:t>条</w:t>
            </w:r>
          </w:p>
        </w:tc>
        <w:tc>
          <w:tcPr>
            <w:tcW w:w="1133" w:type="pct"/>
            <w:vAlign w:val="center"/>
          </w:tcPr>
          <w:p w14:paraId="305AC18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加油机为成套设备，加油软管上设置安全拉断阀。拉断阀满足规范要求</w:t>
            </w:r>
          </w:p>
        </w:tc>
        <w:tc>
          <w:tcPr>
            <w:tcW w:w="419" w:type="pct"/>
            <w:vAlign w:val="center"/>
          </w:tcPr>
          <w:p w14:paraId="24BE985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31125C9" w14:textId="77777777">
        <w:trPr>
          <w:trHeight w:val="442"/>
          <w:jc w:val="center"/>
        </w:trPr>
        <w:tc>
          <w:tcPr>
            <w:tcW w:w="458" w:type="pct"/>
            <w:vMerge/>
            <w:vAlign w:val="center"/>
          </w:tcPr>
          <w:p w14:paraId="57CF075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C59D58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以正压（潜油泵）供油的加油机，其底部的供油管道上应设剪</w:t>
            </w:r>
            <w:r>
              <w:rPr>
                <w:rFonts w:ascii="Times New Roman" w:eastAsia="宋体" w:hAnsi="Times New Roman" w:cs="Times New Roman" w:hint="eastAsia"/>
                <w:kern w:val="28"/>
                <w:sz w:val="21"/>
                <w:szCs w:val="21"/>
                <w14:ligatures w14:val="none"/>
              </w:rPr>
              <w:lastRenderedPageBreak/>
              <w:t>切阀，当加油机被撞起火时，剪切阀应能自动关闭。</w:t>
            </w:r>
          </w:p>
        </w:tc>
        <w:tc>
          <w:tcPr>
            <w:tcW w:w="1222" w:type="pct"/>
            <w:vAlign w:val="center"/>
          </w:tcPr>
          <w:p w14:paraId="5D622B2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p>
          <w:p w14:paraId="1A1D97F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7C5A8AD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6.2.4</w:t>
            </w:r>
            <w:r>
              <w:rPr>
                <w:rFonts w:ascii="Times New Roman" w:eastAsia="宋体" w:hAnsi="Times New Roman" w:cs="宋体" w:hint="eastAsia"/>
                <w:sz w:val="21"/>
                <w:szCs w:val="21"/>
                <w14:ligatures w14:val="none"/>
              </w:rPr>
              <w:t>条</w:t>
            </w:r>
          </w:p>
        </w:tc>
        <w:tc>
          <w:tcPr>
            <w:tcW w:w="1133" w:type="pct"/>
            <w:vAlign w:val="center"/>
          </w:tcPr>
          <w:p w14:paraId="388CF38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14:ligatures w14:val="none"/>
              </w:rPr>
              <w:lastRenderedPageBreak/>
              <w:t>加油机上设置剪切阀</w:t>
            </w:r>
          </w:p>
        </w:tc>
        <w:tc>
          <w:tcPr>
            <w:tcW w:w="419" w:type="pct"/>
            <w:vAlign w:val="center"/>
          </w:tcPr>
          <w:p w14:paraId="12668BE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81BA181" w14:textId="77777777">
        <w:trPr>
          <w:trHeight w:val="442"/>
          <w:jc w:val="center"/>
        </w:trPr>
        <w:tc>
          <w:tcPr>
            <w:tcW w:w="458" w:type="pct"/>
            <w:vMerge/>
            <w:vAlign w:val="center"/>
          </w:tcPr>
          <w:p w14:paraId="43E34AD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1BAE42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车用乙醇汽油和柴油油罐车卸油必须采用密闭卸油方式。车用乙醇汽油油罐车应具有卸油油气回收系统。</w:t>
            </w:r>
          </w:p>
        </w:tc>
        <w:tc>
          <w:tcPr>
            <w:tcW w:w="1222" w:type="pct"/>
            <w:vAlign w:val="center"/>
          </w:tcPr>
          <w:p w14:paraId="79CEEEE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2AEF14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w:t>
            </w:r>
            <w:r>
              <w:rPr>
                <w:rFonts w:ascii="Times New Roman" w:eastAsia="宋体" w:hAnsi="Times New Roman" w:cs="宋体" w:hint="eastAsia"/>
                <w:sz w:val="21"/>
                <w:szCs w:val="21"/>
                <w14:ligatures w14:val="none"/>
              </w:rPr>
              <w:t>条</w:t>
            </w:r>
          </w:p>
        </w:tc>
        <w:tc>
          <w:tcPr>
            <w:tcW w:w="1133" w:type="pct"/>
            <w:vAlign w:val="center"/>
          </w:tcPr>
          <w:p w14:paraId="5C6A07FA" w14:textId="77777777" w:rsidR="00502148"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宋体" w:hint="eastAsia"/>
                <w:sz w:val="21"/>
                <w:szCs w:val="21"/>
                <w14:ligatures w14:val="none"/>
              </w:rPr>
              <w:t>油罐车卸油采用密闭卸油方式。车用乙醇汽油油罐车具有卸油油气回收系统</w:t>
            </w:r>
          </w:p>
        </w:tc>
        <w:tc>
          <w:tcPr>
            <w:tcW w:w="419" w:type="pct"/>
            <w:vAlign w:val="center"/>
          </w:tcPr>
          <w:p w14:paraId="6AC0F8F4" w14:textId="77777777" w:rsidR="00502148"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502148" w14:paraId="554F7CA9" w14:textId="77777777">
        <w:trPr>
          <w:trHeight w:val="442"/>
          <w:jc w:val="center"/>
        </w:trPr>
        <w:tc>
          <w:tcPr>
            <w:tcW w:w="458" w:type="pct"/>
            <w:vMerge/>
            <w:vAlign w:val="center"/>
          </w:tcPr>
          <w:p w14:paraId="270F84D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9670D2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每个油罐应各自设置卸油管道和卸油接口。各卸油接口及油气回收接口，应有明显的标识。</w:t>
            </w:r>
          </w:p>
        </w:tc>
        <w:tc>
          <w:tcPr>
            <w:tcW w:w="1222" w:type="pct"/>
            <w:vAlign w:val="center"/>
          </w:tcPr>
          <w:p w14:paraId="217193F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D459CE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6.3.2</w:t>
            </w:r>
            <w:r>
              <w:rPr>
                <w:rFonts w:ascii="Times New Roman" w:eastAsia="宋体" w:hAnsi="Times New Roman" w:cs="宋体" w:hint="eastAsia"/>
                <w:sz w:val="21"/>
                <w:szCs w:val="21"/>
                <w14:ligatures w14:val="none"/>
              </w:rPr>
              <w:t>条</w:t>
            </w:r>
          </w:p>
        </w:tc>
        <w:tc>
          <w:tcPr>
            <w:tcW w:w="1133" w:type="pct"/>
            <w:vAlign w:val="center"/>
          </w:tcPr>
          <w:p w14:paraId="12A0482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lang w:val="zh-CN"/>
                <w14:ligatures w14:val="none"/>
              </w:rPr>
              <w:t>每个油罐</w:t>
            </w:r>
            <w:r>
              <w:rPr>
                <w:rFonts w:ascii="宋体" w:eastAsia="宋体" w:hAnsi="宋体" w:cs="宋体" w:hint="eastAsia"/>
                <w:sz w:val="21"/>
                <w:szCs w:val="21"/>
                <w:lang w:val="zh-CN"/>
                <w14:ligatures w14:val="none"/>
              </w:rPr>
              <w:t>独立</w:t>
            </w:r>
            <w:r>
              <w:rPr>
                <w:rFonts w:ascii="宋体" w:eastAsia="宋体" w:hAnsi="宋体" w:cs="宋体"/>
                <w:sz w:val="21"/>
                <w:szCs w:val="21"/>
                <w:lang w:val="zh-CN"/>
                <w14:ligatures w14:val="none"/>
              </w:rPr>
              <w:t>设置卸油管道和卸油接口。各卸油接口及油气回收接口，有明显的标识</w:t>
            </w:r>
          </w:p>
        </w:tc>
        <w:tc>
          <w:tcPr>
            <w:tcW w:w="419" w:type="pct"/>
            <w:vAlign w:val="center"/>
          </w:tcPr>
          <w:p w14:paraId="29FC763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357E4F9" w14:textId="77777777">
        <w:trPr>
          <w:trHeight w:val="442"/>
          <w:jc w:val="center"/>
        </w:trPr>
        <w:tc>
          <w:tcPr>
            <w:tcW w:w="458" w:type="pct"/>
            <w:vMerge/>
            <w:vAlign w:val="center"/>
          </w:tcPr>
          <w:p w14:paraId="656E3C1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103BF8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根据《汽车加油加气加氢站技术标准》（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6.3.3</w:t>
            </w:r>
            <w:r>
              <w:rPr>
                <w:rFonts w:ascii="Times New Roman" w:eastAsia="宋体" w:hAnsi="Times New Roman" w:cs="Times New Roman" w:hint="eastAsia"/>
                <w:kern w:val="28"/>
                <w:sz w:val="21"/>
                <w:szCs w:val="21"/>
                <w14:ligatures w14:val="none"/>
              </w:rPr>
              <w:t>条，卸油接口应装设快速接头及密封盖。</w:t>
            </w:r>
          </w:p>
        </w:tc>
        <w:tc>
          <w:tcPr>
            <w:tcW w:w="1222" w:type="pct"/>
            <w:vAlign w:val="center"/>
          </w:tcPr>
          <w:p w14:paraId="17D880D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7D3217A" w14:textId="77777777" w:rsidR="00502148" w:rsidRDefault="00000000">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6.3.3</w:t>
            </w:r>
            <w:r>
              <w:rPr>
                <w:rFonts w:ascii="Times New Roman" w:eastAsia="宋体" w:hAnsi="Times New Roman" w:cs="宋体" w:hint="eastAsia"/>
                <w:sz w:val="21"/>
                <w:szCs w:val="21"/>
                <w14:ligatures w14:val="none"/>
              </w:rPr>
              <w:t>条</w:t>
            </w:r>
          </w:p>
        </w:tc>
        <w:tc>
          <w:tcPr>
            <w:tcW w:w="1133" w:type="pct"/>
            <w:vAlign w:val="center"/>
          </w:tcPr>
          <w:p w14:paraId="29B824B5" w14:textId="77777777" w:rsidR="00502148" w:rsidRDefault="00000000">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Times New Roman" w:hint="eastAsia"/>
                <w:sz w:val="21"/>
                <w:szCs w:val="21"/>
                <w14:ligatures w14:val="none"/>
              </w:rPr>
              <w:t>卸油接口设快速接头及密封盖</w:t>
            </w:r>
          </w:p>
        </w:tc>
        <w:tc>
          <w:tcPr>
            <w:tcW w:w="419" w:type="pct"/>
            <w:vAlign w:val="center"/>
          </w:tcPr>
          <w:p w14:paraId="1864F00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E0E0DB9" w14:textId="77777777">
        <w:trPr>
          <w:trHeight w:val="442"/>
          <w:jc w:val="center"/>
        </w:trPr>
        <w:tc>
          <w:tcPr>
            <w:tcW w:w="458" w:type="pct"/>
            <w:vMerge/>
            <w:vAlign w:val="center"/>
          </w:tcPr>
          <w:p w14:paraId="0DF80E69" w14:textId="77777777" w:rsidR="00502148" w:rsidRDefault="00502148">
            <w:pPr>
              <w:spacing w:line="240" w:lineRule="auto"/>
              <w:ind w:firstLineChars="0" w:firstLine="0"/>
              <w:jc w:val="center"/>
              <w:rPr>
                <w:rFonts w:ascii="Times New Roman" w:eastAsia="宋体" w:hAnsi="Times New Roman" w:cs="Times New Roman"/>
                <w:b/>
                <w:bCs/>
                <w:sz w:val="21"/>
                <w:szCs w:val="21"/>
                <w14:ligatures w14:val="none"/>
              </w:rPr>
            </w:pPr>
          </w:p>
        </w:tc>
        <w:tc>
          <w:tcPr>
            <w:tcW w:w="1765" w:type="pct"/>
            <w:vAlign w:val="center"/>
          </w:tcPr>
          <w:p w14:paraId="004D7FA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加油站卸油油气回收系统的设计应符合下列规定：</w:t>
            </w:r>
          </w:p>
          <w:p w14:paraId="382600C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①车用乙醇汽油罐车向站内油罐卸油应采用平衡式密闭油气回收系统。</w:t>
            </w:r>
          </w:p>
          <w:p w14:paraId="24F8C27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②各车用乙醇汽油罐可共用一根卸油油气回收主管，回收主管的公称直径不宜小于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w:t>
            </w:r>
          </w:p>
          <w:p w14:paraId="76490DD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③卸油油气回收管道的接口宜采用自闭式快速接头和盖帽。采用非自闭式快速接头时，应在靠近快速接头的连接管道上装设阀门和盖帽。</w:t>
            </w:r>
          </w:p>
        </w:tc>
        <w:tc>
          <w:tcPr>
            <w:tcW w:w="1222" w:type="pct"/>
            <w:vAlign w:val="center"/>
          </w:tcPr>
          <w:p w14:paraId="6BA5F827"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92DEFC5" w14:textId="77777777" w:rsidR="00502148" w:rsidRDefault="00000000">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6.3.4</w:t>
            </w:r>
            <w:r>
              <w:rPr>
                <w:rFonts w:ascii="Times New Roman" w:eastAsia="宋体" w:hAnsi="Times New Roman" w:cs="宋体" w:hint="eastAsia"/>
                <w:sz w:val="21"/>
                <w:szCs w:val="21"/>
                <w14:ligatures w14:val="none"/>
              </w:rPr>
              <w:t>条</w:t>
            </w:r>
          </w:p>
        </w:tc>
        <w:tc>
          <w:tcPr>
            <w:tcW w:w="1133" w:type="pct"/>
            <w:vAlign w:val="center"/>
          </w:tcPr>
          <w:p w14:paraId="52543F4B" w14:textId="77777777" w:rsidR="00502148" w:rsidRDefault="00000000">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宋体" w:hint="eastAsia"/>
                <w:sz w:val="21"/>
                <w:szCs w:val="21"/>
                <w:lang w:val="zh-CN"/>
                <w14:ligatures w14:val="none"/>
              </w:rPr>
              <w:t>采用卸油油气回收系统，</w:t>
            </w:r>
            <w:r>
              <w:rPr>
                <w:rFonts w:ascii="宋体" w:eastAsia="宋体" w:hAnsi="宋体" w:cs="宋体"/>
                <w:sz w:val="21"/>
                <w:szCs w:val="21"/>
                <w:lang w:val="zh-CN"/>
                <w14:ligatures w14:val="none"/>
              </w:rPr>
              <w:t>汽油罐车向站内油罐卸油采用平衡式密闭油气回收系统；各汽油罐共用一根卸油油气回收主管，回收主管的公称直径</w:t>
            </w:r>
            <w:r>
              <w:rPr>
                <w:rFonts w:ascii="Times New Roman" w:eastAsia="宋体" w:hAnsi="Times New Roman" w:cs="Times New Roman"/>
                <w:sz w:val="21"/>
                <w:szCs w:val="21"/>
                <w:lang w:val="zh-CN"/>
                <w14:ligatures w14:val="none"/>
              </w:rPr>
              <w:t>100mm</w:t>
            </w:r>
            <w:r>
              <w:rPr>
                <w:rFonts w:ascii="宋体" w:eastAsia="宋体" w:hAnsi="宋体" w:cs="宋体"/>
                <w:sz w:val="21"/>
                <w:szCs w:val="21"/>
                <w:lang w:val="zh-CN"/>
                <w14:ligatures w14:val="none"/>
              </w:rPr>
              <w:t>；卸油油气回收管道的接口采用自闭式快速接头</w:t>
            </w:r>
          </w:p>
        </w:tc>
        <w:tc>
          <w:tcPr>
            <w:tcW w:w="419" w:type="pct"/>
            <w:vAlign w:val="center"/>
          </w:tcPr>
          <w:p w14:paraId="050CFB3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DE6B3A3" w14:textId="77777777">
        <w:trPr>
          <w:trHeight w:val="442"/>
          <w:jc w:val="center"/>
        </w:trPr>
        <w:tc>
          <w:tcPr>
            <w:tcW w:w="458" w:type="pct"/>
            <w:vMerge/>
            <w:vAlign w:val="center"/>
          </w:tcPr>
          <w:p w14:paraId="5C315A8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C6A0112"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加油站宜采用油罐装设潜油泵的一泵供多机（枪）的加油工艺。</w:t>
            </w:r>
          </w:p>
        </w:tc>
        <w:tc>
          <w:tcPr>
            <w:tcW w:w="1222" w:type="pct"/>
            <w:vAlign w:val="center"/>
          </w:tcPr>
          <w:p w14:paraId="39B7F33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0F98F1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6.3.5</w:t>
            </w:r>
            <w:r>
              <w:rPr>
                <w:rFonts w:ascii="Times New Roman" w:eastAsia="宋体" w:hAnsi="Times New Roman" w:cs="宋体" w:hint="eastAsia"/>
                <w:sz w:val="21"/>
                <w:szCs w:val="21"/>
                <w14:ligatures w14:val="none"/>
              </w:rPr>
              <w:t>条</w:t>
            </w:r>
          </w:p>
        </w:tc>
        <w:tc>
          <w:tcPr>
            <w:tcW w:w="1133" w:type="pct"/>
            <w:vAlign w:val="center"/>
          </w:tcPr>
          <w:p w14:paraId="60F4567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t>本站采用</w:t>
            </w:r>
            <w:r>
              <w:rPr>
                <w:rFonts w:ascii="宋体" w:eastAsia="宋体" w:hAnsi="宋体" w:cs="宋体"/>
                <w:spacing w:val="-6"/>
                <w:position w:val="2"/>
                <w:sz w:val="21"/>
                <w:szCs w:val="21"/>
                <w14:ligatures w14:val="none"/>
              </w:rPr>
              <w:t>油罐装设潜油泵的一泵供多机（枪）的加油工艺</w:t>
            </w:r>
          </w:p>
        </w:tc>
        <w:tc>
          <w:tcPr>
            <w:tcW w:w="419" w:type="pct"/>
            <w:vAlign w:val="center"/>
          </w:tcPr>
          <w:p w14:paraId="18A570D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E05BFF2" w14:textId="77777777">
        <w:trPr>
          <w:trHeight w:val="442"/>
          <w:jc w:val="center"/>
        </w:trPr>
        <w:tc>
          <w:tcPr>
            <w:tcW w:w="458" w:type="pct"/>
            <w:vMerge/>
            <w:vAlign w:val="center"/>
          </w:tcPr>
          <w:p w14:paraId="36862B4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4377CC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加油站应采用加油油气回收系统。</w:t>
            </w:r>
          </w:p>
        </w:tc>
        <w:tc>
          <w:tcPr>
            <w:tcW w:w="1222" w:type="pct"/>
            <w:vAlign w:val="center"/>
          </w:tcPr>
          <w:p w14:paraId="6FBA3E9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70053C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6.3.6</w:t>
            </w:r>
            <w:r>
              <w:rPr>
                <w:rFonts w:ascii="Times New Roman" w:eastAsia="宋体" w:hAnsi="Times New Roman" w:cs="宋体" w:hint="eastAsia"/>
                <w:sz w:val="21"/>
                <w:szCs w:val="21"/>
                <w14:ligatures w14:val="none"/>
              </w:rPr>
              <w:t>条</w:t>
            </w:r>
          </w:p>
        </w:tc>
        <w:tc>
          <w:tcPr>
            <w:tcW w:w="1133" w:type="pct"/>
            <w:vAlign w:val="center"/>
          </w:tcPr>
          <w:p w14:paraId="429B4EE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采用加油油气回收系统</w:t>
            </w:r>
          </w:p>
        </w:tc>
        <w:tc>
          <w:tcPr>
            <w:tcW w:w="419" w:type="pct"/>
            <w:vAlign w:val="center"/>
          </w:tcPr>
          <w:p w14:paraId="5B2F3B6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FB85865" w14:textId="77777777">
        <w:trPr>
          <w:trHeight w:val="442"/>
          <w:jc w:val="center"/>
        </w:trPr>
        <w:tc>
          <w:tcPr>
            <w:tcW w:w="458" w:type="pct"/>
            <w:vMerge/>
            <w:vAlign w:val="center"/>
          </w:tcPr>
          <w:p w14:paraId="7DA17A3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6DB290A"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加油油气回收系统的设计应符合下列规定。</w:t>
            </w:r>
          </w:p>
          <w:p w14:paraId="10C2250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①应采用真空辅助式油气回收系统。</w:t>
            </w:r>
          </w:p>
          <w:p w14:paraId="0312259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②车用乙醇汽油加油机与油罐之间应设油气回收管道，多台车用乙醇汽油加油机可共用</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根油气回收主管，油气回收主管的公称直径不应小于</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p>
          <w:p w14:paraId="6A394C0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③加油油气回收系统应采取防止</w:t>
            </w:r>
            <w:r>
              <w:rPr>
                <w:rFonts w:ascii="Times New Roman" w:eastAsia="宋体" w:hAnsi="Times New Roman" w:cs="Times New Roman" w:hint="eastAsia"/>
                <w:kern w:val="28"/>
                <w:sz w:val="21"/>
                <w:szCs w:val="21"/>
                <w14:ligatures w14:val="none"/>
              </w:rPr>
              <w:lastRenderedPageBreak/>
              <w:t>油气反向流至加油枪的措施。</w:t>
            </w:r>
          </w:p>
          <w:p w14:paraId="3327770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④加油机应具备回收油气功能，其气液比宜设定为</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1.2</w:t>
            </w:r>
            <w:r>
              <w:rPr>
                <w:rFonts w:ascii="Times New Roman" w:eastAsia="宋体" w:hAnsi="Times New Roman" w:cs="Times New Roman" w:hint="eastAsia"/>
                <w:kern w:val="28"/>
                <w:sz w:val="21"/>
                <w:szCs w:val="21"/>
                <w14:ligatures w14:val="none"/>
              </w:rPr>
              <w:t>。</w:t>
            </w:r>
          </w:p>
          <w:p w14:paraId="0C0E0C0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⑤在加油机底部与油气回收立管的连接处，应安装一个用于检测液阻和系统密闭性的丝接三通，其旁通短管上应设公称直径为</w:t>
            </w:r>
            <w:r>
              <w:rPr>
                <w:rFonts w:ascii="Times New Roman" w:eastAsia="宋体" w:hAnsi="Times New Roman" w:cs="Times New Roman" w:hint="eastAsia"/>
                <w:kern w:val="28"/>
                <w:sz w:val="21"/>
                <w:szCs w:val="21"/>
                <w14:ligatures w14:val="none"/>
              </w:rPr>
              <w:t>25mm</w:t>
            </w:r>
            <w:r>
              <w:rPr>
                <w:rFonts w:ascii="Times New Roman" w:eastAsia="宋体" w:hAnsi="Times New Roman" w:cs="Times New Roman" w:hint="eastAsia"/>
                <w:kern w:val="28"/>
                <w:sz w:val="21"/>
                <w:szCs w:val="21"/>
                <w14:ligatures w14:val="none"/>
              </w:rPr>
              <w:t>的球阀及丝堵。</w:t>
            </w:r>
          </w:p>
        </w:tc>
        <w:tc>
          <w:tcPr>
            <w:tcW w:w="1222" w:type="pct"/>
            <w:vAlign w:val="center"/>
          </w:tcPr>
          <w:p w14:paraId="11F0432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94C39F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6.3.7</w:t>
            </w:r>
            <w:r>
              <w:rPr>
                <w:rFonts w:ascii="Times New Roman" w:eastAsia="宋体" w:hAnsi="Times New Roman" w:cs="宋体" w:hint="eastAsia"/>
                <w:sz w:val="21"/>
                <w:szCs w:val="21"/>
                <w14:ligatures w14:val="none"/>
              </w:rPr>
              <w:t>条</w:t>
            </w:r>
          </w:p>
        </w:tc>
        <w:tc>
          <w:tcPr>
            <w:tcW w:w="1133" w:type="pct"/>
            <w:vAlign w:val="center"/>
          </w:tcPr>
          <w:p w14:paraId="0C5928B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采用真空辅助式油气回收系统；汽油加油机与油罐之间设油气回收管道，</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lang w:val="zh-CN"/>
                <w14:ligatures w14:val="none"/>
              </w:rPr>
              <w:t>台汽油加油机共用</w:t>
            </w:r>
            <w:r>
              <w:rPr>
                <w:rFonts w:ascii="Times New Roman" w:eastAsia="宋体" w:hAnsi="Times New Roman" w:cs="Times New Roman"/>
                <w:sz w:val="21"/>
                <w:szCs w:val="21"/>
                <w:lang w:val="zh-CN"/>
                <w14:ligatures w14:val="none"/>
              </w:rPr>
              <w:t>1</w:t>
            </w:r>
            <w:r>
              <w:rPr>
                <w:rFonts w:ascii="Times New Roman" w:eastAsia="宋体" w:hAnsi="Times New Roman" w:cs="Times New Roman"/>
                <w:sz w:val="21"/>
                <w:szCs w:val="21"/>
                <w:lang w:val="zh-CN"/>
                <w14:ligatures w14:val="none"/>
              </w:rPr>
              <w:t>根油气回收主管，油气回收主管的公称直径</w:t>
            </w:r>
            <w:r>
              <w:rPr>
                <w:rFonts w:ascii="Times New Roman" w:eastAsia="宋体" w:hAnsi="Times New Roman" w:cs="Times New Roman"/>
                <w:sz w:val="21"/>
                <w:szCs w:val="21"/>
                <w:lang w:val="zh-CN"/>
                <w14:ligatures w14:val="none"/>
              </w:rPr>
              <w:t>50mm</w:t>
            </w:r>
            <w:r>
              <w:rPr>
                <w:rFonts w:ascii="Times New Roman" w:eastAsia="宋体" w:hAnsi="Times New Roman" w:cs="Times New Roman"/>
                <w:sz w:val="21"/>
                <w:szCs w:val="21"/>
                <w:lang w:val="zh-CN"/>
                <w14:ligatures w14:val="none"/>
              </w:rPr>
              <w:t>；加油油气回收系统采取自封式加油枪；加油机具备回收油气功能，其</w:t>
            </w:r>
            <w:r>
              <w:rPr>
                <w:rFonts w:ascii="Times New Roman" w:eastAsia="宋体" w:hAnsi="Times New Roman" w:cs="Times New Roman"/>
                <w:sz w:val="21"/>
                <w:szCs w:val="21"/>
                <w:lang w:val="zh-CN"/>
                <w14:ligatures w14:val="none"/>
              </w:rPr>
              <w:lastRenderedPageBreak/>
              <w:t>气液比宜设定为</w:t>
            </w:r>
            <w:r>
              <w:rPr>
                <w:rFonts w:ascii="Times New Roman" w:eastAsia="宋体" w:hAnsi="Times New Roman" w:cs="Times New Roman"/>
                <w:sz w:val="21"/>
                <w:szCs w:val="21"/>
                <w:lang w:val="zh-CN"/>
                <w14:ligatures w14:val="none"/>
              </w:rPr>
              <w:t>1.0</w:t>
            </w:r>
            <w:r>
              <w:rPr>
                <w:rFonts w:ascii="Times New Roman" w:eastAsia="宋体" w:hAnsi="Times New Roman" w:cs="Times New Roman"/>
                <w:sz w:val="21"/>
                <w:szCs w:val="21"/>
                <w:lang w:val="zh-CN"/>
                <w14:ligatures w14:val="none"/>
              </w:rPr>
              <w:t>～</w:t>
            </w:r>
            <w:r>
              <w:rPr>
                <w:rFonts w:ascii="Times New Roman" w:eastAsia="宋体" w:hAnsi="Times New Roman" w:cs="Times New Roman"/>
                <w:sz w:val="21"/>
                <w:szCs w:val="21"/>
                <w:lang w:val="zh-CN"/>
                <w14:ligatures w14:val="none"/>
              </w:rPr>
              <w:t>1.2</w:t>
            </w:r>
            <w:r>
              <w:rPr>
                <w:rFonts w:ascii="Times New Roman" w:eastAsia="宋体" w:hAnsi="Times New Roman" w:cs="Times New Roman"/>
                <w:sz w:val="21"/>
                <w:szCs w:val="21"/>
                <w:lang w:val="zh-CN"/>
                <w14:ligatures w14:val="none"/>
              </w:rPr>
              <w:t>；在加油机底部与油气回收立管的连接处</w:t>
            </w:r>
            <w:r>
              <w:rPr>
                <w:rFonts w:ascii="Times New Roman" w:eastAsia="宋体" w:hAnsi="Times New Roman" w:cs="Times New Roman" w:hint="eastAsia"/>
                <w:sz w:val="21"/>
                <w:szCs w:val="21"/>
                <w:lang w:val="zh-CN"/>
                <w14:ligatures w14:val="none"/>
              </w:rPr>
              <w:t>，</w:t>
            </w:r>
            <w:r>
              <w:rPr>
                <w:rFonts w:ascii="Times New Roman" w:eastAsia="宋体" w:hAnsi="Times New Roman" w:cs="Times New Roman"/>
                <w:sz w:val="21"/>
                <w:szCs w:val="21"/>
                <w:lang w:val="zh-CN"/>
                <w14:ligatures w14:val="none"/>
              </w:rPr>
              <w:t>安装一个用于检测液阻和系统密闭性的丝接三通，其旁通短管上应设公称直径为</w:t>
            </w:r>
            <w:r>
              <w:rPr>
                <w:rFonts w:ascii="Times New Roman" w:eastAsia="宋体" w:hAnsi="Times New Roman" w:cs="Times New Roman"/>
                <w:sz w:val="21"/>
                <w:szCs w:val="21"/>
                <w:lang w:val="zh-CN"/>
                <w14:ligatures w14:val="none"/>
              </w:rPr>
              <w:t>25mm</w:t>
            </w:r>
            <w:r>
              <w:rPr>
                <w:rFonts w:ascii="Times New Roman" w:eastAsia="宋体" w:hAnsi="Times New Roman" w:cs="Times New Roman"/>
                <w:sz w:val="21"/>
                <w:szCs w:val="21"/>
                <w:lang w:val="zh-CN"/>
                <w14:ligatures w14:val="none"/>
              </w:rPr>
              <w:t>的球阀及丝堵。</w:t>
            </w:r>
          </w:p>
        </w:tc>
        <w:tc>
          <w:tcPr>
            <w:tcW w:w="419" w:type="pct"/>
            <w:vAlign w:val="center"/>
          </w:tcPr>
          <w:p w14:paraId="537C398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3EB69E0F" w14:textId="77777777">
        <w:trPr>
          <w:trHeight w:val="442"/>
          <w:jc w:val="center"/>
        </w:trPr>
        <w:tc>
          <w:tcPr>
            <w:tcW w:w="458" w:type="pct"/>
            <w:vMerge/>
            <w:vAlign w:val="center"/>
          </w:tcPr>
          <w:p w14:paraId="3E23FEC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5F2A55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油罐的接合管设置应符合下列规定：</w:t>
            </w:r>
          </w:p>
          <w:p w14:paraId="48BE9EA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①接合管应为金属材质。</w:t>
            </w:r>
          </w:p>
          <w:p w14:paraId="53DA2E09"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②接合管应设在油罐的顶部，其中进油接合管、出油接合管或潜油泵安装口应设在人孔盖上。</w:t>
            </w:r>
          </w:p>
          <w:p w14:paraId="7424EB4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③进油管应伸至罐内距罐底</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处。进油立管的底端应为</w:t>
            </w:r>
            <w:r>
              <w:rPr>
                <w:rFonts w:ascii="Times New Roman" w:eastAsia="宋体" w:hAnsi="Times New Roman" w:cs="Times New Roman" w:hint="eastAsia"/>
                <w:kern w:val="28"/>
                <w:sz w:val="21"/>
                <w:szCs w:val="21"/>
                <w14:ligatures w14:val="none"/>
              </w:rPr>
              <w:t>45</w:t>
            </w:r>
            <w:r>
              <w:rPr>
                <w:rFonts w:ascii="Times New Roman" w:eastAsia="宋体" w:hAnsi="Times New Roman" w:cs="Times New Roman" w:hint="eastAsia"/>
                <w:kern w:val="28"/>
                <w:sz w:val="21"/>
                <w:szCs w:val="21"/>
                <w14:ligatures w14:val="none"/>
              </w:rPr>
              <w:t>°斜管口或</w:t>
            </w:r>
            <w:r>
              <w:rPr>
                <w:rFonts w:ascii="Times New Roman" w:eastAsia="宋体" w:hAnsi="Times New Roman" w:cs="Times New Roman" w:hint="eastAsia"/>
                <w:kern w:val="28"/>
                <w:sz w:val="21"/>
                <w:szCs w:val="21"/>
                <w14:ligatures w14:val="none"/>
              </w:rPr>
              <w:t>T</w:t>
            </w:r>
            <w:r>
              <w:rPr>
                <w:rFonts w:ascii="Times New Roman" w:eastAsia="宋体" w:hAnsi="Times New Roman" w:cs="Times New Roman" w:hint="eastAsia"/>
                <w:kern w:val="28"/>
                <w:sz w:val="21"/>
                <w:szCs w:val="21"/>
                <w14:ligatures w14:val="none"/>
              </w:rPr>
              <w:t>形管口，进油管管壁上不得有与油罐气相空间相通的开口。</w:t>
            </w:r>
          </w:p>
          <w:p w14:paraId="4763051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④罐内潜油泵的入油口，应高于罐底</w:t>
            </w:r>
            <w:r>
              <w:rPr>
                <w:rFonts w:ascii="Times New Roman" w:eastAsia="宋体" w:hAnsi="Times New Roman" w:cs="Times New Roman" w:hint="eastAsia"/>
                <w:kern w:val="28"/>
                <w:sz w:val="21"/>
                <w:szCs w:val="21"/>
                <w14:ligatures w14:val="none"/>
              </w:rPr>
              <w:t>150mm</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200mm</w:t>
            </w:r>
            <w:r>
              <w:rPr>
                <w:rFonts w:ascii="Times New Roman" w:eastAsia="宋体" w:hAnsi="Times New Roman" w:cs="Times New Roman" w:hint="eastAsia"/>
                <w:kern w:val="28"/>
                <w:sz w:val="21"/>
                <w:szCs w:val="21"/>
                <w14:ligatures w14:val="none"/>
              </w:rPr>
              <w:t>。</w:t>
            </w:r>
          </w:p>
          <w:p w14:paraId="3CC73EC3"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⑤油罐的量油孔应设带锁的量油帽。量油孔下部的接合管宜向下伸至罐内距罐底</w:t>
            </w:r>
            <w:r>
              <w:rPr>
                <w:rFonts w:ascii="Times New Roman" w:eastAsia="宋体" w:hAnsi="Times New Roman" w:cs="Times New Roman" w:hint="eastAsia"/>
                <w:kern w:val="28"/>
                <w:sz w:val="21"/>
                <w:szCs w:val="21"/>
                <w14:ligatures w14:val="none"/>
              </w:rPr>
              <w:t>200mm</w:t>
            </w:r>
            <w:r>
              <w:rPr>
                <w:rFonts w:ascii="Times New Roman" w:eastAsia="宋体" w:hAnsi="Times New Roman" w:cs="Times New Roman" w:hint="eastAsia"/>
                <w:kern w:val="28"/>
                <w:sz w:val="21"/>
                <w:szCs w:val="21"/>
                <w14:ligatures w14:val="none"/>
              </w:rPr>
              <w:t>处，并应有检尺时使接合管内液位与罐内液位相一致的技术措施。</w:t>
            </w:r>
          </w:p>
          <w:p w14:paraId="42BF9EE6"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⑥油罐人孔井内的管道及设备，应保证油罐人孔盖的可拆装性。</w:t>
            </w:r>
          </w:p>
          <w:p w14:paraId="4C3FB226"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⑦人孔盖上的接合管与引出井外管道的连接，宜采用金属软管过渡连接。</w:t>
            </w:r>
          </w:p>
        </w:tc>
        <w:tc>
          <w:tcPr>
            <w:tcW w:w="1222" w:type="pct"/>
            <w:vAlign w:val="center"/>
          </w:tcPr>
          <w:p w14:paraId="42A2386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45B27D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6.3.8</w:t>
            </w:r>
            <w:r>
              <w:rPr>
                <w:rFonts w:ascii="Times New Roman" w:eastAsia="宋体" w:hAnsi="Times New Roman" w:cs="宋体" w:hint="eastAsia"/>
                <w:sz w:val="21"/>
                <w:szCs w:val="21"/>
                <w14:ligatures w14:val="none"/>
              </w:rPr>
              <w:t>条</w:t>
            </w:r>
          </w:p>
        </w:tc>
        <w:tc>
          <w:tcPr>
            <w:tcW w:w="1133" w:type="pct"/>
            <w:vAlign w:val="center"/>
          </w:tcPr>
          <w:p w14:paraId="1813CA62" w14:textId="77777777" w:rsidR="00502148" w:rsidRDefault="00000000">
            <w:pPr>
              <w:overflowPunct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油罐的接合管设置符合</w:t>
            </w:r>
            <w:r>
              <w:rPr>
                <w:rFonts w:ascii="Times New Roman" w:eastAsia="宋体" w:hAnsi="Times New Roman" w:cs="Times New Roman" w:hint="eastAsia"/>
                <w:sz w:val="21"/>
                <w:szCs w:val="21"/>
                <w14:ligatures w14:val="none"/>
              </w:rPr>
              <w:t>规范要求</w:t>
            </w:r>
          </w:p>
        </w:tc>
        <w:tc>
          <w:tcPr>
            <w:tcW w:w="419" w:type="pct"/>
            <w:vAlign w:val="center"/>
          </w:tcPr>
          <w:p w14:paraId="4A47C75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81C0674" w14:textId="77777777">
        <w:trPr>
          <w:trHeight w:val="442"/>
          <w:jc w:val="center"/>
        </w:trPr>
        <w:tc>
          <w:tcPr>
            <w:tcW w:w="458" w:type="pct"/>
            <w:vMerge/>
            <w:vAlign w:val="center"/>
          </w:tcPr>
          <w:p w14:paraId="7EDA764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DF91B1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车用乙醇汽油罐与柴油罐的通气管应分开设置。通气管管口高出地面的高度不应小于</w:t>
            </w:r>
            <w:r>
              <w:rPr>
                <w:rFonts w:ascii="Times New Roman" w:eastAsia="宋体" w:hAnsi="Times New Roman" w:cs="Times New Roman" w:hint="eastAsia"/>
                <w:kern w:val="28"/>
                <w:sz w:val="21"/>
                <w:szCs w:val="21"/>
                <w14:ligatures w14:val="none"/>
              </w:rPr>
              <w:t>4m</w:t>
            </w:r>
            <w:r>
              <w:rPr>
                <w:rFonts w:ascii="Times New Roman" w:eastAsia="宋体" w:hAnsi="Times New Roman" w:cs="Times New Roman" w:hint="eastAsia"/>
                <w:kern w:val="28"/>
                <w:sz w:val="21"/>
                <w:szCs w:val="21"/>
                <w14:ligatures w14:val="none"/>
              </w:rPr>
              <w:t>。柴油罐通气管管口应设置阻火器，车用乙醇汽油罐通气管管口设置阻火器和机械呼吸阀。</w:t>
            </w:r>
          </w:p>
        </w:tc>
        <w:tc>
          <w:tcPr>
            <w:tcW w:w="1222" w:type="pct"/>
            <w:vAlign w:val="center"/>
          </w:tcPr>
          <w:p w14:paraId="78907D3E"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A21AF7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6.3.9</w:t>
            </w:r>
            <w:r>
              <w:rPr>
                <w:rFonts w:ascii="Times New Roman" w:eastAsia="宋体" w:hAnsi="Times New Roman" w:cs="宋体" w:hint="eastAsia"/>
                <w:sz w:val="21"/>
                <w:szCs w:val="21"/>
                <w14:ligatures w14:val="none"/>
              </w:rPr>
              <w:t>条</w:t>
            </w:r>
          </w:p>
        </w:tc>
        <w:tc>
          <w:tcPr>
            <w:tcW w:w="1133" w:type="pct"/>
            <w:vAlign w:val="center"/>
          </w:tcPr>
          <w:p w14:paraId="5954DFC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t>车用乙醇汽油与柴油通气管分开设置，</w:t>
            </w:r>
            <w:r>
              <w:rPr>
                <w:rFonts w:ascii="Times New Roman" w:eastAsia="宋体" w:hAnsi="Times New Roman" w:cs="宋体" w:hint="eastAsia"/>
                <w:sz w:val="21"/>
                <w:szCs w:val="21"/>
                <w14:ligatures w14:val="none"/>
              </w:rPr>
              <w:t>通气管管口高出地面</w:t>
            </w:r>
            <w:r>
              <w:rPr>
                <w:rFonts w:ascii="Times New Roman" w:eastAsia="宋体" w:hAnsi="Times New Roman" w:cs="宋体" w:hint="eastAsia"/>
                <w:sz w:val="21"/>
                <w:szCs w:val="21"/>
                <w14:ligatures w14:val="none"/>
              </w:rPr>
              <w:t>4m</w:t>
            </w:r>
            <w:r>
              <w:rPr>
                <w:rFonts w:ascii="Times New Roman" w:eastAsia="宋体" w:hAnsi="Times New Roman" w:cs="宋体" w:hint="eastAsia"/>
                <w:sz w:val="21"/>
                <w:szCs w:val="21"/>
                <w14:ligatures w14:val="none"/>
              </w:rPr>
              <w:t>。柴油罐通气管管口设置阻火器，车用乙醇汽油罐通气管管口设置阻火器和机械呼吸阀</w:t>
            </w:r>
          </w:p>
        </w:tc>
        <w:tc>
          <w:tcPr>
            <w:tcW w:w="419" w:type="pct"/>
            <w:vAlign w:val="center"/>
          </w:tcPr>
          <w:p w14:paraId="281927E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BC857BB" w14:textId="77777777">
        <w:trPr>
          <w:trHeight w:val="442"/>
          <w:jc w:val="center"/>
        </w:trPr>
        <w:tc>
          <w:tcPr>
            <w:tcW w:w="458" w:type="pct"/>
            <w:vMerge/>
            <w:vAlign w:val="center"/>
          </w:tcPr>
          <w:p w14:paraId="16308BE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F74B94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通气管的公称直径不应小于</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p>
        </w:tc>
        <w:tc>
          <w:tcPr>
            <w:tcW w:w="1222" w:type="pct"/>
            <w:vAlign w:val="center"/>
          </w:tcPr>
          <w:p w14:paraId="1BF4726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BD6515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6.3.10</w:t>
            </w:r>
            <w:r>
              <w:rPr>
                <w:rFonts w:ascii="Times New Roman" w:eastAsia="宋体" w:hAnsi="Times New Roman" w:cs="宋体" w:hint="eastAsia"/>
                <w:sz w:val="21"/>
                <w:szCs w:val="21"/>
                <w14:ligatures w14:val="none"/>
              </w:rPr>
              <w:t>条</w:t>
            </w:r>
          </w:p>
        </w:tc>
        <w:tc>
          <w:tcPr>
            <w:tcW w:w="1133" w:type="pct"/>
            <w:vAlign w:val="center"/>
          </w:tcPr>
          <w:p w14:paraId="37FBEBC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通气管的公称直径</w:t>
            </w:r>
            <w:r>
              <w:rPr>
                <w:rFonts w:ascii="宋体" w:eastAsia="宋体" w:hAnsi="宋体" w:cs="宋体" w:hint="eastAsia"/>
                <w:spacing w:val="-6"/>
                <w:position w:val="2"/>
                <w:sz w:val="21"/>
                <w:szCs w:val="21"/>
                <w:lang w:val="zh-CN"/>
                <w14:ligatures w14:val="none"/>
              </w:rPr>
              <w:t>为</w:t>
            </w:r>
            <w:r>
              <w:rPr>
                <w:rFonts w:ascii="Times New Roman" w:eastAsia="宋体" w:hAnsi="Times New Roman" w:cs="Times New Roman"/>
                <w:spacing w:val="-6"/>
                <w:position w:val="2"/>
                <w:sz w:val="21"/>
                <w:szCs w:val="21"/>
                <w:lang w:val="zh-CN"/>
                <w14:ligatures w14:val="none"/>
              </w:rPr>
              <w:t>50mm</w:t>
            </w:r>
          </w:p>
        </w:tc>
        <w:tc>
          <w:tcPr>
            <w:tcW w:w="419" w:type="pct"/>
            <w:vAlign w:val="center"/>
          </w:tcPr>
          <w:p w14:paraId="5690CAF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6D911DE" w14:textId="77777777">
        <w:trPr>
          <w:trHeight w:val="442"/>
          <w:jc w:val="center"/>
        </w:trPr>
        <w:tc>
          <w:tcPr>
            <w:tcW w:w="458" w:type="pct"/>
            <w:vMerge/>
            <w:vAlign w:val="center"/>
          </w:tcPr>
          <w:p w14:paraId="1FDA522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58ED5B3"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当加油站采用油气回收系统时，车用乙醇汽油罐的通气管管口除应装设阻火器外，应装设呼</w:t>
            </w:r>
            <w:r>
              <w:rPr>
                <w:rFonts w:ascii="Times New Roman" w:eastAsia="宋体" w:hAnsi="Times New Roman" w:cs="Times New Roman" w:hint="eastAsia"/>
                <w:kern w:val="28"/>
                <w:sz w:val="21"/>
                <w:szCs w:val="21"/>
                <w14:ligatures w14:val="none"/>
              </w:rPr>
              <w:lastRenderedPageBreak/>
              <w:t>吸阀。呼吸阀的工作正压宜为</w:t>
            </w:r>
            <w:r>
              <w:rPr>
                <w:rFonts w:ascii="Times New Roman" w:eastAsia="宋体" w:hAnsi="Times New Roman" w:cs="Times New Roman" w:hint="eastAsia"/>
                <w:kern w:val="28"/>
                <w:sz w:val="21"/>
                <w:szCs w:val="21"/>
                <w14:ligatures w14:val="none"/>
              </w:rPr>
              <w:t>2kPa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3kPa</w:t>
            </w:r>
            <w:r>
              <w:rPr>
                <w:rFonts w:ascii="Times New Roman" w:eastAsia="宋体" w:hAnsi="Times New Roman" w:cs="Times New Roman" w:hint="eastAsia"/>
                <w:kern w:val="28"/>
                <w:sz w:val="21"/>
                <w:szCs w:val="21"/>
                <w14:ligatures w14:val="none"/>
              </w:rPr>
              <w:t>，工作负压宜为</w:t>
            </w:r>
            <w:r>
              <w:rPr>
                <w:rFonts w:ascii="Times New Roman" w:eastAsia="宋体" w:hAnsi="Times New Roman" w:cs="Times New Roman" w:hint="eastAsia"/>
                <w:kern w:val="28"/>
                <w:sz w:val="21"/>
                <w:szCs w:val="21"/>
                <w14:ligatures w14:val="none"/>
              </w:rPr>
              <w:t>1.5kPa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2kPa</w:t>
            </w:r>
            <w:r>
              <w:rPr>
                <w:rFonts w:ascii="Times New Roman" w:eastAsia="宋体" w:hAnsi="Times New Roman" w:cs="Times New Roman" w:hint="eastAsia"/>
                <w:kern w:val="28"/>
                <w:sz w:val="21"/>
                <w:szCs w:val="21"/>
                <w14:ligatures w14:val="none"/>
              </w:rPr>
              <w:t>。</w:t>
            </w:r>
          </w:p>
        </w:tc>
        <w:tc>
          <w:tcPr>
            <w:tcW w:w="1222" w:type="pct"/>
            <w:vAlign w:val="center"/>
          </w:tcPr>
          <w:p w14:paraId="23A8EF9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2FC839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6.3.11</w:t>
            </w:r>
            <w:r>
              <w:rPr>
                <w:rFonts w:ascii="Times New Roman" w:eastAsia="宋体" w:hAnsi="Times New Roman" w:cs="宋体" w:hint="eastAsia"/>
                <w:sz w:val="21"/>
                <w:szCs w:val="21"/>
                <w14:ligatures w14:val="none"/>
              </w:rPr>
              <w:t>条</w:t>
            </w:r>
          </w:p>
        </w:tc>
        <w:tc>
          <w:tcPr>
            <w:tcW w:w="1133" w:type="pct"/>
            <w:vAlign w:val="center"/>
          </w:tcPr>
          <w:p w14:paraId="4C503A5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lastRenderedPageBreak/>
              <w:t>车用乙醇汽油</w:t>
            </w:r>
            <w:r>
              <w:rPr>
                <w:rFonts w:ascii="宋体" w:eastAsia="宋体" w:hAnsi="宋体" w:cs="宋体"/>
                <w:sz w:val="21"/>
                <w:szCs w:val="21"/>
                <w:lang w:val="zh-CN"/>
                <w14:ligatures w14:val="none"/>
              </w:rPr>
              <w:t>罐的通气管管口装设</w:t>
            </w:r>
            <w:r>
              <w:rPr>
                <w:rFonts w:ascii="宋体" w:eastAsia="宋体" w:hAnsi="宋体" w:cs="宋体" w:hint="eastAsia"/>
                <w:sz w:val="21"/>
                <w:szCs w:val="21"/>
                <w:lang w:val="zh-CN"/>
                <w14:ligatures w14:val="none"/>
              </w:rPr>
              <w:t>了</w:t>
            </w:r>
            <w:r>
              <w:rPr>
                <w:rFonts w:ascii="宋体" w:eastAsia="宋体" w:hAnsi="宋体" w:cs="宋体"/>
                <w:sz w:val="21"/>
                <w:szCs w:val="21"/>
                <w:lang w:val="zh-CN"/>
                <w14:ligatures w14:val="none"/>
              </w:rPr>
              <w:t>呼吸阀。</w:t>
            </w:r>
            <w:r>
              <w:rPr>
                <w:rFonts w:ascii="宋体" w:eastAsia="宋体" w:hAnsi="宋体" w:cs="宋体" w:hint="eastAsia"/>
                <w:sz w:val="21"/>
                <w:szCs w:val="21"/>
                <w:lang w:val="zh-CN"/>
                <w14:ligatures w14:val="none"/>
              </w:rPr>
              <w:t>呼吸阀的设计</w:t>
            </w:r>
            <w:r>
              <w:rPr>
                <w:rFonts w:ascii="宋体" w:eastAsia="宋体" w:hAnsi="宋体" w:cs="宋体" w:hint="eastAsia"/>
                <w:sz w:val="21"/>
                <w:szCs w:val="21"/>
                <w:lang w:val="zh-CN"/>
                <w14:ligatures w14:val="none"/>
              </w:rPr>
              <w:lastRenderedPageBreak/>
              <w:t>满足《汽车加油加气加氢站技术标准》的要求</w:t>
            </w:r>
          </w:p>
        </w:tc>
        <w:tc>
          <w:tcPr>
            <w:tcW w:w="419" w:type="pct"/>
            <w:vAlign w:val="center"/>
          </w:tcPr>
          <w:p w14:paraId="3CDB5F0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68468052" w14:textId="77777777">
        <w:trPr>
          <w:trHeight w:val="442"/>
          <w:jc w:val="center"/>
        </w:trPr>
        <w:tc>
          <w:tcPr>
            <w:tcW w:w="458" w:type="pct"/>
            <w:vMerge/>
            <w:vAlign w:val="center"/>
          </w:tcPr>
          <w:p w14:paraId="108F3D5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230848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加油站工艺管道的选用，应符合下列规定：</w:t>
            </w:r>
          </w:p>
          <w:p w14:paraId="7A58EDA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①地面敷设的工艺管道应采用符合现行国家标准《输送流体用无缝钢管》</w:t>
            </w:r>
            <w:r>
              <w:rPr>
                <w:rFonts w:ascii="Times New Roman" w:eastAsia="宋体" w:hAnsi="Times New Roman" w:cs="Times New Roman" w:hint="eastAsia"/>
                <w:kern w:val="28"/>
                <w:sz w:val="21"/>
                <w:szCs w:val="21"/>
                <w14:ligatures w14:val="none"/>
              </w:rPr>
              <w:t>GB/T 8163</w:t>
            </w:r>
            <w:r>
              <w:rPr>
                <w:rFonts w:ascii="Times New Roman" w:eastAsia="宋体" w:hAnsi="Times New Roman" w:cs="Times New Roman" w:hint="eastAsia"/>
                <w:kern w:val="28"/>
                <w:sz w:val="21"/>
                <w:szCs w:val="21"/>
                <w14:ligatures w14:val="none"/>
              </w:rPr>
              <w:t>的无缝钢管。</w:t>
            </w:r>
          </w:p>
          <w:p w14:paraId="40A326B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②其他管道应采用输送流体用无缝钢管或适于输送油品的热塑性塑料管道。</w:t>
            </w:r>
          </w:p>
          <w:p w14:paraId="4E113A1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③无缝钢管的公称壁厚不应小于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，埋地钢管的连接应采用焊接。</w:t>
            </w:r>
          </w:p>
          <w:p w14:paraId="05EE1E49"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4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④</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热塑性塑料管道的主体结构层应为无孔隙聚乙烯材料，壁厚不应小于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。埋地部分的热塑性塑料管道应采用配套的专用连接管件电熔连接。</w:t>
            </w:r>
          </w:p>
          <w:p w14:paraId="1B0C842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5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⑤</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导静电热塑性塑料管道导静电衬层的体电阻率应小于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8</w:t>
            </w:r>
            <w:r>
              <w:rPr>
                <w:rFonts w:ascii="Times New Roman" w:eastAsia="宋体" w:hAnsi="Times New Roman" w:cs="Times New Roman" w:hint="eastAsia"/>
                <w:kern w:val="28"/>
                <w:sz w:val="21"/>
                <w:szCs w:val="21"/>
                <w14:ligatures w14:val="none"/>
              </w:rPr>
              <w:t>Ω·</w:t>
            </w:r>
            <w:r>
              <w:rPr>
                <w:rFonts w:ascii="Times New Roman" w:eastAsia="宋体" w:hAnsi="Times New Roman" w:cs="Times New Roman" w:hint="eastAsia"/>
                <w:kern w:val="28"/>
                <w:sz w:val="21"/>
                <w:szCs w:val="21"/>
                <w14:ligatures w14:val="none"/>
              </w:rPr>
              <w:t>m</w:t>
            </w:r>
            <w:r>
              <w:rPr>
                <w:rFonts w:ascii="Times New Roman" w:eastAsia="宋体" w:hAnsi="Times New Roman" w:cs="Times New Roman" w:hint="eastAsia"/>
                <w:kern w:val="28"/>
                <w:sz w:val="21"/>
                <w:szCs w:val="21"/>
                <w14:ligatures w14:val="none"/>
              </w:rPr>
              <w:t>，表面电阻率应小于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10</w:t>
            </w:r>
            <w:r>
              <w:rPr>
                <w:rFonts w:ascii="Times New Roman" w:eastAsia="宋体" w:hAnsi="Times New Roman" w:cs="Times New Roman" w:hint="eastAsia"/>
                <w:kern w:val="28"/>
                <w:sz w:val="21"/>
                <w:szCs w:val="21"/>
                <w14:ligatures w14:val="none"/>
              </w:rPr>
              <w:t>Ω。</w:t>
            </w:r>
          </w:p>
          <w:p w14:paraId="4A36976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⑥不导静电热塑性塑料管道主体结构层的介电击穿强度应大于</w:t>
            </w:r>
            <w:r>
              <w:rPr>
                <w:rFonts w:ascii="Times New Roman" w:eastAsia="宋体" w:hAnsi="Times New Roman" w:cs="Times New Roman" w:hint="eastAsia"/>
                <w:kern w:val="28"/>
                <w:sz w:val="21"/>
                <w:szCs w:val="21"/>
                <w14:ligatures w14:val="none"/>
              </w:rPr>
              <w:t>100kV</w:t>
            </w:r>
            <w:r>
              <w:rPr>
                <w:rFonts w:ascii="Times New Roman" w:eastAsia="宋体" w:hAnsi="Times New Roman" w:cs="Times New Roman" w:hint="eastAsia"/>
                <w:kern w:val="28"/>
                <w:sz w:val="21"/>
                <w:szCs w:val="21"/>
                <w14:ligatures w14:val="none"/>
              </w:rPr>
              <w:t>。</w:t>
            </w:r>
          </w:p>
          <w:p w14:paraId="2B5AE59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⑦柴油尾气处理液加注设备的管道，应采用奥氏体不锈钢管道或能满足输送柴油尾气处理液的其他管道。</w:t>
            </w:r>
          </w:p>
        </w:tc>
        <w:tc>
          <w:tcPr>
            <w:tcW w:w="1222" w:type="pct"/>
            <w:vAlign w:val="center"/>
          </w:tcPr>
          <w:p w14:paraId="5927B5C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374F2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6.3.12</w:t>
            </w:r>
            <w:r>
              <w:rPr>
                <w:rFonts w:ascii="Times New Roman" w:eastAsia="宋体" w:hAnsi="Times New Roman" w:cs="宋体" w:hint="eastAsia"/>
                <w:sz w:val="21"/>
                <w:szCs w:val="21"/>
                <w14:ligatures w14:val="none"/>
              </w:rPr>
              <w:t>条</w:t>
            </w:r>
          </w:p>
        </w:tc>
        <w:tc>
          <w:tcPr>
            <w:tcW w:w="1133" w:type="pct"/>
            <w:vAlign w:val="center"/>
          </w:tcPr>
          <w:p w14:paraId="1878976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加油站工艺管道符合</w:t>
            </w:r>
            <w:r>
              <w:rPr>
                <w:rFonts w:ascii="宋体" w:eastAsia="宋体" w:hAnsi="宋体" w:cs="宋体" w:hint="eastAsia"/>
                <w:spacing w:val="-6"/>
                <w:position w:val="2"/>
                <w:sz w:val="21"/>
                <w:szCs w:val="21"/>
                <w14:ligatures w14:val="none"/>
              </w:rPr>
              <w:t>规范要求</w:t>
            </w:r>
          </w:p>
        </w:tc>
        <w:tc>
          <w:tcPr>
            <w:tcW w:w="419" w:type="pct"/>
            <w:vAlign w:val="center"/>
          </w:tcPr>
          <w:p w14:paraId="655426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93B6FB2" w14:textId="77777777">
        <w:trPr>
          <w:trHeight w:val="442"/>
          <w:jc w:val="center"/>
        </w:trPr>
        <w:tc>
          <w:tcPr>
            <w:tcW w:w="458" w:type="pct"/>
            <w:vMerge/>
            <w:vAlign w:val="center"/>
          </w:tcPr>
          <w:p w14:paraId="73B5B19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C69D11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油罐车卸油时用的卸油连通软管、油气回收连通软管，应采用导静电耐油软管，其体电阻率应小于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8</w:t>
            </w:r>
            <w:r>
              <w:rPr>
                <w:rFonts w:ascii="Times New Roman" w:eastAsia="宋体" w:hAnsi="Times New Roman" w:cs="Times New Roman" w:hint="eastAsia"/>
                <w:kern w:val="28"/>
                <w:sz w:val="21"/>
                <w:szCs w:val="21"/>
                <w14:ligatures w14:val="none"/>
              </w:rPr>
              <w:t>Ω·</w:t>
            </w:r>
            <w:r>
              <w:rPr>
                <w:rFonts w:ascii="Times New Roman" w:eastAsia="宋体" w:hAnsi="Times New Roman" w:cs="Times New Roman" w:hint="eastAsia"/>
                <w:kern w:val="28"/>
                <w:sz w:val="21"/>
                <w:szCs w:val="21"/>
                <w14:ligatures w14:val="none"/>
              </w:rPr>
              <w:t>m</w:t>
            </w:r>
            <w:r>
              <w:rPr>
                <w:rFonts w:ascii="Times New Roman" w:eastAsia="宋体" w:hAnsi="Times New Roman" w:cs="Times New Roman" w:hint="eastAsia"/>
                <w:kern w:val="28"/>
                <w:sz w:val="21"/>
                <w:szCs w:val="21"/>
                <w14:ligatures w14:val="none"/>
              </w:rPr>
              <w:t>，表面电阻率应小于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10</w:t>
            </w:r>
            <w:r>
              <w:rPr>
                <w:rFonts w:ascii="Times New Roman" w:eastAsia="宋体" w:hAnsi="Times New Roman" w:cs="Times New Roman" w:hint="eastAsia"/>
                <w:kern w:val="28"/>
                <w:sz w:val="21"/>
                <w:szCs w:val="21"/>
                <w14:ligatures w14:val="none"/>
              </w:rPr>
              <w:t>Ω，或采用内附金属丝（网）的橡胶软管。</w:t>
            </w:r>
          </w:p>
        </w:tc>
        <w:tc>
          <w:tcPr>
            <w:tcW w:w="1222" w:type="pct"/>
            <w:vAlign w:val="center"/>
          </w:tcPr>
          <w:p w14:paraId="2287D2F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FB47B7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6.3.13</w:t>
            </w:r>
            <w:r>
              <w:rPr>
                <w:rFonts w:ascii="Times New Roman" w:eastAsia="宋体" w:hAnsi="Times New Roman" w:cs="宋体" w:hint="eastAsia"/>
                <w:sz w:val="21"/>
                <w:szCs w:val="21"/>
                <w14:ligatures w14:val="none"/>
              </w:rPr>
              <w:t>条</w:t>
            </w:r>
          </w:p>
        </w:tc>
        <w:tc>
          <w:tcPr>
            <w:tcW w:w="1133" w:type="pct"/>
            <w:vAlign w:val="center"/>
          </w:tcPr>
          <w:p w14:paraId="59F126C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油罐车卸油时用的卸油连通软管、油气回收连通软管，采用电阻率小于</w:t>
            </w:r>
            <w:r>
              <w:rPr>
                <w:rFonts w:ascii="Times New Roman" w:eastAsia="宋体" w:hAnsi="Times New Roman" w:cs="Times New Roman"/>
                <w:sz w:val="21"/>
                <w14:ligatures w14:val="none"/>
              </w:rPr>
              <w:t>10</w:t>
            </w:r>
            <w:r>
              <w:rPr>
                <w:rFonts w:ascii="Times New Roman" w:eastAsia="宋体" w:hAnsi="Times New Roman" w:cs="Times New Roman"/>
                <w:sz w:val="21"/>
                <w:vertAlign w:val="superscript"/>
                <w14:ligatures w14:val="none"/>
              </w:rPr>
              <w:t>8</w:t>
            </w:r>
            <w:r>
              <w:rPr>
                <w:rFonts w:ascii="Times New Roman" w:eastAsia="宋体" w:hAnsi="Times New Roman" w:cs="Times New Roman"/>
                <w:sz w:val="21"/>
                <w:szCs w:val="21"/>
                <w:lang w:val="zh-CN"/>
                <w14:ligatures w14:val="none"/>
              </w:rPr>
              <w:t>Ω·m</w:t>
            </w:r>
            <w:r>
              <w:rPr>
                <w:rFonts w:ascii="Times New Roman" w:eastAsia="宋体" w:hAnsi="Times New Roman" w:cs="Times New Roman"/>
                <w:sz w:val="21"/>
                <w:szCs w:val="21"/>
                <w:lang w:val="zh-CN"/>
                <w14:ligatures w14:val="none"/>
              </w:rPr>
              <w:t>，表面电阻率小于</w:t>
            </w:r>
            <w:r>
              <w:rPr>
                <w:rFonts w:ascii="Times New Roman" w:eastAsia="宋体" w:hAnsi="Times New Roman" w:cs="Times New Roman"/>
                <w:sz w:val="21"/>
                <w14:ligatures w14:val="none"/>
              </w:rPr>
              <w:t>10</w:t>
            </w:r>
            <w:r>
              <w:rPr>
                <w:rFonts w:ascii="Times New Roman" w:eastAsia="宋体" w:hAnsi="Times New Roman" w:cs="Times New Roman"/>
                <w:sz w:val="21"/>
                <w:vertAlign w:val="superscript"/>
                <w14:ligatures w14:val="none"/>
              </w:rPr>
              <w:t>10</w:t>
            </w:r>
            <w:r>
              <w:rPr>
                <w:rFonts w:ascii="Times New Roman" w:eastAsia="宋体" w:hAnsi="Times New Roman" w:cs="Times New Roman"/>
                <w:sz w:val="21"/>
                <w:szCs w:val="21"/>
                <w:lang w:val="zh-CN"/>
                <w14:ligatures w14:val="none"/>
              </w:rPr>
              <w:t>Ω</w:t>
            </w:r>
            <w:r>
              <w:rPr>
                <w:rFonts w:ascii="Times New Roman" w:eastAsia="宋体" w:hAnsi="Times New Roman" w:cs="Times New Roman"/>
                <w:sz w:val="21"/>
                <w:szCs w:val="21"/>
                <w:lang w:val="zh-CN"/>
                <w14:ligatures w14:val="none"/>
              </w:rPr>
              <w:t>的导静电耐油软管</w:t>
            </w:r>
          </w:p>
        </w:tc>
        <w:tc>
          <w:tcPr>
            <w:tcW w:w="419" w:type="pct"/>
            <w:vAlign w:val="center"/>
          </w:tcPr>
          <w:p w14:paraId="136949A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37C3C5B" w14:textId="77777777">
        <w:trPr>
          <w:trHeight w:val="442"/>
          <w:jc w:val="center"/>
        </w:trPr>
        <w:tc>
          <w:tcPr>
            <w:tcW w:w="458" w:type="pct"/>
            <w:vMerge/>
            <w:vAlign w:val="center"/>
          </w:tcPr>
          <w:p w14:paraId="0838EC5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ACE7B1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加油站内的工艺管道除必须露出地面的以外，均应埋地敷设。当采用管沟敷设时，管沟必须用中性沙子或细土填满、填实。</w:t>
            </w:r>
          </w:p>
        </w:tc>
        <w:tc>
          <w:tcPr>
            <w:tcW w:w="1222" w:type="pct"/>
            <w:vAlign w:val="center"/>
          </w:tcPr>
          <w:p w14:paraId="2E5462B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65BE60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6.3.14</w:t>
            </w:r>
            <w:r>
              <w:rPr>
                <w:rFonts w:ascii="Times New Roman" w:eastAsia="宋体" w:hAnsi="Times New Roman" w:cs="宋体" w:hint="eastAsia"/>
                <w:sz w:val="21"/>
                <w:szCs w:val="21"/>
                <w14:ligatures w14:val="none"/>
              </w:rPr>
              <w:t>条</w:t>
            </w:r>
          </w:p>
        </w:tc>
        <w:tc>
          <w:tcPr>
            <w:tcW w:w="1133" w:type="pct"/>
            <w:vAlign w:val="center"/>
          </w:tcPr>
          <w:p w14:paraId="3E93F1A2" w14:textId="77777777" w:rsidR="00502148"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加</w:t>
            </w:r>
            <w:r>
              <w:rPr>
                <w:rFonts w:ascii="宋体" w:eastAsia="宋体" w:hAnsi="宋体" w:cs="宋体"/>
                <w:spacing w:val="-6"/>
                <w:position w:val="2"/>
                <w:sz w:val="21"/>
                <w:szCs w:val="21"/>
                <w:lang w:val="zh-CN"/>
                <w14:ligatures w14:val="none"/>
              </w:rPr>
              <w:t>油站内的工艺管道除必须露出地面的以外，均埋地敷设。</w:t>
            </w:r>
            <w:r>
              <w:rPr>
                <w:rFonts w:ascii="宋体" w:eastAsia="宋体" w:hAnsi="宋体" w:cs="宋体" w:hint="eastAsia"/>
                <w:spacing w:val="-6"/>
                <w:position w:val="2"/>
                <w:sz w:val="21"/>
                <w:szCs w:val="21"/>
                <w:lang w:val="zh-CN"/>
                <w14:ligatures w14:val="none"/>
              </w:rPr>
              <w:t>管道</w:t>
            </w:r>
            <w:r>
              <w:rPr>
                <w:rFonts w:ascii="宋体" w:eastAsia="宋体" w:hAnsi="宋体" w:cs="宋体"/>
                <w:spacing w:val="-6"/>
                <w:position w:val="2"/>
                <w:sz w:val="21"/>
                <w:szCs w:val="21"/>
                <w:lang w:val="zh-CN"/>
                <w14:ligatures w14:val="none"/>
              </w:rPr>
              <w:t>采用管沟敷设，管沟用中性沙子填实</w:t>
            </w:r>
          </w:p>
        </w:tc>
        <w:tc>
          <w:tcPr>
            <w:tcW w:w="419" w:type="pct"/>
            <w:vAlign w:val="center"/>
          </w:tcPr>
          <w:p w14:paraId="4CA9A7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0E85A88" w14:textId="77777777">
        <w:trPr>
          <w:trHeight w:val="442"/>
          <w:jc w:val="center"/>
        </w:trPr>
        <w:tc>
          <w:tcPr>
            <w:tcW w:w="458" w:type="pct"/>
            <w:vMerge/>
            <w:vAlign w:val="center"/>
          </w:tcPr>
          <w:p w14:paraId="7024337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7D75637"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卸油管道、卸油油气回收管道、加油油气回收管道和油罐通气管横管，应坡向埋地油罐。卸油管道的坡度不应小于</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，卸油油气回收管道、加油油气回收管道和油罐通气管横管的坡度，不应小于</w:t>
            </w:r>
            <w:r>
              <w:rPr>
                <w:rFonts w:ascii="Times New Roman" w:eastAsia="宋体" w:hAnsi="Times New Roman" w:cs="Times New Roman" w:hint="eastAsia"/>
                <w:kern w:val="28"/>
                <w:sz w:val="21"/>
                <w:szCs w:val="21"/>
                <w14:ligatures w14:val="none"/>
              </w:rPr>
              <w:lastRenderedPageBreak/>
              <w:t>1%</w:t>
            </w:r>
            <w:r>
              <w:rPr>
                <w:rFonts w:ascii="Times New Roman" w:eastAsia="宋体" w:hAnsi="Times New Roman" w:cs="Times New Roman" w:hint="eastAsia"/>
                <w:kern w:val="28"/>
                <w:sz w:val="21"/>
                <w:szCs w:val="21"/>
                <w14:ligatures w14:val="none"/>
              </w:rPr>
              <w:t>。</w:t>
            </w:r>
          </w:p>
        </w:tc>
        <w:tc>
          <w:tcPr>
            <w:tcW w:w="1222" w:type="pct"/>
            <w:vAlign w:val="center"/>
          </w:tcPr>
          <w:p w14:paraId="5B134AB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E26BE1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6.3.15</w:t>
            </w:r>
            <w:r>
              <w:rPr>
                <w:rFonts w:ascii="Times New Roman" w:eastAsia="宋体" w:hAnsi="Times New Roman" w:cs="宋体" w:hint="eastAsia"/>
                <w:sz w:val="21"/>
                <w:szCs w:val="21"/>
                <w14:ligatures w14:val="none"/>
              </w:rPr>
              <w:t>条</w:t>
            </w:r>
          </w:p>
        </w:tc>
        <w:tc>
          <w:tcPr>
            <w:tcW w:w="1133" w:type="pct"/>
            <w:vAlign w:val="center"/>
          </w:tcPr>
          <w:p w14:paraId="7F57C0E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加油油气回收管道坡向油罐的坡度为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，卸油管坡度大于</w:t>
            </w:r>
            <w:r>
              <w:rPr>
                <w:rFonts w:ascii="Times New Roman" w:eastAsia="宋体" w:hAnsi="Times New Roman" w:cs="Times New Roman"/>
                <w:sz w:val="21"/>
                <w:szCs w:val="21"/>
                <w14:ligatures w14:val="none"/>
              </w:rPr>
              <w:t>2‰</w:t>
            </w:r>
          </w:p>
        </w:tc>
        <w:tc>
          <w:tcPr>
            <w:tcW w:w="419" w:type="pct"/>
            <w:vAlign w:val="center"/>
          </w:tcPr>
          <w:p w14:paraId="64919AB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97A17A2" w14:textId="77777777">
        <w:trPr>
          <w:trHeight w:val="442"/>
          <w:jc w:val="center"/>
        </w:trPr>
        <w:tc>
          <w:tcPr>
            <w:tcW w:w="458" w:type="pct"/>
            <w:vMerge/>
            <w:vAlign w:val="center"/>
          </w:tcPr>
          <w:p w14:paraId="2CE5F24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C8BF2E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受地形限制，加油油气回收管道坡向油罐的坡度无法满足本标准第</w:t>
            </w:r>
            <w:r>
              <w:rPr>
                <w:rFonts w:ascii="Times New Roman" w:eastAsia="宋体" w:hAnsi="Times New Roman" w:cs="Times New Roman" w:hint="eastAsia"/>
                <w:kern w:val="28"/>
                <w:sz w:val="21"/>
                <w:szCs w:val="21"/>
                <w14:ligatures w14:val="none"/>
              </w:rPr>
              <w:t>6.3.15</w:t>
            </w:r>
            <w:r>
              <w:rPr>
                <w:rFonts w:ascii="Times New Roman" w:eastAsia="宋体" w:hAnsi="Times New Roman" w:cs="Times New Roman" w:hint="eastAsia"/>
                <w:kern w:val="28"/>
                <w:sz w:val="21"/>
                <w:szCs w:val="21"/>
                <w14:ligatures w14:val="none"/>
              </w:rPr>
              <w:t>条的要求时，可在管道靠近油罐的位置设置集液器，且管道坡向集液器的坡度不应小于</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w:t>
            </w:r>
          </w:p>
        </w:tc>
        <w:tc>
          <w:tcPr>
            <w:tcW w:w="1222" w:type="pct"/>
            <w:vAlign w:val="center"/>
          </w:tcPr>
          <w:p w14:paraId="6FF20D0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3EA13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6.3.16</w:t>
            </w:r>
            <w:r>
              <w:rPr>
                <w:rFonts w:ascii="Times New Roman" w:eastAsia="宋体" w:hAnsi="Times New Roman" w:cs="宋体" w:hint="eastAsia"/>
                <w:sz w:val="21"/>
                <w:szCs w:val="21"/>
                <w14:ligatures w14:val="none"/>
              </w:rPr>
              <w:t>条</w:t>
            </w:r>
          </w:p>
        </w:tc>
        <w:tc>
          <w:tcPr>
            <w:tcW w:w="1133" w:type="pct"/>
            <w:vAlign w:val="center"/>
          </w:tcPr>
          <w:p w14:paraId="35F7B5EE" w14:textId="77777777" w:rsidR="00502148"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加油油气回收管道坡向油罐的坡度满足规范</w:t>
            </w:r>
            <w:r>
              <w:rPr>
                <w:rFonts w:ascii="Times New Roman" w:eastAsia="宋体" w:hAnsi="Times New Roman" w:cs="Times New Roman"/>
                <w:sz w:val="21"/>
                <w:szCs w:val="21"/>
                <w:lang w:val="zh-CN"/>
                <w14:ligatures w14:val="none"/>
              </w:rPr>
              <w:t>6.3.15</w:t>
            </w:r>
            <w:r>
              <w:rPr>
                <w:rFonts w:ascii="Times New Roman" w:eastAsia="宋体" w:hAnsi="Times New Roman" w:cs="Times New Roman"/>
                <w:sz w:val="21"/>
                <w:szCs w:val="21"/>
                <w:lang w:val="zh-CN"/>
                <w14:ligatures w14:val="none"/>
              </w:rPr>
              <w:t>的要求</w:t>
            </w:r>
          </w:p>
        </w:tc>
        <w:tc>
          <w:tcPr>
            <w:tcW w:w="419" w:type="pct"/>
            <w:vAlign w:val="center"/>
          </w:tcPr>
          <w:p w14:paraId="7B0B3EE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A020818" w14:textId="77777777">
        <w:trPr>
          <w:trHeight w:val="442"/>
          <w:jc w:val="center"/>
        </w:trPr>
        <w:tc>
          <w:tcPr>
            <w:tcW w:w="458" w:type="pct"/>
            <w:vMerge/>
            <w:vAlign w:val="center"/>
          </w:tcPr>
          <w:p w14:paraId="5BE9A6B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DACFCD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埋地工艺管道的埋设深度不得小于</w:t>
            </w:r>
            <w:r>
              <w:rPr>
                <w:rFonts w:ascii="Times New Roman" w:eastAsia="宋体" w:hAnsi="Times New Roman" w:cs="Times New Roman" w:hint="eastAsia"/>
                <w:kern w:val="28"/>
                <w:sz w:val="21"/>
                <w:szCs w:val="21"/>
                <w14:ligatures w14:val="none"/>
              </w:rPr>
              <w:t>0.4m</w:t>
            </w:r>
            <w:r>
              <w:rPr>
                <w:rFonts w:ascii="Times New Roman" w:eastAsia="宋体" w:hAnsi="Times New Roman" w:cs="Times New Roman" w:hint="eastAsia"/>
                <w:kern w:val="28"/>
                <w:sz w:val="21"/>
                <w:szCs w:val="21"/>
                <w14:ligatures w14:val="none"/>
              </w:rPr>
              <w:t>。敷设在混凝土场地或道路下面的管道，管顶低于混凝土层下表面不得小于</w:t>
            </w:r>
            <w:r>
              <w:rPr>
                <w:rFonts w:ascii="Times New Roman" w:eastAsia="宋体" w:hAnsi="Times New Roman" w:cs="Times New Roman" w:hint="eastAsia"/>
                <w:kern w:val="28"/>
                <w:sz w:val="21"/>
                <w:szCs w:val="21"/>
                <w14:ligatures w14:val="none"/>
              </w:rPr>
              <w:t>0.2m</w:t>
            </w:r>
            <w:r>
              <w:rPr>
                <w:rFonts w:ascii="Times New Roman" w:eastAsia="宋体" w:hAnsi="Times New Roman" w:cs="Times New Roman" w:hint="eastAsia"/>
                <w:kern w:val="28"/>
                <w:sz w:val="21"/>
                <w:szCs w:val="21"/>
                <w14:ligatures w14:val="none"/>
              </w:rPr>
              <w:t>。管道周围应回填不小于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厚的中性沙子或细土。</w:t>
            </w:r>
          </w:p>
        </w:tc>
        <w:tc>
          <w:tcPr>
            <w:tcW w:w="1222" w:type="pct"/>
            <w:vAlign w:val="center"/>
          </w:tcPr>
          <w:p w14:paraId="606BA4F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CA42C5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6.3.17</w:t>
            </w:r>
            <w:r>
              <w:rPr>
                <w:rFonts w:ascii="Times New Roman" w:eastAsia="宋体" w:hAnsi="Times New Roman" w:cs="宋体" w:hint="eastAsia"/>
                <w:sz w:val="21"/>
                <w:szCs w:val="21"/>
                <w14:ligatures w14:val="none"/>
              </w:rPr>
              <w:t>条</w:t>
            </w:r>
          </w:p>
        </w:tc>
        <w:tc>
          <w:tcPr>
            <w:tcW w:w="1133" w:type="pct"/>
            <w:vAlign w:val="center"/>
          </w:tcPr>
          <w:p w14:paraId="6145B73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埋地工艺管道的埋设深度不小于</w:t>
            </w:r>
            <w:r>
              <w:rPr>
                <w:rFonts w:ascii="Times New Roman" w:eastAsia="宋体" w:hAnsi="Times New Roman" w:cs="Times New Roman"/>
                <w:sz w:val="21"/>
                <w:szCs w:val="21"/>
                <w:lang w:val="zh-CN"/>
                <w14:ligatures w14:val="none"/>
              </w:rPr>
              <w:t>0.6m</w:t>
            </w:r>
            <w:r>
              <w:rPr>
                <w:rFonts w:ascii="Times New Roman" w:eastAsia="宋体" w:hAnsi="Times New Roman" w:cs="Times New Roman"/>
                <w:sz w:val="21"/>
                <w:szCs w:val="21"/>
                <w:lang w:val="zh-CN"/>
                <w14:ligatures w14:val="none"/>
              </w:rPr>
              <w:t>。管道周围回填不小于</w:t>
            </w:r>
            <w:r>
              <w:rPr>
                <w:rFonts w:ascii="Times New Roman" w:eastAsia="宋体" w:hAnsi="Times New Roman" w:cs="Times New Roman"/>
                <w:sz w:val="21"/>
                <w:szCs w:val="21"/>
                <w:lang w:val="zh-CN"/>
                <w14:ligatures w14:val="none"/>
              </w:rPr>
              <w:t>100mm</w:t>
            </w:r>
            <w:r>
              <w:rPr>
                <w:rFonts w:ascii="Times New Roman" w:eastAsia="宋体" w:hAnsi="Times New Roman" w:cs="Times New Roman"/>
                <w:sz w:val="21"/>
                <w:szCs w:val="21"/>
                <w:lang w:val="zh-CN"/>
                <w14:ligatures w14:val="none"/>
              </w:rPr>
              <w:t>厚的中性沙子</w:t>
            </w:r>
          </w:p>
        </w:tc>
        <w:tc>
          <w:tcPr>
            <w:tcW w:w="419" w:type="pct"/>
            <w:vAlign w:val="center"/>
          </w:tcPr>
          <w:p w14:paraId="4A924F8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07FE2C9" w14:textId="77777777">
        <w:trPr>
          <w:trHeight w:val="442"/>
          <w:jc w:val="center"/>
        </w:trPr>
        <w:tc>
          <w:tcPr>
            <w:tcW w:w="458" w:type="pct"/>
            <w:vMerge/>
            <w:vAlign w:val="center"/>
          </w:tcPr>
          <w:p w14:paraId="6AFD6BF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722D39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工艺管道不应穿过或跨越站房等与其无直接关系的建（构）筑物；与管沟、电缆沟和排水沟相交叉时，应采取相应的防护措施。</w:t>
            </w:r>
          </w:p>
        </w:tc>
        <w:tc>
          <w:tcPr>
            <w:tcW w:w="1222" w:type="pct"/>
            <w:vAlign w:val="center"/>
          </w:tcPr>
          <w:p w14:paraId="2E1D30F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0EB272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6.3.18</w:t>
            </w:r>
            <w:r>
              <w:rPr>
                <w:rFonts w:ascii="Times New Roman" w:eastAsia="宋体" w:hAnsi="Times New Roman" w:cs="宋体" w:hint="eastAsia"/>
                <w:sz w:val="21"/>
                <w:szCs w:val="21"/>
                <w14:ligatures w14:val="none"/>
              </w:rPr>
              <w:t>条</w:t>
            </w:r>
          </w:p>
        </w:tc>
        <w:tc>
          <w:tcPr>
            <w:tcW w:w="1133" w:type="pct"/>
            <w:vAlign w:val="center"/>
          </w:tcPr>
          <w:p w14:paraId="484AC7D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工艺管道</w:t>
            </w:r>
            <w:r>
              <w:rPr>
                <w:rFonts w:ascii="宋体" w:eastAsia="宋体" w:hAnsi="宋体" w:cs="宋体" w:hint="eastAsia"/>
                <w:spacing w:val="-6"/>
                <w:position w:val="2"/>
                <w:sz w:val="21"/>
                <w:szCs w:val="21"/>
                <w:lang w:val="zh-CN"/>
                <w14:ligatures w14:val="none"/>
              </w:rPr>
              <w:t>未</w:t>
            </w:r>
            <w:r>
              <w:rPr>
                <w:rFonts w:ascii="宋体" w:eastAsia="宋体" w:hAnsi="宋体" w:cs="宋体"/>
                <w:spacing w:val="-6"/>
                <w:position w:val="2"/>
                <w:sz w:val="21"/>
                <w:szCs w:val="21"/>
                <w:lang w:val="zh-CN"/>
                <w14:ligatures w14:val="none"/>
              </w:rPr>
              <w:t>穿过或跨越站房等与其无直接关系的建（构）筑物；与管沟、电缆沟和排水沟交叉时，</w:t>
            </w:r>
            <w:r>
              <w:rPr>
                <w:rFonts w:ascii="宋体" w:eastAsia="宋体" w:hAnsi="宋体" w:cs="宋体" w:hint="eastAsia"/>
                <w:spacing w:val="-6"/>
                <w:position w:val="2"/>
                <w:sz w:val="21"/>
                <w:szCs w:val="21"/>
                <w:lang w:val="zh-CN"/>
                <w14:ligatures w14:val="none"/>
              </w:rPr>
              <w:t>满足规范要求的垂直净距</w:t>
            </w:r>
          </w:p>
        </w:tc>
        <w:tc>
          <w:tcPr>
            <w:tcW w:w="419" w:type="pct"/>
            <w:vAlign w:val="center"/>
          </w:tcPr>
          <w:p w14:paraId="77E1121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FE7489C" w14:textId="77777777">
        <w:trPr>
          <w:trHeight w:val="442"/>
          <w:jc w:val="center"/>
        </w:trPr>
        <w:tc>
          <w:tcPr>
            <w:tcW w:w="458" w:type="pct"/>
            <w:vMerge/>
            <w:vAlign w:val="center"/>
          </w:tcPr>
          <w:p w14:paraId="152BF83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2DD01A2"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埋地钢质管道外表面的防腐设计，应符合现行国家标准《钢质管道外腐蚀控制规范》</w:t>
            </w:r>
            <w:r>
              <w:rPr>
                <w:rFonts w:ascii="Times New Roman" w:eastAsia="宋体" w:hAnsi="Times New Roman" w:cs="Times New Roman" w:hint="eastAsia"/>
                <w:kern w:val="28"/>
                <w:sz w:val="21"/>
                <w:szCs w:val="21"/>
                <w14:ligatures w14:val="none"/>
              </w:rPr>
              <w:t>GB/T 21447</w:t>
            </w:r>
            <w:r>
              <w:rPr>
                <w:rFonts w:ascii="Times New Roman" w:eastAsia="宋体" w:hAnsi="Times New Roman" w:cs="Times New Roman" w:hint="eastAsia"/>
                <w:kern w:val="28"/>
                <w:sz w:val="21"/>
                <w:szCs w:val="21"/>
                <w14:ligatures w14:val="none"/>
              </w:rPr>
              <w:t>的有关规定。</w:t>
            </w:r>
          </w:p>
        </w:tc>
        <w:tc>
          <w:tcPr>
            <w:tcW w:w="1222" w:type="pct"/>
            <w:vAlign w:val="center"/>
          </w:tcPr>
          <w:p w14:paraId="0394868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3F9F1B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6.3.20</w:t>
            </w:r>
            <w:r>
              <w:rPr>
                <w:rFonts w:ascii="Times New Roman" w:eastAsia="宋体" w:hAnsi="Times New Roman" w:cs="宋体" w:hint="eastAsia"/>
                <w:sz w:val="21"/>
                <w:szCs w:val="21"/>
                <w14:ligatures w14:val="none"/>
              </w:rPr>
              <w:t>条</w:t>
            </w:r>
          </w:p>
        </w:tc>
        <w:tc>
          <w:tcPr>
            <w:tcW w:w="1133" w:type="pct"/>
            <w:vAlign w:val="center"/>
          </w:tcPr>
          <w:p w14:paraId="56BAB8F2" w14:textId="77777777" w:rsidR="00502148"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lang w:val="zh-CN"/>
                <w14:ligatures w14:val="none"/>
              </w:rPr>
              <w:t>埋地钢质管道外表面防腐设计，符合现行国家标准的有关规定</w:t>
            </w:r>
          </w:p>
        </w:tc>
        <w:tc>
          <w:tcPr>
            <w:tcW w:w="419" w:type="pct"/>
            <w:vAlign w:val="center"/>
          </w:tcPr>
          <w:p w14:paraId="5455F00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B603513" w14:textId="77777777">
        <w:trPr>
          <w:trHeight w:val="442"/>
          <w:jc w:val="center"/>
        </w:trPr>
        <w:tc>
          <w:tcPr>
            <w:tcW w:w="458" w:type="pct"/>
            <w:vMerge/>
            <w:vAlign w:val="center"/>
          </w:tcPr>
          <w:p w14:paraId="66D98EB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345010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地下管道、设备隔热作业时，应先检测有害气体，检测合格后方可操作。</w:t>
            </w:r>
          </w:p>
        </w:tc>
        <w:tc>
          <w:tcPr>
            <w:tcW w:w="1222" w:type="pct"/>
            <w:vAlign w:val="center"/>
          </w:tcPr>
          <w:p w14:paraId="49458817"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《石油化工建设工程施工安全技术标准》（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B82C1A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8.7.3</w:t>
            </w:r>
            <w:r>
              <w:rPr>
                <w:rFonts w:ascii="Times New Roman" w:eastAsia="宋体" w:hAnsi="Times New Roman" w:cs="宋体" w:hint="eastAsia"/>
                <w:sz w:val="21"/>
                <w:szCs w:val="21"/>
                <w14:ligatures w14:val="none"/>
              </w:rPr>
              <w:t>条</w:t>
            </w:r>
          </w:p>
        </w:tc>
        <w:tc>
          <w:tcPr>
            <w:tcW w:w="1133" w:type="pct"/>
            <w:vAlign w:val="center"/>
          </w:tcPr>
          <w:p w14:paraId="324D1C8F" w14:textId="77777777" w:rsidR="00502148"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地下管道、设备隔热作业时，先检测有害气体，检测合格后操作</w:t>
            </w:r>
          </w:p>
        </w:tc>
        <w:tc>
          <w:tcPr>
            <w:tcW w:w="419" w:type="pct"/>
            <w:vAlign w:val="center"/>
          </w:tcPr>
          <w:p w14:paraId="534D667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2155573" w14:textId="77777777">
        <w:trPr>
          <w:trHeight w:val="442"/>
          <w:jc w:val="center"/>
        </w:trPr>
        <w:tc>
          <w:tcPr>
            <w:tcW w:w="458" w:type="pct"/>
            <w:vMerge/>
            <w:vAlign w:val="center"/>
          </w:tcPr>
          <w:p w14:paraId="14E0F7F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5948A7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根据《汽车加油加气加氢站技术标准》（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6.5.4</w:t>
            </w:r>
            <w:r>
              <w:rPr>
                <w:rFonts w:ascii="Times New Roman" w:eastAsia="宋体" w:hAnsi="Times New Roman" w:cs="Times New Roman" w:hint="eastAsia"/>
                <w:kern w:val="28"/>
                <w:sz w:val="21"/>
                <w:szCs w:val="21"/>
                <w14:ligatures w14:val="none"/>
              </w:rPr>
              <w:t>条，装有潜油泵的油罐人孔操作井、卸油口井、加油机底槽等可能发生油品渗漏的部位，也应采取相应的防渗措施。</w:t>
            </w:r>
          </w:p>
        </w:tc>
        <w:tc>
          <w:tcPr>
            <w:tcW w:w="1222" w:type="pct"/>
            <w:vAlign w:val="center"/>
          </w:tcPr>
          <w:p w14:paraId="7E905CE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349F9A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6.5.4</w:t>
            </w:r>
            <w:r>
              <w:rPr>
                <w:rFonts w:ascii="Times New Roman" w:eastAsia="宋体" w:hAnsi="Times New Roman" w:cs="宋体" w:hint="eastAsia"/>
                <w:sz w:val="21"/>
                <w:szCs w:val="21"/>
                <w14:ligatures w14:val="none"/>
              </w:rPr>
              <w:t>条</w:t>
            </w:r>
          </w:p>
        </w:tc>
        <w:tc>
          <w:tcPr>
            <w:tcW w:w="1133" w:type="pct"/>
            <w:vAlign w:val="center"/>
          </w:tcPr>
          <w:p w14:paraId="47FBDB7B" w14:textId="77777777" w:rsidR="00502148"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油罐人孔操作井、卸油口井、加油机底槽等可能发生油品渗漏的部位均采取相应的防渗措施</w:t>
            </w:r>
          </w:p>
        </w:tc>
        <w:tc>
          <w:tcPr>
            <w:tcW w:w="419" w:type="pct"/>
            <w:vAlign w:val="center"/>
          </w:tcPr>
          <w:p w14:paraId="241FC6A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D044BA7" w14:textId="77777777">
        <w:trPr>
          <w:trHeight w:val="442"/>
          <w:jc w:val="center"/>
        </w:trPr>
        <w:tc>
          <w:tcPr>
            <w:tcW w:w="458" w:type="pct"/>
            <w:vMerge/>
            <w:vAlign w:val="center"/>
          </w:tcPr>
          <w:p w14:paraId="377C19F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EFDA01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加油站埋地加油管道应采用双层管道。双层管道的设计，应符合下列规定：</w:t>
            </w:r>
          </w:p>
          <w:p w14:paraId="52F3F131"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①双层管道的内层管应符合本标准第</w:t>
            </w:r>
            <w:r>
              <w:rPr>
                <w:rFonts w:ascii="Times New Roman" w:eastAsia="宋体" w:hAnsi="Times New Roman" w:cs="Times New Roman" w:hint="eastAsia"/>
                <w:kern w:val="28"/>
                <w:sz w:val="21"/>
                <w:szCs w:val="21"/>
                <w14:ligatures w14:val="none"/>
              </w:rPr>
              <w:t>6.3</w:t>
            </w:r>
            <w:r>
              <w:rPr>
                <w:rFonts w:ascii="Times New Roman" w:eastAsia="宋体" w:hAnsi="Times New Roman" w:cs="Times New Roman" w:hint="eastAsia"/>
                <w:kern w:val="28"/>
                <w:sz w:val="21"/>
                <w:szCs w:val="21"/>
                <w14:ligatures w14:val="none"/>
              </w:rPr>
              <w:t>节的有关规定。</w:t>
            </w:r>
          </w:p>
          <w:p w14:paraId="7378C648"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②采用双层非金属管道时，外层管应满足耐油、耐腐蚀、耐老化和系统试验压力的要求。</w:t>
            </w:r>
          </w:p>
          <w:p w14:paraId="7B5B9E0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③采用双层钢制管道时，外层管的壁厚不应小于</w:t>
            </w:r>
            <w:r>
              <w:rPr>
                <w:rFonts w:ascii="Times New Roman" w:eastAsia="宋体" w:hAnsi="Times New Roman" w:cs="Times New Roman" w:hint="eastAsia"/>
                <w:kern w:val="28"/>
                <w:sz w:val="21"/>
                <w:szCs w:val="21"/>
                <w14:ligatures w14:val="none"/>
              </w:rPr>
              <w:t>5mm</w:t>
            </w:r>
            <w:r>
              <w:rPr>
                <w:rFonts w:ascii="Times New Roman" w:eastAsia="宋体" w:hAnsi="Times New Roman" w:cs="Times New Roman" w:hint="eastAsia"/>
                <w:kern w:val="28"/>
                <w:sz w:val="21"/>
                <w:szCs w:val="21"/>
                <w14:ligatures w14:val="none"/>
              </w:rPr>
              <w:t>。</w:t>
            </w:r>
          </w:p>
          <w:p w14:paraId="04CB807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④双层管道系统的内层管与外层</w:t>
            </w:r>
            <w:r>
              <w:rPr>
                <w:rFonts w:ascii="Times New Roman" w:eastAsia="宋体" w:hAnsi="Times New Roman" w:cs="Times New Roman" w:hint="eastAsia"/>
                <w:kern w:val="28"/>
                <w:sz w:val="21"/>
                <w:szCs w:val="21"/>
                <w14:ligatures w14:val="none"/>
              </w:rPr>
              <w:lastRenderedPageBreak/>
              <w:t>管之间的缝隙应贯通。</w:t>
            </w:r>
          </w:p>
          <w:p w14:paraId="0E0D099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⑤双层管道系统的最低点应设检漏点。</w:t>
            </w:r>
          </w:p>
          <w:p w14:paraId="25349E19"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⑥双层管道坡向检漏点的坡度，不应小于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，并应保证内层管和外层管任何部位出现渗漏均能在检漏点处被发现。</w:t>
            </w:r>
          </w:p>
          <w:p w14:paraId="6EA1F52E"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7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⑦</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管道系统的渗漏检测宜采用在线监测系统。</w:t>
            </w:r>
          </w:p>
        </w:tc>
        <w:tc>
          <w:tcPr>
            <w:tcW w:w="1222" w:type="pct"/>
            <w:vAlign w:val="center"/>
          </w:tcPr>
          <w:p w14:paraId="5647C63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A8C2A6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6.5.5</w:t>
            </w:r>
            <w:r>
              <w:rPr>
                <w:rFonts w:ascii="Times New Roman" w:eastAsia="宋体" w:hAnsi="Times New Roman" w:cs="宋体" w:hint="eastAsia"/>
                <w:sz w:val="21"/>
                <w:szCs w:val="21"/>
                <w14:ligatures w14:val="none"/>
              </w:rPr>
              <w:t>条</w:t>
            </w:r>
          </w:p>
        </w:tc>
        <w:tc>
          <w:tcPr>
            <w:tcW w:w="1133" w:type="pct"/>
            <w:vAlign w:val="center"/>
          </w:tcPr>
          <w:p w14:paraId="0E42DBD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采用双层复合管道，管道的渗漏检测系统由双层管道厂家配套供应</w:t>
            </w:r>
          </w:p>
        </w:tc>
        <w:tc>
          <w:tcPr>
            <w:tcW w:w="419" w:type="pct"/>
            <w:vAlign w:val="center"/>
          </w:tcPr>
          <w:p w14:paraId="35F9036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629AEF7" w14:textId="77777777">
        <w:trPr>
          <w:trHeight w:val="442"/>
          <w:jc w:val="center"/>
        </w:trPr>
        <w:tc>
          <w:tcPr>
            <w:tcW w:w="458" w:type="pct"/>
            <w:vMerge/>
            <w:vAlign w:val="center"/>
          </w:tcPr>
          <w:p w14:paraId="18D7193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EEF1AC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双层油罐的渗漏检测宜采用在线检测系统。采用液体传感器检测时，传感器的检测精度不应大于</w:t>
            </w:r>
            <w:r>
              <w:rPr>
                <w:rFonts w:ascii="Times New Roman" w:eastAsia="宋体" w:hAnsi="Times New Roman" w:cs="Times New Roman" w:hint="eastAsia"/>
                <w:kern w:val="28"/>
                <w:sz w:val="21"/>
                <w:szCs w:val="21"/>
                <w14:ligatures w14:val="none"/>
              </w:rPr>
              <w:t>3.5mm</w:t>
            </w:r>
            <w:r>
              <w:rPr>
                <w:rFonts w:ascii="Times New Roman" w:eastAsia="宋体" w:hAnsi="Times New Roman" w:cs="Times New Roman" w:hint="eastAsia"/>
                <w:kern w:val="28"/>
                <w:sz w:val="21"/>
                <w:szCs w:val="21"/>
                <w14:ligatures w14:val="none"/>
              </w:rPr>
              <w:t>。</w:t>
            </w:r>
          </w:p>
        </w:tc>
        <w:tc>
          <w:tcPr>
            <w:tcW w:w="1222" w:type="pct"/>
            <w:vAlign w:val="center"/>
          </w:tcPr>
          <w:p w14:paraId="05E2852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E1A181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6.5.6</w:t>
            </w:r>
            <w:r>
              <w:rPr>
                <w:rFonts w:ascii="Times New Roman" w:eastAsia="宋体" w:hAnsi="Times New Roman" w:cs="宋体" w:hint="eastAsia"/>
                <w:sz w:val="21"/>
                <w:szCs w:val="21"/>
                <w14:ligatures w14:val="none"/>
              </w:rPr>
              <w:t>条</w:t>
            </w:r>
          </w:p>
        </w:tc>
        <w:tc>
          <w:tcPr>
            <w:tcW w:w="1133" w:type="pct"/>
            <w:vAlign w:val="center"/>
          </w:tcPr>
          <w:p w14:paraId="2A1BAAD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油罐采用渗漏在线监测系统</w:t>
            </w:r>
          </w:p>
        </w:tc>
        <w:tc>
          <w:tcPr>
            <w:tcW w:w="419" w:type="pct"/>
            <w:vAlign w:val="center"/>
          </w:tcPr>
          <w:p w14:paraId="0275A43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DFBF196" w14:textId="77777777">
        <w:trPr>
          <w:trHeight w:val="442"/>
          <w:jc w:val="center"/>
        </w:trPr>
        <w:tc>
          <w:tcPr>
            <w:tcW w:w="458" w:type="pct"/>
            <w:vMerge/>
            <w:vAlign w:val="center"/>
          </w:tcPr>
          <w:p w14:paraId="382A238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3A1F53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多台车用乙醇汽油加油机共用一根油气回收总管的，各支路油气回收管道与总管之间应分别设置阻火器，油气回收总管的直径不应小于</w:t>
            </w:r>
            <w:r>
              <w:rPr>
                <w:rFonts w:ascii="Times New Roman" w:eastAsia="宋体" w:hAnsi="Times New Roman" w:cs="Times New Roman" w:hint="eastAsia"/>
                <w:kern w:val="28"/>
                <w:sz w:val="21"/>
                <w:szCs w:val="21"/>
                <w14:ligatures w14:val="none"/>
              </w:rPr>
              <w:t>DN50</w:t>
            </w:r>
            <w:r>
              <w:rPr>
                <w:rFonts w:ascii="Times New Roman" w:eastAsia="宋体" w:hAnsi="Times New Roman" w:cs="Times New Roman" w:hint="eastAsia"/>
                <w:kern w:val="28"/>
                <w:sz w:val="21"/>
                <w:szCs w:val="21"/>
                <w14:ligatures w14:val="none"/>
              </w:rPr>
              <w:t>。</w:t>
            </w:r>
          </w:p>
        </w:tc>
        <w:tc>
          <w:tcPr>
            <w:tcW w:w="1222" w:type="pct"/>
            <w:vAlign w:val="center"/>
          </w:tcPr>
          <w:p w14:paraId="374A276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《油气回收系统防爆技术要求》（</w:t>
            </w:r>
            <w:r>
              <w:rPr>
                <w:rFonts w:ascii="Times New Roman" w:eastAsia="宋体" w:hAnsi="Times New Roman" w:cs="宋体" w:hint="eastAsia"/>
                <w:sz w:val="21"/>
                <w:szCs w:val="21"/>
                <w14:ligatures w14:val="none"/>
              </w:rPr>
              <w:t>GB/T34661-2017</w:t>
            </w:r>
            <w:r>
              <w:rPr>
                <w:rFonts w:ascii="Times New Roman" w:eastAsia="宋体" w:hAnsi="Times New Roman" w:cs="宋体" w:hint="eastAsia"/>
                <w:sz w:val="21"/>
                <w:szCs w:val="21"/>
                <w14:ligatures w14:val="none"/>
              </w:rPr>
              <w:t>）</w:t>
            </w:r>
          </w:p>
          <w:p w14:paraId="32D5CEF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5.2.3.2</w:t>
            </w:r>
            <w:r>
              <w:rPr>
                <w:rFonts w:ascii="Times New Roman" w:eastAsia="宋体" w:hAnsi="Times New Roman" w:cs="宋体" w:hint="eastAsia"/>
                <w:sz w:val="21"/>
                <w:szCs w:val="21"/>
                <w14:ligatures w14:val="none"/>
              </w:rPr>
              <w:t>条</w:t>
            </w:r>
          </w:p>
        </w:tc>
        <w:tc>
          <w:tcPr>
            <w:tcW w:w="1133" w:type="pct"/>
            <w:vAlign w:val="center"/>
          </w:tcPr>
          <w:p w14:paraId="4F71B6F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14:ligatures w14:val="none"/>
              </w:rPr>
              <w:t>已</w:t>
            </w:r>
            <w:r>
              <w:rPr>
                <w:rFonts w:ascii="Times New Roman" w:eastAsia="宋体" w:hAnsi="Times New Roman" w:cs="Times New Roman"/>
                <w:sz w:val="21"/>
                <w:szCs w:val="21"/>
                <w14:ligatures w14:val="none"/>
              </w:rPr>
              <w:t>设置</w:t>
            </w:r>
            <w:r>
              <w:rPr>
                <w:rFonts w:ascii="Times New Roman" w:eastAsia="宋体" w:hAnsi="Times New Roman" w:cs="Times New Roman"/>
                <w:kern w:val="28"/>
                <w:sz w:val="21"/>
                <w:szCs w:val="21"/>
                <w14:ligatures w14:val="none"/>
              </w:rPr>
              <w:t>阻火器，</w:t>
            </w:r>
            <w:r>
              <w:rPr>
                <w:rFonts w:ascii="Times New Roman" w:eastAsia="宋体" w:hAnsi="Times New Roman" w:cs="Times New Roman"/>
                <w:sz w:val="21"/>
                <w:szCs w:val="21"/>
                <w14:ligatures w14:val="none"/>
              </w:rPr>
              <w:t>油气回收总管直径</w:t>
            </w:r>
            <w:r>
              <w:rPr>
                <w:rFonts w:ascii="Times New Roman" w:eastAsia="宋体" w:hAnsi="Times New Roman" w:cs="Times New Roman"/>
                <w:sz w:val="21"/>
                <w:szCs w:val="21"/>
                <w14:ligatures w14:val="none"/>
              </w:rPr>
              <w:t>DN100</w:t>
            </w:r>
          </w:p>
        </w:tc>
        <w:tc>
          <w:tcPr>
            <w:tcW w:w="419" w:type="pct"/>
            <w:vAlign w:val="center"/>
          </w:tcPr>
          <w:p w14:paraId="588413E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FAAA45C" w14:textId="77777777">
        <w:trPr>
          <w:trHeight w:val="442"/>
          <w:jc w:val="center"/>
        </w:trPr>
        <w:tc>
          <w:tcPr>
            <w:tcW w:w="458" w:type="pct"/>
            <w:vMerge/>
            <w:vAlign w:val="center"/>
          </w:tcPr>
          <w:p w14:paraId="256FE69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0ED827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加装油气回收系统的加油机应以油气回收加油枪作为终端。油气回收加油枪应具有或通过阀门控制油路、气路同时开启、关闭和自封功能。</w:t>
            </w:r>
          </w:p>
        </w:tc>
        <w:tc>
          <w:tcPr>
            <w:tcW w:w="1222" w:type="pct"/>
            <w:vAlign w:val="center"/>
          </w:tcPr>
          <w:p w14:paraId="42B42DF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《油气回收系统防爆技术要求》（</w:t>
            </w:r>
            <w:r>
              <w:rPr>
                <w:rFonts w:ascii="Times New Roman" w:eastAsia="宋体" w:hAnsi="Times New Roman" w:cs="宋体" w:hint="eastAsia"/>
                <w:sz w:val="21"/>
                <w:szCs w:val="21"/>
                <w14:ligatures w14:val="none"/>
              </w:rPr>
              <w:t>GB/T34661-2017</w:t>
            </w:r>
            <w:r>
              <w:rPr>
                <w:rFonts w:ascii="Times New Roman" w:eastAsia="宋体" w:hAnsi="Times New Roman" w:cs="宋体" w:hint="eastAsia"/>
                <w:sz w:val="21"/>
                <w:szCs w:val="21"/>
                <w14:ligatures w14:val="none"/>
              </w:rPr>
              <w:t>）</w:t>
            </w:r>
          </w:p>
          <w:p w14:paraId="1553F87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5.2.3.3</w:t>
            </w:r>
            <w:r>
              <w:rPr>
                <w:rFonts w:ascii="Times New Roman" w:eastAsia="宋体" w:hAnsi="Times New Roman" w:cs="宋体" w:hint="eastAsia"/>
                <w:sz w:val="21"/>
                <w:szCs w:val="21"/>
                <w14:ligatures w14:val="none"/>
              </w:rPr>
              <w:t>条</w:t>
            </w:r>
          </w:p>
        </w:tc>
        <w:tc>
          <w:tcPr>
            <w:tcW w:w="1133" w:type="pct"/>
            <w:vAlign w:val="center"/>
          </w:tcPr>
          <w:p w14:paraId="516F5BE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14:ligatures w14:val="none"/>
              </w:rPr>
              <w:t>加装油气回收系统的加油机以油气回收加油枪作为终端。油气回收油枪通过阀门控制油路、气路同时开启、关闭和自封功能</w:t>
            </w:r>
          </w:p>
        </w:tc>
        <w:tc>
          <w:tcPr>
            <w:tcW w:w="419" w:type="pct"/>
            <w:vAlign w:val="center"/>
          </w:tcPr>
          <w:p w14:paraId="3826482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F6308A0" w14:textId="77777777">
        <w:trPr>
          <w:trHeight w:val="442"/>
          <w:jc w:val="center"/>
        </w:trPr>
        <w:tc>
          <w:tcPr>
            <w:tcW w:w="458" w:type="pct"/>
            <w:vMerge/>
            <w:vAlign w:val="center"/>
          </w:tcPr>
          <w:p w14:paraId="40702CFF"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A7B08B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对可能逸出含尘毒气体的生产过程，应采用自动化操作，并设计排风和净化回收装置，作业环境和排放的有害物质浓度应符合现行国家标准的规定。</w:t>
            </w:r>
          </w:p>
        </w:tc>
        <w:tc>
          <w:tcPr>
            <w:tcW w:w="1222" w:type="pct"/>
            <w:vAlign w:val="center"/>
          </w:tcPr>
          <w:p w14:paraId="4D0ABC7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《化工企业安全卫生设计规范》（</w:t>
            </w:r>
            <w:r>
              <w:rPr>
                <w:rFonts w:ascii="Times New Roman" w:eastAsia="宋体" w:hAnsi="Times New Roman" w:cs="宋体"/>
                <w:sz w:val="21"/>
                <w:szCs w:val="21"/>
                <w14:ligatures w14:val="none"/>
              </w:rPr>
              <w:t>HG20571-2014</w:t>
            </w:r>
            <w:r>
              <w:rPr>
                <w:rFonts w:ascii="Times New Roman" w:eastAsia="宋体" w:hAnsi="Times New Roman" w:cs="宋体"/>
                <w:sz w:val="21"/>
                <w:szCs w:val="21"/>
                <w14:ligatures w14:val="none"/>
              </w:rPr>
              <w:t>）</w:t>
            </w:r>
          </w:p>
          <w:p w14:paraId="2FECBC2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5.1.3</w:t>
            </w:r>
            <w:r>
              <w:rPr>
                <w:rFonts w:ascii="Times New Roman" w:eastAsia="宋体" w:hAnsi="Times New Roman" w:cs="宋体"/>
                <w:sz w:val="21"/>
                <w:szCs w:val="21"/>
                <w14:ligatures w14:val="none"/>
              </w:rPr>
              <w:t>条</w:t>
            </w:r>
          </w:p>
        </w:tc>
        <w:tc>
          <w:tcPr>
            <w:tcW w:w="1133" w:type="pct"/>
            <w:vAlign w:val="center"/>
          </w:tcPr>
          <w:p w14:paraId="27FA1FD9"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sz w:val="21"/>
                <w:szCs w:val="21"/>
                <w14:ligatures w14:val="none"/>
              </w:rPr>
              <w:t>已</w:t>
            </w:r>
            <w:r>
              <w:rPr>
                <w:rFonts w:ascii="宋体" w:eastAsia="宋体" w:hAnsi="宋体" w:cs="宋体" w:hint="eastAsia"/>
                <w:sz w:val="21"/>
                <w:szCs w:val="21"/>
                <w14:ligatures w14:val="none"/>
              </w:rPr>
              <w:t>设置自动控制系统</w:t>
            </w:r>
            <w:r>
              <w:rPr>
                <w:rFonts w:ascii="宋体" w:eastAsia="宋体" w:hAnsi="宋体" w:cs="宋体"/>
                <w:sz w:val="21"/>
                <w:szCs w:val="21"/>
                <w14:ligatures w14:val="none"/>
              </w:rPr>
              <w:t>，作业环境和排放的有害物质浓度符合国家标准。</w:t>
            </w:r>
          </w:p>
        </w:tc>
        <w:tc>
          <w:tcPr>
            <w:tcW w:w="419" w:type="pct"/>
            <w:vAlign w:val="center"/>
          </w:tcPr>
          <w:p w14:paraId="41A483D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57EA4D00" w14:textId="77777777">
        <w:trPr>
          <w:trHeight w:val="442"/>
          <w:jc w:val="center"/>
        </w:trPr>
        <w:tc>
          <w:tcPr>
            <w:tcW w:w="458" w:type="pct"/>
            <w:vMerge/>
            <w:vAlign w:val="center"/>
          </w:tcPr>
          <w:p w14:paraId="754ED86F"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CD21342"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对产生毒物的生产过程和设备，应优先采用机械化和自动化，避免直接人工操作。</w:t>
            </w:r>
          </w:p>
        </w:tc>
        <w:tc>
          <w:tcPr>
            <w:tcW w:w="1222" w:type="pct"/>
            <w:vAlign w:val="center"/>
          </w:tcPr>
          <w:p w14:paraId="5239AB6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《工业企业设计卫生标准》（</w:t>
            </w:r>
            <w:r>
              <w:rPr>
                <w:rFonts w:ascii="Times New Roman" w:eastAsia="宋体" w:hAnsi="Times New Roman" w:cs="宋体"/>
                <w:sz w:val="21"/>
                <w:szCs w:val="21"/>
                <w14:ligatures w14:val="none"/>
              </w:rPr>
              <w:t>GBZ1-2010</w:t>
            </w:r>
            <w:r>
              <w:rPr>
                <w:rFonts w:ascii="Times New Roman" w:eastAsia="宋体" w:hAnsi="Times New Roman" w:cs="宋体"/>
                <w:sz w:val="21"/>
                <w:szCs w:val="21"/>
                <w14:ligatures w14:val="none"/>
              </w:rPr>
              <w:t>）</w:t>
            </w:r>
          </w:p>
          <w:p w14:paraId="0971AC4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6.1.1.2</w:t>
            </w:r>
            <w:r>
              <w:rPr>
                <w:rFonts w:ascii="Times New Roman" w:eastAsia="宋体" w:hAnsi="Times New Roman" w:cs="宋体"/>
                <w:sz w:val="21"/>
                <w:szCs w:val="21"/>
                <w14:ligatures w14:val="none"/>
              </w:rPr>
              <w:t>条</w:t>
            </w:r>
          </w:p>
        </w:tc>
        <w:tc>
          <w:tcPr>
            <w:tcW w:w="1133" w:type="pct"/>
            <w:vAlign w:val="center"/>
          </w:tcPr>
          <w:p w14:paraId="68EB8838" w14:textId="77777777" w:rsidR="00502148"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sz w:val="21"/>
                <w:szCs w:val="21"/>
                <w14:ligatures w14:val="none"/>
              </w:rPr>
              <w:t>已设置自动控制系统</w:t>
            </w:r>
          </w:p>
        </w:tc>
        <w:tc>
          <w:tcPr>
            <w:tcW w:w="419" w:type="pct"/>
            <w:vAlign w:val="center"/>
          </w:tcPr>
          <w:p w14:paraId="2ED5B7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4D7B4127" w14:textId="77777777">
        <w:trPr>
          <w:trHeight w:val="442"/>
          <w:jc w:val="center"/>
        </w:trPr>
        <w:tc>
          <w:tcPr>
            <w:tcW w:w="5000" w:type="pct"/>
            <w:gridSpan w:val="5"/>
            <w:vAlign w:val="center"/>
          </w:tcPr>
          <w:p w14:paraId="5298DDA1" w14:textId="77777777" w:rsidR="00502148"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三</w:t>
            </w:r>
            <w:r>
              <w:rPr>
                <w:rFonts w:ascii="Times New Roman" w:eastAsia="宋体" w:hAnsi="Times New Roman" w:cs="Times New Roman"/>
                <w:spacing w:val="-2"/>
                <w:sz w:val="21"/>
                <w:szCs w:val="21"/>
                <w14:ligatures w14:val="none"/>
              </w:rPr>
              <w:t>、</w:t>
            </w:r>
            <w:r>
              <w:rPr>
                <w:rFonts w:ascii="Times New Roman" w:eastAsia="宋体" w:hAnsi="Times New Roman" w:cs="Times New Roman" w:hint="eastAsia"/>
                <w:spacing w:val="-2"/>
                <w:sz w:val="21"/>
                <w:szCs w:val="21"/>
                <w14:ligatures w14:val="none"/>
              </w:rPr>
              <w:t>消防设施及给排水</w:t>
            </w:r>
          </w:p>
        </w:tc>
      </w:tr>
      <w:tr w:rsidR="00502148" w14:paraId="223ED889" w14:textId="77777777">
        <w:trPr>
          <w:trHeight w:val="442"/>
          <w:jc w:val="center"/>
        </w:trPr>
        <w:tc>
          <w:tcPr>
            <w:tcW w:w="458" w:type="pct"/>
            <w:vMerge w:val="restart"/>
            <w:vAlign w:val="center"/>
          </w:tcPr>
          <w:p w14:paraId="0C7F62F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pacing w:val="-2"/>
                <w:sz w:val="21"/>
                <w:szCs w:val="21"/>
                <w14:ligatures w14:val="none"/>
              </w:rPr>
              <w:t>消防设施及给排水</w:t>
            </w:r>
          </w:p>
        </w:tc>
        <w:tc>
          <w:tcPr>
            <w:tcW w:w="1765" w:type="pct"/>
            <w:vAlign w:val="center"/>
          </w:tcPr>
          <w:p w14:paraId="0E036F0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加油站工艺设备应配备灭火器材，并应符合下列规定：</w:t>
            </w:r>
          </w:p>
          <w:p w14:paraId="34C6165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每</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台加油机应配置不少于</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5kg</w:t>
            </w:r>
            <w:r>
              <w:rPr>
                <w:rFonts w:ascii="Times New Roman" w:eastAsia="宋体" w:hAnsi="Times New Roman" w:cs="Times New Roman" w:hint="eastAsia"/>
                <w:kern w:val="28"/>
                <w:sz w:val="21"/>
                <w:szCs w:val="21"/>
                <w14:ligatures w14:val="none"/>
              </w:rPr>
              <w:t>手提式干粉灭火器或</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5kg</w:t>
            </w:r>
            <w:r>
              <w:rPr>
                <w:rFonts w:ascii="Times New Roman" w:eastAsia="宋体" w:hAnsi="Times New Roman" w:cs="Times New Roman" w:hint="eastAsia"/>
                <w:kern w:val="28"/>
                <w:sz w:val="21"/>
                <w:szCs w:val="21"/>
                <w14:ligatures w14:val="none"/>
              </w:rPr>
              <w:t>手提式干粉灭火器和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6L</w:t>
            </w:r>
            <w:r>
              <w:rPr>
                <w:rFonts w:ascii="Times New Roman" w:eastAsia="宋体" w:hAnsi="Times New Roman" w:cs="Times New Roman" w:hint="eastAsia"/>
                <w:kern w:val="28"/>
                <w:sz w:val="21"/>
                <w:szCs w:val="21"/>
                <w14:ligatures w14:val="none"/>
              </w:rPr>
              <w:t>泡沫灭火器。加油机不足</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台按</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台配置。</w:t>
            </w:r>
          </w:p>
          <w:p w14:paraId="2E54AC94"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地下储罐应配置</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台不小于</w:t>
            </w:r>
            <w:r>
              <w:rPr>
                <w:rFonts w:ascii="Times New Roman" w:eastAsia="宋体" w:hAnsi="Times New Roman" w:cs="Times New Roman" w:hint="eastAsia"/>
                <w:kern w:val="28"/>
                <w:sz w:val="21"/>
                <w:szCs w:val="21"/>
                <w14:ligatures w14:val="none"/>
              </w:rPr>
              <w:t>35kg</w:t>
            </w:r>
            <w:r>
              <w:rPr>
                <w:rFonts w:ascii="Times New Roman" w:eastAsia="宋体" w:hAnsi="Times New Roman" w:cs="Times New Roman" w:hint="eastAsia"/>
                <w:kern w:val="28"/>
                <w:sz w:val="21"/>
                <w:szCs w:val="21"/>
                <w14:ligatures w14:val="none"/>
              </w:rPr>
              <w:t>推车式干粉灭火器。当两种介质储罐之间的距离超过</w:t>
            </w:r>
            <w:r>
              <w:rPr>
                <w:rFonts w:ascii="Times New Roman" w:eastAsia="宋体" w:hAnsi="Times New Roman" w:cs="Times New Roman" w:hint="eastAsia"/>
                <w:kern w:val="28"/>
                <w:sz w:val="21"/>
                <w:szCs w:val="21"/>
                <w14:ligatures w14:val="none"/>
              </w:rPr>
              <w:t>15m</w:t>
            </w:r>
            <w:r>
              <w:rPr>
                <w:rFonts w:ascii="Times New Roman" w:eastAsia="宋体" w:hAnsi="Times New Roman" w:cs="Times New Roman" w:hint="eastAsia"/>
                <w:kern w:val="28"/>
                <w:sz w:val="21"/>
                <w:szCs w:val="21"/>
                <w14:ligatures w14:val="none"/>
              </w:rPr>
              <w:t>时，应分别配置。</w:t>
            </w:r>
          </w:p>
          <w:p w14:paraId="016D657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二级加油站应配置灭火毯不少于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块、沙子</w:t>
            </w:r>
            <w:r>
              <w:rPr>
                <w:rFonts w:ascii="Times New Roman" w:eastAsia="宋体" w:hAnsi="Times New Roman" w:cs="Times New Roman" w:hint="eastAsia"/>
                <w:kern w:val="28"/>
                <w:sz w:val="21"/>
                <w:szCs w:val="21"/>
                <w14:ligatures w14:val="none"/>
              </w:rPr>
              <w:t>2m</w:t>
            </w:r>
            <w:r>
              <w:rPr>
                <w:rFonts w:ascii="Times New Roman" w:eastAsia="宋体" w:hAnsi="Times New Roman" w:cs="Times New Roman" w:hint="eastAsia"/>
                <w:kern w:val="28"/>
                <w:sz w:val="21"/>
                <w:szCs w:val="21"/>
                <w14:ligatures w14:val="none"/>
              </w:rPr>
              <w:t>。</w:t>
            </w:r>
          </w:p>
        </w:tc>
        <w:tc>
          <w:tcPr>
            <w:tcW w:w="1222" w:type="pct"/>
            <w:vAlign w:val="center"/>
          </w:tcPr>
          <w:p w14:paraId="5CDB16F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C0D0887"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12.1.1</w:t>
            </w:r>
            <w:r>
              <w:rPr>
                <w:rFonts w:ascii="Times New Roman" w:eastAsia="宋体" w:hAnsi="Times New Roman" w:cs="宋体" w:hint="eastAsia"/>
                <w:sz w:val="21"/>
                <w:szCs w:val="21"/>
                <w14:ligatures w14:val="none"/>
              </w:rPr>
              <w:t>条</w:t>
            </w:r>
          </w:p>
        </w:tc>
        <w:tc>
          <w:tcPr>
            <w:tcW w:w="1133" w:type="pct"/>
            <w:vAlign w:val="center"/>
          </w:tcPr>
          <w:p w14:paraId="7B0CFF93" w14:textId="77777777" w:rsidR="00502148"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储罐区配备</w:t>
            </w:r>
            <w:r>
              <w:rPr>
                <w:rFonts w:ascii="Times New Roman" w:eastAsia="宋体" w:hAnsi="Times New Roman" w:cs="Times New Roman" w:hint="eastAsia"/>
                <w:bCs/>
                <w:sz w:val="21"/>
                <w:szCs w:val="21"/>
                <w14:ligatures w14:val="none"/>
              </w:rPr>
              <w:t>2</w:t>
            </w:r>
            <w:r>
              <w:rPr>
                <w:rFonts w:ascii="Times New Roman" w:eastAsia="宋体" w:hAnsi="Times New Roman" w:cs="Times New Roman" w:hint="eastAsia"/>
                <w:bCs/>
                <w:sz w:val="21"/>
                <w:szCs w:val="21"/>
                <w14:ligatures w14:val="none"/>
              </w:rPr>
              <w:t>台</w:t>
            </w:r>
            <w:r>
              <w:rPr>
                <w:rFonts w:ascii="Times New Roman" w:eastAsia="宋体" w:hAnsi="Times New Roman" w:cs="Times New Roman" w:hint="eastAsia"/>
                <w:bCs/>
                <w:sz w:val="21"/>
                <w:szCs w:val="21"/>
                <w14:ligatures w14:val="none"/>
              </w:rPr>
              <w:t>35kg</w:t>
            </w:r>
            <w:r>
              <w:rPr>
                <w:rFonts w:ascii="Times New Roman" w:eastAsia="宋体" w:hAnsi="Times New Roman" w:cs="Times New Roman" w:hint="eastAsia"/>
                <w:bCs/>
                <w:sz w:val="21"/>
                <w:szCs w:val="21"/>
                <w14:ligatures w14:val="none"/>
              </w:rPr>
              <w:t>推车式干粉灭火器，</w:t>
            </w:r>
            <w:r>
              <w:rPr>
                <w:rFonts w:ascii="Times New Roman" w:eastAsia="宋体" w:hAnsi="Times New Roman" w:cs="Times New Roman" w:hint="eastAsia"/>
                <w:bCs/>
                <w:sz w:val="21"/>
                <w:szCs w:val="21"/>
                <w14:ligatures w14:val="none"/>
              </w:rPr>
              <w:t>4</w:t>
            </w:r>
            <w:r>
              <w:rPr>
                <w:rFonts w:ascii="Times New Roman" w:eastAsia="宋体" w:hAnsi="Times New Roman" w:cs="Times New Roman" w:hint="eastAsia"/>
                <w:bCs/>
                <w:sz w:val="21"/>
                <w:szCs w:val="21"/>
                <w14:ligatures w14:val="none"/>
              </w:rPr>
              <w:t>具</w:t>
            </w:r>
            <w:r>
              <w:rPr>
                <w:rFonts w:ascii="Times New Roman" w:eastAsia="宋体" w:hAnsi="Times New Roman" w:cs="Times New Roman" w:hint="eastAsia"/>
                <w:bCs/>
                <w:sz w:val="21"/>
                <w:szCs w:val="21"/>
                <w14:ligatures w14:val="none"/>
              </w:rPr>
              <w:t>5kg</w:t>
            </w:r>
            <w:r>
              <w:rPr>
                <w:rFonts w:ascii="Times New Roman" w:eastAsia="宋体" w:hAnsi="Times New Roman" w:cs="Times New Roman" w:hint="eastAsia"/>
                <w:bCs/>
                <w:sz w:val="21"/>
                <w:szCs w:val="21"/>
                <w14:ligatures w14:val="none"/>
              </w:rPr>
              <w:t>手提式干粉灭火器，加油作业区配备</w:t>
            </w:r>
            <w:r>
              <w:rPr>
                <w:rFonts w:ascii="Times New Roman" w:eastAsia="宋体" w:hAnsi="Times New Roman" w:cs="Times New Roman" w:hint="eastAsia"/>
                <w:bCs/>
                <w:sz w:val="21"/>
                <w:szCs w:val="21"/>
                <w14:ligatures w14:val="none"/>
              </w:rPr>
              <w:t>6</w:t>
            </w:r>
            <w:r>
              <w:rPr>
                <w:rFonts w:ascii="Times New Roman" w:eastAsia="宋体" w:hAnsi="Times New Roman" w:cs="Times New Roman" w:hint="eastAsia"/>
                <w:bCs/>
                <w:sz w:val="21"/>
                <w:szCs w:val="21"/>
                <w14:ligatures w14:val="none"/>
              </w:rPr>
              <w:t>具</w:t>
            </w:r>
            <w:r>
              <w:rPr>
                <w:rFonts w:ascii="Times New Roman" w:eastAsia="宋体" w:hAnsi="Times New Roman" w:cs="Times New Roman" w:hint="eastAsia"/>
                <w:bCs/>
                <w:sz w:val="21"/>
                <w:szCs w:val="21"/>
                <w14:ligatures w14:val="none"/>
              </w:rPr>
              <w:t>5kg</w:t>
            </w:r>
            <w:r>
              <w:rPr>
                <w:rFonts w:ascii="Times New Roman" w:eastAsia="宋体" w:hAnsi="Times New Roman" w:cs="Times New Roman" w:hint="eastAsia"/>
                <w:bCs/>
                <w:sz w:val="21"/>
                <w:szCs w:val="21"/>
                <w14:ligatures w14:val="none"/>
              </w:rPr>
              <w:t>手提式干粉灭火器，灭火毯</w:t>
            </w:r>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块，站区布置</w:t>
            </w:r>
            <w:r>
              <w:rPr>
                <w:rFonts w:ascii="Times New Roman" w:eastAsia="宋体" w:hAnsi="Times New Roman" w:cs="Times New Roman" w:hint="eastAsia"/>
                <w:bCs/>
                <w:sz w:val="21"/>
                <w:szCs w:val="21"/>
                <w14:ligatures w14:val="none"/>
              </w:rPr>
              <w:t>1</w:t>
            </w:r>
            <w:r>
              <w:rPr>
                <w:rFonts w:ascii="Times New Roman" w:eastAsia="宋体" w:hAnsi="Times New Roman" w:cs="Times New Roman" w:hint="eastAsia"/>
                <w:bCs/>
                <w:sz w:val="21"/>
                <w:szCs w:val="21"/>
                <w14:ligatures w14:val="none"/>
              </w:rPr>
              <w:t>套消防沙箱，</w:t>
            </w:r>
            <w:r>
              <w:rPr>
                <w:rFonts w:ascii="Times New Roman" w:eastAsia="宋体" w:hAnsi="Times New Roman" w:cs="Times New Roman" w:hint="eastAsia"/>
                <w:bCs/>
                <w:sz w:val="21"/>
                <w:szCs w:val="21"/>
                <w14:ligatures w14:val="none"/>
              </w:rPr>
              <w:t>1</w:t>
            </w:r>
            <w:r>
              <w:rPr>
                <w:rFonts w:ascii="Times New Roman" w:eastAsia="宋体" w:hAnsi="Times New Roman" w:cs="Times New Roman" w:hint="eastAsia"/>
                <w:bCs/>
                <w:sz w:val="21"/>
                <w:szCs w:val="21"/>
                <w14:ligatures w14:val="none"/>
              </w:rPr>
              <w:t>台消防器材箱，包括</w:t>
            </w:r>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把消防锹、</w:t>
            </w:r>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个消防桶、</w:t>
            </w:r>
            <w:r>
              <w:rPr>
                <w:rFonts w:ascii="Times New Roman" w:eastAsia="宋体" w:hAnsi="Times New Roman" w:cs="Times New Roman" w:hint="eastAsia"/>
                <w:bCs/>
                <w:sz w:val="21"/>
                <w:szCs w:val="21"/>
                <w14:ligatures w14:val="none"/>
              </w:rPr>
              <w:t>2m</w:t>
            </w:r>
            <w:r>
              <w:rPr>
                <w:rFonts w:ascii="Times New Roman" w:eastAsia="宋体" w:hAnsi="Times New Roman" w:cs="Times New Roman" w:hint="eastAsia"/>
                <w:bCs/>
                <w:sz w:val="21"/>
                <w:szCs w:val="21"/>
                <w14:ligatures w14:val="none"/>
              </w:rPr>
              <w:t>³沙子</w:t>
            </w:r>
          </w:p>
        </w:tc>
        <w:tc>
          <w:tcPr>
            <w:tcW w:w="419" w:type="pct"/>
            <w:vAlign w:val="center"/>
          </w:tcPr>
          <w:p w14:paraId="3CB5B71E"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502148" w14:paraId="73DA19FC" w14:textId="77777777">
        <w:trPr>
          <w:trHeight w:val="442"/>
          <w:jc w:val="center"/>
        </w:trPr>
        <w:tc>
          <w:tcPr>
            <w:tcW w:w="458" w:type="pct"/>
            <w:vMerge/>
            <w:vAlign w:val="center"/>
          </w:tcPr>
          <w:p w14:paraId="6005C30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818CE4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其余建筑的灭火器配置，应符合现行国家标准《建筑灭火器配置设计规范》</w:t>
            </w:r>
            <w:r>
              <w:rPr>
                <w:rFonts w:ascii="Times New Roman" w:eastAsia="宋体" w:hAnsi="Times New Roman" w:cs="Times New Roman" w:hint="eastAsia"/>
                <w:kern w:val="28"/>
                <w:sz w:val="21"/>
                <w:szCs w:val="21"/>
                <w14:ligatures w14:val="none"/>
              </w:rPr>
              <w:t>GB50140</w:t>
            </w:r>
            <w:r>
              <w:rPr>
                <w:rFonts w:ascii="Times New Roman" w:eastAsia="宋体" w:hAnsi="Times New Roman" w:cs="Times New Roman" w:hint="eastAsia"/>
                <w:kern w:val="28"/>
                <w:sz w:val="21"/>
                <w:szCs w:val="21"/>
                <w14:ligatures w14:val="none"/>
              </w:rPr>
              <w:t>的规定。</w:t>
            </w:r>
          </w:p>
        </w:tc>
        <w:tc>
          <w:tcPr>
            <w:tcW w:w="1222" w:type="pct"/>
            <w:vAlign w:val="center"/>
          </w:tcPr>
          <w:p w14:paraId="4AAE134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3260E9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12.1.2</w:t>
            </w:r>
            <w:r>
              <w:rPr>
                <w:rFonts w:ascii="Times New Roman" w:eastAsia="宋体" w:hAnsi="Times New Roman" w:cs="宋体" w:hint="eastAsia"/>
                <w:sz w:val="21"/>
                <w:szCs w:val="21"/>
                <w14:ligatures w14:val="none"/>
              </w:rPr>
              <w:t>条</w:t>
            </w:r>
          </w:p>
        </w:tc>
        <w:tc>
          <w:tcPr>
            <w:tcW w:w="1133" w:type="pct"/>
            <w:vAlign w:val="center"/>
          </w:tcPr>
          <w:p w14:paraId="360B80F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其余建筑的灭火器配置符合现行国家标准《建筑灭火器配置设计规范》</w:t>
            </w:r>
            <w:r>
              <w:rPr>
                <w:rFonts w:ascii="Times New Roman" w:eastAsia="宋体" w:hAnsi="Times New Roman" w:cs="Times New Roman" w:hint="eastAsia"/>
                <w:kern w:val="28"/>
                <w:sz w:val="21"/>
                <w:szCs w:val="21"/>
                <w14:ligatures w14:val="none"/>
              </w:rPr>
              <w:t>GB50140</w:t>
            </w:r>
            <w:r>
              <w:rPr>
                <w:rFonts w:ascii="Times New Roman" w:eastAsia="宋体" w:hAnsi="Times New Roman" w:cs="Times New Roman" w:hint="eastAsia"/>
                <w:kern w:val="28"/>
                <w:sz w:val="21"/>
                <w:szCs w:val="21"/>
                <w14:ligatures w14:val="none"/>
              </w:rPr>
              <w:t>的规定</w:t>
            </w:r>
          </w:p>
        </w:tc>
        <w:tc>
          <w:tcPr>
            <w:tcW w:w="419" w:type="pct"/>
            <w:vAlign w:val="center"/>
          </w:tcPr>
          <w:p w14:paraId="72604F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53B7723" w14:textId="77777777">
        <w:trPr>
          <w:trHeight w:val="442"/>
          <w:jc w:val="center"/>
        </w:trPr>
        <w:tc>
          <w:tcPr>
            <w:tcW w:w="458" w:type="pct"/>
            <w:vMerge/>
            <w:vAlign w:val="center"/>
          </w:tcPr>
          <w:p w14:paraId="1123D95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7560E77"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排水井、雨水口和化粪池不应设在作业区和可燃液体出现泄漏事故时可能流经的部位。</w:t>
            </w:r>
          </w:p>
        </w:tc>
        <w:tc>
          <w:tcPr>
            <w:tcW w:w="1222" w:type="pct"/>
            <w:vAlign w:val="center"/>
          </w:tcPr>
          <w:p w14:paraId="2B75AA9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C1F62D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12.3.3</w:t>
            </w:r>
            <w:r>
              <w:rPr>
                <w:rFonts w:ascii="Times New Roman" w:eastAsia="宋体" w:hAnsi="Times New Roman" w:cs="宋体" w:hint="eastAsia"/>
                <w:sz w:val="21"/>
                <w:szCs w:val="21"/>
                <w14:ligatures w14:val="none"/>
              </w:rPr>
              <w:t>条</w:t>
            </w:r>
          </w:p>
        </w:tc>
        <w:tc>
          <w:tcPr>
            <w:tcW w:w="1133" w:type="pct"/>
            <w:vAlign w:val="center"/>
          </w:tcPr>
          <w:p w14:paraId="3B208E9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排水井、雨水口和化粪池未设在作业区和可燃液体出现泄漏事故时可能流经的部位</w:t>
            </w:r>
          </w:p>
        </w:tc>
        <w:tc>
          <w:tcPr>
            <w:tcW w:w="419" w:type="pct"/>
            <w:vAlign w:val="center"/>
          </w:tcPr>
          <w:p w14:paraId="6B0B8D5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D34B039" w14:textId="77777777">
        <w:trPr>
          <w:trHeight w:val="442"/>
          <w:jc w:val="center"/>
        </w:trPr>
        <w:tc>
          <w:tcPr>
            <w:tcW w:w="5000" w:type="pct"/>
            <w:gridSpan w:val="5"/>
            <w:vAlign w:val="center"/>
          </w:tcPr>
          <w:p w14:paraId="45565CD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四、电气、防雷、防静电、报警和紧急切断系统</w:t>
            </w:r>
          </w:p>
        </w:tc>
      </w:tr>
      <w:tr w:rsidR="00502148" w14:paraId="6B326FA8" w14:textId="77777777">
        <w:trPr>
          <w:trHeight w:val="442"/>
          <w:jc w:val="center"/>
        </w:trPr>
        <w:tc>
          <w:tcPr>
            <w:tcW w:w="458" w:type="pct"/>
            <w:vMerge w:val="restart"/>
            <w:vAlign w:val="center"/>
          </w:tcPr>
          <w:p w14:paraId="095947D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电气、防雷、防静电、报警和紧急切断系统</w:t>
            </w:r>
          </w:p>
        </w:tc>
        <w:tc>
          <w:tcPr>
            <w:tcW w:w="1765" w:type="pct"/>
            <w:vAlign w:val="center"/>
          </w:tcPr>
          <w:p w14:paraId="4124A68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加油站的供电负荷等级可为三级，信息系统应设不间断供电电源。</w:t>
            </w:r>
          </w:p>
        </w:tc>
        <w:tc>
          <w:tcPr>
            <w:tcW w:w="1222" w:type="pct"/>
            <w:vAlign w:val="center"/>
          </w:tcPr>
          <w:p w14:paraId="3614F96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DAFFFDD"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13.1.1</w:t>
            </w:r>
            <w:r>
              <w:rPr>
                <w:rFonts w:ascii="Times New Roman" w:eastAsia="宋体" w:hAnsi="Times New Roman" w:cs="宋体" w:hint="eastAsia"/>
                <w:sz w:val="21"/>
                <w:szCs w:val="21"/>
                <w14:ligatures w14:val="none"/>
              </w:rPr>
              <w:t>条</w:t>
            </w:r>
          </w:p>
        </w:tc>
        <w:tc>
          <w:tcPr>
            <w:tcW w:w="1133" w:type="pct"/>
            <w:vAlign w:val="center"/>
          </w:tcPr>
          <w:p w14:paraId="43F7A44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本站的供电负荷等级为三级，信息系统设置不间断供电电源</w:t>
            </w:r>
          </w:p>
        </w:tc>
        <w:tc>
          <w:tcPr>
            <w:tcW w:w="419" w:type="pct"/>
            <w:vAlign w:val="center"/>
          </w:tcPr>
          <w:p w14:paraId="0E659C8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C0C0B1E" w14:textId="77777777">
        <w:trPr>
          <w:trHeight w:val="442"/>
          <w:jc w:val="center"/>
        </w:trPr>
        <w:tc>
          <w:tcPr>
            <w:tcW w:w="458" w:type="pct"/>
            <w:vMerge/>
            <w:vAlign w:val="center"/>
          </w:tcPr>
          <w:p w14:paraId="08F27BF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98A76F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加油站的罩棚、营业室等处，均应设应急照明，连续供电时间不应少于</w:t>
            </w:r>
            <w:r>
              <w:rPr>
                <w:rFonts w:ascii="Times New Roman" w:eastAsia="宋体" w:hAnsi="Times New Roman" w:cs="Times New Roman" w:hint="eastAsia"/>
                <w:kern w:val="28"/>
                <w:sz w:val="21"/>
                <w:szCs w:val="21"/>
                <w14:ligatures w14:val="none"/>
              </w:rPr>
              <w:t>90min</w:t>
            </w:r>
            <w:r>
              <w:rPr>
                <w:rFonts w:ascii="Times New Roman" w:eastAsia="宋体" w:hAnsi="Times New Roman" w:cs="Times New Roman" w:hint="eastAsia"/>
                <w:kern w:val="28"/>
                <w:sz w:val="21"/>
                <w:szCs w:val="21"/>
                <w14:ligatures w14:val="none"/>
              </w:rPr>
              <w:t>。</w:t>
            </w:r>
          </w:p>
        </w:tc>
        <w:tc>
          <w:tcPr>
            <w:tcW w:w="1222" w:type="pct"/>
            <w:vAlign w:val="center"/>
          </w:tcPr>
          <w:p w14:paraId="3003B3F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91B950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13.1.3</w:t>
            </w:r>
            <w:r>
              <w:rPr>
                <w:rFonts w:ascii="Times New Roman" w:eastAsia="宋体" w:hAnsi="Times New Roman" w:cs="宋体" w:hint="eastAsia"/>
                <w:sz w:val="21"/>
                <w:szCs w:val="21"/>
                <w14:ligatures w14:val="none"/>
              </w:rPr>
              <w:t>条</w:t>
            </w:r>
          </w:p>
        </w:tc>
        <w:tc>
          <w:tcPr>
            <w:tcW w:w="1133" w:type="pct"/>
            <w:vAlign w:val="center"/>
          </w:tcPr>
          <w:p w14:paraId="522FD00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罩棚、营业室已设置事故</w:t>
            </w:r>
            <w:r>
              <w:rPr>
                <w:rFonts w:ascii="Times New Roman" w:eastAsia="宋体" w:hAnsi="Times New Roman" w:cs="Times New Roman" w:hint="eastAsia"/>
                <w:sz w:val="21"/>
                <w:szCs w:val="21"/>
                <w14:ligatures w14:val="none"/>
              </w:rPr>
              <w:t>应急</w:t>
            </w:r>
            <w:r>
              <w:rPr>
                <w:rFonts w:ascii="Times New Roman" w:eastAsia="宋体" w:hAnsi="Times New Roman" w:cs="Times New Roman"/>
                <w:sz w:val="21"/>
                <w:szCs w:val="21"/>
                <w14:ligatures w14:val="none"/>
              </w:rPr>
              <w:t>照明</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连续供电时间不应少于</w:t>
            </w:r>
            <w:r>
              <w:rPr>
                <w:rFonts w:ascii="Times New Roman" w:eastAsia="宋体" w:hAnsi="Times New Roman" w:cs="Times New Roman"/>
                <w:sz w:val="21"/>
                <w:szCs w:val="21"/>
                <w14:ligatures w14:val="none"/>
              </w:rPr>
              <w:t>90min</w:t>
            </w:r>
          </w:p>
        </w:tc>
        <w:tc>
          <w:tcPr>
            <w:tcW w:w="419" w:type="pct"/>
            <w:vAlign w:val="center"/>
          </w:tcPr>
          <w:p w14:paraId="0F4D85A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8B76433" w14:textId="77777777">
        <w:trPr>
          <w:trHeight w:val="442"/>
          <w:jc w:val="center"/>
        </w:trPr>
        <w:tc>
          <w:tcPr>
            <w:tcW w:w="458" w:type="pct"/>
            <w:vMerge/>
            <w:vAlign w:val="center"/>
          </w:tcPr>
          <w:p w14:paraId="6513360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D0C3988"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加油站的电缆宜采用电缆并直埋或电缆穿管敷设。电缆穿越行车道部分，应穿钢管保护。</w:t>
            </w:r>
          </w:p>
        </w:tc>
        <w:tc>
          <w:tcPr>
            <w:tcW w:w="1222" w:type="pct"/>
            <w:vAlign w:val="center"/>
          </w:tcPr>
          <w:p w14:paraId="4907D67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CBB9F0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13.1.5</w:t>
            </w:r>
            <w:r>
              <w:rPr>
                <w:rFonts w:ascii="Times New Roman" w:eastAsia="宋体" w:hAnsi="Times New Roman" w:cs="宋体" w:hint="eastAsia"/>
                <w:sz w:val="21"/>
                <w:szCs w:val="21"/>
                <w14:ligatures w14:val="none"/>
              </w:rPr>
              <w:t>条</w:t>
            </w:r>
          </w:p>
        </w:tc>
        <w:tc>
          <w:tcPr>
            <w:tcW w:w="1133" w:type="pct"/>
            <w:vAlign w:val="center"/>
          </w:tcPr>
          <w:p w14:paraId="54D166F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电力线路电缆为直埋敷设</w:t>
            </w:r>
          </w:p>
        </w:tc>
        <w:tc>
          <w:tcPr>
            <w:tcW w:w="419" w:type="pct"/>
            <w:vAlign w:val="center"/>
          </w:tcPr>
          <w:p w14:paraId="00675F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DC4D778" w14:textId="77777777">
        <w:trPr>
          <w:trHeight w:val="442"/>
          <w:jc w:val="center"/>
        </w:trPr>
        <w:tc>
          <w:tcPr>
            <w:tcW w:w="458" w:type="pct"/>
            <w:vMerge/>
            <w:vAlign w:val="center"/>
          </w:tcPr>
          <w:p w14:paraId="4E8BBB8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1A587A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当采用电缆沟敷设电缆时，作业区内的电缆沟内必须充沙填实。电缆不得与油品管道以及热力管道敷设在同一沟内。</w:t>
            </w:r>
          </w:p>
        </w:tc>
        <w:tc>
          <w:tcPr>
            <w:tcW w:w="1222" w:type="pct"/>
            <w:vAlign w:val="center"/>
          </w:tcPr>
          <w:p w14:paraId="2651254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20EC2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13.1.6</w:t>
            </w:r>
            <w:r>
              <w:rPr>
                <w:rFonts w:ascii="Times New Roman" w:eastAsia="宋体" w:hAnsi="Times New Roman" w:cs="宋体" w:hint="eastAsia"/>
                <w:sz w:val="21"/>
                <w:szCs w:val="21"/>
                <w14:ligatures w14:val="none"/>
              </w:rPr>
              <w:t>条</w:t>
            </w:r>
          </w:p>
        </w:tc>
        <w:tc>
          <w:tcPr>
            <w:tcW w:w="1133" w:type="pct"/>
            <w:vAlign w:val="center"/>
          </w:tcPr>
          <w:p w14:paraId="5B38F54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电缆为直埋敷设</w:t>
            </w:r>
          </w:p>
        </w:tc>
        <w:tc>
          <w:tcPr>
            <w:tcW w:w="419" w:type="pct"/>
            <w:vAlign w:val="center"/>
          </w:tcPr>
          <w:p w14:paraId="33256C9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15C65A6" w14:textId="77777777">
        <w:trPr>
          <w:trHeight w:val="442"/>
          <w:jc w:val="center"/>
        </w:trPr>
        <w:tc>
          <w:tcPr>
            <w:tcW w:w="458" w:type="pct"/>
            <w:vMerge/>
            <w:vAlign w:val="center"/>
          </w:tcPr>
          <w:p w14:paraId="438AE9E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33C8F3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爆炸危险区域内的电气设备选型、安装、电力线路敷设等，应符合现行国家标准《爆炸危险环境电力装置设计规范》</w:t>
            </w:r>
            <w:r>
              <w:rPr>
                <w:rFonts w:ascii="Times New Roman" w:eastAsia="宋体" w:hAnsi="Times New Roman" w:cs="Times New Roman" w:hint="eastAsia"/>
                <w:kern w:val="28"/>
                <w:sz w:val="21"/>
                <w:szCs w:val="21"/>
                <w14:ligatures w14:val="none"/>
              </w:rPr>
              <w:t>GB50058</w:t>
            </w:r>
            <w:r>
              <w:rPr>
                <w:rFonts w:ascii="Times New Roman" w:eastAsia="宋体" w:hAnsi="Times New Roman" w:cs="Times New Roman" w:hint="eastAsia"/>
                <w:kern w:val="28"/>
                <w:sz w:val="21"/>
                <w:szCs w:val="21"/>
                <w14:ligatures w14:val="none"/>
              </w:rPr>
              <w:t>的的有关规定。</w:t>
            </w:r>
          </w:p>
        </w:tc>
        <w:tc>
          <w:tcPr>
            <w:tcW w:w="1222" w:type="pct"/>
            <w:vAlign w:val="center"/>
          </w:tcPr>
          <w:p w14:paraId="05504A8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448642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13.1.7</w:t>
            </w:r>
            <w:r>
              <w:rPr>
                <w:rFonts w:ascii="Times New Roman" w:eastAsia="宋体" w:hAnsi="Times New Roman" w:cs="宋体" w:hint="eastAsia"/>
                <w:sz w:val="21"/>
                <w:szCs w:val="21"/>
                <w14:ligatures w14:val="none"/>
              </w:rPr>
              <w:t>条</w:t>
            </w:r>
          </w:p>
        </w:tc>
        <w:tc>
          <w:tcPr>
            <w:tcW w:w="1133" w:type="pct"/>
            <w:vAlign w:val="center"/>
          </w:tcPr>
          <w:p w14:paraId="1836113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电气设备选型、安装、电力线路敷设符合规范要求</w:t>
            </w:r>
          </w:p>
        </w:tc>
        <w:tc>
          <w:tcPr>
            <w:tcW w:w="419" w:type="pct"/>
            <w:vAlign w:val="center"/>
          </w:tcPr>
          <w:p w14:paraId="6D3F52E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A4A7ECC" w14:textId="77777777">
        <w:trPr>
          <w:trHeight w:val="442"/>
          <w:jc w:val="center"/>
        </w:trPr>
        <w:tc>
          <w:tcPr>
            <w:tcW w:w="458" w:type="pct"/>
            <w:vMerge/>
            <w:vAlign w:val="center"/>
          </w:tcPr>
          <w:p w14:paraId="40B4635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354499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汽车加油站内爆炸危险区域以外的照明灯具可选用非防爆型、罩棚下处于非爆炸危险区域的灯具应选用防护等级不低于</w:t>
            </w:r>
            <w:r>
              <w:rPr>
                <w:rFonts w:ascii="Times New Roman" w:eastAsia="宋体" w:hAnsi="Times New Roman" w:cs="Times New Roman" w:hint="eastAsia"/>
                <w:kern w:val="28"/>
                <w:sz w:val="21"/>
                <w:szCs w:val="21"/>
                <w14:ligatures w14:val="none"/>
              </w:rPr>
              <w:t>IP44</w:t>
            </w:r>
            <w:r>
              <w:rPr>
                <w:rFonts w:ascii="Times New Roman" w:eastAsia="宋体" w:hAnsi="Times New Roman" w:cs="Times New Roman" w:hint="eastAsia"/>
                <w:kern w:val="28"/>
                <w:sz w:val="21"/>
                <w:szCs w:val="21"/>
                <w14:ligatures w14:val="none"/>
              </w:rPr>
              <w:t>级的照明灯具。</w:t>
            </w:r>
          </w:p>
        </w:tc>
        <w:tc>
          <w:tcPr>
            <w:tcW w:w="1222" w:type="pct"/>
            <w:vAlign w:val="center"/>
          </w:tcPr>
          <w:p w14:paraId="3396F94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1E6A63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13.1.8</w:t>
            </w:r>
            <w:r>
              <w:rPr>
                <w:rFonts w:ascii="Times New Roman" w:eastAsia="宋体" w:hAnsi="Times New Roman" w:cs="宋体" w:hint="eastAsia"/>
                <w:sz w:val="21"/>
                <w:szCs w:val="21"/>
                <w14:ligatures w14:val="none"/>
              </w:rPr>
              <w:t>条</w:t>
            </w:r>
          </w:p>
        </w:tc>
        <w:tc>
          <w:tcPr>
            <w:tcW w:w="1133" w:type="pct"/>
            <w:vAlign w:val="center"/>
          </w:tcPr>
          <w:p w14:paraId="48842C8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所选灯具均符合规范要求</w:t>
            </w:r>
          </w:p>
        </w:tc>
        <w:tc>
          <w:tcPr>
            <w:tcW w:w="419" w:type="pct"/>
            <w:vAlign w:val="center"/>
          </w:tcPr>
          <w:p w14:paraId="11AD23F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33BF915" w14:textId="77777777">
        <w:trPr>
          <w:trHeight w:val="442"/>
          <w:jc w:val="center"/>
        </w:trPr>
        <w:tc>
          <w:tcPr>
            <w:tcW w:w="458" w:type="pct"/>
            <w:vMerge/>
            <w:vAlign w:val="center"/>
          </w:tcPr>
          <w:p w14:paraId="56EF227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F0903B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应急照明灯具应固定安装在不燃性墙体或不燃性装修材料上，不应安装在门、窗或其他可移动的物体上。</w:t>
            </w:r>
          </w:p>
        </w:tc>
        <w:tc>
          <w:tcPr>
            <w:tcW w:w="1222" w:type="pct"/>
            <w:vAlign w:val="center"/>
          </w:tcPr>
          <w:p w14:paraId="07E08C4E"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4C73336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4.5.1</w:t>
            </w:r>
            <w:r>
              <w:rPr>
                <w:rFonts w:ascii="Times New Roman" w:eastAsia="宋体" w:hAnsi="Times New Roman" w:cs="宋体" w:hint="eastAsia"/>
                <w:sz w:val="21"/>
                <w:szCs w:val="21"/>
                <w14:ligatures w14:val="none"/>
              </w:rPr>
              <w:t>条</w:t>
            </w:r>
          </w:p>
        </w:tc>
        <w:tc>
          <w:tcPr>
            <w:tcW w:w="1133" w:type="pct"/>
            <w:vAlign w:val="center"/>
          </w:tcPr>
          <w:p w14:paraId="7A86B5B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应急照明灯具固定安装在不燃性墙体上</w:t>
            </w:r>
          </w:p>
        </w:tc>
        <w:tc>
          <w:tcPr>
            <w:tcW w:w="419" w:type="pct"/>
            <w:vAlign w:val="center"/>
          </w:tcPr>
          <w:p w14:paraId="1CF58D5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AAC04A1" w14:textId="77777777">
        <w:trPr>
          <w:trHeight w:val="442"/>
          <w:jc w:val="center"/>
        </w:trPr>
        <w:tc>
          <w:tcPr>
            <w:tcW w:w="458" w:type="pct"/>
            <w:vMerge/>
            <w:vAlign w:val="center"/>
          </w:tcPr>
          <w:p w14:paraId="7ECF502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241CFF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应急照明灯灯具安装后不应对</w:t>
            </w:r>
            <w:r>
              <w:rPr>
                <w:rFonts w:ascii="Times New Roman" w:eastAsia="宋体" w:hAnsi="Times New Roman" w:cs="Times New Roman" w:hint="eastAsia"/>
                <w:kern w:val="28"/>
                <w:sz w:val="21"/>
                <w:szCs w:val="21"/>
                <w14:ligatures w14:val="none"/>
              </w:rPr>
              <w:lastRenderedPageBreak/>
              <w:t>人员正常通行产生影响，灯具周围应无遮挡物，并应保证灯具上的各种状态指示灯易于观察。</w:t>
            </w:r>
          </w:p>
        </w:tc>
        <w:tc>
          <w:tcPr>
            <w:tcW w:w="1222" w:type="pct"/>
            <w:vAlign w:val="center"/>
          </w:tcPr>
          <w:p w14:paraId="61D4FA3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《消防应急照明和疏散指示系统技术标</w:t>
            </w:r>
            <w:r>
              <w:rPr>
                <w:rFonts w:ascii="Times New Roman" w:eastAsia="宋体" w:hAnsi="Times New Roman" w:cs="宋体" w:hint="eastAsia"/>
                <w:sz w:val="21"/>
                <w:szCs w:val="21"/>
                <w14:ligatures w14:val="none"/>
              </w:rPr>
              <w:lastRenderedPageBreak/>
              <w:t>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428F2F8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4.5.2</w:t>
            </w:r>
            <w:r>
              <w:rPr>
                <w:rFonts w:ascii="Times New Roman" w:eastAsia="宋体" w:hAnsi="Times New Roman" w:cs="宋体" w:hint="eastAsia"/>
                <w:sz w:val="21"/>
                <w:szCs w:val="21"/>
                <w14:ligatures w14:val="none"/>
              </w:rPr>
              <w:t>条</w:t>
            </w:r>
          </w:p>
        </w:tc>
        <w:tc>
          <w:tcPr>
            <w:tcW w:w="1133" w:type="pct"/>
            <w:vAlign w:val="center"/>
          </w:tcPr>
          <w:p w14:paraId="0A1FF07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应急照明灯灯具安装后不对人员正常</w:t>
            </w:r>
            <w:r>
              <w:rPr>
                <w:rFonts w:ascii="Times New Roman" w:eastAsia="宋体" w:hAnsi="Times New Roman" w:cs="Times New Roman"/>
                <w:sz w:val="21"/>
                <w:szCs w:val="21"/>
                <w14:ligatures w14:val="none"/>
              </w:rPr>
              <w:lastRenderedPageBreak/>
              <w:t>通行产生影响，灯具周围无遮挡物，且灯具上的各种状态指示灯易于观察</w:t>
            </w:r>
          </w:p>
        </w:tc>
        <w:tc>
          <w:tcPr>
            <w:tcW w:w="419" w:type="pct"/>
            <w:vAlign w:val="center"/>
          </w:tcPr>
          <w:p w14:paraId="0658E09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7CC3A14B" w14:textId="77777777">
        <w:trPr>
          <w:trHeight w:val="442"/>
          <w:jc w:val="center"/>
        </w:trPr>
        <w:tc>
          <w:tcPr>
            <w:tcW w:w="458" w:type="pct"/>
            <w:vMerge/>
            <w:vAlign w:val="center"/>
          </w:tcPr>
          <w:p w14:paraId="543A41D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9FBEB0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应急照明灯灯具在顶棚、疏散走道或通道的上方安装时，应符合下列规定：</w:t>
            </w:r>
          </w:p>
          <w:p w14:paraId="30737DC6"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①照明灯可采用嵌顶、吸顶和吊装式安装。</w:t>
            </w:r>
          </w:p>
          <w:p w14:paraId="59ACEAC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②标志灯可采用吸顶和吊装式安装；室内高度大于</w:t>
            </w:r>
            <w:r>
              <w:rPr>
                <w:rFonts w:ascii="Times New Roman" w:eastAsia="宋体" w:hAnsi="Times New Roman" w:cs="Times New Roman" w:hint="eastAsia"/>
                <w:kern w:val="28"/>
                <w:sz w:val="21"/>
                <w:szCs w:val="21"/>
                <w14:ligatures w14:val="none"/>
              </w:rPr>
              <w:t>3.5m</w:t>
            </w:r>
            <w:r>
              <w:rPr>
                <w:rFonts w:ascii="Times New Roman" w:eastAsia="宋体" w:hAnsi="Times New Roman" w:cs="Times New Roman" w:hint="eastAsia"/>
                <w:kern w:val="28"/>
                <w:sz w:val="21"/>
                <w:szCs w:val="21"/>
                <w14:ligatures w14:val="none"/>
              </w:rPr>
              <w:t>的场所，特大型、大型、中型标志灯宜采用吊装式安装。</w:t>
            </w:r>
          </w:p>
          <w:p w14:paraId="59B8741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③灯具采用吊装式安装时，应采用金属吊杆或吊链，吊杆或吊链上端应固定在建筑构件上。</w:t>
            </w:r>
          </w:p>
        </w:tc>
        <w:tc>
          <w:tcPr>
            <w:tcW w:w="1222" w:type="pct"/>
            <w:vAlign w:val="center"/>
          </w:tcPr>
          <w:p w14:paraId="144A8A5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0AAA32B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4.5.3</w:t>
            </w:r>
            <w:r>
              <w:rPr>
                <w:rFonts w:ascii="Times New Roman" w:eastAsia="宋体" w:hAnsi="Times New Roman" w:cs="宋体" w:hint="eastAsia"/>
                <w:sz w:val="21"/>
                <w:szCs w:val="21"/>
                <w14:ligatures w14:val="none"/>
              </w:rPr>
              <w:t>条</w:t>
            </w:r>
          </w:p>
        </w:tc>
        <w:tc>
          <w:tcPr>
            <w:tcW w:w="1133" w:type="pct"/>
            <w:vAlign w:val="center"/>
          </w:tcPr>
          <w:p w14:paraId="3E67E9F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应急照明灯灯具在顶棚、疏散走道或通道的上方</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安装符合相关规定</w:t>
            </w:r>
          </w:p>
        </w:tc>
        <w:tc>
          <w:tcPr>
            <w:tcW w:w="419" w:type="pct"/>
            <w:vAlign w:val="center"/>
          </w:tcPr>
          <w:p w14:paraId="3387D35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A775728" w14:textId="77777777">
        <w:trPr>
          <w:trHeight w:val="442"/>
          <w:jc w:val="center"/>
        </w:trPr>
        <w:tc>
          <w:tcPr>
            <w:tcW w:w="458" w:type="pct"/>
            <w:vMerge/>
            <w:vAlign w:val="center"/>
          </w:tcPr>
          <w:p w14:paraId="780FC1A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F84931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灯具在侧面墙或柱上安装时，应符合下列规定：</w:t>
            </w:r>
          </w:p>
          <w:p w14:paraId="6C0C6D9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①可采用壁挂式或嵌入式安装；</w:t>
            </w:r>
          </w:p>
          <w:p w14:paraId="33D61513"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②安装高度距地面不大于</w:t>
            </w:r>
            <w:r>
              <w:rPr>
                <w:rFonts w:ascii="Times New Roman" w:eastAsia="宋体" w:hAnsi="Times New Roman" w:cs="Times New Roman" w:hint="eastAsia"/>
                <w:kern w:val="28"/>
                <w:sz w:val="21"/>
                <w:szCs w:val="21"/>
                <w14:ligatures w14:val="none"/>
              </w:rPr>
              <w:t>1m</w:t>
            </w:r>
            <w:r>
              <w:rPr>
                <w:rFonts w:ascii="Times New Roman" w:eastAsia="宋体" w:hAnsi="Times New Roman" w:cs="Times New Roman" w:hint="eastAsia"/>
                <w:kern w:val="28"/>
                <w:sz w:val="21"/>
                <w:szCs w:val="21"/>
                <w14:ligatures w14:val="none"/>
              </w:rPr>
              <w:t>时，灯具表面凸出墙面或柱面的部分不应有尖锐角、毛刺等突出物，凸出墙面或柱面最大水平距离不应超过</w:t>
            </w:r>
            <w:r>
              <w:rPr>
                <w:rFonts w:ascii="Times New Roman" w:eastAsia="宋体" w:hAnsi="Times New Roman" w:cs="Times New Roman" w:hint="eastAsia"/>
                <w:kern w:val="28"/>
                <w:sz w:val="21"/>
                <w:szCs w:val="21"/>
                <w14:ligatures w14:val="none"/>
              </w:rPr>
              <w:t>20mm</w:t>
            </w:r>
            <w:r>
              <w:rPr>
                <w:rFonts w:ascii="Times New Roman" w:eastAsia="宋体" w:hAnsi="Times New Roman" w:cs="Times New Roman" w:hint="eastAsia"/>
                <w:kern w:val="28"/>
                <w:sz w:val="21"/>
                <w:szCs w:val="21"/>
                <w14:ligatures w14:val="none"/>
              </w:rPr>
              <w:t>。</w:t>
            </w:r>
          </w:p>
        </w:tc>
        <w:tc>
          <w:tcPr>
            <w:tcW w:w="1222" w:type="pct"/>
            <w:vAlign w:val="center"/>
          </w:tcPr>
          <w:p w14:paraId="36F34941"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2E4E03C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4.5.4</w:t>
            </w:r>
            <w:r>
              <w:rPr>
                <w:rFonts w:ascii="Times New Roman" w:eastAsia="宋体" w:hAnsi="Times New Roman" w:cs="宋体" w:hint="eastAsia"/>
                <w:sz w:val="21"/>
                <w:szCs w:val="21"/>
                <w14:ligatures w14:val="none"/>
              </w:rPr>
              <w:t>条</w:t>
            </w:r>
          </w:p>
        </w:tc>
        <w:tc>
          <w:tcPr>
            <w:tcW w:w="1133" w:type="pct"/>
            <w:vAlign w:val="center"/>
          </w:tcPr>
          <w:p w14:paraId="01F4AA5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灯具在侧面墙或柱上</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安装时符合相关规定</w:t>
            </w:r>
          </w:p>
        </w:tc>
        <w:tc>
          <w:tcPr>
            <w:tcW w:w="419" w:type="pct"/>
            <w:vAlign w:val="center"/>
          </w:tcPr>
          <w:p w14:paraId="223871E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600F297" w14:textId="77777777">
        <w:trPr>
          <w:trHeight w:val="442"/>
          <w:jc w:val="center"/>
        </w:trPr>
        <w:tc>
          <w:tcPr>
            <w:tcW w:w="458" w:type="pct"/>
            <w:vMerge/>
            <w:vAlign w:val="center"/>
          </w:tcPr>
          <w:p w14:paraId="7F57840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B6FF87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非集中控制型系统中，自带电源型灯具采用插头连接时，应采用专用工具方可拆卸。</w:t>
            </w:r>
          </w:p>
        </w:tc>
        <w:tc>
          <w:tcPr>
            <w:tcW w:w="1222" w:type="pct"/>
            <w:vAlign w:val="center"/>
          </w:tcPr>
          <w:p w14:paraId="719C193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0C7F417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4.5.5</w:t>
            </w:r>
            <w:r>
              <w:rPr>
                <w:rFonts w:ascii="Times New Roman" w:eastAsia="宋体" w:hAnsi="Times New Roman" w:cs="宋体" w:hint="eastAsia"/>
                <w:sz w:val="21"/>
                <w:szCs w:val="21"/>
                <w14:ligatures w14:val="none"/>
              </w:rPr>
              <w:t>条</w:t>
            </w:r>
          </w:p>
        </w:tc>
        <w:tc>
          <w:tcPr>
            <w:tcW w:w="1133" w:type="pct"/>
            <w:vAlign w:val="center"/>
          </w:tcPr>
          <w:p w14:paraId="08FF7C5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灯具集中控制</w:t>
            </w:r>
          </w:p>
        </w:tc>
        <w:tc>
          <w:tcPr>
            <w:tcW w:w="419" w:type="pct"/>
            <w:vAlign w:val="center"/>
          </w:tcPr>
          <w:p w14:paraId="4C514CE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1258BA1" w14:textId="77777777">
        <w:trPr>
          <w:trHeight w:val="442"/>
          <w:jc w:val="center"/>
        </w:trPr>
        <w:tc>
          <w:tcPr>
            <w:tcW w:w="458" w:type="pct"/>
            <w:vMerge/>
            <w:vAlign w:val="center"/>
          </w:tcPr>
          <w:p w14:paraId="4D678A8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83A7107"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应配备</w:t>
            </w:r>
            <w:r>
              <w:rPr>
                <w:rFonts w:ascii="Times New Roman" w:eastAsia="宋体" w:hAnsi="Times New Roman" w:cs="Times New Roman" w:hint="eastAsia"/>
                <w:kern w:val="28"/>
                <w:sz w:val="21"/>
                <w:szCs w:val="21"/>
                <w14:ligatures w14:val="none"/>
              </w:rPr>
              <w:t>UPS</w:t>
            </w:r>
            <w:r>
              <w:rPr>
                <w:rFonts w:ascii="Times New Roman" w:eastAsia="宋体" w:hAnsi="Times New Roman" w:cs="Times New Roman" w:hint="eastAsia"/>
                <w:kern w:val="28"/>
                <w:sz w:val="21"/>
                <w:szCs w:val="21"/>
                <w14:ligatures w14:val="none"/>
              </w:rPr>
              <w:t>电源。在市电中断条件下，应能支持平台和前端信息采集设施工作</w:t>
            </w:r>
            <w:r>
              <w:rPr>
                <w:rFonts w:ascii="Times New Roman" w:eastAsia="宋体" w:hAnsi="Times New Roman" w:cs="Times New Roman" w:hint="eastAsia"/>
                <w:kern w:val="28"/>
                <w:sz w:val="21"/>
                <w:szCs w:val="21"/>
                <w14:ligatures w14:val="none"/>
              </w:rPr>
              <w:t>8h</w:t>
            </w:r>
            <w:r>
              <w:rPr>
                <w:rFonts w:ascii="Times New Roman" w:eastAsia="宋体" w:hAnsi="Times New Roman" w:cs="Times New Roman" w:hint="eastAsia"/>
                <w:kern w:val="28"/>
                <w:sz w:val="21"/>
                <w:szCs w:val="21"/>
                <w14:ligatures w14:val="none"/>
              </w:rPr>
              <w:t>。</w:t>
            </w:r>
          </w:p>
        </w:tc>
        <w:tc>
          <w:tcPr>
            <w:tcW w:w="1222" w:type="pct"/>
            <w:vAlign w:val="center"/>
          </w:tcPr>
          <w:p w14:paraId="150EE96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《加油加气站视频安防监控系统技术要求》（</w:t>
            </w:r>
            <w:r>
              <w:rPr>
                <w:rFonts w:ascii="Times New Roman" w:eastAsia="宋体" w:hAnsi="Times New Roman" w:cs="宋体" w:hint="eastAsia"/>
                <w:sz w:val="21"/>
                <w:szCs w:val="21"/>
                <w14:ligatures w14:val="none"/>
              </w:rPr>
              <w:t>AQ/T3050-2013</w:t>
            </w:r>
            <w:r>
              <w:rPr>
                <w:rFonts w:ascii="Times New Roman" w:eastAsia="宋体" w:hAnsi="Times New Roman" w:cs="宋体" w:hint="eastAsia"/>
                <w:sz w:val="21"/>
                <w:szCs w:val="21"/>
                <w14:ligatures w14:val="none"/>
              </w:rPr>
              <w:t>）</w:t>
            </w:r>
          </w:p>
          <w:p w14:paraId="781D797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6.1.1.2</w:t>
            </w:r>
            <w:r>
              <w:rPr>
                <w:rFonts w:ascii="Times New Roman" w:eastAsia="宋体" w:hAnsi="Times New Roman" w:cs="宋体" w:hint="eastAsia"/>
                <w:sz w:val="21"/>
                <w:szCs w:val="21"/>
                <w14:ligatures w14:val="none"/>
              </w:rPr>
              <w:t>条</w:t>
            </w:r>
          </w:p>
        </w:tc>
        <w:tc>
          <w:tcPr>
            <w:tcW w:w="1133" w:type="pct"/>
            <w:vAlign w:val="center"/>
          </w:tcPr>
          <w:p w14:paraId="1DC9FB5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本站配备</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电源</w:t>
            </w:r>
          </w:p>
        </w:tc>
        <w:tc>
          <w:tcPr>
            <w:tcW w:w="419" w:type="pct"/>
            <w:vAlign w:val="center"/>
          </w:tcPr>
          <w:p w14:paraId="68BCE18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2BF2D059" w14:textId="77777777">
        <w:trPr>
          <w:trHeight w:val="442"/>
          <w:jc w:val="center"/>
        </w:trPr>
        <w:tc>
          <w:tcPr>
            <w:tcW w:w="458" w:type="pct"/>
            <w:vMerge/>
            <w:vAlign w:val="center"/>
          </w:tcPr>
          <w:p w14:paraId="086A7C2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82A984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电缆直埋敷设方式应符合下列规定：</w:t>
            </w:r>
          </w:p>
          <w:p w14:paraId="15208BA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电缆应敷设于壕沟里，并应沿电缆全长的上、下紧邻侧铺以厚度不小于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的软土或砂层；</w:t>
            </w:r>
          </w:p>
          <w:p w14:paraId="1C9B2206"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沿电缆全长应覆盖宽度不小于电缆两侧各</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的保护板，保护板宜采用混凝土；</w:t>
            </w:r>
          </w:p>
          <w:p w14:paraId="0675002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位于城郊或空旷地带，沿电缆路径的直线间隔</w:t>
            </w:r>
            <w:r>
              <w:rPr>
                <w:rFonts w:ascii="Times New Roman" w:eastAsia="宋体" w:hAnsi="Times New Roman" w:cs="Times New Roman" w:hint="eastAsia"/>
                <w:kern w:val="28"/>
                <w:sz w:val="21"/>
                <w:szCs w:val="21"/>
                <w14:ligatures w14:val="none"/>
              </w:rPr>
              <w:t>100m</w:t>
            </w:r>
            <w:r>
              <w:rPr>
                <w:rFonts w:ascii="Times New Roman" w:eastAsia="宋体" w:hAnsi="Times New Roman" w:cs="Times New Roman" w:hint="eastAsia"/>
                <w:kern w:val="28"/>
                <w:sz w:val="21"/>
                <w:szCs w:val="21"/>
                <w14:ligatures w14:val="none"/>
              </w:rPr>
              <w:t>、转弯处和接头部位，应竖立明显的方位标志或标桩；</w:t>
            </w:r>
          </w:p>
          <w:p w14:paraId="5194501B"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当采用电缆穿波纹管敷设于壕沟时，应沿波纹管顶全长浇注厚度</w:t>
            </w:r>
            <w:r>
              <w:rPr>
                <w:rFonts w:ascii="Times New Roman" w:eastAsia="宋体" w:hAnsi="Times New Roman" w:cs="Times New Roman" w:hint="eastAsia"/>
                <w:kern w:val="28"/>
                <w:sz w:val="21"/>
                <w:szCs w:val="21"/>
                <w14:ligatures w14:val="none"/>
              </w:rPr>
              <w:lastRenderedPageBreak/>
              <w:t>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的素混凝土，宽度不应小于管外侧</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，电缆可不含铠装。</w:t>
            </w:r>
          </w:p>
        </w:tc>
        <w:tc>
          <w:tcPr>
            <w:tcW w:w="1222" w:type="pct"/>
            <w:vAlign w:val="center"/>
          </w:tcPr>
          <w:p w14:paraId="41D1F78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《电力工程电缆设计标准》</w:t>
            </w:r>
          </w:p>
          <w:p w14:paraId="2F118FB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50217-2018</w:t>
            </w:r>
            <w:r>
              <w:rPr>
                <w:rFonts w:ascii="Times New Roman" w:eastAsia="宋体" w:hAnsi="Times New Roman" w:cs="宋体" w:hint="eastAsia"/>
                <w:sz w:val="21"/>
                <w:szCs w:val="21"/>
                <w14:ligatures w14:val="none"/>
              </w:rPr>
              <w:t>）</w:t>
            </w:r>
          </w:p>
          <w:p w14:paraId="4FC4517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5.3.2</w:t>
            </w:r>
            <w:r>
              <w:rPr>
                <w:rFonts w:ascii="Times New Roman" w:eastAsia="宋体" w:hAnsi="Times New Roman" w:cs="宋体" w:hint="eastAsia"/>
                <w:sz w:val="21"/>
                <w:szCs w:val="21"/>
                <w14:ligatures w14:val="none"/>
              </w:rPr>
              <w:t>条</w:t>
            </w:r>
          </w:p>
        </w:tc>
        <w:tc>
          <w:tcPr>
            <w:tcW w:w="1133" w:type="pct"/>
            <w:vAlign w:val="center"/>
          </w:tcPr>
          <w:p w14:paraId="39768CE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直埋电缆敷设方式符合相关规定</w:t>
            </w:r>
          </w:p>
        </w:tc>
        <w:tc>
          <w:tcPr>
            <w:tcW w:w="419" w:type="pct"/>
            <w:vAlign w:val="center"/>
          </w:tcPr>
          <w:p w14:paraId="1408AD7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4C39D70" w14:textId="77777777">
        <w:trPr>
          <w:trHeight w:val="442"/>
          <w:jc w:val="center"/>
        </w:trPr>
        <w:tc>
          <w:tcPr>
            <w:tcW w:w="458" w:type="pct"/>
            <w:vMerge/>
            <w:vAlign w:val="center"/>
          </w:tcPr>
          <w:p w14:paraId="1D2FA95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87F711A"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防爆电气设备的进线口与电缆、导线引入连接后，应保持电缆引入装置的完整性和弹性密封圈的密封性，并应将压紧元件用工具拧紧，且进线口应保持密封。</w:t>
            </w:r>
          </w:p>
        </w:tc>
        <w:tc>
          <w:tcPr>
            <w:tcW w:w="1222" w:type="pct"/>
            <w:vAlign w:val="center"/>
          </w:tcPr>
          <w:p w14:paraId="5C22C2C4"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《电气装置安装工程爆炸和火灾危险环境电气装置施工及验收规范》（</w:t>
            </w:r>
            <w:r>
              <w:rPr>
                <w:rFonts w:ascii="Times New Roman" w:eastAsia="宋体" w:hAnsi="Times New Roman" w:cs="宋体" w:hint="eastAsia"/>
                <w:sz w:val="21"/>
                <w:szCs w:val="21"/>
                <w14:ligatures w14:val="none"/>
              </w:rPr>
              <w:t>GB 50257-2014</w:t>
            </w:r>
            <w:r>
              <w:rPr>
                <w:rFonts w:ascii="Times New Roman" w:eastAsia="宋体" w:hAnsi="Times New Roman" w:cs="宋体" w:hint="eastAsia"/>
                <w:sz w:val="21"/>
                <w:szCs w:val="21"/>
                <w14:ligatures w14:val="none"/>
              </w:rPr>
              <w:t>）</w:t>
            </w:r>
          </w:p>
          <w:p w14:paraId="3C96CE9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4.1.4</w:t>
            </w:r>
            <w:r>
              <w:rPr>
                <w:rFonts w:ascii="Times New Roman" w:eastAsia="宋体" w:hAnsi="Times New Roman" w:cs="宋体" w:hint="eastAsia"/>
                <w:sz w:val="21"/>
                <w:szCs w:val="21"/>
                <w14:ligatures w14:val="none"/>
              </w:rPr>
              <w:t>条</w:t>
            </w:r>
          </w:p>
        </w:tc>
        <w:tc>
          <w:tcPr>
            <w:tcW w:w="1133" w:type="pct"/>
            <w:vAlign w:val="center"/>
          </w:tcPr>
          <w:p w14:paraId="00814F1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防爆电气设备的进线口与电缆、导线引入连接后，保持电缆引入装置的完整性和弹性密封圈的密封性，并将压紧元件用工具拧紧，且进线口保持密封</w:t>
            </w:r>
          </w:p>
        </w:tc>
        <w:tc>
          <w:tcPr>
            <w:tcW w:w="419" w:type="pct"/>
            <w:vAlign w:val="center"/>
          </w:tcPr>
          <w:p w14:paraId="7BC3774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23C9544" w14:textId="77777777">
        <w:trPr>
          <w:trHeight w:val="442"/>
          <w:jc w:val="center"/>
        </w:trPr>
        <w:tc>
          <w:tcPr>
            <w:tcW w:w="458" w:type="pct"/>
            <w:vMerge/>
            <w:vAlign w:val="center"/>
          </w:tcPr>
          <w:p w14:paraId="2F7B8B0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190A3D8"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接线盒盖应紧固，且固定螺栓及防松装置应齐全。</w:t>
            </w:r>
          </w:p>
        </w:tc>
        <w:tc>
          <w:tcPr>
            <w:tcW w:w="1222" w:type="pct"/>
            <w:vAlign w:val="center"/>
          </w:tcPr>
          <w:p w14:paraId="14EA605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《电气装置安装工程爆炸和火灾危险环境电气装置施工及验收规范》（</w:t>
            </w:r>
            <w:r>
              <w:rPr>
                <w:rFonts w:ascii="Times New Roman" w:eastAsia="宋体" w:hAnsi="Times New Roman" w:cs="宋体" w:hint="eastAsia"/>
                <w:sz w:val="21"/>
                <w:szCs w:val="21"/>
                <w14:ligatures w14:val="none"/>
              </w:rPr>
              <w:t>GB 50257-2014</w:t>
            </w:r>
            <w:r>
              <w:rPr>
                <w:rFonts w:ascii="Times New Roman" w:eastAsia="宋体" w:hAnsi="Times New Roman" w:cs="宋体" w:hint="eastAsia"/>
                <w:sz w:val="21"/>
                <w:szCs w:val="21"/>
                <w14:ligatures w14:val="none"/>
              </w:rPr>
              <w:t>）</w:t>
            </w:r>
          </w:p>
          <w:p w14:paraId="7E7E153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8.0.2.3</w:t>
            </w:r>
            <w:r>
              <w:rPr>
                <w:rFonts w:ascii="Times New Roman" w:eastAsia="宋体" w:hAnsi="Times New Roman" w:cs="宋体" w:hint="eastAsia"/>
                <w:sz w:val="21"/>
                <w:szCs w:val="21"/>
                <w14:ligatures w14:val="none"/>
              </w:rPr>
              <w:t>条</w:t>
            </w:r>
          </w:p>
        </w:tc>
        <w:tc>
          <w:tcPr>
            <w:tcW w:w="1133" w:type="pct"/>
            <w:vAlign w:val="center"/>
          </w:tcPr>
          <w:p w14:paraId="46018AC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接线盒盖紧固，且固定螺栓及防松装置齐全</w:t>
            </w:r>
          </w:p>
        </w:tc>
        <w:tc>
          <w:tcPr>
            <w:tcW w:w="419" w:type="pct"/>
            <w:vAlign w:val="center"/>
          </w:tcPr>
          <w:p w14:paraId="443577A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1BAF477" w14:textId="77777777">
        <w:trPr>
          <w:trHeight w:val="442"/>
          <w:jc w:val="center"/>
        </w:trPr>
        <w:tc>
          <w:tcPr>
            <w:tcW w:w="458" w:type="pct"/>
            <w:vMerge/>
            <w:vAlign w:val="center"/>
          </w:tcPr>
          <w:p w14:paraId="793729B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449484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除本质安全电路外，爆炸性环境的电气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p>
        </w:tc>
        <w:tc>
          <w:tcPr>
            <w:tcW w:w="1222" w:type="pct"/>
            <w:vAlign w:val="center"/>
          </w:tcPr>
          <w:p w14:paraId="1A666EC9"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《爆炸危险环境电力装置设计规范》</w:t>
            </w:r>
          </w:p>
          <w:p w14:paraId="66B4E83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50058-2014</w:t>
            </w:r>
            <w:r>
              <w:rPr>
                <w:rFonts w:ascii="Times New Roman" w:eastAsia="宋体" w:hAnsi="Times New Roman" w:cs="宋体" w:hint="eastAsia"/>
                <w:sz w:val="21"/>
                <w:szCs w:val="21"/>
                <w14:ligatures w14:val="none"/>
              </w:rPr>
              <w:t>）</w:t>
            </w:r>
          </w:p>
          <w:p w14:paraId="453C6B1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5.3.3</w:t>
            </w:r>
            <w:r>
              <w:rPr>
                <w:rFonts w:ascii="Times New Roman" w:eastAsia="宋体" w:hAnsi="Times New Roman" w:cs="宋体" w:hint="eastAsia"/>
                <w:sz w:val="21"/>
                <w:szCs w:val="21"/>
                <w14:ligatures w14:val="none"/>
              </w:rPr>
              <w:t>条</w:t>
            </w:r>
          </w:p>
        </w:tc>
        <w:tc>
          <w:tcPr>
            <w:tcW w:w="1133" w:type="pct"/>
            <w:vAlign w:val="center"/>
          </w:tcPr>
          <w:p w14:paraId="39E5B35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爆炸性环境的电气线路和设备装设过载、短路和接地保护，且均装设断相保护</w:t>
            </w:r>
          </w:p>
        </w:tc>
        <w:tc>
          <w:tcPr>
            <w:tcW w:w="419" w:type="pct"/>
            <w:vAlign w:val="center"/>
          </w:tcPr>
          <w:p w14:paraId="3C1DE3D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2C53481" w14:textId="77777777">
        <w:trPr>
          <w:trHeight w:val="442"/>
          <w:jc w:val="center"/>
        </w:trPr>
        <w:tc>
          <w:tcPr>
            <w:tcW w:w="458" w:type="pct"/>
            <w:vMerge/>
            <w:vAlign w:val="center"/>
          </w:tcPr>
          <w:p w14:paraId="5C41640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3A64DF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当爆炸性环境电力系统接地设计时，</w:t>
            </w:r>
            <w:r>
              <w:rPr>
                <w:rFonts w:ascii="Times New Roman" w:eastAsia="宋体" w:hAnsi="Times New Roman" w:cs="Times New Roman" w:hint="eastAsia"/>
                <w:kern w:val="28"/>
                <w:sz w:val="21"/>
                <w:szCs w:val="21"/>
                <w14:ligatures w14:val="none"/>
              </w:rPr>
              <w:t>1000V</w:t>
            </w:r>
            <w:r>
              <w:rPr>
                <w:rFonts w:ascii="Times New Roman" w:eastAsia="宋体" w:hAnsi="Times New Roman" w:cs="Times New Roman" w:hint="eastAsia"/>
                <w:kern w:val="28"/>
                <w:sz w:val="21"/>
                <w:szCs w:val="21"/>
                <w14:ligatures w14:val="none"/>
              </w:rPr>
              <w:t>交流</w:t>
            </w:r>
            <w:r>
              <w:rPr>
                <w:rFonts w:ascii="Times New Roman" w:eastAsia="宋体" w:hAnsi="Times New Roman" w:cs="Times New Roman" w:hint="eastAsia"/>
                <w:kern w:val="28"/>
                <w:sz w:val="21"/>
                <w:szCs w:val="21"/>
                <w14:ligatures w14:val="none"/>
              </w:rPr>
              <w:t>/1500V</w:t>
            </w:r>
            <w:r>
              <w:rPr>
                <w:rFonts w:ascii="Times New Roman" w:eastAsia="宋体" w:hAnsi="Times New Roman" w:cs="Times New Roman" w:hint="eastAsia"/>
                <w:kern w:val="28"/>
                <w:sz w:val="21"/>
                <w:szCs w:val="21"/>
                <w14:ligatures w14:val="none"/>
              </w:rPr>
              <w:t>直流以下的电源系统的接地应符合：爆炸性环境中的</w:t>
            </w:r>
            <w:r>
              <w:rPr>
                <w:rFonts w:ascii="Times New Roman" w:eastAsia="宋体" w:hAnsi="Times New Roman" w:cs="Times New Roman" w:hint="eastAsia"/>
                <w:kern w:val="28"/>
                <w:sz w:val="21"/>
                <w:szCs w:val="21"/>
                <w14:ligatures w14:val="none"/>
              </w:rPr>
              <w:t>TN</w:t>
            </w:r>
            <w:r>
              <w:rPr>
                <w:rFonts w:ascii="Times New Roman" w:eastAsia="宋体" w:hAnsi="Times New Roman" w:cs="Times New Roman" w:hint="eastAsia"/>
                <w:kern w:val="28"/>
                <w:sz w:val="21"/>
                <w:szCs w:val="21"/>
                <w14:ligatures w14:val="none"/>
              </w:rPr>
              <w:t>系统应采用</w:t>
            </w:r>
            <w:r>
              <w:rPr>
                <w:rFonts w:ascii="Times New Roman" w:eastAsia="宋体" w:hAnsi="Times New Roman" w:cs="Times New Roman" w:hint="eastAsia"/>
                <w:kern w:val="28"/>
                <w:sz w:val="21"/>
                <w:szCs w:val="21"/>
                <w14:ligatures w14:val="none"/>
              </w:rPr>
              <w:t>TN-S</w:t>
            </w:r>
            <w:r>
              <w:rPr>
                <w:rFonts w:ascii="Times New Roman" w:eastAsia="宋体" w:hAnsi="Times New Roman" w:cs="Times New Roman" w:hint="eastAsia"/>
                <w:kern w:val="28"/>
                <w:sz w:val="21"/>
                <w:szCs w:val="21"/>
                <w14:ligatures w14:val="none"/>
              </w:rPr>
              <w:t>型。</w:t>
            </w:r>
          </w:p>
        </w:tc>
        <w:tc>
          <w:tcPr>
            <w:tcW w:w="1222" w:type="pct"/>
            <w:vAlign w:val="center"/>
          </w:tcPr>
          <w:p w14:paraId="2E0A8B4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《爆炸危险环境电力装置设计规范》</w:t>
            </w:r>
          </w:p>
          <w:p w14:paraId="658EB8C6"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50058-2014</w:t>
            </w:r>
            <w:r>
              <w:rPr>
                <w:rFonts w:ascii="Times New Roman" w:eastAsia="宋体" w:hAnsi="Times New Roman" w:cs="宋体" w:hint="eastAsia"/>
                <w:sz w:val="21"/>
                <w:szCs w:val="21"/>
                <w14:ligatures w14:val="none"/>
              </w:rPr>
              <w:t>）</w:t>
            </w:r>
          </w:p>
          <w:p w14:paraId="2F537FC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5.5.1</w:t>
            </w:r>
            <w:r>
              <w:rPr>
                <w:rFonts w:ascii="Times New Roman" w:eastAsia="宋体" w:hAnsi="Times New Roman" w:cs="宋体" w:hint="eastAsia"/>
                <w:sz w:val="21"/>
                <w:szCs w:val="21"/>
                <w14:ligatures w14:val="none"/>
              </w:rPr>
              <w:t>条</w:t>
            </w:r>
          </w:p>
        </w:tc>
        <w:tc>
          <w:tcPr>
            <w:tcW w:w="1133" w:type="pct"/>
            <w:vAlign w:val="center"/>
          </w:tcPr>
          <w:p w14:paraId="315A258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爆炸性环境中的</w:t>
            </w:r>
            <w:r>
              <w:rPr>
                <w:rFonts w:ascii="Times New Roman" w:eastAsia="宋体" w:hAnsi="Times New Roman" w:cs="Times New Roman"/>
                <w:sz w:val="21"/>
                <w:szCs w:val="21"/>
                <w14:ligatures w14:val="none"/>
              </w:rPr>
              <w:t>TN</w:t>
            </w:r>
            <w:r>
              <w:rPr>
                <w:rFonts w:ascii="Times New Roman" w:eastAsia="宋体" w:hAnsi="Times New Roman" w:cs="Times New Roman"/>
                <w:sz w:val="21"/>
                <w:szCs w:val="21"/>
                <w14:ligatures w14:val="none"/>
              </w:rPr>
              <w:t>系统采用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型</w:t>
            </w:r>
          </w:p>
        </w:tc>
        <w:tc>
          <w:tcPr>
            <w:tcW w:w="419" w:type="pct"/>
            <w:vAlign w:val="center"/>
          </w:tcPr>
          <w:p w14:paraId="6A5E67E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E97BD92" w14:textId="77777777">
        <w:trPr>
          <w:trHeight w:val="442"/>
          <w:jc w:val="center"/>
        </w:trPr>
        <w:tc>
          <w:tcPr>
            <w:tcW w:w="458" w:type="pct"/>
            <w:vMerge/>
            <w:vAlign w:val="center"/>
          </w:tcPr>
          <w:p w14:paraId="227C110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CA717E9"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钢制油罐必须进行防雷接地，接地点不应少于两处。</w:t>
            </w:r>
          </w:p>
        </w:tc>
        <w:tc>
          <w:tcPr>
            <w:tcW w:w="1222" w:type="pct"/>
            <w:vAlign w:val="center"/>
          </w:tcPr>
          <w:p w14:paraId="014D069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30354A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w:t>
            </w:r>
            <w:r>
              <w:rPr>
                <w:rFonts w:ascii="Times New Roman" w:eastAsia="宋体" w:hAnsi="Times New Roman" w:cs="宋体" w:hint="eastAsia"/>
                <w:sz w:val="21"/>
                <w:szCs w:val="21"/>
                <w14:ligatures w14:val="none"/>
              </w:rPr>
              <w:t>条</w:t>
            </w:r>
          </w:p>
        </w:tc>
        <w:tc>
          <w:tcPr>
            <w:tcW w:w="1133" w:type="pct"/>
            <w:vAlign w:val="center"/>
          </w:tcPr>
          <w:p w14:paraId="31D37D8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每个油罐</w:t>
            </w:r>
            <w:r>
              <w:rPr>
                <w:rFonts w:ascii="Times New Roman" w:eastAsia="宋体" w:hAnsi="Times New Roman" w:cs="Times New Roman"/>
                <w:spacing w:val="-6"/>
                <w:position w:val="2"/>
                <w:sz w:val="21"/>
                <w:szCs w:val="21"/>
                <w14:ligatures w14:val="none"/>
              </w:rPr>
              <w:t>2</w:t>
            </w:r>
            <w:r>
              <w:rPr>
                <w:rFonts w:ascii="Times New Roman" w:eastAsia="宋体" w:hAnsi="Times New Roman" w:cs="Times New Roman"/>
                <w:spacing w:val="-6"/>
                <w:position w:val="2"/>
                <w:sz w:val="21"/>
                <w:szCs w:val="21"/>
                <w14:ligatures w14:val="none"/>
              </w:rPr>
              <w:t>处接地点</w:t>
            </w:r>
          </w:p>
        </w:tc>
        <w:tc>
          <w:tcPr>
            <w:tcW w:w="419" w:type="pct"/>
            <w:vAlign w:val="center"/>
          </w:tcPr>
          <w:p w14:paraId="1983C13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7EF7CE5A" w14:textId="77777777">
        <w:trPr>
          <w:trHeight w:val="442"/>
          <w:jc w:val="center"/>
        </w:trPr>
        <w:tc>
          <w:tcPr>
            <w:tcW w:w="458" w:type="pct"/>
            <w:vMerge/>
            <w:vAlign w:val="center"/>
          </w:tcPr>
          <w:p w14:paraId="4E506BC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E43C2E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加油站的防雷接地、防静电接地、电气设备的工作接地、保护接地及信息系统的接地等，宜共用接地装置，接地电阻不应大于</w:t>
            </w:r>
            <w:r>
              <w:rPr>
                <w:rFonts w:ascii="Times New Roman" w:eastAsia="宋体" w:hAnsi="Times New Roman" w:cs="Times New Roman" w:hint="eastAsia"/>
                <w:kern w:val="28"/>
                <w:sz w:val="21"/>
                <w:szCs w:val="21"/>
                <w14:ligatures w14:val="none"/>
              </w:rPr>
              <w:t>4</w:t>
            </w:r>
            <w:r>
              <w:rPr>
                <w:rFonts w:ascii="Times New Roman" w:eastAsia="宋体" w:hAnsi="Times New Roman" w:cs="Times New Roman" w:hint="eastAsia"/>
                <w:kern w:val="28"/>
                <w:sz w:val="21"/>
                <w:szCs w:val="21"/>
                <w14:ligatures w14:val="none"/>
              </w:rPr>
              <w:t>Ω。</w:t>
            </w:r>
          </w:p>
        </w:tc>
        <w:tc>
          <w:tcPr>
            <w:tcW w:w="1222" w:type="pct"/>
            <w:vAlign w:val="center"/>
          </w:tcPr>
          <w:p w14:paraId="089808C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B96A35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13.2.2</w:t>
            </w:r>
            <w:r>
              <w:rPr>
                <w:rFonts w:ascii="Times New Roman" w:eastAsia="宋体" w:hAnsi="Times New Roman" w:cs="宋体" w:hint="eastAsia"/>
                <w:sz w:val="21"/>
                <w:szCs w:val="21"/>
                <w14:ligatures w14:val="none"/>
              </w:rPr>
              <w:t>条</w:t>
            </w:r>
          </w:p>
        </w:tc>
        <w:tc>
          <w:tcPr>
            <w:tcW w:w="1133" w:type="pct"/>
            <w:vAlign w:val="center"/>
          </w:tcPr>
          <w:p w14:paraId="6D0659D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站内防雷、防静电及电力装置、仪表联合接地系统共网，接地电阻</w:t>
            </w:r>
            <w:r>
              <w:rPr>
                <w:rFonts w:ascii="Times New Roman" w:eastAsia="宋体" w:hAnsi="Times New Roman" w:cs="Times New Roman" w:hint="eastAsia"/>
                <w:sz w:val="21"/>
                <w:szCs w:val="21"/>
                <w14:ligatures w14:val="none"/>
              </w:rPr>
              <w:t>不大于</w:t>
            </w:r>
            <w:r>
              <w:rPr>
                <w:rFonts w:ascii="Times New Roman" w:eastAsia="宋体" w:hAnsi="Times New Roman" w:cs="Times New Roman"/>
                <w:sz w:val="21"/>
                <w:szCs w:val="21"/>
                <w14:ligatures w14:val="none"/>
              </w:rPr>
              <w:t>4</w:t>
            </w:r>
            <w:r>
              <w:rPr>
                <w:rFonts w:ascii="宋体" w:eastAsia="宋体" w:hAnsi="宋体" w:cs="Times New Roman" w:hint="eastAsia"/>
                <w:sz w:val="21"/>
                <w:szCs w:val="21"/>
                <w14:ligatures w14:val="none"/>
              </w:rPr>
              <w:t>Ω</w:t>
            </w:r>
          </w:p>
        </w:tc>
        <w:tc>
          <w:tcPr>
            <w:tcW w:w="419" w:type="pct"/>
            <w:vAlign w:val="center"/>
          </w:tcPr>
          <w:p w14:paraId="27B251C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7EF99F0" w14:textId="77777777">
        <w:trPr>
          <w:trHeight w:val="442"/>
          <w:jc w:val="center"/>
        </w:trPr>
        <w:tc>
          <w:tcPr>
            <w:tcW w:w="458" w:type="pct"/>
            <w:vMerge/>
            <w:vAlign w:val="center"/>
          </w:tcPr>
          <w:p w14:paraId="03B4401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50B93B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埋地钢制油罐金属部件和罐内的各金属部件，必须与非埋地部分的工艺金属管道相互做电气连</w:t>
            </w:r>
            <w:r>
              <w:rPr>
                <w:rFonts w:ascii="Times New Roman" w:eastAsia="宋体" w:hAnsi="Times New Roman" w:cs="Times New Roman" w:hint="eastAsia"/>
                <w:kern w:val="28"/>
                <w:sz w:val="21"/>
                <w:szCs w:val="21"/>
                <w14:ligatures w14:val="none"/>
              </w:rPr>
              <w:lastRenderedPageBreak/>
              <w:t>接并接地。</w:t>
            </w:r>
          </w:p>
        </w:tc>
        <w:tc>
          <w:tcPr>
            <w:tcW w:w="1222" w:type="pct"/>
            <w:vAlign w:val="center"/>
          </w:tcPr>
          <w:p w14:paraId="182D9EE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935E73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13.2.4</w:t>
            </w:r>
            <w:r>
              <w:rPr>
                <w:rFonts w:ascii="Times New Roman" w:eastAsia="宋体" w:hAnsi="Times New Roman" w:cs="宋体" w:hint="eastAsia"/>
                <w:sz w:val="21"/>
                <w:szCs w:val="21"/>
                <w14:ligatures w14:val="none"/>
              </w:rPr>
              <w:t>条</w:t>
            </w:r>
          </w:p>
        </w:tc>
        <w:tc>
          <w:tcPr>
            <w:tcW w:w="1133" w:type="pct"/>
            <w:vAlign w:val="center"/>
          </w:tcPr>
          <w:p w14:paraId="13F35CD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埋地钢制油罐以及罐内的各金属部件与非埋地部分的工</w:t>
            </w:r>
            <w:r>
              <w:rPr>
                <w:rFonts w:ascii="Times New Roman" w:eastAsia="宋体" w:hAnsi="Times New Roman" w:cs="Times New Roman"/>
                <w:sz w:val="21"/>
                <w:szCs w:val="21"/>
                <w14:ligatures w14:val="none"/>
              </w:rPr>
              <w:lastRenderedPageBreak/>
              <w:t>艺金属管道相互做电气连接并接地</w:t>
            </w:r>
          </w:p>
        </w:tc>
        <w:tc>
          <w:tcPr>
            <w:tcW w:w="419" w:type="pct"/>
            <w:vAlign w:val="center"/>
          </w:tcPr>
          <w:p w14:paraId="7A3E026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0D1B633B" w14:textId="77777777">
        <w:trPr>
          <w:trHeight w:val="442"/>
          <w:jc w:val="center"/>
        </w:trPr>
        <w:tc>
          <w:tcPr>
            <w:tcW w:w="458" w:type="pct"/>
            <w:vMerge/>
            <w:vAlign w:val="center"/>
          </w:tcPr>
          <w:p w14:paraId="7DF168B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14B678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加油站内油气放空管在接入全站共用接地装置后，可不单独做防雷接地。</w:t>
            </w:r>
          </w:p>
        </w:tc>
        <w:tc>
          <w:tcPr>
            <w:tcW w:w="1222" w:type="pct"/>
            <w:vAlign w:val="center"/>
          </w:tcPr>
          <w:p w14:paraId="34D0B796"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61FB8C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13.2.5</w:t>
            </w:r>
            <w:r>
              <w:rPr>
                <w:rFonts w:ascii="Times New Roman" w:eastAsia="宋体" w:hAnsi="Times New Roman" w:cs="宋体" w:hint="eastAsia"/>
                <w:sz w:val="21"/>
                <w:szCs w:val="21"/>
                <w14:ligatures w14:val="none"/>
              </w:rPr>
              <w:t>条</w:t>
            </w:r>
          </w:p>
        </w:tc>
        <w:tc>
          <w:tcPr>
            <w:tcW w:w="1133" w:type="pct"/>
            <w:vAlign w:val="center"/>
          </w:tcPr>
          <w:p w14:paraId="4A00887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通气管</w:t>
            </w:r>
            <w:r>
              <w:rPr>
                <w:rFonts w:ascii="Times New Roman" w:eastAsia="宋体" w:hAnsi="Times New Roman" w:cs="Times New Roman"/>
                <w:sz w:val="21"/>
                <w:szCs w:val="21"/>
                <w14:ligatures w14:val="none"/>
              </w:rPr>
              <w:t>接入全站共用接地装置</w:t>
            </w:r>
          </w:p>
        </w:tc>
        <w:tc>
          <w:tcPr>
            <w:tcW w:w="419" w:type="pct"/>
            <w:vAlign w:val="center"/>
          </w:tcPr>
          <w:p w14:paraId="1180968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E391418" w14:textId="77777777">
        <w:trPr>
          <w:trHeight w:val="442"/>
          <w:jc w:val="center"/>
        </w:trPr>
        <w:tc>
          <w:tcPr>
            <w:tcW w:w="458" w:type="pct"/>
            <w:vMerge/>
            <w:vAlign w:val="center"/>
          </w:tcPr>
          <w:p w14:paraId="6EBA8C0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59AA7D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加油站的信息系统应采用铠装电缆或导线穿钢管配线。配线电缆金属外皮两端、保护钢管两端均应接地。</w:t>
            </w:r>
          </w:p>
        </w:tc>
        <w:tc>
          <w:tcPr>
            <w:tcW w:w="1222" w:type="pct"/>
            <w:vAlign w:val="center"/>
          </w:tcPr>
          <w:p w14:paraId="1926692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19BF86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13.2.7</w:t>
            </w:r>
            <w:r>
              <w:rPr>
                <w:rFonts w:ascii="Times New Roman" w:eastAsia="宋体" w:hAnsi="Times New Roman" w:cs="宋体" w:hint="eastAsia"/>
                <w:sz w:val="21"/>
                <w:szCs w:val="21"/>
                <w14:ligatures w14:val="none"/>
              </w:rPr>
              <w:t>条</w:t>
            </w:r>
          </w:p>
        </w:tc>
        <w:tc>
          <w:tcPr>
            <w:tcW w:w="1133" w:type="pct"/>
            <w:vAlign w:val="center"/>
          </w:tcPr>
          <w:p w14:paraId="079519A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选用导线穿钢管配线，配线电缆金属外皮两端、保护钢管两端均接地</w:t>
            </w:r>
          </w:p>
        </w:tc>
        <w:tc>
          <w:tcPr>
            <w:tcW w:w="419" w:type="pct"/>
            <w:vAlign w:val="center"/>
          </w:tcPr>
          <w:p w14:paraId="7E04EE5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ADAD1AC" w14:textId="77777777">
        <w:trPr>
          <w:trHeight w:val="442"/>
          <w:jc w:val="center"/>
        </w:trPr>
        <w:tc>
          <w:tcPr>
            <w:tcW w:w="458" w:type="pct"/>
            <w:vMerge/>
            <w:vAlign w:val="center"/>
          </w:tcPr>
          <w:p w14:paraId="0EC49A1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7580EC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加油站信息系统的配电线路首、末端与电子器件连接时，应装设与电子器件耐压水平相适应的过电压（电涌）保护器。</w:t>
            </w:r>
          </w:p>
        </w:tc>
        <w:tc>
          <w:tcPr>
            <w:tcW w:w="1222" w:type="pct"/>
            <w:vAlign w:val="center"/>
          </w:tcPr>
          <w:p w14:paraId="783B47B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53A775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13.2.8</w:t>
            </w:r>
            <w:r>
              <w:rPr>
                <w:rFonts w:ascii="Times New Roman" w:eastAsia="宋体" w:hAnsi="Times New Roman" w:cs="宋体" w:hint="eastAsia"/>
                <w:sz w:val="21"/>
                <w:szCs w:val="21"/>
                <w14:ligatures w14:val="none"/>
              </w:rPr>
              <w:t>条</w:t>
            </w:r>
          </w:p>
        </w:tc>
        <w:tc>
          <w:tcPr>
            <w:tcW w:w="1133" w:type="pct"/>
            <w:vAlign w:val="center"/>
          </w:tcPr>
          <w:p w14:paraId="7F01323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已设置电涌保护器</w:t>
            </w:r>
          </w:p>
        </w:tc>
        <w:tc>
          <w:tcPr>
            <w:tcW w:w="419" w:type="pct"/>
            <w:vAlign w:val="center"/>
          </w:tcPr>
          <w:p w14:paraId="6BF0AAF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E02D9D9" w14:textId="77777777">
        <w:trPr>
          <w:trHeight w:val="442"/>
          <w:jc w:val="center"/>
        </w:trPr>
        <w:tc>
          <w:tcPr>
            <w:tcW w:w="458" w:type="pct"/>
            <w:vMerge/>
            <w:vAlign w:val="center"/>
          </w:tcPr>
          <w:p w14:paraId="07AA592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D2BD4D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地上管沟敷设的油品管道应设防静电和防感应雷的共用接地装置，其接地电阻值不应大于</w:t>
            </w:r>
            <w:r>
              <w:rPr>
                <w:rFonts w:ascii="Times New Roman" w:eastAsia="宋体" w:hAnsi="Times New Roman" w:cs="Times New Roman" w:hint="eastAsia"/>
                <w:kern w:val="28"/>
                <w:sz w:val="21"/>
                <w:szCs w:val="21"/>
                <w14:ligatures w14:val="none"/>
              </w:rPr>
              <w:t>30</w:t>
            </w:r>
            <w:r>
              <w:rPr>
                <w:rFonts w:ascii="Times New Roman" w:eastAsia="宋体" w:hAnsi="Times New Roman" w:cs="Times New Roman" w:hint="eastAsia"/>
                <w:kern w:val="28"/>
                <w:sz w:val="21"/>
                <w:szCs w:val="21"/>
                <w14:ligatures w14:val="none"/>
              </w:rPr>
              <w:t>Ω。</w:t>
            </w:r>
          </w:p>
        </w:tc>
        <w:tc>
          <w:tcPr>
            <w:tcW w:w="1222" w:type="pct"/>
            <w:vAlign w:val="center"/>
          </w:tcPr>
          <w:p w14:paraId="0590E62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2D9C9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13.2.10</w:t>
            </w:r>
            <w:r>
              <w:rPr>
                <w:rFonts w:ascii="Times New Roman" w:eastAsia="宋体" w:hAnsi="Times New Roman" w:cs="宋体" w:hint="eastAsia"/>
                <w:sz w:val="21"/>
                <w:szCs w:val="21"/>
                <w14:ligatures w14:val="none"/>
              </w:rPr>
              <w:t>条</w:t>
            </w:r>
          </w:p>
        </w:tc>
        <w:tc>
          <w:tcPr>
            <w:tcW w:w="1133" w:type="pct"/>
            <w:vAlign w:val="center"/>
          </w:tcPr>
          <w:p w14:paraId="18048BA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地上或管沟敷设的油品管道设防静电和防感应雷的共用接地装置，其接地电阻不大于</w:t>
            </w:r>
            <w:r>
              <w:rPr>
                <w:rFonts w:ascii="Times New Roman" w:eastAsia="宋体" w:hAnsi="Times New Roman" w:cs="Times New Roman"/>
                <w:sz w:val="21"/>
                <w:szCs w:val="21"/>
                <w14:ligatures w14:val="none"/>
              </w:rPr>
              <w:t>1Ω</w:t>
            </w:r>
            <w:r>
              <w:rPr>
                <w:rFonts w:ascii="Times New Roman" w:eastAsia="宋体" w:hAnsi="Times New Roman" w:cs="Times New Roman"/>
                <w:sz w:val="21"/>
                <w:szCs w:val="21"/>
                <w14:ligatures w14:val="none"/>
              </w:rPr>
              <w:t>。满足要求</w:t>
            </w:r>
          </w:p>
        </w:tc>
        <w:tc>
          <w:tcPr>
            <w:tcW w:w="419" w:type="pct"/>
            <w:vAlign w:val="center"/>
          </w:tcPr>
          <w:p w14:paraId="016DD7F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2EDC3DF" w14:textId="77777777">
        <w:trPr>
          <w:trHeight w:val="442"/>
          <w:jc w:val="center"/>
        </w:trPr>
        <w:tc>
          <w:tcPr>
            <w:tcW w:w="458" w:type="pct"/>
            <w:vMerge/>
            <w:vAlign w:val="center"/>
          </w:tcPr>
          <w:p w14:paraId="7E6C3FB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9D5F5E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加油站的车用乙醇汽油罐车卸车场地，应设卸车临时用的防静电接地装置，并应设置能检测跨接线及监视接地装置状态的静电接地仪。</w:t>
            </w:r>
          </w:p>
        </w:tc>
        <w:tc>
          <w:tcPr>
            <w:tcW w:w="1222" w:type="pct"/>
            <w:vAlign w:val="center"/>
          </w:tcPr>
          <w:p w14:paraId="40465F7A"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6C9A1A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13.2.11</w:t>
            </w:r>
            <w:r>
              <w:rPr>
                <w:rFonts w:ascii="Times New Roman" w:eastAsia="宋体" w:hAnsi="Times New Roman" w:cs="宋体" w:hint="eastAsia"/>
                <w:sz w:val="21"/>
                <w:szCs w:val="21"/>
                <w14:ligatures w14:val="none"/>
              </w:rPr>
              <w:t>条</w:t>
            </w:r>
          </w:p>
        </w:tc>
        <w:tc>
          <w:tcPr>
            <w:tcW w:w="1133" w:type="pct"/>
            <w:vAlign w:val="center"/>
          </w:tcPr>
          <w:p w14:paraId="604ACDA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卸车区已设置静电接地栓及静电接地报警器</w:t>
            </w:r>
          </w:p>
        </w:tc>
        <w:tc>
          <w:tcPr>
            <w:tcW w:w="419" w:type="pct"/>
            <w:vAlign w:val="center"/>
          </w:tcPr>
          <w:p w14:paraId="30C00E3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0EE7A6AA" w14:textId="77777777">
        <w:trPr>
          <w:trHeight w:val="442"/>
          <w:jc w:val="center"/>
        </w:trPr>
        <w:tc>
          <w:tcPr>
            <w:tcW w:w="458" w:type="pct"/>
            <w:vMerge/>
            <w:vAlign w:val="center"/>
          </w:tcPr>
          <w:p w14:paraId="068019D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B6BAF5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爆炸危险区域内工艺管道上的法兰、胶管两端等连接处，应用金属线跨接。当法兰的连接螺栓不少于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根时，在非腐蚀环境下可不跨接。</w:t>
            </w:r>
          </w:p>
        </w:tc>
        <w:tc>
          <w:tcPr>
            <w:tcW w:w="1222" w:type="pct"/>
            <w:vAlign w:val="center"/>
          </w:tcPr>
          <w:p w14:paraId="6D3331F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011A18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13.2.12</w:t>
            </w:r>
            <w:r>
              <w:rPr>
                <w:rFonts w:ascii="Times New Roman" w:eastAsia="宋体" w:hAnsi="Times New Roman" w:cs="宋体" w:hint="eastAsia"/>
                <w:sz w:val="21"/>
                <w:szCs w:val="21"/>
                <w14:ligatures w14:val="none"/>
              </w:rPr>
              <w:t>条</w:t>
            </w:r>
          </w:p>
        </w:tc>
        <w:tc>
          <w:tcPr>
            <w:tcW w:w="1133" w:type="pct"/>
            <w:vAlign w:val="center"/>
          </w:tcPr>
          <w:p w14:paraId="1F6ECA8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站内所有工艺管线、设备及正常不带电的金属外壳均按要求作防静电及保护接地。净距小于</w:t>
            </w:r>
            <w:r>
              <w:rPr>
                <w:rFonts w:ascii="Times New Roman" w:eastAsia="宋体" w:hAnsi="Times New Roman" w:cs="Times New Roman"/>
                <w:sz w:val="21"/>
                <w:szCs w:val="21"/>
                <w14:ligatures w14:val="none"/>
              </w:rPr>
              <w:t>100</w:t>
            </w:r>
            <w:r>
              <w:rPr>
                <w:rFonts w:ascii="Times New Roman" w:eastAsia="宋体" w:hAnsi="Times New Roman" w:cs="Times New Roman" w:hint="eastAsia"/>
                <w:sz w:val="21"/>
                <w:szCs w:val="21"/>
                <w14:ligatures w14:val="none"/>
              </w:rPr>
              <w:t>mm</w:t>
            </w:r>
            <w:r>
              <w:rPr>
                <w:rFonts w:ascii="Times New Roman" w:eastAsia="宋体" w:hAnsi="Times New Roman" w:cs="Times New Roman"/>
                <w:sz w:val="21"/>
                <w:szCs w:val="21"/>
                <w14:ligatures w14:val="none"/>
              </w:rPr>
              <w:t>的平行或交叉管道，每隔</w:t>
            </w:r>
            <w:r>
              <w:rPr>
                <w:rFonts w:ascii="Times New Roman" w:eastAsia="宋体" w:hAnsi="Times New Roman" w:cs="Times New Roman"/>
                <w:sz w:val="21"/>
                <w:szCs w:val="21"/>
                <w14:ligatures w14:val="none"/>
              </w:rPr>
              <w:t>20</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跨接</w:t>
            </w:r>
          </w:p>
        </w:tc>
        <w:tc>
          <w:tcPr>
            <w:tcW w:w="419" w:type="pct"/>
            <w:vAlign w:val="center"/>
          </w:tcPr>
          <w:p w14:paraId="785C7B0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AAC0B3E" w14:textId="77777777">
        <w:trPr>
          <w:trHeight w:val="442"/>
          <w:jc w:val="center"/>
        </w:trPr>
        <w:tc>
          <w:tcPr>
            <w:tcW w:w="458" w:type="pct"/>
            <w:vMerge/>
            <w:vAlign w:val="center"/>
          </w:tcPr>
          <w:p w14:paraId="67F17E6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68A390A"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油罐车卸油用的卸油软管、油气回收软管与两端接头，应保证可靠的电气连接。</w:t>
            </w:r>
          </w:p>
        </w:tc>
        <w:tc>
          <w:tcPr>
            <w:tcW w:w="1222" w:type="pct"/>
            <w:vAlign w:val="center"/>
          </w:tcPr>
          <w:p w14:paraId="6FBAFA6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324AC4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13.2.13</w:t>
            </w:r>
            <w:r>
              <w:rPr>
                <w:rFonts w:ascii="Times New Roman" w:eastAsia="宋体" w:hAnsi="Times New Roman" w:cs="宋体" w:hint="eastAsia"/>
                <w:sz w:val="21"/>
                <w:szCs w:val="21"/>
                <w14:ligatures w14:val="none"/>
              </w:rPr>
              <w:t>条</w:t>
            </w:r>
          </w:p>
        </w:tc>
        <w:tc>
          <w:tcPr>
            <w:tcW w:w="1133" w:type="pct"/>
            <w:vAlign w:val="center"/>
          </w:tcPr>
          <w:p w14:paraId="60F2645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油罐车卸油用的卸油软管、油气回收软管与两端接头</w:t>
            </w:r>
            <w:r>
              <w:rPr>
                <w:rFonts w:ascii="Times New Roman" w:eastAsia="宋体" w:hAnsi="Times New Roman" w:cs="Times New Roman"/>
                <w:sz w:val="21"/>
                <w:szCs w:val="21"/>
                <w14:ligatures w14:val="none"/>
              </w:rPr>
              <w:t>满足要求</w:t>
            </w:r>
          </w:p>
        </w:tc>
        <w:tc>
          <w:tcPr>
            <w:tcW w:w="419" w:type="pct"/>
            <w:vAlign w:val="center"/>
          </w:tcPr>
          <w:p w14:paraId="4DFFD57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4F4936E" w14:textId="77777777">
        <w:trPr>
          <w:trHeight w:val="442"/>
          <w:jc w:val="center"/>
        </w:trPr>
        <w:tc>
          <w:tcPr>
            <w:tcW w:w="458" w:type="pct"/>
            <w:vMerge/>
            <w:vAlign w:val="center"/>
          </w:tcPr>
          <w:p w14:paraId="6538366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88B979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采用导静电的热塑性塑料管道时，导电内衬应接地。</w:t>
            </w:r>
          </w:p>
        </w:tc>
        <w:tc>
          <w:tcPr>
            <w:tcW w:w="1222" w:type="pct"/>
            <w:vAlign w:val="center"/>
          </w:tcPr>
          <w:p w14:paraId="5E440A1F"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34527E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13.2.14</w:t>
            </w:r>
            <w:r>
              <w:rPr>
                <w:rFonts w:ascii="Times New Roman" w:eastAsia="宋体" w:hAnsi="Times New Roman" w:cs="宋体" w:hint="eastAsia"/>
                <w:sz w:val="21"/>
                <w:szCs w:val="21"/>
                <w14:ligatures w14:val="none"/>
              </w:rPr>
              <w:t>条</w:t>
            </w:r>
          </w:p>
        </w:tc>
        <w:tc>
          <w:tcPr>
            <w:tcW w:w="1133" w:type="pct"/>
            <w:vAlign w:val="center"/>
          </w:tcPr>
          <w:p w14:paraId="3F19485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热塑性塑料管道导电内衬接地</w:t>
            </w:r>
          </w:p>
        </w:tc>
        <w:tc>
          <w:tcPr>
            <w:tcW w:w="419" w:type="pct"/>
            <w:vAlign w:val="center"/>
          </w:tcPr>
          <w:p w14:paraId="47F9606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4B8C499" w14:textId="77777777">
        <w:trPr>
          <w:trHeight w:val="442"/>
          <w:jc w:val="center"/>
        </w:trPr>
        <w:tc>
          <w:tcPr>
            <w:tcW w:w="458" w:type="pct"/>
            <w:vMerge/>
            <w:vAlign w:val="center"/>
          </w:tcPr>
          <w:p w14:paraId="75C8C36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1FCCAC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防静电接地装置的接地电阻不应大于</w:t>
            </w:r>
            <w:r>
              <w:rPr>
                <w:rFonts w:ascii="Times New Roman" w:eastAsia="宋体" w:hAnsi="Times New Roman" w:cs="Times New Roman" w:hint="eastAsia"/>
                <w:kern w:val="28"/>
                <w:sz w:val="21"/>
                <w:szCs w:val="21"/>
                <w14:ligatures w14:val="none"/>
              </w:rPr>
              <w:t>100</w:t>
            </w:r>
            <w:r>
              <w:rPr>
                <w:rFonts w:ascii="Times New Roman" w:eastAsia="宋体" w:hAnsi="Times New Roman" w:cs="Times New Roman" w:hint="eastAsia"/>
                <w:kern w:val="28"/>
                <w:sz w:val="21"/>
                <w:szCs w:val="21"/>
                <w14:ligatures w14:val="none"/>
              </w:rPr>
              <w:t>Ω。</w:t>
            </w:r>
          </w:p>
        </w:tc>
        <w:tc>
          <w:tcPr>
            <w:tcW w:w="1222" w:type="pct"/>
            <w:vAlign w:val="center"/>
          </w:tcPr>
          <w:p w14:paraId="49FB895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1D1653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13.2.15</w:t>
            </w:r>
            <w:r>
              <w:rPr>
                <w:rFonts w:ascii="Times New Roman" w:eastAsia="宋体" w:hAnsi="Times New Roman" w:cs="宋体" w:hint="eastAsia"/>
                <w:sz w:val="21"/>
                <w:szCs w:val="21"/>
                <w14:ligatures w14:val="none"/>
              </w:rPr>
              <w:t>条</w:t>
            </w:r>
          </w:p>
        </w:tc>
        <w:tc>
          <w:tcPr>
            <w:tcW w:w="1133" w:type="pct"/>
            <w:vAlign w:val="center"/>
          </w:tcPr>
          <w:p w14:paraId="6923C95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站内防雷、防静电及电力装置、仪表联合接地系统共网，接地电阻</w:t>
            </w:r>
            <w:r>
              <w:rPr>
                <w:rFonts w:ascii="Times New Roman" w:eastAsia="宋体" w:hAnsi="Times New Roman" w:cs="Times New Roman" w:hint="eastAsia"/>
                <w:sz w:val="21"/>
                <w:szCs w:val="21"/>
                <w14:ligatures w14:val="none"/>
              </w:rPr>
              <w:t>不大于</w:t>
            </w:r>
            <w:r>
              <w:rPr>
                <w:rFonts w:ascii="Times New Roman" w:eastAsia="宋体" w:hAnsi="Times New Roman" w:cs="Times New Roman"/>
                <w:sz w:val="21"/>
                <w:szCs w:val="21"/>
                <w14:ligatures w14:val="none"/>
              </w:rPr>
              <w:t>1</w:t>
            </w:r>
            <w:r>
              <w:rPr>
                <w:rFonts w:ascii="宋体" w:eastAsia="宋体" w:hAnsi="宋体" w:cs="Times New Roman" w:hint="eastAsia"/>
                <w:sz w:val="21"/>
                <w:szCs w:val="21"/>
                <w14:ligatures w14:val="none"/>
              </w:rPr>
              <w:t>Ω</w:t>
            </w:r>
            <w:r>
              <w:rPr>
                <w:rFonts w:ascii="Times New Roman" w:eastAsia="宋体" w:hAnsi="Times New Roman" w:cs="Times New Roman"/>
                <w:sz w:val="21"/>
                <w:szCs w:val="21"/>
                <w14:ligatures w14:val="none"/>
              </w:rPr>
              <w:t>。</w:t>
            </w:r>
          </w:p>
        </w:tc>
        <w:tc>
          <w:tcPr>
            <w:tcW w:w="419" w:type="pct"/>
            <w:vAlign w:val="center"/>
          </w:tcPr>
          <w:p w14:paraId="1CEEEAF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70D6611" w14:textId="77777777">
        <w:trPr>
          <w:trHeight w:val="442"/>
          <w:jc w:val="center"/>
        </w:trPr>
        <w:tc>
          <w:tcPr>
            <w:tcW w:w="458" w:type="pct"/>
            <w:vMerge/>
            <w:vAlign w:val="center"/>
          </w:tcPr>
          <w:p w14:paraId="0F5AE44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CF3F7D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油品罐车卸车场地内用于防静</w:t>
            </w:r>
            <w:r>
              <w:rPr>
                <w:rFonts w:ascii="Times New Roman" w:eastAsia="宋体" w:hAnsi="Times New Roman" w:cs="Times New Roman" w:hint="eastAsia"/>
                <w:kern w:val="28"/>
                <w:sz w:val="21"/>
                <w:szCs w:val="21"/>
                <w14:ligatures w14:val="none"/>
              </w:rPr>
              <w:lastRenderedPageBreak/>
              <w:t>电跨接的固定接地装置，不应设置在爆炸危险</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w:t>
            </w:r>
          </w:p>
        </w:tc>
        <w:tc>
          <w:tcPr>
            <w:tcW w:w="1222" w:type="pct"/>
            <w:vAlign w:val="center"/>
          </w:tcPr>
          <w:p w14:paraId="2678E07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lastRenderedPageBreak/>
              <w:t>（</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647B60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13.2.16</w:t>
            </w:r>
            <w:r>
              <w:rPr>
                <w:rFonts w:ascii="Times New Roman" w:eastAsia="宋体" w:hAnsi="Times New Roman" w:cs="宋体" w:hint="eastAsia"/>
                <w:sz w:val="21"/>
                <w:szCs w:val="21"/>
                <w14:ligatures w14:val="none"/>
              </w:rPr>
              <w:t>条</w:t>
            </w:r>
          </w:p>
        </w:tc>
        <w:tc>
          <w:tcPr>
            <w:tcW w:w="1133" w:type="pct"/>
            <w:vAlign w:val="center"/>
          </w:tcPr>
          <w:p w14:paraId="082010D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卸车场地内用于防静电跨接的固定接</w:t>
            </w:r>
            <w:r>
              <w:rPr>
                <w:rFonts w:ascii="Times New Roman" w:eastAsia="宋体" w:hAnsi="Times New Roman" w:cs="Times New Roman"/>
                <w:sz w:val="21"/>
                <w:szCs w:val="21"/>
                <w14:ligatures w14:val="none"/>
              </w:rPr>
              <w:lastRenderedPageBreak/>
              <w:t>地装置未设置在</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区</w:t>
            </w:r>
          </w:p>
        </w:tc>
        <w:tc>
          <w:tcPr>
            <w:tcW w:w="419" w:type="pct"/>
            <w:vAlign w:val="center"/>
          </w:tcPr>
          <w:p w14:paraId="513345E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502148" w14:paraId="5BFED53D" w14:textId="77777777">
        <w:trPr>
          <w:trHeight w:val="442"/>
          <w:jc w:val="center"/>
        </w:trPr>
        <w:tc>
          <w:tcPr>
            <w:tcW w:w="458" w:type="pct"/>
            <w:vMerge/>
            <w:vAlign w:val="center"/>
          </w:tcPr>
          <w:p w14:paraId="1811680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D0A3D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人体静电的防护措施如下：</w:t>
            </w:r>
          </w:p>
          <w:p w14:paraId="5529698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①当气体爆炸危险场所的等级属</w:t>
            </w:r>
            <w:r>
              <w:rPr>
                <w:rFonts w:ascii="Times New Roman" w:eastAsia="宋体" w:hAnsi="Times New Roman" w:cs="Times New Roman" w:hint="eastAsia"/>
                <w:kern w:val="28"/>
                <w:sz w:val="21"/>
                <w:szCs w:val="21"/>
                <w14:ligatures w14:val="none"/>
              </w:rPr>
              <w:t>0</w:t>
            </w:r>
            <w:r>
              <w:rPr>
                <w:rFonts w:ascii="Times New Roman" w:eastAsia="宋体" w:hAnsi="Times New Roman" w:cs="Times New Roman" w:hint="eastAsia"/>
                <w:kern w:val="28"/>
                <w:sz w:val="21"/>
                <w:szCs w:val="21"/>
                <w14:ligatures w14:val="none"/>
              </w:rPr>
              <w:t>区和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区，且可燃物的最小点燃能量在</w:t>
            </w:r>
            <w:r>
              <w:rPr>
                <w:rFonts w:ascii="Times New Roman" w:eastAsia="宋体" w:hAnsi="Times New Roman" w:cs="Times New Roman" w:hint="eastAsia"/>
                <w:kern w:val="28"/>
                <w:sz w:val="21"/>
                <w:szCs w:val="21"/>
                <w14:ligatures w14:val="none"/>
              </w:rPr>
              <w:t>0.25mJ</w:t>
            </w:r>
            <w:r>
              <w:rPr>
                <w:rFonts w:ascii="Times New Roman" w:eastAsia="宋体" w:hAnsi="Times New Roman" w:cs="Times New Roman" w:hint="eastAsia"/>
                <w:kern w:val="28"/>
                <w:sz w:val="21"/>
                <w:szCs w:val="21"/>
                <w14:ligatures w14:val="none"/>
              </w:rPr>
              <w:t>以下时，工作人员需穿防静电鞋、防静电服。当环境相对湿度保持在</w:t>
            </w:r>
            <w:r>
              <w:rPr>
                <w:rFonts w:ascii="Times New Roman" w:eastAsia="宋体" w:hAnsi="Times New Roman" w:cs="Times New Roman" w:hint="eastAsia"/>
                <w:kern w:val="28"/>
                <w:sz w:val="21"/>
                <w:szCs w:val="21"/>
                <w14:ligatures w14:val="none"/>
              </w:rPr>
              <w:t>50%</w:t>
            </w:r>
            <w:r>
              <w:rPr>
                <w:rFonts w:ascii="Times New Roman" w:eastAsia="宋体" w:hAnsi="Times New Roman" w:cs="Times New Roman" w:hint="eastAsia"/>
                <w:kern w:val="28"/>
                <w:sz w:val="21"/>
                <w:szCs w:val="21"/>
                <w14:ligatures w14:val="none"/>
              </w:rPr>
              <w:t>以上时可穿棉工作服。</w:t>
            </w:r>
          </w:p>
          <w:p w14:paraId="30C17F5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②静电危险场所的工作人员外漏穿着物（包括鞋、衣物）应具防静电或导电功能，各部分穿着物应存在电气连续性，地面应配用导电地面。</w:t>
            </w:r>
          </w:p>
          <w:p w14:paraId="0A3DE6C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③禁止在静电危险场所穿脱衣物、帽子及类似物，并避免剧烈的身体运动。</w:t>
            </w:r>
          </w:p>
          <w:p w14:paraId="03CBE59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④在气体爆炸危险场所的等级属</w:t>
            </w:r>
            <w:r>
              <w:rPr>
                <w:rFonts w:ascii="Times New Roman" w:eastAsia="宋体" w:hAnsi="Times New Roman" w:cs="Times New Roman" w:hint="eastAsia"/>
                <w:kern w:val="28"/>
                <w:sz w:val="21"/>
                <w:szCs w:val="21"/>
                <w14:ligatures w14:val="none"/>
              </w:rPr>
              <w:t>0</w:t>
            </w:r>
            <w:r>
              <w:rPr>
                <w:rFonts w:ascii="Times New Roman" w:eastAsia="宋体" w:hAnsi="Times New Roman" w:cs="Times New Roman" w:hint="eastAsia"/>
                <w:kern w:val="28"/>
                <w:sz w:val="21"/>
                <w:szCs w:val="21"/>
                <w14:ligatures w14:val="none"/>
              </w:rPr>
              <w:t>区和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区工作时，应佩戴防静电手套。</w:t>
            </w:r>
          </w:p>
          <w:p w14:paraId="4032D420"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⑤防静电衣物所用材料的表面电阻率＜</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1010</w:t>
            </w:r>
            <w:r>
              <w:rPr>
                <w:rFonts w:ascii="Times New Roman" w:eastAsia="宋体" w:hAnsi="Times New Roman" w:cs="Times New Roman" w:hint="eastAsia"/>
                <w:kern w:val="28"/>
                <w:sz w:val="21"/>
                <w:szCs w:val="21"/>
                <w14:ligatures w14:val="none"/>
              </w:rPr>
              <w:t>Ω。</w:t>
            </w:r>
          </w:p>
          <w:p w14:paraId="7900B16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⑥可以采用安全有效的局部静电防护措施（如腕带），以防止静电危害的发生。</w:t>
            </w:r>
          </w:p>
        </w:tc>
        <w:tc>
          <w:tcPr>
            <w:tcW w:w="1222" w:type="pct"/>
            <w:vAlign w:val="center"/>
          </w:tcPr>
          <w:p w14:paraId="2AA2BE3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《防止静电事故通用导则》</w:t>
            </w:r>
          </w:p>
          <w:p w14:paraId="40674EB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GB12158-2006</w:t>
            </w:r>
            <w:r>
              <w:rPr>
                <w:rFonts w:ascii="Times New Roman" w:eastAsia="宋体" w:hAnsi="Times New Roman" w:cs="宋体" w:hint="eastAsia"/>
                <w:sz w:val="21"/>
                <w:szCs w:val="21"/>
                <w14:ligatures w14:val="none"/>
              </w:rPr>
              <w:t>）</w:t>
            </w:r>
          </w:p>
          <w:p w14:paraId="5643B8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w:t>
            </w:r>
            <w:r>
              <w:rPr>
                <w:rFonts w:ascii="Times New Roman" w:eastAsia="宋体" w:hAnsi="Times New Roman" w:cs="宋体" w:hint="eastAsia"/>
                <w:sz w:val="21"/>
                <w:szCs w:val="21"/>
                <w14:ligatures w14:val="none"/>
              </w:rPr>
              <w:t>条</w:t>
            </w:r>
          </w:p>
        </w:tc>
        <w:tc>
          <w:tcPr>
            <w:tcW w:w="1133" w:type="pct"/>
            <w:vAlign w:val="center"/>
          </w:tcPr>
          <w:p w14:paraId="7F06B6F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w:t>
            </w:r>
            <w:r>
              <w:rPr>
                <w:rFonts w:ascii="Times New Roman" w:eastAsia="宋体" w:hAnsi="Times New Roman" w:cs="Times New Roman" w:hint="eastAsia"/>
                <w:sz w:val="21"/>
                <w:szCs w:val="21"/>
                <w14:ligatures w14:val="none"/>
              </w:rPr>
              <w:t>已未</w:t>
            </w:r>
            <w:r>
              <w:rPr>
                <w:rFonts w:ascii="Times New Roman" w:eastAsia="宋体" w:hAnsi="Times New Roman" w:cs="Times New Roman"/>
                <w:sz w:val="21"/>
                <w:szCs w:val="21"/>
                <w14:ligatures w14:val="none"/>
              </w:rPr>
              <w:t>工作人员</w:t>
            </w:r>
            <w:r>
              <w:rPr>
                <w:rFonts w:ascii="Times New Roman" w:eastAsia="宋体" w:hAnsi="Times New Roman" w:cs="Times New Roman" w:hint="eastAsia"/>
                <w:sz w:val="21"/>
                <w:szCs w:val="21"/>
                <w14:ligatures w14:val="none"/>
              </w:rPr>
              <w:t>配备</w:t>
            </w:r>
            <w:r>
              <w:rPr>
                <w:rFonts w:ascii="Times New Roman" w:eastAsia="宋体" w:hAnsi="Times New Roman" w:cs="Times New Roman"/>
                <w:sz w:val="21"/>
                <w:szCs w:val="21"/>
                <w14:ligatures w14:val="none"/>
              </w:rPr>
              <w:t>防静电鞋、防静电服</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防静电手套</w:t>
            </w:r>
          </w:p>
        </w:tc>
        <w:tc>
          <w:tcPr>
            <w:tcW w:w="419" w:type="pct"/>
            <w:vAlign w:val="center"/>
          </w:tcPr>
          <w:p w14:paraId="3FA5F04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0E5661C" w14:textId="77777777">
        <w:trPr>
          <w:trHeight w:val="442"/>
          <w:jc w:val="center"/>
        </w:trPr>
        <w:tc>
          <w:tcPr>
            <w:tcW w:w="458" w:type="pct"/>
            <w:vMerge/>
            <w:vAlign w:val="center"/>
          </w:tcPr>
          <w:p w14:paraId="5A47670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047E6D7"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电气装置的接地必须单独与接地母线或接地网相连接，严禁一条接地线中串联两个及以上需要接地的电气装置。</w:t>
            </w:r>
          </w:p>
        </w:tc>
        <w:tc>
          <w:tcPr>
            <w:tcW w:w="1222" w:type="pct"/>
            <w:vAlign w:val="center"/>
          </w:tcPr>
          <w:p w14:paraId="616F662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《电气装置安装工程接地装置施工及验收规范》</w:t>
            </w:r>
          </w:p>
          <w:p w14:paraId="09AF9C4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50169-2016</w:t>
            </w:r>
            <w:r>
              <w:rPr>
                <w:rFonts w:ascii="Times New Roman" w:eastAsia="宋体" w:hAnsi="Times New Roman" w:cs="宋体" w:hint="eastAsia"/>
                <w:sz w:val="21"/>
                <w:szCs w:val="21"/>
                <w14:ligatures w14:val="none"/>
              </w:rPr>
              <w:t>）</w:t>
            </w:r>
          </w:p>
          <w:p w14:paraId="310BF09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4.2.9</w:t>
            </w:r>
            <w:r>
              <w:rPr>
                <w:rFonts w:ascii="Times New Roman" w:eastAsia="宋体" w:hAnsi="Times New Roman" w:cs="宋体" w:hint="eastAsia"/>
                <w:sz w:val="21"/>
                <w:szCs w:val="21"/>
                <w14:ligatures w14:val="none"/>
              </w:rPr>
              <w:t>条</w:t>
            </w:r>
          </w:p>
        </w:tc>
        <w:tc>
          <w:tcPr>
            <w:tcW w:w="1133" w:type="pct"/>
            <w:vAlign w:val="center"/>
          </w:tcPr>
          <w:p w14:paraId="3218C62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电气装置的接地单独与接地母线或接地网相连接</w:t>
            </w:r>
          </w:p>
        </w:tc>
        <w:tc>
          <w:tcPr>
            <w:tcW w:w="419" w:type="pct"/>
            <w:vAlign w:val="center"/>
          </w:tcPr>
          <w:p w14:paraId="7B770AC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F3443C7" w14:textId="77777777">
        <w:trPr>
          <w:trHeight w:val="442"/>
          <w:jc w:val="center"/>
        </w:trPr>
        <w:tc>
          <w:tcPr>
            <w:tcW w:w="458" w:type="pct"/>
            <w:vMerge/>
            <w:vAlign w:val="center"/>
          </w:tcPr>
          <w:p w14:paraId="1B8B16B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1F33C7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可能产生静电危害的工作场所，应配置个人防静电防护用品，重点防火、防爆作业区的人口处，应设计人体导除静电装置。</w:t>
            </w:r>
          </w:p>
        </w:tc>
        <w:tc>
          <w:tcPr>
            <w:tcW w:w="1222" w:type="pct"/>
            <w:vAlign w:val="center"/>
          </w:tcPr>
          <w:p w14:paraId="2B62FD0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《化工企业安全卫生设计规范》</w:t>
            </w:r>
          </w:p>
          <w:p w14:paraId="0F924CBE"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HG 20571-2014</w:t>
            </w:r>
            <w:r>
              <w:rPr>
                <w:rFonts w:ascii="Times New Roman" w:eastAsia="宋体" w:hAnsi="Times New Roman" w:cs="宋体" w:hint="eastAsia"/>
                <w:sz w:val="21"/>
                <w:szCs w:val="21"/>
                <w14:ligatures w14:val="none"/>
              </w:rPr>
              <w:t>）</w:t>
            </w:r>
          </w:p>
          <w:p w14:paraId="7A96BBE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4.2.10</w:t>
            </w:r>
            <w:r>
              <w:rPr>
                <w:rFonts w:ascii="Times New Roman" w:eastAsia="宋体" w:hAnsi="Times New Roman" w:cs="宋体" w:hint="eastAsia"/>
                <w:sz w:val="21"/>
                <w:szCs w:val="21"/>
                <w14:ligatures w14:val="none"/>
              </w:rPr>
              <w:t>条</w:t>
            </w:r>
          </w:p>
        </w:tc>
        <w:tc>
          <w:tcPr>
            <w:tcW w:w="1133" w:type="pct"/>
            <w:vAlign w:val="center"/>
          </w:tcPr>
          <w:p w14:paraId="03B3BDE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配置个人防静电防护用品</w:t>
            </w:r>
          </w:p>
        </w:tc>
        <w:tc>
          <w:tcPr>
            <w:tcW w:w="419" w:type="pct"/>
            <w:vAlign w:val="center"/>
          </w:tcPr>
          <w:p w14:paraId="2188FBE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938D343" w14:textId="77777777">
        <w:trPr>
          <w:trHeight w:val="442"/>
          <w:jc w:val="center"/>
        </w:trPr>
        <w:tc>
          <w:tcPr>
            <w:tcW w:w="458" w:type="pct"/>
            <w:vMerge/>
            <w:vAlign w:val="center"/>
          </w:tcPr>
          <w:p w14:paraId="3318FCF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0AE4BA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电气设备的金属外壳、金属框架、金属配线管及其配件、电缆保护管、电缆的金属护套等非带电的裸露金属部分均应接地。</w:t>
            </w:r>
          </w:p>
        </w:tc>
        <w:tc>
          <w:tcPr>
            <w:tcW w:w="1222" w:type="pct"/>
            <w:vAlign w:val="center"/>
          </w:tcPr>
          <w:p w14:paraId="1998318A"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《危险场所电气防爆安全规范》</w:t>
            </w:r>
          </w:p>
          <w:p w14:paraId="7EB12AA2"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AQ 3009-2007</w:t>
            </w:r>
            <w:r>
              <w:rPr>
                <w:rFonts w:ascii="Times New Roman" w:eastAsia="宋体" w:hAnsi="Times New Roman" w:cs="宋体" w:hint="eastAsia"/>
                <w:sz w:val="21"/>
                <w:szCs w:val="21"/>
                <w14:ligatures w14:val="none"/>
              </w:rPr>
              <w:t>）</w:t>
            </w:r>
          </w:p>
          <w:p w14:paraId="6DBD8F3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6.1.1.4.1</w:t>
            </w:r>
            <w:r>
              <w:rPr>
                <w:rFonts w:ascii="Times New Roman" w:eastAsia="宋体" w:hAnsi="Times New Roman" w:cs="宋体" w:hint="eastAsia"/>
                <w:sz w:val="21"/>
                <w:szCs w:val="21"/>
                <w14:ligatures w14:val="none"/>
              </w:rPr>
              <w:t>条</w:t>
            </w:r>
          </w:p>
        </w:tc>
        <w:tc>
          <w:tcPr>
            <w:tcW w:w="1133" w:type="pct"/>
            <w:vAlign w:val="center"/>
          </w:tcPr>
          <w:p w14:paraId="1C2B653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电气设备裸露金属部分均接地</w:t>
            </w:r>
          </w:p>
        </w:tc>
        <w:tc>
          <w:tcPr>
            <w:tcW w:w="419" w:type="pct"/>
            <w:vAlign w:val="center"/>
          </w:tcPr>
          <w:p w14:paraId="47D749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576E039" w14:textId="77777777">
        <w:trPr>
          <w:trHeight w:val="442"/>
          <w:jc w:val="center"/>
        </w:trPr>
        <w:tc>
          <w:tcPr>
            <w:tcW w:w="458" w:type="pct"/>
            <w:vMerge/>
            <w:vAlign w:val="center"/>
          </w:tcPr>
          <w:p w14:paraId="040D8B7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6ACB4D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加油站应设置紧急切断系统，该系统应能在事故状态下实现紧急停车和关闭紧急切断阀的保护功能。</w:t>
            </w:r>
          </w:p>
        </w:tc>
        <w:tc>
          <w:tcPr>
            <w:tcW w:w="1222" w:type="pct"/>
            <w:vAlign w:val="center"/>
          </w:tcPr>
          <w:p w14:paraId="7AA3718D"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B48244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13.5.1</w:t>
            </w:r>
            <w:r>
              <w:rPr>
                <w:rFonts w:ascii="Times New Roman" w:eastAsia="宋体" w:hAnsi="Times New Roman" w:cs="宋体" w:hint="eastAsia"/>
                <w:sz w:val="21"/>
                <w:szCs w:val="21"/>
                <w14:ligatures w14:val="none"/>
              </w:rPr>
              <w:t>条</w:t>
            </w:r>
          </w:p>
        </w:tc>
        <w:tc>
          <w:tcPr>
            <w:tcW w:w="1133" w:type="pct"/>
            <w:vAlign w:val="center"/>
          </w:tcPr>
          <w:p w14:paraId="49A5CEB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设置紧急切断系统</w:t>
            </w:r>
          </w:p>
        </w:tc>
        <w:tc>
          <w:tcPr>
            <w:tcW w:w="419" w:type="pct"/>
            <w:vAlign w:val="center"/>
          </w:tcPr>
          <w:p w14:paraId="78F8A24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D7B7DFF" w14:textId="77777777">
        <w:trPr>
          <w:trHeight w:val="442"/>
          <w:jc w:val="center"/>
        </w:trPr>
        <w:tc>
          <w:tcPr>
            <w:tcW w:w="458" w:type="pct"/>
            <w:vMerge/>
            <w:vAlign w:val="center"/>
          </w:tcPr>
          <w:p w14:paraId="6C84E7E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1C1C39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紧急切断系统应至少在下列位置设置紧急切断开关：</w:t>
            </w:r>
          </w:p>
          <w:p w14:paraId="41785722"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①在加油现场工作人员容易接近且较为安全的位置；</w:t>
            </w:r>
          </w:p>
          <w:p w14:paraId="40B39BCD"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②在控制室、值班室内或站房收银台等有人员值守的位置。</w:t>
            </w:r>
          </w:p>
        </w:tc>
        <w:tc>
          <w:tcPr>
            <w:tcW w:w="1222" w:type="pct"/>
            <w:vAlign w:val="center"/>
          </w:tcPr>
          <w:p w14:paraId="456CE941"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E3D3E0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13.5.2</w:t>
            </w:r>
            <w:r>
              <w:rPr>
                <w:rFonts w:ascii="Times New Roman" w:eastAsia="宋体" w:hAnsi="Times New Roman" w:cs="宋体" w:hint="eastAsia"/>
                <w:sz w:val="21"/>
                <w:szCs w:val="21"/>
                <w14:ligatures w14:val="none"/>
              </w:rPr>
              <w:t>条</w:t>
            </w:r>
          </w:p>
        </w:tc>
        <w:tc>
          <w:tcPr>
            <w:tcW w:w="1133" w:type="pct"/>
            <w:vAlign w:val="center"/>
          </w:tcPr>
          <w:p w14:paraId="0E815D1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在控制室内设置紧急切断按钮，在加油区、卸油口附近设置急停防爆操作柱。</w:t>
            </w:r>
          </w:p>
        </w:tc>
        <w:tc>
          <w:tcPr>
            <w:tcW w:w="419" w:type="pct"/>
            <w:vAlign w:val="center"/>
          </w:tcPr>
          <w:p w14:paraId="13DD57B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4966557" w14:textId="77777777">
        <w:trPr>
          <w:trHeight w:val="442"/>
          <w:jc w:val="center"/>
        </w:trPr>
        <w:tc>
          <w:tcPr>
            <w:tcW w:w="458" w:type="pct"/>
            <w:vMerge/>
            <w:vAlign w:val="center"/>
          </w:tcPr>
          <w:p w14:paraId="759D6A0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2F9E9A2"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工艺设备的电源和工艺管道上的紧急切断阀应能由手动启动的远程控制切系统操纵关闭。</w:t>
            </w:r>
          </w:p>
        </w:tc>
        <w:tc>
          <w:tcPr>
            <w:tcW w:w="1222" w:type="pct"/>
            <w:vAlign w:val="center"/>
          </w:tcPr>
          <w:p w14:paraId="3884CA3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94D613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13.5.3</w:t>
            </w:r>
            <w:r>
              <w:rPr>
                <w:rFonts w:ascii="Times New Roman" w:eastAsia="宋体" w:hAnsi="Times New Roman" w:cs="宋体" w:hint="eastAsia"/>
                <w:sz w:val="21"/>
                <w:szCs w:val="21"/>
                <w14:ligatures w14:val="none"/>
              </w:rPr>
              <w:t>条</w:t>
            </w:r>
          </w:p>
        </w:tc>
        <w:tc>
          <w:tcPr>
            <w:tcW w:w="1133" w:type="pct"/>
            <w:vAlign w:val="center"/>
          </w:tcPr>
          <w:p w14:paraId="0897434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紧急切断阀能由手动启动的远程控制切系统操纵关闭</w:t>
            </w:r>
          </w:p>
        </w:tc>
        <w:tc>
          <w:tcPr>
            <w:tcW w:w="419" w:type="pct"/>
            <w:vAlign w:val="center"/>
          </w:tcPr>
          <w:p w14:paraId="2DFD2C3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E9D5F56" w14:textId="77777777">
        <w:trPr>
          <w:trHeight w:val="442"/>
          <w:jc w:val="center"/>
        </w:trPr>
        <w:tc>
          <w:tcPr>
            <w:tcW w:w="458" w:type="pct"/>
            <w:vMerge/>
            <w:vAlign w:val="center"/>
          </w:tcPr>
          <w:p w14:paraId="78BAA44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B3C2FC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紧急切断系统应只能手动复位。</w:t>
            </w:r>
          </w:p>
        </w:tc>
        <w:tc>
          <w:tcPr>
            <w:tcW w:w="1222" w:type="pct"/>
            <w:vAlign w:val="center"/>
          </w:tcPr>
          <w:p w14:paraId="3F028B63"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FAA2C7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13.5.4</w:t>
            </w:r>
            <w:r>
              <w:rPr>
                <w:rFonts w:ascii="Times New Roman" w:eastAsia="宋体" w:hAnsi="Times New Roman" w:cs="宋体" w:hint="eastAsia"/>
                <w:sz w:val="21"/>
                <w:szCs w:val="21"/>
                <w14:ligatures w14:val="none"/>
              </w:rPr>
              <w:t>条</w:t>
            </w:r>
          </w:p>
        </w:tc>
        <w:tc>
          <w:tcPr>
            <w:tcW w:w="1133" w:type="pct"/>
            <w:vAlign w:val="center"/>
          </w:tcPr>
          <w:p w14:paraId="1E794A8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紧急切断系统只能手动复位</w:t>
            </w:r>
          </w:p>
        </w:tc>
        <w:tc>
          <w:tcPr>
            <w:tcW w:w="419" w:type="pct"/>
            <w:vAlign w:val="center"/>
          </w:tcPr>
          <w:p w14:paraId="2E2C900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A6DAB31" w14:textId="77777777">
        <w:trPr>
          <w:trHeight w:val="442"/>
          <w:jc w:val="center"/>
        </w:trPr>
        <w:tc>
          <w:tcPr>
            <w:tcW w:w="458" w:type="pct"/>
            <w:vMerge/>
            <w:vAlign w:val="center"/>
          </w:tcPr>
          <w:p w14:paraId="765F527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1EA779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视频安防监控系统中使用的设备必须符合国家法律法规和现行强制性标准的要求，并经法定机构检验或认证合格。</w:t>
            </w:r>
          </w:p>
        </w:tc>
        <w:tc>
          <w:tcPr>
            <w:tcW w:w="1222" w:type="pct"/>
            <w:vAlign w:val="center"/>
          </w:tcPr>
          <w:p w14:paraId="5AFBB5A6"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05748590"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62349A2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3.0.3</w:t>
            </w:r>
            <w:r>
              <w:rPr>
                <w:rFonts w:ascii="Times New Roman" w:eastAsia="宋体" w:hAnsi="Times New Roman" w:cs="宋体" w:hint="eastAsia"/>
                <w:sz w:val="21"/>
                <w:szCs w:val="21"/>
                <w14:ligatures w14:val="none"/>
              </w:rPr>
              <w:t>条</w:t>
            </w:r>
          </w:p>
        </w:tc>
        <w:tc>
          <w:tcPr>
            <w:tcW w:w="1133" w:type="pct"/>
            <w:vAlign w:val="center"/>
          </w:tcPr>
          <w:p w14:paraId="170A0CB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视频安防监控系统中使用的设备符合国家法律法规和现行强制性标准的要求，并经法定机构检验认证合格</w:t>
            </w:r>
          </w:p>
        </w:tc>
        <w:tc>
          <w:tcPr>
            <w:tcW w:w="419" w:type="pct"/>
            <w:vAlign w:val="center"/>
          </w:tcPr>
          <w:p w14:paraId="7797178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01E7821" w14:textId="77777777">
        <w:trPr>
          <w:trHeight w:val="442"/>
          <w:jc w:val="center"/>
        </w:trPr>
        <w:tc>
          <w:tcPr>
            <w:tcW w:w="458" w:type="pct"/>
            <w:vMerge/>
            <w:vAlign w:val="center"/>
          </w:tcPr>
          <w:p w14:paraId="5C4D7667"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2C4342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视频安防监控系统应对需要进行监控的建筑物内（外）的主要公共活动场所、通道、电梯（厅）、重要部位和区域等进行有效的视频探测与监视，图像显示、记录与回放。</w:t>
            </w:r>
          </w:p>
        </w:tc>
        <w:tc>
          <w:tcPr>
            <w:tcW w:w="1222" w:type="pct"/>
            <w:vAlign w:val="center"/>
          </w:tcPr>
          <w:p w14:paraId="5C114A67"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1E603EE4"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6D5972C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5.0.1</w:t>
            </w:r>
            <w:r>
              <w:rPr>
                <w:rFonts w:ascii="Times New Roman" w:eastAsia="宋体" w:hAnsi="Times New Roman" w:cs="宋体" w:hint="eastAsia"/>
                <w:sz w:val="21"/>
                <w:szCs w:val="21"/>
                <w14:ligatures w14:val="none"/>
              </w:rPr>
              <w:t>条</w:t>
            </w:r>
          </w:p>
        </w:tc>
        <w:tc>
          <w:tcPr>
            <w:tcW w:w="1133" w:type="pct"/>
            <w:vAlign w:val="center"/>
          </w:tcPr>
          <w:p w14:paraId="1B949D0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视频安防监控系统对监控的区域进行有效的视频探测与监视，图像显示、记录与回放</w:t>
            </w:r>
          </w:p>
        </w:tc>
        <w:tc>
          <w:tcPr>
            <w:tcW w:w="419" w:type="pct"/>
            <w:vAlign w:val="center"/>
          </w:tcPr>
          <w:p w14:paraId="2F59B91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40FC0139" w14:textId="77777777">
        <w:trPr>
          <w:trHeight w:val="442"/>
          <w:jc w:val="center"/>
        </w:trPr>
        <w:tc>
          <w:tcPr>
            <w:tcW w:w="458" w:type="pct"/>
            <w:vMerge/>
            <w:vAlign w:val="center"/>
          </w:tcPr>
          <w:p w14:paraId="4BF35C7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22FDA5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系统监视或回放的图像应清晰、稳定，显示方式应满足安全管理要求。显示画面上应有图像编号</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地址、时间、日期等。文字显示应采用简体中文。</w:t>
            </w:r>
          </w:p>
        </w:tc>
        <w:tc>
          <w:tcPr>
            <w:tcW w:w="1222" w:type="pct"/>
            <w:vAlign w:val="center"/>
          </w:tcPr>
          <w:p w14:paraId="10D8E90C"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6C711ADE"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4A20A89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5.0.8</w:t>
            </w:r>
            <w:r>
              <w:rPr>
                <w:rFonts w:ascii="Times New Roman" w:eastAsia="宋体" w:hAnsi="Times New Roman" w:cs="宋体" w:hint="eastAsia"/>
                <w:sz w:val="21"/>
                <w:szCs w:val="21"/>
                <w14:ligatures w14:val="none"/>
              </w:rPr>
              <w:t>条</w:t>
            </w:r>
          </w:p>
        </w:tc>
        <w:tc>
          <w:tcPr>
            <w:tcW w:w="1133" w:type="pct"/>
            <w:vAlign w:val="center"/>
          </w:tcPr>
          <w:p w14:paraId="61F1738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系统监视或回放的图像清晰、稳定，显示方式满足安全管理要求。显示画面上有图像编号</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地址、时间、日期等。文字显示采用简体中文</w:t>
            </w:r>
          </w:p>
        </w:tc>
        <w:tc>
          <w:tcPr>
            <w:tcW w:w="419" w:type="pct"/>
            <w:vAlign w:val="center"/>
          </w:tcPr>
          <w:p w14:paraId="06E958B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0D483F8" w14:textId="77777777">
        <w:trPr>
          <w:trHeight w:val="442"/>
          <w:jc w:val="center"/>
        </w:trPr>
        <w:tc>
          <w:tcPr>
            <w:tcW w:w="5000" w:type="pct"/>
            <w:gridSpan w:val="5"/>
            <w:vAlign w:val="center"/>
          </w:tcPr>
          <w:p w14:paraId="1EC7C4C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五、建（构）筑物、绿化</w:t>
            </w:r>
          </w:p>
        </w:tc>
      </w:tr>
      <w:tr w:rsidR="00502148" w14:paraId="7FF36A05" w14:textId="77777777">
        <w:trPr>
          <w:trHeight w:val="442"/>
          <w:jc w:val="center"/>
        </w:trPr>
        <w:tc>
          <w:tcPr>
            <w:tcW w:w="458" w:type="pct"/>
            <w:vMerge w:val="restart"/>
            <w:vAlign w:val="center"/>
          </w:tcPr>
          <w:p w14:paraId="23D7A9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建（构）筑物、绿化</w:t>
            </w:r>
          </w:p>
        </w:tc>
        <w:tc>
          <w:tcPr>
            <w:tcW w:w="1765" w:type="pct"/>
            <w:vAlign w:val="center"/>
          </w:tcPr>
          <w:p w14:paraId="237EDC0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加油岛的设计应符合下列规定：</w:t>
            </w:r>
          </w:p>
          <w:p w14:paraId="54CCD2DC"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①加油岛应高出停车位的地坪</w:t>
            </w:r>
            <w:r>
              <w:rPr>
                <w:rFonts w:ascii="Times New Roman" w:eastAsia="宋体" w:hAnsi="Times New Roman" w:cs="Times New Roman" w:hint="eastAsia"/>
                <w:kern w:val="28"/>
                <w:sz w:val="21"/>
                <w:szCs w:val="21"/>
                <w14:ligatures w14:val="none"/>
              </w:rPr>
              <w:t>0.15m~0.2m</w:t>
            </w:r>
            <w:r>
              <w:rPr>
                <w:rFonts w:ascii="Times New Roman" w:eastAsia="宋体" w:hAnsi="Times New Roman" w:cs="Times New Roman" w:hint="eastAsia"/>
                <w:kern w:val="28"/>
                <w:sz w:val="21"/>
                <w:szCs w:val="21"/>
                <w14:ligatures w14:val="none"/>
              </w:rPr>
              <w:t>。</w:t>
            </w:r>
          </w:p>
          <w:p w14:paraId="50C2309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②加油岛两端的宽度不应小于</w:t>
            </w:r>
            <w:r>
              <w:rPr>
                <w:rFonts w:ascii="Times New Roman" w:eastAsia="宋体" w:hAnsi="Times New Roman" w:cs="Times New Roman" w:hint="eastAsia"/>
                <w:kern w:val="28"/>
                <w:sz w:val="21"/>
                <w:szCs w:val="21"/>
                <w14:ligatures w14:val="none"/>
              </w:rPr>
              <w:t>1.2m</w:t>
            </w:r>
            <w:r>
              <w:rPr>
                <w:rFonts w:ascii="Times New Roman" w:eastAsia="宋体" w:hAnsi="Times New Roman" w:cs="Times New Roman" w:hint="eastAsia"/>
                <w:kern w:val="28"/>
                <w:sz w:val="21"/>
                <w:szCs w:val="21"/>
                <w14:ligatures w14:val="none"/>
              </w:rPr>
              <w:t>。</w:t>
            </w:r>
          </w:p>
          <w:p w14:paraId="44CEF58F"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③加油岛上的罩棚立柱边缘距岛端部，不应小于</w:t>
            </w:r>
            <w:r>
              <w:rPr>
                <w:rFonts w:ascii="Times New Roman" w:eastAsia="宋体" w:hAnsi="Times New Roman" w:cs="Times New Roman" w:hint="eastAsia"/>
                <w:kern w:val="28"/>
                <w:sz w:val="21"/>
                <w:szCs w:val="21"/>
                <w14:ligatures w14:val="none"/>
              </w:rPr>
              <w:t>0.6m</w:t>
            </w:r>
            <w:r>
              <w:rPr>
                <w:rFonts w:ascii="Times New Roman" w:eastAsia="宋体" w:hAnsi="Times New Roman" w:cs="Times New Roman" w:hint="eastAsia"/>
                <w:kern w:val="28"/>
                <w:sz w:val="21"/>
                <w:szCs w:val="21"/>
                <w14:ligatures w14:val="none"/>
              </w:rPr>
              <w:t>。</w:t>
            </w:r>
          </w:p>
          <w:p w14:paraId="52AF4D95"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④靠近岛端的加油机等岛上的工艺设备应有防止车辆误撞的措施和警示标识。采用钢管防撞柱（栏）时，其钢管的直径不应小于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，高度不应小于</w:t>
            </w:r>
            <w:r>
              <w:rPr>
                <w:rFonts w:ascii="Times New Roman" w:eastAsia="宋体" w:hAnsi="Times New Roman" w:cs="Times New Roman" w:hint="eastAsia"/>
                <w:kern w:val="28"/>
                <w:sz w:val="21"/>
                <w:szCs w:val="21"/>
                <w14:ligatures w14:val="none"/>
              </w:rPr>
              <w:t>0.5m</w:t>
            </w:r>
            <w:r>
              <w:rPr>
                <w:rFonts w:ascii="Times New Roman" w:eastAsia="宋体" w:hAnsi="Times New Roman" w:cs="Times New Roman" w:hint="eastAsia"/>
                <w:kern w:val="28"/>
                <w:sz w:val="21"/>
                <w:szCs w:val="21"/>
                <w14:ligatures w14:val="none"/>
              </w:rPr>
              <w:t>，并应设置牢固。</w:t>
            </w:r>
          </w:p>
        </w:tc>
        <w:tc>
          <w:tcPr>
            <w:tcW w:w="1222" w:type="pct"/>
            <w:vAlign w:val="center"/>
          </w:tcPr>
          <w:p w14:paraId="2A4036C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C824E7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14.2.3</w:t>
            </w:r>
            <w:r>
              <w:rPr>
                <w:rFonts w:ascii="Times New Roman" w:eastAsia="宋体" w:hAnsi="Times New Roman" w:cs="宋体" w:hint="eastAsia"/>
                <w:sz w:val="21"/>
                <w:szCs w:val="21"/>
                <w14:ligatures w14:val="none"/>
              </w:rPr>
              <w:t>条</w:t>
            </w:r>
          </w:p>
        </w:tc>
        <w:tc>
          <w:tcPr>
            <w:tcW w:w="1133" w:type="pct"/>
            <w:vAlign w:val="center"/>
          </w:tcPr>
          <w:p w14:paraId="2E09848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加油岛高出停车位的地坪</w:t>
            </w:r>
            <w:r>
              <w:rPr>
                <w:rFonts w:ascii="Times New Roman" w:eastAsia="宋体" w:hAnsi="Times New Roman" w:cs="Times New Roman"/>
                <w:bCs/>
                <w:sz w:val="21"/>
                <w:szCs w:val="21"/>
                <w14:ligatures w14:val="none"/>
              </w:rPr>
              <w:t>0.2m</w:t>
            </w:r>
            <w:r>
              <w:rPr>
                <w:rFonts w:ascii="Times New Roman" w:eastAsia="宋体" w:hAnsi="Times New Roman" w:cs="Times New Roman"/>
                <w:bCs/>
                <w:sz w:val="21"/>
                <w:szCs w:val="21"/>
                <w14:ligatures w14:val="none"/>
              </w:rPr>
              <w:t>；加油岛两端的宽度</w:t>
            </w:r>
            <w:r>
              <w:rPr>
                <w:rFonts w:ascii="Times New Roman" w:eastAsia="宋体" w:hAnsi="Times New Roman" w:cs="Times New Roman"/>
                <w:bCs/>
                <w:sz w:val="21"/>
                <w:szCs w:val="21"/>
                <w14:ligatures w14:val="none"/>
              </w:rPr>
              <w:t>1.6m</w:t>
            </w:r>
            <w:r>
              <w:rPr>
                <w:rFonts w:ascii="Times New Roman" w:eastAsia="宋体" w:hAnsi="Times New Roman" w:cs="Times New Roman"/>
                <w:bCs/>
                <w:sz w:val="21"/>
                <w:szCs w:val="21"/>
                <w14:ligatures w14:val="none"/>
              </w:rPr>
              <w:t>；加油岛上的罩棚立柱边缘距岛端部</w:t>
            </w:r>
            <w:r>
              <w:rPr>
                <w:rFonts w:ascii="Times New Roman" w:eastAsia="宋体" w:hAnsi="Times New Roman" w:cs="Times New Roman"/>
                <w:bCs/>
                <w:sz w:val="21"/>
                <w:szCs w:val="21"/>
                <w14:ligatures w14:val="none"/>
              </w:rPr>
              <w:t>1.7m</w:t>
            </w:r>
          </w:p>
        </w:tc>
        <w:tc>
          <w:tcPr>
            <w:tcW w:w="419" w:type="pct"/>
            <w:vAlign w:val="center"/>
          </w:tcPr>
          <w:p w14:paraId="3E2DD93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6AA660C" w14:textId="77777777">
        <w:trPr>
          <w:trHeight w:val="442"/>
          <w:jc w:val="center"/>
        </w:trPr>
        <w:tc>
          <w:tcPr>
            <w:tcW w:w="458" w:type="pct"/>
            <w:vMerge/>
            <w:vAlign w:val="center"/>
          </w:tcPr>
          <w:p w14:paraId="38374DD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CB2B721"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加油站内的工艺设备，不宜布置在封闭的房间或箱体内；工艺</w:t>
            </w:r>
            <w:r>
              <w:rPr>
                <w:rFonts w:ascii="Times New Roman" w:eastAsia="宋体" w:hAnsi="Times New Roman" w:cs="Times New Roman" w:hint="eastAsia"/>
                <w:kern w:val="28"/>
                <w:sz w:val="21"/>
                <w:szCs w:val="21"/>
                <w14:ligatures w14:val="none"/>
              </w:rPr>
              <w:lastRenderedPageBreak/>
              <w:t>设备需要布置在封闭的房间或箱体内时，房间或箱体内应设置可燃气体检测报警器和强制通风设备，并应符合本标准第</w:t>
            </w:r>
            <w:r>
              <w:rPr>
                <w:rFonts w:ascii="Times New Roman" w:eastAsia="宋体" w:hAnsi="Times New Roman" w:cs="Times New Roman" w:hint="eastAsia"/>
                <w:kern w:val="28"/>
                <w:sz w:val="21"/>
                <w:szCs w:val="21"/>
                <w14:ligatures w14:val="none"/>
              </w:rPr>
              <w:t>14.1.4</w:t>
            </w:r>
            <w:r>
              <w:rPr>
                <w:rFonts w:ascii="Times New Roman" w:eastAsia="宋体" w:hAnsi="Times New Roman" w:cs="Times New Roman" w:hint="eastAsia"/>
                <w:kern w:val="28"/>
                <w:sz w:val="21"/>
                <w:szCs w:val="21"/>
                <w14:ligatures w14:val="none"/>
              </w:rPr>
              <w:t>条的规定。</w:t>
            </w:r>
          </w:p>
        </w:tc>
        <w:tc>
          <w:tcPr>
            <w:tcW w:w="1222" w:type="pct"/>
            <w:vAlign w:val="center"/>
          </w:tcPr>
          <w:p w14:paraId="2F284E65"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85457A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14.2.7</w:t>
            </w:r>
            <w:r>
              <w:rPr>
                <w:rFonts w:ascii="Times New Roman" w:eastAsia="宋体" w:hAnsi="Times New Roman" w:cs="宋体" w:hint="eastAsia"/>
                <w:sz w:val="21"/>
                <w:szCs w:val="21"/>
                <w14:ligatures w14:val="none"/>
              </w:rPr>
              <w:t>条</w:t>
            </w:r>
          </w:p>
        </w:tc>
        <w:tc>
          <w:tcPr>
            <w:tcW w:w="1133" w:type="pct"/>
            <w:vAlign w:val="center"/>
          </w:tcPr>
          <w:p w14:paraId="16B2744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lastRenderedPageBreak/>
              <w:t>工艺设备露天设置</w:t>
            </w:r>
          </w:p>
        </w:tc>
        <w:tc>
          <w:tcPr>
            <w:tcW w:w="419" w:type="pct"/>
            <w:vAlign w:val="center"/>
          </w:tcPr>
          <w:p w14:paraId="5723E23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3F6C0E8" w14:textId="77777777">
        <w:trPr>
          <w:trHeight w:val="442"/>
          <w:jc w:val="center"/>
        </w:trPr>
        <w:tc>
          <w:tcPr>
            <w:tcW w:w="458" w:type="pct"/>
            <w:vMerge/>
            <w:vAlign w:val="center"/>
          </w:tcPr>
          <w:p w14:paraId="22199CD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BA2028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埋地油罐的操作井、位于作业区的排水井应采取防渗漏措施，位于爆炸危险区域内的操作井、排水井，应采取防渗漏和防火花发生的措施。</w:t>
            </w:r>
          </w:p>
        </w:tc>
        <w:tc>
          <w:tcPr>
            <w:tcW w:w="1222" w:type="pct"/>
            <w:vAlign w:val="center"/>
          </w:tcPr>
          <w:p w14:paraId="2148A208"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A7CD95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14.2.16</w:t>
            </w:r>
            <w:r>
              <w:rPr>
                <w:rFonts w:ascii="Times New Roman" w:eastAsia="宋体" w:hAnsi="Times New Roman" w:cs="宋体" w:hint="eastAsia"/>
                <w:sz w:val="21"/>
                <w:szCs w:val="21"/>
                <w14:ligatures w14:val="none"/>
              </w:rPr>
              <w:t>条</w:t>
            </w:r>
          </w:p>
        </w:tc>
        <w:tc>
          <w:tcPr>
            <w:tcW w:w="1133" w:type="pct"/>
            <w:vAlign w:val="center"/>
          </w:tcPr>
          <w:p w14:paraId="22AA763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给水阀门井、排水检查井采用钢筋混凝土材质，排水检查井采用水封井</w:t>
            </w:r>
          </w:p>
        </w:tc>
        <w:tc>
          <w:tcPr>
            <w:tcW w:w="419" w:type="pct"/>
            <w:vAlign w:val="center"/>
          </w:tcPr>
          <w:p w14:paraId="0085B17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48C39854" w14:textId="77777777">
        <w:trPr>
          <w:trHeight w:val="442"/>
          <w:jc w:val="center"/>
        </w:trPr>
        <w:tc>
          <w:tcPr>
            <w:tcW w:w="458" w:type="pct"/>
            <w:vMerge/>
            <w:vAlign w:val="center"/>
          </w:tcPr>
          <w:p w14:paraId="4C535C7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50F6B48"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可能存在或产生有毒物质的工作场所应根据有毒物质的理化特性和危害特点配备现场急救用品，设置冲洗喷淋设备、应急撤离通道、必要的泄险区以及风向标。</w:t>
            </w:r>
          </w:p>
        </w:tc>
        <w:tc>
          <w:tcPr>
            <w:tcW w:w="1222" w:type="pct"/>
            <w:vAlign w:val="center"/>
          </w:tcPr>
          <w:p w14:paraId="2B9378BB"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《工业企业设计卫生标准》（</w:t>
            </w:r>
            <w:r>
              <w:rPr>
                <w:rFonts w:ascii="Times New Roman" w:eastAsia="宋体" w:hAnsi="Times New Roman" w:cs="宋体"/>
                <w:sz w:val="21"/>
                <w:szCs w:val="21"/>
                <w14:ligatures w14:val="none"/>
              </w:rPr>
              <w:t>GBZ1-2010</w:t>
            </w:r>
            <w:r>
              <w:rPr>
                <w:rFonts w:ascii="Times New Roman" w:eastAsia="宋体" w:hAnsi="Times New Roman" w:cs="宋体"/>
                <w:sz w:val="21"/>
                <w:szCs w:val="21"/>
                <w14:ligatures w14:val="none"/>
              </w:rPr>
              <w:t>）</w:t>
            </w:r>
          </w:p>
          <w:p w14:paraId="538B7406" w14:textId="77777777" w:rsidR="00502148"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6.1.7</w:t>
            </w:r>
            <w:r>
              <w:rPr>
                <w:rFonts w:ascii="Times New Roman" w:eastAsia="宋体" w:hAnsi="Times New Roman" w:cs="宋体"/>
                <w:sz w:val="21"/>
                <w:szCs w:val="21"/>
                <w14:ligatures w14:val="none"/>
              </w:rPr>
              <w:t>条</w:t>
            </w:r>
          </w:p>
        </w:tc>
        <w:tc>
          <w:tcPr>
            <w:tcW w:w="1133" w:type="pct"/>
            <w:vAlign w:val="center"/>
          </w:tcPr>
          <w:p w14:paraId="27EEFF12" w14:textId="77777777" w:rsidR="00502148" w:rsidRDefault="00000000">
            <w:pPr>
              <w:spacing w:line="240" w:lineRule="auto"/>
              <w:ind w:firstLineChars="0" w:firstLine="0"/>
              <w:rPr>
                <w:rFonts w:ascii="Times New Roman" w:eastAsia="宋体" w:hAnsi="Times New Roman" w:cs="Times New Roman"/>
                <w:spacing w:val="-6"/>
                <w:position w:val="2"/>
                <w:sz w:val="21"/>
                <w:szCs w:val="21"/>
                <w14:ligatures w14:val="none"/>
              </w:rPr>
            </w:pPr>
            <w:r>
              <w:rPr>
                <w:rFonts w:ascii="Times New Roman" w:eastAsia="宋体" w:hAnsi="Times New Roman" w:cs="Times New Roman"/>
                <w:spacing w:val="-6"/>
                <w:position w:val="2"/>
                <w:sz w:val="21"/>
                <w:szCs w:val="21"/>
                <w14:ligatures w14:val="none"/>
              </w:rPr>
              <w:t>本站设置应急撤离通道、必要的泄险区以及风向标。</w:t>
            </w:r>
          </w:p>
        </w:tc>
        <w:tc>
          <w:tcPr>
            <w:tcW w:w="419" w:type="pct"/>
            <w:vAlign w:val="center"/>
          </w:tcPr>
          <w:p w14:paraId="16BC16C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C0A2DFD" w14:textId="77777777">
        <w:trPr>
          <w:trHeight w:val="442"/>
          <w:jc w:val="center"/>
        </w:trPr>
        <w:tc>
          <w:tcPr>
            <w:tcW w:w="5000" w:type="pct"/>
            <w:gridSpan w:val="5"/>
            <w:vAlign w:val="center"/>
          </w:tcPr>
          <w:p w14:paraId="12B7B0E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六、安全管理单元</w:t>
            </w:r>
          </w:p>
        </w:tc>
      </w:tr>
      <w:tr w:rsidR="00502148" w14:paraId="11518ED3" w14:textId="77777777">
        <w:trPr>
          <w:trHeight w:val="442"/>
          <w:jc w:val="center"/>
        </w:trPr>
        <w:tc>
          <w:tcPr>
            <w:tcW w:w="458" w:type="pct"/>
            <w:vMerge w:val="restart"/>
            <w:vAlign w:val="center"/>
          </w:tcPr>
          <w:p w14:paraId="1D9312D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安全管理</w:t>
            </w:r>
          </w:p>
        </w:tc>
        <w:tc>
          <w:tcPr>
            <w:tcW w:w="1765" w:type="pct"/>
            <w:vAlign w:val="center"/>
          </w:tcPr>
          <w:p w14:paraId="2E47547F"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危险化学品经营单位应当建立应急救援组织；应当配备必要的应急救援器材、设备和物资，并进行经常性维护、保养，保证正常运转。</w:t>
            </w:r>
          </w:p>
        </w:tc>
        <w:tc>
          <w:tcPr>
            <w:tcW w:w="1222" w:type="pct"/>
            <w:vAlign w:val="center"/>
          </w:tcPr>
          <w:p w14:paraId="0181460F" w14:textId="77777777" w:rsidR="00502148" w:rsidRDefault="00000000">
            <w:pPr>
              <w:spacing w:line="240" w:lineRule="auto"/>
              <w:ind w:firstLineChars="0" w:firstLine="0"/>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w:t>
            </w:r>
          </w:p>
          <w:p w14:paraId="5769709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第八十二条</w:t>
            </w:r>
          </w:p>
        </w:tc>
        <w:tc>
          <w:tcPr>
            <w:tcW w:w="1133" w:type="pct"/>
            <w:vAlign w:val="center"/>
          </w:tcPr>
          <w:p w14:paraId="0310FABF" w14:textId="4B2086AE" w:rsidR="00502148" w:rsidRDefault="001E7543">
            <w:pPr>
              <w:spacing w:line="240" w:lineRule="auto"/>
              <w:ind w:firstLineChars="0" w:firstLine="0"/>
              <w:rPr>
                <w:rFonts w:ascii="Times New Roman" w:eastAsia="宋体" w:hAnsi="Times New Roman" w:cs="Times New Roman"/>
                <w:sz w:val="21"/>
                <w:szCs w:val="21"/>
                <w:highlight w:val="yellow"/>
                <w14:ligatures w14:val="none"/>
              </w:rPr>
            </w:pPr>
            <w:r w:rsidRPr="001E7543">
              <w:rPr>
                <w:rFonts w:ascii="Times New Roman" w:eastAsia="宋体" w:hAnsi="Times New Roman" w:cs="Times New Roman"/>
                <w:sz w:val="21"/>
                <w:szCs w:val="21"/>
                <w14:ligatures w14:val="none"/>
              </w:rPr>
              <w:t>本站建立应急救援组织；配备必要的应急救援器材、设备和物资，并进行经常性维护、保养，保证正常运转</w:t>
            </w:r>
          </w:p>
        </w:tc>
        <w:tc>
          <w:tcPr>
            <w:tcW w:w="419" w:type="pct"/>
            <w:vAlign w:val="center"/>
          </w:tcPr>
          <w:p w14:paraId="3D701E92" w14:textId="64158EB5" w:rsidR="00502148" w:rsidRDefault="001E754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C962E9E" w14:textId="77777777">
        <w:trPr>
          <w:trHeight w:val="442"/>
          <w:jc w:val="center"/>
        </w:trPr>
        <w:tc>
          <w:tcPr>
            <w:tcW w:w="458" w:type="pct"/>
            <w:vMerge/>
            <w:vAlign w:val="center"/>
          </w:tcPr>
          <w:p w14:paraId="00E0FF9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2B9C32E"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c>
          <w:tcPr>
            <w:tcW w:w="1222" w:type="pct"/>
            <w:vAlign w:val="center"/>
          </w:tcPr>
          <w:p w14:paraId="3B81A39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号修正）第四条</w:t>
            </w:r>
          </w:p>
        </w:tc>
        <w:tc>
          <w:tcPr>
            <w:tcW w:w="1133" w:type="pct"/>
            <w:vAlign w:val="center"/>
          </w:tcPr>
          <w:p w14:paraId="776CA72C" w14:textId="7675BA5F"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本站建立健全全员安全生产责任制和安全生产规章制度</w:t>
            </w:r>
          </w:p>
        </w:tc>
        <w:tc>
          <w:tcPr>
            <w:tcW w:w="419" w:type="pct"/>
            <w:vAlign w:val="center"/>
          </w:tcPr>
          <w:p w14:paraId="1E56375A" w14:textId="310C7BC9"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52786A5" w14:textId="77777777">
        <w:trPr>
          <w:trHeight w:val="442"/>
          <w:jc w:val="center"/>
        </w:trPr>
        <w:tc>
          <w:tcPr>
            <w:tcW w:w="458" w:type="pct"/>
            <w:vMerge/>
            <w:vAlign w:val="center"/>
          </w:tcPr>
          <w:p w14:paraId="588742B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816F56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储存、经营重点监管危险化学品的企业，要切实落实安全生产主体责任，对照《重点监管的危险化学品的安全措施和应急处置原则》，全面排查危险化学品安全管理的漏洞和薄弱环节，及时消除安全隐患；要针对经营储存的油品特点和危险特性，细化并落实</w:t>
            </w:r>
            <w:r>
              <w:rPr>
                <w:rFonts w:ascii="Times New Roman" w:eastAsia="宋体" w:hAnsi="Times New Roman" w:cs="Times New Roman" w:hint="eastAsia"/>
                <w:kern w:val="28"/>
                <w:sz w:val="21"/>
                <w:szCs w:val="21"/>
                <w14:ligatures w14:val="none"/>
              </w:rPr>
              <w:lastRenderedPageBreak/>
              <w:t>《重点监管的危险化学品的安全措施和应急处置原则》。</w:t>
            </w:r>
          </w:p>
        </w:tc>
        <w:tc>
          <w:tcPr>
            <w:tcW w:w="1222" w:type="pct"/>
            <w:vAlign w:val="center"/>
          </w:tcPr>
          <w:p w14:paraId="03D0DCC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《国家安全监管总局办公厅关于印发首批重点监管的危险化学品安全措施和应急处置原则的通知》（安监总厅管三〔</w:t>
            </w:r>
            <w:r>
              <w:rPr>
                <w:rFonts w:ascii="Times New Roman" w:eastAsia="宋体" w:hAnsi="Times New Roman" w:cs="宋体" w:hint="eastAsia"/>
                <w:sz w:val="21"/>
                <w:szCs w:val="21"/>
                <w14:ligatures w14:val="none"/>
              </w:rPr>
              <w:t>2011</w:t>
            </w: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142</w:t>
            </w:r>
            <w:r>
              <w:rPr>
                <w:rFonts w:ascii="Times New Roman" w:eastAsia="宋体" w:hAnsi="Times New Roman" w:cs="宋体" w:hint="eastAsia"/>
                <w:sz w:val="21"/>
                <w:szCs w:val="21"/>
                <w14:ligatures w14:val="none"/>
              </w:rPr>
              <w:t>号）</w:t>
            </w:r>
          </w:p>
        </w:tc>
        <w:tc>
          <w:tcPr>
            <w:tcW w:w="1133" w:type="pct"/>
            <w:vAlign w:val="center"/>
          </w:tcPr>
          <w:p w14:paraId="7EB2F497" w14:textId="67CF2CAB"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本站切实落实安全生产主体责任，全面排查危险化学品安全管理的漏洞和薄弱环节，及时消除安全隐患</w:t>
            </w:r>
          </w:p>
        </w:tc>
        <w:tc>
          <w:tcPr>
            <w:tcW w:w="419" w:type="pct"/>
            <w:vAlign w:val="center"/>
          </w:tcPr>
          <w:p w14:paraId="325E4270" w14:textId="7835C54D"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41C6FF0" w14:textId="77777777">
        <w:trPr>
          <w:trHeight w:val="442"/>
          <w:jc w:val="center"/>
        </w:trPr>
        <w:tc>
          <w:tcPr>
            <w:tcW w:w="458" w:type="pct"/>
            <w:vMerge/>
            <w:vAlign w:val="center"/>
          </w:tcPr>
          <w:p w14:paraId="38655E7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3E655CC"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生产经营单位应当具备的安全生产条件所必需的资金投入，由生产经营单位的决策机构、主要负责人或者个人经营的投资人予以保证，并对由于安全生产所必需的资金投入不足导致的后果承担责任。</w:t>
            </w:r>
          </w:p>
          <w:p w14:paraId="56764707"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当按照规定提取和使用安全生产费用，专门用于改善安全生产条件。安全生产费用在成本中据实列支。企业应按时提取安全资金，并用于购置、维护、检查、检验安全设施、设备，人员的安全培训，劳动保护用品的发放等。安全资金不许挪作他用。</w:t>
            </w:r>
          </w:p>
        </w:tc>
        <w:tc>
          <w:tcPr>
            <w:tcW w:w="1222" w:type="pct"/>
            <w:vAlign w:val="center"/>
          </w:tcPr>
          <w:p w14:paraId="128FC22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号修正），第二十三条</w:t>
            </w:r>
          </w:p>
        </w:tc>
        <w:tc>
          <w:tcPr>
            <w:tcW w:w="1133" w:type="pct"/>
            <w:vAlign w:val="center"/>
          </w:tcPr>
          <w:p w14:paraId="3018B14E" w14:textId="05F35A7D"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本站按照规定提取和使用安全生产费用，专门用于改善安全生产条件</w:t>
            </w:r>
          </w:p>
        </w:tc>
        <w:tc>
          <w:tcPr>
            <w:tcW w:w="419" w:type="pct"/>
            <w:vAlign w:val="center"/>
          </w:tcPr>
          <w:p w14:paraId="3E56D454" w14:textId="1A776164"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952A226" w14:textId="77777777">
        <w:trPr>
          <w:trHeight w:val="442"/>
          <w:jc w:val="center"/>
        </w:trPr>
        <w:tc>
          <w:tcPr>
            <w:tcW w:w="458" w:type="pct"/>
            <w:vMerge/>
            <w:vAlign w:val="center"/>
          </w:tcPr>
          <w:p w14:paraId="71FF005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EBDAFC6"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2E0D1D91"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1222" w:type="pct"/>
            <w:vAlign w:val="center"/>
          </w:tcPr>
          <w:p w14:paraId="483406F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号修正）第二十八条</w:t>
            </w:r>
          </w:p>
        </w:tc>
        <w:tc>
          <w:tcPr>
            <w:tcW w:w="1133" w:type="pct"/>
            <w:vAlign w:val="center"/>
          </w:tcPr>
          <w:p w14:paraId="0EFBE98E" w14:textId="771EB267"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本站加强员工安全教育和业务技术知识培训，熟悉经营油品的理化指标和危险特性，做到</w:t>
            </w:r>
            <w:r w:rsidRPr="008F10FF">
              <w:rPr>
                <w:rFonts w:ascii="Times New Roman" w:eastAsia="宋体" w:hAnsi="Times New Roman" w:cs="Times New Roman"/>
                <w:sz w:val="21"/>
                <w:szCs w:val="21"/>
                <w14:ligatures w14:val="none"/>
              </w:rPr>
              <w:t>“</w:t>
            </w:r>
            <w:r w:rsidRPr="008F10FF">
              <w:rPr>
                <w:rFonts w:ascii="Times New Roman" w:eastAsia="宋体" w:hAnsi="Times New Roman" w:cs="Times New Roman"/>
                <w:sz w:val="21"/>
                <w:szCs w:val="21"/>
                <w14:ligatures w14:val="none"/>
              </w:rPr>
              <w:t>四懂四会</w:t>
            </w:r>
            <w:r w:rsidRPr="008F10FF">
              <w:rPr>
                <w:rFonts w:ascii="Times New Roman" w:eastAsia="宋体" w:hAnsi="Times New Roman" w:cs="Times New Roman"/>
                <w:sz w:val="21"/>
                <w:szCs w:val="21"/>
                <w14:ligatures w14:val="none"/>
              </w:rPr>
              <w:t>”</w:t>
            </w:r>
            <w:r w:rsidRPr="008F10FF">
              <w:rPr>
                <w:rFonts w:ascii="Times New Roman" w:eastAsia="宋体" w:hAnsi="Times New Roman" w:cs="Times New Roman"/>
                <w:sz w:val="21"/>
                <w:szCs w:val="21"/>
                <w14:ligatures w14:val="none"/>
              </w:rPr>
              <w:t>：懂得岗位火灾的危险性，懂得预防火灾的措施，懂得扑救火灾的方法，懂得逃生疏散的方法，会使用消防器材，会报火警，会扑救初起火灾，会组织疏散逃生</w:t>
            </w:r>
          </w:p>
        </w:tc>
        <w:tc>
          <w:tcPr>
            <w:tcW w:w="419" w:type="pct"/>
            <w:vAlign w:val="center"/>
          </w:tcPr>
          <w:p w14:paraId="713BAC6C" w14:textId="2AF84033"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3A005FD5" w14:textId="77777777">
        <w:trPr>
          <w:trHeight w:val="442"/>
          <w:jc w:val="center"/>
        </w:trPr>
        <w:tc>
          <w:tcPr>
            <w:tcW w:w="458" w:type="pct"/>
            <w:vMerge/>
            <w:vAlign w:val="center"/>
          </w:tcPr>
          <w:p w14:paraId="1223497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C66D3D"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生产经营单位采用新工艺、新技术、新材料或者使用新设备，必须了解、掌握其安全技术特性，采取有效的安全防护措施，并对从业人员进行专门的安全生产教育和培训。</w:t>
            </w:r>
          </w:p>
        </w:tc>
        <w:tc>
          <w:tcPr>
            <w:tcW w:w="1222" w:type="pct"/>
            <w:vAlign w:val="center"/>
          </w:tcPr>
          <w:p w14:paraId="4D59A58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号修正）第二十九条</w:t>
            </w:r>
          </w:p>
        </w:tc>
        <w:tc>
          <w:tcPr>
            <w:tcW w:w="1133" w:type="pct"/>
            <w:vAlign w:val="center"/>
          </w:tcPr>
          <w:p w14:paraId="033053A9" w14:textId="3B6C86A7"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本站了解、掌握新设备等安全技术特性，采取有效的安全防护措施，并对从业人员进行专门的安全生产教育和培训</w:t>
            </w:r>
          </w:p>
        </w:tc>
        <w:tc>
          <w:tcPr>
            <w:tcW w:w="419" w:type="pct"/>
            <w:vAlign w:val="center"/>
          </w:tcPr>
          <w:p w14:paraId="70063A88" w14:textId="5979750F"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91525FA" w14:textId="77777777">
        <w:trPr>
          <w:trHeight w:val="442"/>
          <w:jc w:val="center"/>
        </w:trPr>
        <w:tc>
          <w:tcPr>
            <w:tcW w:w="458" w:type="pct"/>
            <w:vMerge/>
            <w:vAlign w:val="center"/>
          </w:tcPr>
          <w:p w14:paraId="3B69327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DC2C38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生产经营单位对重大危险源应当登记建档，进行定期检测、评</w:t>
            </w:r>
            <w:r>
              <w:rPr>
                <w:rFonts w:ascii="Times New Roman" w:eastAsia="宋体" w:hAnsi="Times New Roman" w:cs="Times New Roman" w:hint="eastAsia"/>
                <w:kern w:val="28"/>
                <w:sz w:val="21"/>
                <w:szCs w:val="21"/>
                <w14:ligatures w14:val="none"/>
              </w:rPr>
              <w:lastRenderedPageBreak/>
              <w:t>估、监控，并制定应急预案，告知从业人员和相关人员在紧急情况下应当采取的应急措施。该加油站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1222" w:type="pct"/>
            <w:vAlign w:val="center"/>
          </w:tcPr>
          <w:p w14:paraId="43D3A48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号修正）第四十条</w:t>
            </w:r>
          </w:p>
        </w:tc>
        <w:tc>
          <w:tcPr>
            <w:tcW w:w="1133" w:type="pct"/>
            <w:vAlign w:val="center"/>
          </w:tcPr>
          <w:p w14:paraId="295C89E5" w14:textId="34CB32E2" w:rsidR="00502148" w:rsidRDefault="001E7543">
            <w:pPr>
              <w:spacing w:line="240" w:lineRule="auto"/>
              <w:ind w:firstLineChars="0" w:firstLine="0"/>
              <w:rPr>
                <w:rFonts w:ascii="Times New Roman" w:eastAsia="宋体" w:hAnsi="Times New Roman" w:cs="Times New Roman"/>
                <w:sz w:val="21"/>
                <w:szCs w:val="21"/>
                <w14:ligatures w14:val="none"/>
              </w:rPr>
            </w:pPr>
            <w:r w:rsidRPr="001E7543">
              <w:rPr>
                <w:rFonts w:ascii="Times New Roman" w:eastAsia="宋体" w:hAnsi="Times New Roman" w:cs="Times New Roman"/>
                <w:sz w:val="21"/>
                <w:szCs w:val="21"/>
                <w14:ligatures w14:val="none"/>
              </w:rPr>
              <w:lastRenderedPageBreak/>
              <w:t>本站虽未构成危险化学品重大危险源，但仍需给予高度重</w:t>
            </w:r>
            <w:r w:rsidRPr="001E7543">
              <w:rPr>
                <w:rFonts w:ascii="Times New Roman" w:eastAsia="宋体" w:hAnsi="Times New Roman" w:cs="Times New Roman"/>
                <w:sz w:val="21"/>
                <w:szCs w:val="21"/>
                <w14:ligatures w14:val="none"/>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tc>
        <w:tc>
          <w:tcPr>
            <w:tcW w:w="419" w:type="pct"/>
            <w:vAlign w:val="center"/>
          </w:tcPr>
          <w:p w14:paraId="5E22D368" w14:textId="2B6F3E46" w:rsidR="00502148" w:rsidRDefault="001E754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502148" w14:paraId="7519D597" w14:textId="77777777">
        <w:trPr>
          <w:trHeight w:val="442"/>
          <w:jc w:val="center"/>
        </w:trPr>
        <w:tc>
          <w:tcPr>
            <w:tcW w:w="458" w:type="pct"/>
            <w:vMerge/>
            <w:vAlign w:val="center"/>
          </w:tcPr>
          <w:p w14:paraId="3B5EE8E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31A7E60"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生产经营单位应当建立安全风险分级管控制度，按照安全风险分级采取相应的管控措施。</w:t>
            </w:r>
          </w:p>
          <w:p w14:paraId="6A6EFE24" w14:textId="77777777" w:rsidR="00502148"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1222" w:type="pct"/>
            <w:vAlign w:val="center"/>
          </w:tcPr>
          <w:p w14:paraId="3F18A00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号修正）第四十一条</w:t>
            </w:r>
          </w:p>
        </w:tc>
        <w:tc>
          <w:tcPr>
            <w:tcW w:w="1133" w:type="pct"/>
            <w:vAlign w:val="center"/>
          </w:tcPr>
          <w:p w14:paraId="2EC08E3A" w14:textId="123ADDA6"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建立健全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419" w:type="pct"/>
            <w:vAlign w:val="center"/>
          </w:tcPr>
          <w:p w14:paraId="2C1D24CF" w14:textId="353188C0"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4180F19" w14:textId="77777777">
        <w:trPr>
          <w:trHeight w:val="442"/>
          <w:jc w:val="center"/>
        </w:trPr>
        <w:tc>
          <w:tcPr>
            <w:tcW w:w="458" w:type="pct"/>
            <w:vMerge/>
            <w:vAlign w:val="center"/>
          </w:tcPr>
          <w:p w14:paraId="7B23EB2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C0032C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生产经营单位必须为从业人员提供符合国家标准或者行业标准的劳动防护用品，并监督、教育从业人员按照使用规则佩戴、使用。</w:t>
            </w:r>
          </w:p>
        </w:tc>
        <w:tc>
          <w:tcPr>
            <w:tcW w:w="1222" w:type="pct"/>
            <w:vAlign w:val="center"/>
          </w:tcPr>
          <w:p w14:paraId="1EA88B0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《中华人民共和国安全生产法》（中华人民共和国主席令第十三号）第四十二条</w:t>
            </w:r>
          </w:p>
        </w:tc>
        <w:tc>
          <w:tcPr>
            <w:tcW w:w="1133" w:type="pct"/>
            <w:vAlign w:val="center"/>
          </w:tcPr>
          <w:p w14:paraId="42EB699C" w14:textId="27914E79"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本站为从业人员提供符合国家标准或者行业标准的劳动防护用品，并监督、教育从业人员按照使用规则佩戴、使用</w:t>
            </w:r>
          </w:p>
        </w:tc>
        <w:tc>
          <w:tcPr>
            <w:tcW w:w="419" w:type="pct"/>
            <w:vAlign w:val="center"/>
          </w:tcPr>
          <w:p w14:paraId="5C3F5120" w14:textId="16162AE8"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A607EA8" w14:textId="77777777">
        <w:trPr>
          <w:trHeight w:val="442"/>
          <w:jc w:val="center"/>
        </w:trPr>
        <w:tc>
          <w:tcPr>
            <w:tcW w:w="458" w:type="pct"/>
            <w:vMerge/>
            <w:vAlign w:val="center"/>
          </w:tcPr>
          <w:p w14:paraId="2A07D6B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9C54A3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生产经营单位应当教育和督促从业人员严格执行本单位的安全生产规章制度和安全操作规程；并向从业人员如实告知作业场所和工作岗位存在的危险因素、防范措施以及事故应急措施。</w:t>
            </w:r>
          </w:p>
        </w:tc>
        <w:tc>
          <w:tcPr>
            <w:tcW w:w="1222" w:type="pct"/>
            <w:vAlign w:val="center"/>
          </w:tcPr>
          <w:p w14:paraId="70BD76C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号修正）第四十四条</w:t>
            </w:r>
          </w:p>
        </w:tc>
        <w:tc>
          <w:tcPr>
            <w:tcW w:w="1133" w:type="pct"/>
            <w:vAlign w:val="center"/>
          </w:tcPr>
          <w:p w14:paraId="2F83673F" w14:textId="77A55287"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本站教育和督促从业人员严格执行本单位的安全生产规章制度和安全操作规程；并向从业人员如实告知作业场所和工作岗位存在的危险因素、防范措施以及事故应急措施</w:t>
            </w:r>
          </w:p>
        </w:tc>
        <w:tc>
          <w:tcPr>
            <w:tcW w:w="419" w:type="pct"/>
            <w:vAlign w:val="center"/>
          </w:tcPr>
          <w:p w14:paraId="5F1CAE88" w14:textId="0E39F68E"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47EA30D" w14:textId="77777777">
        <w:trPr>
          <w:trHeight w:val="442"/>
          <w:jc w:val="center"/>
        </w:trPr>
        <w:tc>
          <w:tcPr>
            <w:tcW w:w="458" w:type="pct"/>
            <w:vMerge/>
            <w:vAlign w:val="center"/>
          </w:tcPr>
          <w:p w14:paraId="12E7D86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36604C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企业应切实加强检维修工作管理，加油站在检维修作业前，要</w:t>
            </w:r>
            <w:r>
              <w:rPr>
                <w:rFonts w:ascii="Times New Roman" w:eastAsia="宋体" w:hAnsi="Times New Roman" w:cs="Times New Roman" w:hint="eastAsia"/>
                <w:kern w:val="28"/>
                <w:sz w:val="21"/>
                <w:szCs w:val="21"/>
                <w14:ligatures w14:val="none"/>
              </w:rPr>
              <w:lastRenderedPageBreak/>
              <w:t>组织对检维修作业场所、设备、设施、工艺流程和作业内容开展危险有害因素辨识，严格实施作业前风险分析。</w:t>
            </w:r>
          </w:p>
        </w:tc>
        <w:tc>
          <w:tcPr>
            <w:tcW w:w="1222" w:type="pct"/>
            <w:vAlign w:val="center"/>
          </w:tcPr>
          <w:p w14:paraId="5BD1BE2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《关于加强全省化工企业检维修作业安全管理的指导意见》</w:t>
            </w:r>
          </w:p>
        </w:tc>
        <w:tc>
          <w:tcPr>
            <w:tcW w:w="1133" w:type="pct"/>
            <w:vAlign w:val="center"/>
          </w:tcPr>
          <w:p w14:paraId="1877B32F" w14:textId="084B5EDA"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本站切实加强检维修工作管理，加油站在检维修作业前，要</w:t>
            </w:r>
            <w:r w:rsidRPr="008F10FF">
              <w:rPr>
                <w:rFonts w:ascii="Times New Roman" w:eastAsia="宋体" w:hAnsi="Times New Roman" w:cs="Times New Roman"/>
                <w:sz w:val="21"/>
                <w:szCs w:val="21"/>
                <w14:ligatures w14:val="none"/>
              </w:rPr>
              <w:lastRenderedPageBreak/>
              <w:t>组织对检维修作业场所、设备、设施、工艺流程和作业内容开展危险有害因素辨识，严格实施作业前风险分析</w:t>
            </w:r>
          </w:p>
        </w:tc>
        <w:tc>
          <w:tcPr>
            <w:tcW w:w="419" w:type="pct"/>
            <w:vAlign w:val="center"/>
          </w:tcPr>
          <w:p w14:paraId="4321D895" w14:textId="7DAA68DD"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502148" w14:paraId="1CB97771" w14:textId="77777777">
        <w:trPr>
          <w:trHeight w:val="442"/>
          <w:jc w:val="center"/>
        </w:trPr>
        <w:tc>
          <w:tcPr>
            <w:tcW w:w="458" w:type="pct"/>
            <w:vMerge/>
            <w:vAlign w:val="center"/>
          </w:tcPr>
          <w:p w14:paraId="0941D1D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D1AD2DB"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严格明（动）火管理，落实“三不动火”的根本原则，即：“没有批准动火票不动火，监护人不在场不动火，防护措施不落实不动火”；切实加强加油场地、配电室、营业室和锅炉间等重点部位的检查与管理工作，确保用电安全。同时，要加强入罐受限空间作业管理，进入油罐前必须对罐内进行清洗和置换，并保持罐内空气流通。在作业前对罐内气体进行采样分析，分析合格后方可作业。在作业过程中应定期监测，确保作业安全。</w:t>
            </w:r>
          </w:p>
        </w:tc>
        <w:tc>
          <w:tcPr>
            <w:tcW w:w="1222" w:type="pct"/>
            <w:vAlign w:val="center"/>
          </w:tcPr>
          <w:p w14:paraId="4918018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《加油站作业安全规范》（</w:t>
            </w:r>
            <w:r>
              <w:rPr>
                <w:rFonts w:ascii="Times New Roman" w:eastAsia="宋体" w:hAnsi="Times New Roman" w:cs="宋体" w:hint="eastAsia"/>
                <w:sz w:val="21"/>
                <w:szCs w:val="21"/>
                <w14:ligatures w14:val="none"/>
              </w:rPr>
              <w:t xml:space="preserve">AQ 3010-2022 </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8.4</w:t>
            </w:r>
            <w:r>
              <w:rPr>
                <w:rFonts w:ascii="Times New Roman" w:eastAsia="宋体" w:hAnsi="Times New Roman" w:cs="宋体" w:hint="eastAsia"/>
                <w:sz w:val="21"/>
                <w:szCs w:val="21"/>
                <w14:ligatures w14:val="none"/>
              </w:rPr>
              <w:t>条</w:t>
            </w:r>
          </w:p>
        </w:tc>
        <w:tc>
          <w:tcPr>
            <w:tcW w:w="1133" w:type="pct"/>
            <w:vAlign w:val="center"/>
          </w:tcPr>
          <w:p w14:paraId="38FFC6C7" w14:textId="64A710A9"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进行重点部位的检查与管理工作前，确保用电安全</w:t>
            </w:r>
          </w:p>
        </w:tc>
        <w:tc>
          <w:tcPr>
            <w:tcW w:w="419" w:type="pct"/>
            <w:vAlign w:val="center"/>
          </w:tcPr>
          <w:p w14:paraId="47798A3F" w14:textId="7446CE4E"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784DC3E" w14:textId="77777777">
        <w:trPr>
          <w:trHeight w:val="442"/>
          <w:jc w:val="center"/>
        </w:trPr>
        <w:tc>
          <w:tcPr>
            <w:tcW w:w="458" w:type="pct"/>
            <w:vMerge/>
            <w:vAlign w:val="center"/>
          </w:tcPr>
          <w:p w14:paraId="1227FAC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2CB6348"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1222" w:type="pct"/>
            <w:vAlign w:val="center"/>
          </w:tcPr>
          <w:p w14:paraId="6FAC783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《加油站作业安全规范》（</w:t>
            </w:r>
            <w:r>
              <w:rPr>
                <w:rFonts w:ascii="Times New Roman" w:eastAsia="宋体" w:hAnsi="Times New Roman" w:cs="宋体" w:hint="eastAsia"/>
                <w:sz w:val="21"/>
                <w:szCs w:val="21"/>
                <w14:ligatures w14:val="none"/>
              </w:rPr>
              <w:t xml:space="preserve">AQ 3010-2022 </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w:t>
            </w:r>
            <w:r>
              <w:rPr>
                <w:rFonts w:ascii="Times New Roman" w:eastAsia="宋体" w:hAnsi="Times New Roman" w:cs="宋体" w:hint="eastAsia"/>
                <w:sz w:val="21"/>
                <w:szCs w:val="21"/>
                <w14:ligatures w14:val="none"/>
              </w:rPr>
              <w:t>条和第</w:t>
            </w:r>
            <w:r>
              <w:rPr>
                <w:rFonts w:ascii="Times New Roman" w:eastAsia="宋体" w:hAnsi="Times New Roman" w:cs="宋体" w:hint="eastAsia"/>
                <w:sz w:val="21"/>
                <w:szCs w:val="21"/>
                <w14:ligatures w14:val="none"/>
              </w:rPr>
              <w:t>6</w:t>
            </w:r>
            <w:r>
              <w:rPr>
                <w:rFonts w:ascii="Times New Roman" w:eastAsia="宋体" w:hAnsi="Times New Roman" w:cs="宋体" w:hint="eastAsia"/>
                <w:sz w:val="21"/>
                <w:szCs w:val="21"/>
                <w14:ligatures w14:val="none"/>
              </w:rPr>
              <w:t>条</w:t>
            </w:r>
          </w:p>
        </w:tc>
        <w:tc>
          <w:tcPr>
            <w:tcW w:w="1133" w:type="pct"/>
            <w:vAlign w:val="center"/>
          </w:tcPr>
          <w:p w14:paraId="468D3651" w14:textId="21BB82B4"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419" w:type="pct"/>
            <w:vAlign w:val="center"/>
          </w:tcPr>
          <w:p w14:paraId="326994F9" w14:textId="456C8328"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85F2871" w14:textId="77777777">
        <w:trPr>
          <w:trHeight w:val="442"/>
          <w:jc w:val="center"/>
        </w:trPr>
        <w:tc>
          <w:tcPr>
            <w:tcW w:w="458" w:type="pct"/>
            <w:vMerge/>
            <w:vAlign w:val="center"/>
          </w:tcPr>
          <w:p w14:paraId="5F01EA7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78C12E5"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w:t>
            </w:r>
            <w:r>
              <w:rPr>
                <w:rFonts w:ascii="Times New Roman" w:eastAsia="宋体" w:hAnsi="Times New Roman" w:cs="Times New Roman" w:hint="eastAsia"/>
                <w:kern w:val="28"/>
                <w:sz w:val="21"/>
                <w:szCs w:val="21"/>
                <w14:ligatures w14:val="none"/>
              </w:rPr>
              <w:lastRenderedPageBreak/>
              <w:t>站外公告，接受公众监督。</w:t>
            </w:r>
          </w:p>
        </w:tc>
        <w:tc>
          <w:tcPr>
            <w:tcW w:w="1222" w:type="pct"/>
            <w:vAlign w:val="center"/>
          </w:tcPr>
          <w:p w14:paraId="03BDC23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《应急管理部关于全面实施危险化学品企业安全风险研判与承诺公告制度的通知》（应急</w:t>
            </w:r>
            <w:r>
              <w:rPr>
                <w:rFonts w:ascii="Times New Roman" w:eastAsia="宋体" w:hAnsi="Times New Roman" w:cs="宋体" w:hint="eastAsia"/>
                <w:sz w:val="21"/>
                <w:szCs w:val="21"/>
                <w14:ligatures w14:val="none"/>
              </w:rPr>
              <w:t>[2018]74</w:t>
            </w:r>
            <w:r>
              <w:rPr>
                <w:rFonts w:ascii="Times New Roman" w:eastAsia="宋体" w:hAnsi="Times New Roman" w:cs="宋体" w:hint="eastAsia"/>
                <w:sz w:val="21"/>
                <w:szCs w:val="21"/>
                <w14:ligatures w14:val="none"/>
              </w:rPr>
              <w:t>号）</w:t>
            </w:r>
          </w:p>
        </w:tc>
        <w:tc>
          <w:tcPr>
            <w:tcW w:w="1133" w:type="pct"/>
            <w:vAlign w:val="center"/>
          </w:tcPr>
          <w:p w14:paraId="21D0AED2" w14:textId="378CC25C"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本站实施安全风险研判与承诺公告制度要求危险化学品企业必须自觉遵守安全生产法律法规标准，全员、全过程、全天候、全方位落实安全生产主体责任，有效管控安全风险，及时排查治理事故</w:t>
            </w:r>
            <w:r w:rsidRPr="008F10FF">
              <w:rPr>
                <w:rFonts w:ascii="Times New Roman" w:eastAsia="宋体" w:hAnsi="Times New Roman" w:cs="Times New Roman"/>
                <w:sz w:val="21"/>
                <w:szCs w:val="21"/>
                <w14:ligatures w14:val="none"/>
              </w:rPr>
              <w:lastRenderedPageBreak/>
              <w:t>隐患，并将有关工作开展情况向全体员工做出公开承诺，并在站外公告，接受公众监督</w:t>
            </w:r>
          </w:p>
        </w:tc>
        <w:tc>
          <w:tcPr>
            <w:tcW w:w="419" w:type="pct"/>
            <w:vAlign w:val="center"/>
          </w:tcPr>
          <w:p w14:paraId="5DCF64E9" w14:textId="2E2A6B39"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502148" w14:paraId="19E49EB8" w14:textId="77777777">
        <w:trPr>
          <w:trHeight w:val="442"/>
          <w:jc w:val="center"/>
        </w:trPr>
        <w:tc>
          <w:tcPr>
            <w:tcW w:w="458" w:type="pct"/>
            <w:vMerge/>
            <w:vAlign w:val="center"/>
          </w:tcPr>
          <w:p w14:paraId="759F632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EAC6D04" w14:textId="77777777" w:rsidR="00502148"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tc>
        <w:tc>
          <w:tcPr>
            <w:tcW w:w="1222" w:type="pct"/>
            <w:vAlign w:val="center"/>
          </w:tcPr>
          <w:p w14:paraId="37DF312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《特别管控危险化学品目录》</w:t>
            </w:r>
          </w:p>
        </w:tc>
        <w:tc>
          <w:tcPr>
            <w:tcW w:w="1133" w:type="pct"/>
            <w:vAlign w:val="center"/>
          </w:tcPr>
          <w:p w14:paraId="086DAB5E" w14:textId="32EF42FD"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本站实时记录销售情况、货主信息等，强化流向监控和销售信息的管理</w:t>
            </w:r>
          </w:p>
        </w:tc>
        <w:tc>
          <w:tcPr>
            <w:tcW w:w="419" w:type="pct"/>
            <w:vAlign w:val="center"/>
          </w:tcPr>
          <w:p w14:paraId="7253F4D6" w14:textId="6471E84F"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bl>
    <w:p w14:paraId="72A9BEC0"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4.1-2  </w:t>
      </w:r>
      <w:r>
        <w:rPr>
          <w:rFonts w:ascii="Times New Roman" w:eastAsia="黑体" w:hAnsi="Times New Roman"/>
          <w:sz w:val="24"/>
        </w:rPr>
        <w:t>重大安全事故隐患判定单元检查表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13"/>
        <w:gridCol w:w="3660"/>
        <w:gridCol w:w="1611"/>
        <w:gridCol w:w="2402"/>
        <w:gridCol w:w="688"/>
      </w:tblGrid>
      <w:tr w:rsidR="00502148" w14:paraId="623E7273" w14:textId="77777777" w:rsidTr="002738A1">
        <w:trPr>
          <w:trHeight w:val="454"/>
          <w:tblHeader/>
          <w:jc w:val="center"/>
        </w:trPr>
        <w:tc>
          <w:tcPr>
            <w:tcW w:w="443" w:type="pct"/>
            <w:vAlign w:val="center"/>
          </w:tcPr>
          <w:p w14:paraId="7507B7A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995" w:type="pct"/>
            <w:vAlign w:val="center"/>
          </w:tcPr>
          <w:p w14:paraId="441D245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控制及管理要求</w:t>
            </w:r>
          </w:p>
        </w:tc>
        <w:tc>
          <w:tcPr>
            <w:tcW w:w="878" w:type="pct"/>
            <w:vAlign w:val="center"/>
          </w:tcPr>
          <w:p w14:paraId="2D08BB2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检查依据</w:t>
            </w:r>
          </w:p>
        </w:tc>
        <w:tc>
          <w:tcPr>
            <w:tcW w:w="1309" w:type="pct"/>
            <w:vAlign w:val="center"/>
          </w:tcPr>
          <w:p w14:paraId="4300D04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检查记录</w:t>
            </w:r>
          </w:p>
        </w:tc>
        <w:tc>
          <w:tcPr>
            <w:tcW w:w="375" w:type="pct"/>
            <w:vAlign w:val="center"/>
          </w:tcPr>
          <w:p w14:paraId="114369C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502148" w14:paraId="5DF6211C" w14:textId="77777777" w:rsidTr="002738A1">
        <w:trPr>
          <w:trHeight w:val="454"/>
          <w:jc w:val="center"/>
        </w:trPr>
        <w:tc>
          <w:tcPr>
            <w:tcW w:w="443" w:type="pct"/>
            <w:vAlign w:val="center"/>
          </w:tcPr>
          <w:p w14:paraId="10B9A09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995" w:type="pct"/>
            <w:vAlign w:val="center"/>
          </w:tcPr>
          <w:p w14:paraId="3C52692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危险化学品生产、经营单位主要负责人和安全生产管理人员未依法经考核合格。</w:t>
            </w:r>
          </w:p>
        </w:tc>
        <w:tc>
          <w:tcPr>
            <w:tcW w:w="878" w:type="pct"/>
            <w:vAlign w:val="center"/>
          </w:tcPr>
          <w:p w14:paraId="409965D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57E402E7" w14:textId="00FFC04C" w:rsidR="00502148" w:rsidRDefault="008F10FF">
            <w:pPr>
              <w:spacing w:line="240" w:lineRule="auto"/>
              <w:ind w:firstLineChars="0" w:firstLine="0"/>
              <w:rPr>
                <w:rFonts w:ascii="Times New Roman" w:eastAsia="宋体" w:hAnsi="Times New Roman" w:cs="Times New Roman"/>
                <w:sz w:val="21"/>
                <w:szCs w:val="21"/>
                <w14:ligatures w14:val="none"/>
              </w:rPr>
            </w:pPr>
            <w:r w:rsidRPr="008F10FF">
              <w:rPr>
                <w:rFonts w:ascii="Times New Roman" w:eastAsia="宋体" w:hAnsi="Times New Roman" w:cs="Times New Roman"/>
                <w:sz w:val="21"/>
                <w:szCs w:val="21"/>
                <w14:ligatures w14:val="none"/>
              </w:rPr>
              <w:t>站内主要负责人和安全生产管理人员取得相关证书。</w:t>
            </w:r>
          </w:p>
        </w:tc>
        <w:tc>
          <w:tcPr>
            <w:tcW w:w="375" w:type="pct"/>
            <w:vAlign w:val="center"/>
          </w:tcPr>
          <w:p w14:paraId="61503B0C" w14:textId="5EE24302" w:rsidR="00502148" w:rsidRDefault="008F10FF">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376E2DC" w14:textId="77777777" w:rsidTr="002738A1">
        <w:trPr>
          <w:trHeight w:val="454"/>
          <w:jc w:val="center"/>
        </w:trPr>
        <w:tc>
          <w:tcPr>
            <w:tcW w:w="443" w:type="pct"/>
            <w:vAlign w:val="center"/>
          </w:tcPr>
          <w:p w14:paraId="466122A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1995" w:type="pct"/>
            <w:vAlign w:val="center"/>
          </w:tcPr>
          <w:p w14:paraId="177A9D8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特种作业人员未持证上岗。</w:t>
            </w:r>
          </w:p>
        </w:tc>
        <w:tc>
          <w:tcPr>
            <w:tcW w:w="878" w:type="pct"/>
            <w:vAlign w:val="center"/>
          </w:tcPr>
          <w:p w14:paraId="55FA4DD6"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E88E60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站内加油部分不涉及特种作业。</w:t>
            </w:r>
          </w:p>
        </w:tc>
        <w:tc>
          <w:tcPr>
            <w:tcW w:w="375" w:type="pct"/>
            <w:vAlign w:val="center"/>
          </w:tcPr>
          <w:p w14:paraId="64EC975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4FC70C72" w14:textId="77777777" w:rsidTr="002738A1">
        <w:trPr>
          <w:trHeight w:val="454"/>
          <w:jc w:val="center"/>
        </w:trPr>
        <w:tc>
          <w:tcPr>
            <w:tcW w:w="443" w:type="pct"/>
            <w:vAlign w:val="center"/>
          </w:tcPr>
          <w:p w14:paraId="62E9EE3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995" w:type="pct"/>
            <w:vAlign w:val="center"/>
          </w:tcPr>
          <w:p w14:paraId="4365453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两重点一重大</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的生产装置、储存设施外部安全防护距离不符合国家标准要求。</w:t>
            </w:r>
          </w:p>
        </w:tc>
        <w:tc>
          <w:tcPr>
            <w:tcW w:w="878" w:type="pct"/>
            <w:vAlign w:val="center"/>
          </w:tcPr>
          <w:p w14:paraId="1F1E466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77E851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站内车用乙醇汽油为重点监管危险化学品，站内车用乙醇汽油生产装置、储存设施外部安全防护距离符合要求。</w:t>
            </w:r>
          </w:p>
        </w:tc>
        <w:tc>
          <w:tcPr>
            <w:tcW w:w="375" w:type="pct"/>
            <w:vAlign w:val="center"/>
          </w:tcPr>
          <w:p w14:paraId="7BC5011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7DF97CD" w14:textId="77777777" w:rsidTr="002738A1">
        <w:trPr>
          <w:trHeight w:val="454"/>
          <w:jc w:val="center"/>
        </w:trPr>
        <w:tc>
          <w:tcPr>
            <w:tcW w:w="443" w:type="pct"/>
            <w:vAlign w:val="center"/>
          </w:tcPr>
          <w:p w14:paraId="2235437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1995" w:type="pct"/>
            <w:vAlign w:val="center"/>
          </w:tcPr>
          <w:p w14:paraId="7069DBB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涉及重点监管危险化工工艺的装置未实现自动化控制，系统未实现紧急停车功能，装备的自动化控制系统、紧急停车系统未投入使用。</w:t>
            </w:r>
          </w:p>
        </w:tc>
        <w:tc>
          <w:tcPr>
            <w:tcW w:w="878" w:type="pct"/>
            <w:vAlign w:val="center"/>
          </w:tcPr>
          <w:p w14:paraId="281F9B4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5F94E6DB"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站内不涉及重点监管化工工艺</w:t>
            </w:r>
            <w:r>
              <w:rPr>
                <w:rFonts w:ascii="Times New Roman" w:eastAsia="宋体" w:hAnsi="Times New Roman" w:cs="Times New Roman" w:hint="eastAsia"/>
                <w:sz w:val="21"/>
                <w:szCs w:val="21"/>
                <w14:ligatures w14:val="none"/>
              </w:rPr>
              <w:t>。</w:t>
            </w:r>
          </w:p>
        </w:tc>
        <w:tc>
          <w:tcPr>
            <w:tcW w:w="375" w:type="pct"/>
            <w:vAlign w:val="center"/>
          </w:tcPr>
          <w:p w14:paraId="6E69474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71029673" w14:textId="77777777" w:rsidTr="002738A1">
        <w:trPr>
          <w:trHeight w:val="454"/>
          <w:jc w:val="center"/>
        </w:trPr>
        <w:tc>
          <w:tcPr>
            <w:tcW w:w="443" w:type="pct"/>
            <w:vAlign w:val="center"/>
          </w:tcPr>
          <w:p w14:paraId="37CF71C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w:t>
            </w:r>
          </w:p>
        </w:tc>
        <w:tc>
          <w:tcPr>
            <w:tcW w:w="1995" w:type="pct"/>
            <w:vAlign w:val="center"/>
          </w:tcPr>
          <w:p w14:paraId="2C4DDFF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878" w:type="pct"/>
            <w:vAlign w:val="center"/>
          </w:tcPr>
          <w:p w14:paraId="4296422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1973AA5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站内未构成危险化学品重大危险源。</w:t>
            </w:r>
          </w:p>
        </w:tc>
        <w:tc>
          <w:tcPr>
            <w:tcW w:w="375" w:type="pct"/>
            <w:vAlign w:val="center"/>
          </w:tcPr>
          <w:p w14:paraId="055A372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2D173D6F" w14:textId="77777777" w:rsidTr="002738A1">
        <w:trPr>
          <w:trHeight w:val="454"/>
          <w:jc w:val="center"/>
        </w:trPr>
        <w:tc>
          <w:tcPr>
            <w:tcW w:w="443" w:type="pct"/>
            <w:vAlign w:val="center"/>
          </w:tcPr>
          <w:p w14:paraId="0B52BE5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w:t>
            </w:r>
          </w:p>
        </w:tc>
        <w:tc>
          <w:tcPr>
            <w:tcW w:w="1995" w:type="pct"/>
            <w:vAlign w:val="center"/>
          </w:tcPr>
          <w:p w14:paraId="005C5C6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全压力式液化烃储罐未按国家标准设置注水措施。</w:t>
            </w:r>
          </w:p>
        </w:tc>
        <w:tc>
          <w:tcPr>
            <w:tcW w:w="878" w:type="pct"/>
            <w:vAlign w:val="center"/>
          </w:tcPr>
          <w:p w14:paraId="7252BF7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B888B2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站内不涉及全压力式液化烃储罐。</w:t>
            </w:r>
          </w:p>
        </w:tc>
        <w:tc>
          <w:tcPr>
            <w:tcW w:w="375" w:type="pct"/>
            <w:vAlign w:val="center"/>
          </w:tcPr>
          <w:p w14:paraId="704F4BA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7F6EECA8" w14:textId="77777777" w:rsidTr="002738A1">
        <w:trPr>
          <w:trHeight w:val="454"/>
          <w:jc w:val="center"/>
        </w:trPr>
        <w:tc>
          <w:tcPr>
            <w:tcW w:w="443" w:type="pct"/>
            <w:vAlign w:val="center"/>
          </w:tcPr>
          <w:p w14:paraId="6F9CA27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c>
          <w:tcPr>
            <w:tcW w:w="1995" w:type="pct"/>
            <w:vAlign w:val="center"/>
          </w:tcPr>
          <w:p w14:paraId="6711929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液化烃、液氨、液氯等易燃易爆、有毒有害液化气体的充装未使用万向管道充装系统。</w:t>
            </w:r>
          </w:p>
        </w:tc>
        <w:tc>
          <w:tcPr>
            <w:tcW w:w="878" w:type="pct"/>
            <w:vAlign w:val="center"/>
          </w:tcPr>
          <w:p w14:paraId="283158F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82DBDD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站内不涉及液化烃、液氨、液氯等易燃易爆、有毒有害液化气体的充装</w:t>
            </w:r>
          </w:p>
        </w:tc>
        <w:tc>
          <w:tcPr>
            <w:tcW w:w="375" w:type="pct"/>
            <w:vAlign w:val="center"/>
          </w:tcPr>
          <w:p w14:paraId="5DD9967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49723152" w14:textId="77777777" w:rsidTr="002738A1">
        <w:trPr>
          <w:trHeight w:val="454"/>
          <w:jc w:val="center"/>
        </w:trPr>
        <w:tc>
          <w:tcPr>
            <w:tcW w:w="443" w:type="pct"/>
            <w:vAlign w:val="center"/>
          </w:tcPr>
          <w:p w14:paraId="5D79F28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8</w:t>
            </w:r>
          </w:p>
        </w:tc>
        <w:tc>
          <w:tcPr>
            <w:tcW w:w="1995" w:type="pct"/>
            <w:vAlign w:val="center"/>
          </w:tcPr>
          <w:p w14:paraId="2A59E48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光气、氯气等剧毒气体及硫化氢气体管道穿越除厂区（包括化工园区、工业园区）外的公共区域。</w:t>
            </w:r>
          </w:p>
        </w:tc>
        <w:tc>
          <w:tcPr>
            <w:tcW w:w="878" w:type="pct"/>
            <w:vAlign w:val="center"/>
          </w:tcPr>
          <w:p w14:paraId="55A0234C"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B76ECC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站内不涉及光气、氯气等剧毒气体及硫化氢气体管道</w:t>
            </w:r>
          </w:p>
        </w:tc>
        <w:tc>
          <w:tcPr>
            <w:tcW w:w="375" w:type="pct"/>
            <w:vAlign w:val="center"/>
          </w:tcPr>
          <w:p w14:paraId="1C677EA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2612F986" w14:textId="77777777" w:rsidTr="002738A1">
        <w:trPr>
          <w:trHeight w:val="454"/>
          <w:jc w:val="center"/>
        </w:trPr>
        <w:tc>
          <w:tcPr>
            <w:tcW w:w="443" w:type="pct"/>
            <w:vAlign w:val="center"/>
          </w:tcPr>
          <w:p w14:paraId="3CDAE52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9</w:t>
            </w:r>
          </w:p>
        </w:tc>
        <w:tc>
          <w:tcPr>
            <w:tcW w:w="1995" w:type="pct"/>
            <w:vAlign w:val="center"/>
          </w:tcPr>
          <w:p w14:paraId="349655F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地区架空电力线路穿越生产区且不符合国家标准要求。</w:t>
            </w:r>
          </w:p>
        </w:tc>
        <w:tc>
          <w:tcPr>
            <w:tcW w:w="878" w:type="pct"/>
            <w:vAlign w:val="center"/>
          </w:tcPr>
          <w:p w14:paraId="066C0F04"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A88C7B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站内无电力线穿越厂区。</w:t>
            </w:r>
          </w:p>
        </w:tc>
        <w:tc>
          <w:tcPr>
            <w:tcW w:w="375" w:type="pct"/>
            <w:vAlign w:val="center"/>
          </w:tcPr>
          <w:p w14:paraId="6C62D1A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37CBF77" w14:textId="77777777" w:rsidTr="002738A1">
        <w:trPr>
          <w:trHeight w:val="454"/>
          <w:jc w:val="center"/>
        </w:trPr>
        <w:tc>
          <w:tcPr>
            <w:tcW w:w="443" w:type="pct"/>
            <w:vAlign w:val="center"/>
          </w:tcPr>
          <w:p w14:paraId="40FB402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10</w:t>
            </w:r>
          </w:p>
        </w:tc>
        <w:tc>
          <w:tcPr>
            <w:tcW w:w="1995" w:type="pct"/>
            <w:vAlign w:val="center"/>
          </w:tcPr>
          <w:p w14:paraId="01D8F40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在役化工装置未经正规设计且未进行安全设计诊断。</w:t>
            </w:r>
          </w:p>
        </w:tc>
        <w:tc>
          <w:tcPr>
            <w:tcW w:w="878" w:type="pct"/>
            <w:vAlign w:val="center"/>
          </w:tcPr>
          <w:p w14:paraId="7B16A4E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2EC1357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生产装置经正规设计。</w:t>
            </w:r>
          </w:p>
        </w:tc>
        <w:tc>
          <w:tcPr>
            <w:tcW w:w="375" w:type="pct"/>
            <w:vAlign w:val="center"/>
          </w:tcPr>
          <w:p w14:paraId="452E123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1CCCE324" w14:textId="77777777" w:rsidTr="002738A1">
        <w:trPr>
          <w:trHeight w:val="454"/>
          <w:jc w:val="center"/>
        </w:trPr>
        <w:tc>
          <w:tcPr>
            <w:tcW w:w="443" w:type="pct"/>
            <w:vAlign w:val="center"/>
          </w:tcPr>
          <w:p w14:paraId="33C9EDA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11</w:t>
            </w:r>
          </w:p>
        </w:tc>
        <w:tc>
          <w:tcPr>
            <w:tcW w:w="1995" w:type="pct"/>
            <w:vAlign w:val="center"/>
          </w:tcPr>
          <w:p w14:paraId="64AF0D1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使用淘汰落后安全技术工艺、设备目录列出的工艺、设备。</w:t>
            </w:r>
          </w:p>
        </w:tc>
        <w:tc>
          <w:tcPr>
            <w:tcW w:w="878" w:type="pct"/>
            <w:vAlign w:val="center"/>
          </w:tcPr>
          <w:p w14:paraId="2A95002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1336369"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未使用淘汰落后安全技术工艺、设备目录列出的工艺、设备。</w:t>
            </w:r>
          </w:p>
        </w:tc>
        <w:tc>
          <w:tcPr>
            <w:tcW w:w="375" w:type="pct"/>
            <w:vAlign w:val="center"/>
          </w:tcPr>
          <w:p w14:paraId="1B79701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060662A" w14:textId="77777777" w:rsidTr="002738A1">
        <w:trPr>
          <w:trHeight w:val="454"/>
          <w:jc w:val="center"/>
        </w:trPr>
        <w:tc>
          <w:tcPr>
            <w:tcW w:w="443" w:type="pct"/>
            <w:vAlign w:val="center"/>
          </w:tcPr>
          <w:p w14:paraId="7B32A0E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12</w:t>
            </w:r>
          </w:p>
        </w:tc>
        <w:tc>
          <w:tcPr>
            <w:tcW w:w="1995" w:type="pct"/>
            <w:vAlign w:val="center"/>
          </w:tcPr>
          <w:p w14:paraId="6054EE4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涉及可燃和有毒有害气体泄漏的场所未按国家标准设置检测报警装置，爆炸危险场所未按国家标准安装使用防爆电气设备。</w:t>
            </w:r>
          </w:p>
        </w:tc>
        <w:tc>
          <w:tcPr>
            <w:tcW w:w="878" w:type="pct"/>
            <w:vAlign w:val="center"/>
          </w:tcPr>
          <w:p w14:paraId="3545102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589682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不涉及</w:t>
            </w:r>
            <w:r>
              <w:rPr>
                <w:rFonts w:ascii="Times New Roman" w:eastAsia="宋体" w:hAnsi="Times New Roman" w:cs="Times New Roman"/>
                <w:sz w:val="21"/>
                <w:szCs w:val="21"/>
                <w14:ligatures w14:val="none"/>
              </w:rPr>
              <w:t>有毒有害气体泄漏的场所</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爆炸危险场所按国家标准安装防爆电气设备。</w:t>
            </w:r>
          </w:p>
        </w:tc>
        <w:tc>
          <w:tcPr>
            <w:tcW w:w="375" w:type="pct"/>
            <w:vAlign w:val="center"/>
          </w:tcPr>
          <w:p w14:paraId="736DA50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3AB7876F" w14:textId="77777777" w:rsidTr="002738A1">
        <w:trPr>
          <w:trHeight w:val="454"/>
          <w:jc w:val="center"/>
        </w:trPr>
        <w:tc>
          <w:tcPr>
            <w:tcW w:w="443" w:type="pct"/>
            <w:vAlign w:val="center"/>
          </w:tcPr>
          <w:p w14:paraId="1D3C3FB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13</w:t>
            </w:r>
          </w:p>
        </w:tc>
        <w:tc>
          <w:tcPr>
            <w:tcW w:w="1995" w:type="pct"/>
            <w:vAlign w:val="center"/>
          </w:tcPr>
          <w:p w14:paraId="2B64020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控制室或机柜室面向具有火灾、爆炸危险性装置一侧不满足国家标准关于防火防爆的要求。</w:t>
            </w:r>
          </w:p>
        </w:tc>
        <w:tc>
          <w:tcPr>
            <w:tcW w:w="878" w:type="pct"/>
            <w:vAlign w:val="center"/>
          </w:tcPr>
          <w:p w14:paraId="36AE9E23"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3F56527"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站内控制</w:t>
            </w:r>
            <w:r>
              <w:rPr>
                <w:rFonts w:ascii="Times New Roman" w:eastAsia="宋体" w:hAnsi="Times New Roman" w:cs="Times New Roman" w:hint="eastAsia"/>
                <w:sz w:val="21"/>
                <w:szCs w:val="21"/>
                <w14:ligatures w14:val="none"/>
              </w:rPr>
              <w:t>机柜</w:t>
            </w:r>
            <w:r>
              <w:rPr>
                <w:rFonts w:ascii="Times New Roman" w:eastAsia="宋体" w:hAnsi="Times New Roman" w:cs="Times New Roman"/>
                <w:sz w:val="21"/>
                <w:szCs w:val="21"/>
                <w14:ligatures w14:val="none"/>
              </w:rPr>
              <w:t>未面向具有火灾、爆炸危险性装置一侧</w:t>
            </w:r>
          </w:p>
        </w:tc>
        <w:tc>
          <w:tcPr>
            <w:tcW w:w="375" w:type="pct"/>
            <w:vAlign w:val="center"/>
          </w:tcPr>
          <w:p w14:paraId="58366B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5C90DE43" w14:textId="77777777" w:rsidTr="002738A1">
        <w:trPr>
          <w:trHeight w:val="454"/>
          <w:jc w:val="center"/>
        </w:trPr>
        <w:tc>
          <w:tcPr>
            <w:tcW w:w="443" w:type="pct"/>
            <w:vAlign w:val="center"/>
          </w:tcPr>
          <w:p w14:paraId="2DD36FA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14</w:t>
            </w:r>
          </w:p>
        </w:tc>
        <w:tc>
          <w:tcPr>
            <w:tcW w:w="1995" w:type="pct"/>
            <w:vAlign w:val="center"/>
          </w:tcPr>
          <w:p w14:paraId="236E908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化工生产装置未按国家标准要求设置双重电源供电，自动化控制系统</w:t>
            </w:r>
            <w:r>
              <w:rPr>
                <w:rFonts w:ascii="Times New Roman" w:eastAsia="宋体" w:hAnsi="Times New Roman" w:cs="Times New Roman" w:hint="eastAsia"/>
                <w:sz w:val="21"/>
                <w:szCs w:val="21"/>
                <w14:ligatures w14:val="none"/>
              </w:rPr>
              <w:t>应</w:t>
            </w:r>
            <w:r>
              <w:rPr>
                <w:rFonts w:ascii="Times New Roman" w:eastAsia="宋体" w:hAnsi="Times New Roman" w:cs="Times New Roman"/>
                <w:sz w:val="21"/>
                <w:szCs w:val="21"/>
                <w14:ligatures w14:val="none"/>
              </w:rPr>
              <w:t>设置不间断电源。</w:t>
            </w:r>
          </w:p>
        </w:tc>
        <w:tc>
          <w:tcPr>
            <w:tcW w:w="878" w:type="pct"/>
            <w:vAlign w:val="center"/>
          </w:tcPr>
          <w:p w14:paraId="63ABCD2E"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50EB4FC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站内自控系统</w:t>
            </w:r>
            <w:r>
              <w:rPr>
                <w:rFonts w:ascii="Times New Roman" w:eastAsia="宋体" w:hAnsi="Times New Roman" w:cs="Times New Roman" w:hint="eastAsia"/>
                <w:sz w:val="21"/>
                <w:szCs w:val="21"/>
                <w14:ligatures w14:val="none"/>
              </w:rPr>
              <w:t>设有</w:t>
            </w:r>
            <w:r>
              <w:rPr>
                <w:rFonts w:ascii="Times New Roman" w:eastAsia="宋体" w:hAnsi="Times New Roman" w:cs="Times New Roman"/>
                <w:sz w:val="21"/>
                <w:szCs w:val="21"/>
                <w14:ligatures w14:val="none"/>
              </w:rPr>
              <w:t>UPS</w:t>
            </w:r>
            <w:r>
              <w:rPr>
                <w:rFonts w:ascii="Times New Roman" w:eastAsia="宋体" w:hAnsi="Times New Roman" w:cs="Times New Roman" w:hint="eastAsia"/>
                <w:sz w:val="21"/>
                <w:szCs w:val="21"/>
                <w14:ligatures w14:val="none"/>
              </w:rPr>
              <w:t>。</w:t>
            </w:r>
          </w:p>
        </w:tc>
        <w:tc>
          <w:tcPr>
            <w:tcW w:w="375" w:type="pct"/>
            <w:vAlign w:val="center"/>
          </w:tcPr>
          <w:p w14:paraId="6E5F641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502148" w14:paraId="69129CCC" w14:textId="77777777" w:rsidTr="002738A1">
        <w:trPr>
          <w:trHeight w:val="454"/>
          <w:jc w:val="center"/>
        </w:trPr>
        <w:tc>
          <w:tcPr>
            <w:tcW w:w="443" w:type="pct"/>
            <w:vAlign w:val="center"/>
          </w:tcPr>
          <w:p w14:paraId="3CABAA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15</w:t>
            </w:r>
          </w:p>
        </w:tc>
        <w:tc>
          <w:tcPr>
            <w:tcW w:w="1995" w:type="pct"/>
            <w:vAlign w:val="center"/>
          </w:tcPr>
          <w:p w14:paraId="20C62000"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安全阀、爆破片等安全附件未正常投用。</w:t>
            </w:r>
          </w:p>
        </w:tc>
        <w:tc>
          <w:tcPr>
            <w:tcW w:w="878" w:type="pct"/>
            <w:vAlign w:val="center"/>
          </w:tcPr>
          <w:p w14:paraId="6BC65951"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35D76E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站内未涉及安全阀、爆破片等附件</w:t>
            </w:r>
          </w:p>
        </w:tc>
        <w:tc>
          <w:tcPr>
            <w:tcW w:w="375" w:type="pct"/>
            <w:vAlign w:val="center"/>
          </w:tcPr>
          <w:p w14:paraId="23A76D2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2738A1" w14:paraId="58419411" w14:textId="77777777" w:rsidTr="002738A1">
        <w:trPr>
          <w:trHeight w:val="454"/>
          <w:jc w:val="center"/>
        </w:trPr>
        <w:tc>
          <w:tcPr>
            <w:tcW w:w="443" w:type="pct"/>
            <w:vAlign w:val="center"/>
          </w:tcPr>
          <w:p w14:paraId="0A162A16" w14:textId="77777777"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16</w:t>
            </w:r>
          </w:p>
        </w:tc>
        <w:tc>
          <w:tcPr>
            <w:tcW w:w="1995" w:type="pct"/>
            <w:vAlign w:val="center"/>
          </w:tcPr>
          <w:p w14:paraId="0F5937A8"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未建立与岗位相匹配的全员安全生产责任制或者未制定实施生产安全事故隐患排查治理制度。</w:t>
            </w:r>
          </w:p>
        </w:tc>
        <w:tc>
          <w:tcPr>
            <w:tcW w:w="878" w:type="pct"/>
            <w:vAlign w:val="center"/>
          </w:tcPr>
          <w:p w14:paraId="6CB8DB34"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ABE5C6B" w14:textId="07BAD2F6" w:rsidR="002738A1" w:rsidRDefault="002738A1" w:rsidP="002738A1">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已建立全员责任制，制定生产安全事故隐患排查治理制度。</w:t>
            </w:r>
          </w:p>
        </w:tc>
        <w:tc>
          <w:tcPr>
            <w:tcW w:w="375" w:type="pct"/>
            <w:vAlign w:val="center"/>
          </w:tcPr>
          <w:p w14:paraId="43EC3888" w14:textId="6208118F"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738A1" w14:paraId="0F7CDB1A" w14:textId="77777777" w:rsidTr="002738A1">
        <w:trPr>
          <w:trHeight w:val="454"/>
          <w:jc w:val="center"/>
        </w:trPr>
        <w:tc>
          <w:tcPr>
            <w:tcW w:w="443" w:type="pct"/>
            <w:vAlign w:val="center"/>
          </w:tcPr>
          <w:p w14:paraId="66DA4822" w14:textId="77777777"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17</w:t>
            </w:r>
          </w:p>
        </w:tc>
        <w:tc>
          <w:tcPr>
            <w:tcW w:w="1995" w:type="pct"/>
            <w:vAlign w:val="center"/>
          </w:tcPr>
          <w:p w14:paraId="5F0E3922"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未制定操作规程和工艺控制指标。</w:t>
            </w:r>
          </w:p>
        </w:tc>
        <w:tc>
          <w:tcPr>
            <w:tcW w:w="878" w:type="pct"/>
            <w:vAlign w:val="center"/>
          </w:tcPr>
          <w:p w14:paraId="3FB2C610"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8651F31" w14:textId="05A6125E" w:rsidR="002738A1" w:rsidRDefault="002738A1" w:rsidP="002738A1">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已制定相关操作规程</w:t>
            </w:r>
          </w:p>
        </w:tc>
        <w:tc>
          <w:tcPr>
            <w:tcW w:w="375" w:type="pct"/>
            <w:vAlign w:val="center"/>
          </w:tcPr>
          <w:p w14:paraId="6A6A6A4C" w14:textId="29DA31BF"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738A1" w14:paraId="0E37238D" w14:textId="77777777" w:rsidTr="002738A1">
        <w:trPr>
          <w:trHeight w:val="454"/>
          <w:jc w:val="center"/>
        </w:trPr>
        <w:tc>
          <w:tcPr>
            <w:tcW w:w="443" w:type="pct"/>
            <w:vAlign w:val="center"/>
          </w:tcPr>
          <w:p w14:paraId="43EE20BA" w14:textId="77777777"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18</w:t>
            </w:r>
          </w:p>
        </w:tc>
        <w:tc>
          <w:tcPr>
            <w:tcW w:w="1995" w:type="pct"/>
            <w:vAlign w:val="center"/>
          </w:tcPr>
          <w:p w14:paraId="216A66D3"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未按照国家标准制定动火、进入受限空间等特殊作业管理制度，或者制度未有效执行。</w:t>
            </w:r>
          </w:p>
        </w:tc>
        <w:tc>
          <w:tcPr>
            <w:tcW w:w="878" w:type="pct"/>
            <w:vAlign w:val="center"/>
          </w:tcPr>
          <w:p w14:paraId="09F76BAC" w14:textId="77777777" w:rsidR="002738A1" w:rsidRDefault="002738A1" w:rsidP="002738A1">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3EA4FBE" w14:textId="65B77A8E" w:rsidR="002738A1" w:rsidRDefault="002738A1" w:rsidP="002738A1">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已制定动火、进入受限空间等特殊作业管理制度，并认真执行。</w:t>
            </w:r>
          </w:p>
        </w:tc>
        <w:tc>
          <w:tcPr>
            <w:tcW w:w="375" w:type="pct"/>
            <w:vAlign w:val="center"/>
          </w:tcPr>
          <w:p w14:paraId="7F0216F1" w14:textId="1E4FE226" w:rsidR="002738A1" w:rsidRDefault="002738A1" w:rsidP="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4AB9EB5C" w14:textId="77777777" w:rsidTr="002738A1">
        <w:trPr>
          <w:trHeight w:val="454"/>
          <w:jc w:val="center"/>
        </w:trPr>
        <w:tc>
          <w:tcPr>
            <w:tcW w:w="443" w:type="pct"/>
            <w:vAlign w:val="center"/>
          </w:tcPr>
          <w:p w14:paraId="745B7F6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19</w:t>
            </w:r>
          </w:p>
        </w:tc>
        <w:tc>
          <w:tcPr>
            <w:tcW w:w="1995" w:type="pct"/>
            <w:vAlign w:val="center"/>
          </w:tcPr>
          <w:p w14:paraId="7533B8E8"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78" w:type="pct"/>
            <w:vAlign w:val="center"/>
          </w:tcPr>
          <w:p w14:paraId="5C498D7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CC62CAA"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加油站未涉及上述内容。</w:t>
            </w:r>
          </w:p>
        </w:tc>
        <w:tc>
          <w:tcPr>
            <w:tcW w:w="375" w:type="pct"/>
            <w:vAlign w:val="center"/>
          </w:tcPr>
          <w:p w14:paraId="29AC1BF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502148" w14:paraId="39F283F0" w14:textId="77777777" w:rsidTr="002738A1">
        <w:trPr>
          <w:trHeight w:val="454"/>
          <w:jc w:val="center"/>
        </w:trPr>
        <w:tc>
          <w:tcPr>
            <w:tcW w:w="443" w:type="pct"/>
            <w:vAlign w:val="center"/>
          </w:tcPr>
          <w:p w14:paraId="5987025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20</w:t>
            </w:r>
          </w:p>
        </w:tc>
        <w:tc>
          <w:tcPr>
            <w:tcW w:w="1995" w:type="pct"/>
            <w:vAlign w:val="center"/>
          </w:tcPr>
          <w:p w14:paraId="2B7175E2"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未按国家标准分区分类储存危险化学品，超量、超品种储存危险化学品，相互禁配物质混放混存。</w:t>
            </w:r>
          </w:p>
        </w:tc>
        <w:tc>
          <w:tcPr>
            <w:tcW w:w="878" w:type="pct"/>
            <w:vAlign w:val="center"/>
          </w:tcPr>
          <w:p w14:paraId="3AC4345F"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1419EF1D"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无超量、超品种储存危险化学品现象，无禁配物质混放混存现象。</w:t>
            </w:r>
          </w:p>
        </w:tc>
        <w:tc>
          <w:tcPr>
            <w:tcW w:w="375" w:type="pct"/>
            <w:vAlign w:val="center"/>
          </w:tcPr>
          <w:p w14:paraId="41F6F3C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bl>
    <w:p w14:paraId="27BC70F2"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br w:type="page"/>
      </w:r>
    </w:p>
    <w:p w14:paraId="0345B6D4"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lastRenderedPageBreak/>
        <w:t>附表</w:t>
      </w:r>
      <w:r>
        <w:rPr>
          <w:rFonts w:ascii="Times New Roman" w:eastAsia="黑体" w:hAnsi="Times New Roman"/>
          <w:sz w:val="24"/>
        </w:rPr>
        <w:t xml:space="preserve">4.1-3  </w:t>
      </w:r>
      <w:r>
        <w:rPr>
          <w:rFonts w:ascii="Times New Roman" w:eastAsia="黑体" w:hAnsi="Times New Roman" w:hint="eastAsia"/>
          <w:sz w:val="24"/>
        </w:rPr>
        <w:t>站内</w:t>
      </w:r>
      <w:r>
        <w:rPr>
          <w:rFonts w:ascii="Times New Roman" w:eastAsia="黑体" w:hAnsi="Times New Roman"/>
          <w:sz w:val="24"/>
        </w:rPr>
        <w:t>加油工艺设备与站外建（构）筑物安全间距表</w:t>
      </w:r>
      <w:r>
        <w:rPr>
          <w:rFonts w:ascii="Times New Roman" w:eastAsia="黑体" w:hAnsi="Times New Roman" w:hint="eastAsia"/>
          <w:sz w:val="24"/>
        </w:rPr>
        <w:t>（二级加油站）</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573"/>
        <w:gridCol w:w="1129"/>
        <w:gridCol w:w="1227"/>
        <w:gridCol w:w="675"/>
        <w:gridCol w:w="1194"/>
        <w:gridCol w:w="1161"/>
        <w:gridCol w:w="1112"/>
        <w:gridCol w:w="1490"/>
        <w:gridCol w:w="613"/>
      </w:tblGrid>
      <w:tr w:rsidR="00502148" w14:paraId="2CCE310D" w14:textId="77777777">
        <w:trPr>
          <w:cantSplit/>
          <w:trHeight w:val="510"/>
          <w:tblHeader/>
          <w:jc w:val="center"/>
        </w:trPr>
        <w:tc>
          <w:tcPr>
            <w:tcW w:w="312" w:type="pct"/>
            <w:vMerge w:val="restart"/>
            <w:vAlign w:val="center"/>
          </w:tcPr>
          <w:p w14:paraId="24839E5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615" w:type="pct"/>
            <w:vMerge w:val="restart"/>
            <w:vAlign w:val="center"/>
          </w:tcPr>
          <w:p w14:paraId="685F03D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工艺设施</w:t>
            </w:r>
          </w:p>
        </w:tc>
        <w:tc>
          <w:tcPr>
            <w:tcW w:w="1687" w:type="pct"/>
            <w:gridSpan w:val="3"/>
            <w:vAlign w:val="center"/>
          </w:tcPr>
          <w:p w14:paraId="2024415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站外建、构筑物</w:t>
            </w:r>
          </w:p>
        </w:tc>
        <w:tc>
          <w:tcPr>
            <w:tcW w:w="1239" w:type="pct"/>
            <w:gridSpan w:val="2"/>
            <w:vAlign w:val="center"/>
          </w:tcPr>
          <w:p w14:paraId="29EAF9A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安全间距</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m</w:t>
            </w:r>
            <w:r>
              <w:rPr>
                <w:rFonts w:ascii="Times New Roman" w:eastAsia="宋体" w:hAnsi="Times New Roman" w:cs="Times New Roman"/>
                <w:sz w:val="21"/>
                <w:szCs w:val="21"/>
                <w14:ligatures w14:val="none"/>
              </w:rPr>
              <w:t>）</w:t>
            </w:r>
          </w:p>
        </w:tc>
        <w:tc>
          <w:tcPr>
            <w:tcW w:w="812" w:type="pct"/>
            <w:vMerge w:val="restart"/>
            <w:vAlign w:val="center"/>
          </w:tcPr>
          <w:p w14:paraId="36782FB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依据</w:t>
            </w:r>
          </w:p>
        </w:tc>
        <w:tc>
          <w:tcPr>
            <w:tcW w:w="334" w:type="pct"/>
            <w:vMerge w:val="restart"/>
            <w:vAlign w:val="center"/>
          </w:tcPr>
          <w:p w14:paraId="3BCC6F1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502148" w14:paraId="5B06799B" w14:textId="77777777">
        <w:trPr>
          <w:cantSplit/>
          <w:trHeight w:val="510"/>
          <w:tblHeader/>
          <w:jc w:val="center"/>
        </w:trPr>
        <w:tc>
          <w:tcPr>
            <w:tcW w:w="312" w:type="pct"/>
            <w:vMerge/>
            <w:vAlign w:val="center"/>
          </w:tcPr>
          <w:p w14:paraId="7D3C90F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15" w:type="pct"/>
            <w:vMerge/>
            <w:vAlign w:val="center"/>
          </w:tcPr>
          <w:p w14:paraId="179169D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096DD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368" w:type="pct"/>
            <w:vAlign w:val="center"/>
          </w:tcPr>
          <w:p w14:paraId="76BF93F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方位</w:t>
            </w:r>
          </w:p>
        </w:tc>
        <w:tc>
          <w:tcPr>
            <w:tcW w:w="651" w:type="pct"/>
            <w:vAlign w:val="center"/>
          </w:tcPr>
          <w:p w14:paraId="2E9C47B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类别</w:t>
            </w:r>
          </w:p>
        </w:tc>
        <w:tc>
          <w:tcPr>
            <w:tcW w:w="633" w:type="pct"/>
            <w:vAlign w:val="center"/>
          </w:tcPr>
          <w:p w14:paraId="3C78215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规范要求</w:t>
            </w:r>
          </w:p>
        </w:tc>
        <w:tc>
          <w:tcPr>
            <w:tcW w:w="606" w:type="pct"/>
            <w:vAlign w:val="center"/>
          </w:tcPr>
          <w:p w14:paraId="67A46CC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实际距离</w:t>
            </w:r>
          </w:p>
        </w:tc>
        <w:tc>
          <w:tcPr>
            <w:tcW w:w="812" w:type="pct"/>
            <w:vMerge/>
            <w:vAlign w:val="center"/>
          </w:tcPr>
          <w:p w14:paraId="29EE34D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334" w:type="pct"/>
            <w:vMerge/>
            <w:vAlign w:val="center"/>
          </w:tcPr>
          <w:p w14:paraId="326EAD9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r>
      <w:tr w:rsidR="00502148" w14:paraId="5C91FA4E" w14:textId="77777777">
        <w:trPr>
          <w:cantSplit/>
          <w:trHeight w:val="508"/>
          <w:jc w:val="center"/>
        </w:trPr>
        <w:tc>
          <w:tcPr>
            <w:tcW w:w="5000" w:type="pct"/>
            <w:gridSpan w:val="9"/>
            <w:vAlign w:val="center"/>
          </w:tcPr>
          <w:p w14:paraId="227423E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站内车用乙醇汽油工艺设备</w:t>
            </w:r>
          </w:p>
        </w:tc>
      </w:tr>
      <w:tr w:rsidR="00502148" w14:paraId="0088F033" w14:textId="77777777">
        <w:trPr>
          <w:cantSplit/>
          <w:trHeight w:val="508"/>
          <w:jc w:val="center"/>
        </w:trPr>
        <w:tc>
          <w:tcPr>
            <w:tcW w:w="312" w:type="pct"/>
            <w:vAlign w:val="center"/>
          </w:tcPr>
          <w:p w14:paraId="673C74AD"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1554F1B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埋地车用乙醇汽</w:t>
            </w:r>
            <w:r>
              <w:rPr>
                <w:rFonts w:ascii="Times New Roman" w:eastAsia="宋体" w:hAnsi="Times New Roman" w:cs="Times New Roman"/>
                <w:sz w:val="21"/>
                <w:szCs w:val="21"/>
                <w14:ligatures w14:val="none"/>
              </w:rPr>
              <w:t>油罐</w:t>
            </w:r>
          </w:p>
        </w:tc>
        <w:tc>
          <w:tcPr>
            <w:tcW w:w="669" w:type="pct"/>
            <w:vAlign w:val="center"/>
          </w:tcPr>
          <w:p w14:paraId="76CA677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4DEFA2C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7D44C42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5226ACF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30C57530"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40.7</w:t>
            </w:r>
          </w:p>
        </w:tc>
        <w:tc>
          <w:tcPr>
            <w:tcW w:w="812" w:type="pct"/>
            <w:vAlign w:val="center"/>
          </w:tcPr>
          <w:p w14:paraId="222D91E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942E7C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6C2216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0457D4F9" w14:textId="77777777">
        <w:trPr>
          <w:cantSplit/>
          <w:trHeight w:val="508"/>
          <w:jc w:val="center"/>
        </w:trPr>
        <w:tc>
          <w:tcPr>
            <w:tcW w:w="312" w:type="pct"/>
            <w:vAlign w:val="center"/>
          </w:tcPr>
          <w:p w14:paraId="20737E57"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9C290B9" w14:textId="77777777" w:rsidR="00502148" w:rsidRDefault="00502148">
            <w:pPr>
              <w:spacing w:line="240" w:lineRule="auto"/>
              <w:ind w:firstLine="420"/>
              <w:jc w:val="center"/>
              <w:rPr>
                <w:rFonts w:ascii="Times New Roman" w:eastAsia="宋体" w:hAnsi="Times New Roman" w:cs="Times New Roman"/>
                <w:sz w:val="21"/>
                <w:szCs w:val="21"/>
                <w14:ligatures w14:val="none"/>
              </w:rPr>
            </w:pPr>
          </w:p>
        </w:tc>
        <w:tc>
          <w:tcPr>
            <w:tcW w:w="669" w:type="pct"/>
            <w:vAlign w:val="center"/>
          </w:tcPr>
          <w:p w14:paraId="0836C24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37C77D9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7B2AB62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3099FA1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w:t>
            </w:r>
          </w:p>
        </w:tc>
        <w:tc>
          <w:tcPr>
            <w:tcW w:w="606" w:type="pct"/>
            <w:vAlign w:val="center"/>
          </w:tcPr>
          <w:p w14:paraId="1E1BFFA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59.6</w:t>
            </w:r>
          </w:p>
        </w:tc>
        <w:tc>
          <w:tcPr>
            <w:tcW w:w="812" w:type="pct"/>
            <w:vAlign w:val="center"/>
          </w:tcPr>
          <w:p w14:paraId="332A6A9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D4868B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DE70FD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24A4F673" w14:textId="77777777">
        <w:trPr>
          <w:cantSplit/>
          <w:trHeight w:val="508"/>
          <w:jc w:val="center"/>
        </w:trPr>
        <w:tc>
          <w:tcPr>
            <w:tcW w:w="312" w:type="pct"/>
            <w:vAlign w:val="center"/>
          </w:tcPr>
          <w:p w14:paraId="3891FF77"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4025C1C" w14:textId="77777777" w:rsidR="00502148" w:rsidRDefault="00502148">
            <w:pPr>
              <w:spacing w:line="240" w:lineRule="auto"/>
              <w:ind w:firstLine="420"/>
              <w:jc w:val="center"/>
              <w:rPr>
                <w:rFonts w:ascii="Times New Roman" w:eastAsia="宋体" w:hAnsi="Times New Roman" w:cs="Times New Roman"/>
                <w:sz w:val="21"/>
                <w:szCs w:val="21"/>
                <w14:ligatures w14:val="none"/>
              </w:rPr>
            </w:pPr>
          </w:p>
        </w:tc>
        <w:tc>
          <w:tcPr>
            <w:tcW w:w="669" w:type="pct"/>
            <w:vAlign w:val="center"/>
          </w:tcPr>
          <w:p w14:paraId="79947CE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5087B45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011EE13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18B228B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05D0970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22</w:t>
            </w:r>
          </w:p>
        </w:tc>
        <w:tc>
          <w:tcPr>
            <w:tcW w:w="812" w:type="pct"/>
            <w:vAlign w:val="center"/>
          </w:tcPr>
          <w:p w14:paraId="2E3E9C6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3030E1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7409BC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477A00E5" w14:textId="77777777">
        <w:trPr>
          <w:cantSplit/>
          <w:trHeight w:val="508"/>
          <w:jc w:val="center"/>
        </w:trPr>
        <w:tc>
          <w:tcPr>
            <w:tcW w:w="312" w:type="pct"/>
            <w:vAlign w:val="center"/>
          </w:tcPr>
          <w:p w14:paraId="678F711B"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4F2FA68" w14:textId="77777777" w:rsidR="00502148" w:rsidRDefault="00502148">
            <w:pPr>
              <w:spacing w:line="240" w:lineRule="auto"/>
              <w:ind w:firstLine="420"/>
              <w:jc w:val="center"/>
              <w:rPr>
                <w:rFonts w:ascii="Times New Roman" w:eastAsia="宋体" w:hAnsi="Times New Roman" w:cs="Times New Roman"/>
                <w:sz w:val="21"/>
                <w:szCs w:val="21"/>
                <w14:ligatures w14:val="none"/>
              </w:rPr>
            </w:pPr>
          </w:p>
        </w:tc>
        <w:tc>
          <w:tcPr>
            <w:tcW w:w="669" w:type="pct"/>
            <w:vAlign w:val="center"/>
          </w:tcPr>
          <w:p w14:paraId="787D1EA0"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730CDED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4FCD4AD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1BD4CF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263E42F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38.8</w:t>
            </w:r>
          </w:p>
        </w:tc>
        <w:tc>
          <w:tcPr>
            <w:tcW w:w="812" w:type="pct"/>
            <w:vAlign w:val="center"/>
          </w:tcPr>
          <w:p w14:paraId="3D9B25F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40D403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B6547A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55511417" w14:textId="77777777">
        <w:trPr>
          <w:cantSplit/>
          <w:trHeight w:val="508"/>
          <w:jc w:val="center"/>
        </w:trPr>
        <w:tc>
          <w:tcPr>
            <w:tcW w:w="312" w:type="pct"/>
            <w:vAlign w:val="center"/>
          </w:tcPr>
          <w:p w14:paraId="2E813260"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D7656E8" w14:textId="77777777" w:rsidR="00502148" w:rsidRDefault="00502148">
            <w:pPr>
              <w:spacing w:line="240" w:lineRule="auto"/>
              <w:ind w:firstLine="420"/>
              <w:jc w:val="center"/>
              <w:rPr>
                <w:rFonts w:ascii="Times New Roman" w:eastAsia="宋体" w:hAnsi="Times New Roman" w:cs="Times New Roman"/>
                <w:sz w:val="21"/>
                <w:szCs w:val="21"/>
                <w14:ligatures w14:val="none"/>
              </w:rPr>
            </w:pPr>
          </w:p>
        </w:tc>
        <w:tc>
          <w:tcPr>
            <w:tcW w:w="669" w:type="pct"/>
            <w:vAlign w:val="center"/>
          </w:tcPr>
          <w:p w14:paraId="2FF0C77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432006A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3EAB1A6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520483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02804B2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51.9</w:t>
            </w:r>
          </w:p>
        </w:tc>
        <w:tc>
          <w:tcPr>
            <w:tcW w:w="812" w:type="pct"/>
            <w:vAlign w:val="center"/>
          </w:tcPr>
          <w:p w14:paraId="0ED05F8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AED8CA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639752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485ADC9B" w14:textId="77777777">
        <w:trPr>
          <w:cantSplit/>
          <w:trHeight w:val="508"/>
          <w:jc w:val="center"/>
        </w:trPr>
        <w:tc>
          <w:tcPr>
            <w:tcW w:w="312" w:type="pct"/>
            <w:vAlign w:val="center"/>
          </w:tcPr>
          <w:p w14:paraId="227CA0E8"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235A30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EBAEBBF"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63F2F9CB"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7B65C0E0" w14:textId="77777777" w:rsidR="00502148" w:rsidRDefault="00000000">
            <w:pPr>
              <w:spacing w:line="240" w:lineRule="auto"/>
              <w:ind w:firstLineChars="0" w:firstLine="0"/>
              <w:jc w:val="center"/>
              <w:rPr>
                <w:rFonts w:ascii="Times New Roman" w:eastAsia="宋体" w:hAnsi="Times New Roman" w:cs="Times New Roman"/>
                <w:bCs/>
                <w:kern w:val="28"/>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9A5534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2679899D"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71.1</w:t>
            </w:r>
          </w:p>
        </w:tc>
        <w:tc>
          <w:tcPr>
            <w:tcW w:w="812" w:type="pct"/>
            <w:vAlign w:val="center"/>
          </w:tcPr>
          <w:p w14:paraId="1FA1214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3877BF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7FAA6E6A" w14:textId="77777777" w:rsidR="00502148" w:rsidRDefault="00000000">
            <w:pPr>
              <w:spacing w:line="240" w:lineRule="auto"/>
              <w:ind w:firstLineChars="0" w:firstLine="0"/>
              <w:jc w:val="center"/>
              <w:rPr>
                <w:rFonts w:ascii="Times New Roman" w:eastAsia="宋体" w:hAnsi="Times New Roman" w:cs="Times New Roman"/>
                <w:color w:val="000000"/>
                <w:kern w:val="28"/>
                <w:sz w:val="21"/>
                <w:szCs w:val="21"/>
                <w14:ligatures w14:val="none"/>
              </w:rPr>
            </w:pPr>
            <w:r>
              <w:rPr>
                <w:rFonts w:ascii="Times New Roman" w:eastAsia="宋体" w:hAnsi="Times New Roman" w:cs="Times New Roman"/>
                <w:color w:val="000000"/>
                <w:sz w:val="21"/>
                <w:szCs w:val="21"/>
                <w14:ligatures w14:val="none"/>
              </w:rPr>
              <w:t>符合</w:t>
            </w:r>
          </w:p>
        </w:tc>
      </w:tr>
      <w:tr w:rsidR="00502148" w14:paraId="3F33755D" w14:textId="77777777">
        <w:trPr>
          <w:cantSplit/>
          <w:trHeight w:val="510"/>
          <w:jc w:val="center"/>
        </w:trPr>
        <w:tc>
          <w:tcPr>
            <w:tcW w:w="312" w:type="pct"/>
            <w:vAlign w:val="center"/>
          </w:tcPr>
          <w:p w14:paraId="60CE0923"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5B4173F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通气管口</w:t>
            </w:r>
          </w:p>
        </w:tc>
        <w:tc>
          <w:tcPr>
            <w:tcW w:w="669" w:type="pct"/>
            <w:vAlign w:val="center"/>
          </w:tcPr>
          <w:p w14:paraId="790A5B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1D6884AD"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4DB6AC00"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73F15CF4" w14:textId="77777777" w:rsidR="00502148" w:rsidRDefault="00000000">
            <w:pPr>
              <w:spacing w:line="240" w:lineRule="auto"/>
              <w:ind w:firstLineChars="0" w:firstLine="0"/>
              <w:jc w:val="center"/>
              <w:rPr>
                <w:rFonts w:ascii="Times New Roman" w:eastAsia="宋体" w:hAnsi="Times New Roman" w:cs="Times New Roman"/>
                <w:bCs/>
                <w:color w:val="C00000"/>
                <w:sz w:val="21"/>
                <w:szCs w:val="21"/>
                <w14:ligatures w14:val="none"/>
              </w:rPr>
            </w:pPr>
            <w:r>
              <w:rPr>
                <w:rFonts w:ascii="Times New Roman" w:eastAsia="宋体" w:hAnsi="Times New Roman" w:cs="Times New Roman" w:hint="eastAsia"/>
                <w:bCs/>
                <w:sz w:val="21"/>
                <w:szCs w:val="21"/>
                <w14:ligatures w14:val="none"/>
              </w:rPr>
              <w:t>5</w:t>
            </w:r>
          </w:p>
        </w:tc>
        <w:tc>
          <w:tcPr>
            <w:tcW w:w="606" w:type="pct"/>
            <w:vAlign w:val="center"/>
          </w:tcPr>
          <w:p w14:paraId="0D87FE7F" w14:textId="77777777" w:rsidR="00502148"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51.3</w:t>
            </w:r>
          </w:p>
        </w:tc>
        <w:tc>
          <w:tcPr>
            <w:tcW w:w="812" w:type="pct"/>
            <w:vAlign w:val="center"/>
          </w:tcPr>
          <w:p w14:paraId="353AF95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27D83E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43B3A2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7423CB9C" w14:textId="77777777">
        <w:trPr>
          <w:cantSplit/>
          <w:trHeight w:val="510"/>
          <w:jc w:val="center"/>
        </w:trPr>
        <w:tc>
          <w:tcPr>
            <w:tcW w:w="312" w:type="pct"/>
            <w:vAlign w:val="center"/>
          </w:tcPr>
          <w:p w14:paraId="342A4049"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3F0FFA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F8C2F9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200A74B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4C2D826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08F07A0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0C86BC8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70.3</w:t>
            </w:r>
          </w:p>
        </w:tc>
        <w:tc>
          <w:tcPr>
            <w:tcW w:w="812" w:type="pct"/>
            <w:vAlign w:val="center"/>
          </w:tcPr>
          <w:p w14:paraId="27FC752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1B26D2F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B778B3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53289411" w14:textId="77777777">
        <w:trPr>
          <w:cantSplit/>
          <w:trHeight w:val="510"/>
          <w:jc w:val="center"/>
        </w:trPr>
        <w:tc>
          <w:tcPr>
            <w:tcW w:w="312" w:type="pct"/>
            <w:vAlign w:val="center"/>
          </w:tcPr>
          <w:p w14:paraId="1C4726B2"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0A43A6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762578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42C5315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2203634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7705426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1FD0996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19.3</w:t>
            </w:r>
          </w:p>
        </w:tc>
        <w:tc>
          <w:tcPr>
            <w:tcW w:w="812" w:type="pct"/>
            <w:vAlign w:val="center"/>
          </w:tcPr>
          <w:p w14:paraId="209991D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E7C5F90"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446AE03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494C4A0D" w14:textId="77777777">
        <w:trPr>
          <w:cantSplit/>
          <w:trHeight w:val="510"/>
          <w:jc w:val="center"/>
        </w:trPr>
        <w:tc>
          <w:tcPr>
            <w:tcW w:w="312" w:type="pct"/>
            <w:vAlign w:val="center"/>
          </w:tcPr>
          <w:p w14:paraId="56C53434"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6709B89"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090BBF2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22B0C94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7325A22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5CA55F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3E5177C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39.2</w:t>
            </w:r>
          </w:p>
        </w:tc>
        <w:tc>
          <w:tcPr>
            <w:tcW w:w="812" w:type="pct"/>
            <w:vAlign w:val="center"/>
          </w:tcPr>
          <w:p w14:paraId="566D790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0C8793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5DF79B0"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6EDFE7C7" w14:textId="77777777">
        <w:trPr>
          <w:cantSplit/>
          <w:trHeight w:val="510"/>
          <w:jc w:val="center"/>
        </w:trPr>
        <w:tc>
          <w:tcPr>
            <w:tcW w:w="312" w:type="pct"/>
            <w:vAlign w:val="center"/>
          </w:tcPr>
          <w:p w14:paraId="0EC1AAE5"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6C5C25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BBCA74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6F6ACA7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6EE6892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D29820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C6F0C8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53.7</w:t>
            </w:r>
          </w:p>
        </w:tc>
        <w:tc>
          <w:tcPr>
            <w:tcW w:w="812" w:type="pct"/>
            <w:vAlign w:val="center"/>
          </w:tcPr>
          <w:p w14:paraId="2B4189A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C4A1B3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201ECA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59C86AE6" w14:textId="77777777">
        <w:trPr>
          <w:cantSplit/>
          <w:trHeight w:val="510"/>
          <w:jc w:val="center"/>
        </w:trPr>
        <w:tc>
          <w:tcPr>
            <w:tcW w:w="312" w:type="pct"/>
            <w:vAlign w:val="center"/>
          </w:tcPr>
          <w:p w14:paraId="1ECBB0D6"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74BB8D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EFDF0C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6F0C089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3BB28F8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C380B1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1D0DAF1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77.4</w:t>
            </w:r>
          </w:p>
        </w:tc>
        <w:tc>
          <w:tcPr>
            <w:tcW w:w="812" w:type="pct"/>
            <w:vAlign w:val="center"/>
          </w:tcPr>
          <w:p w14:paraId="3103FC3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0EFE6E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E792D3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28E823B2" w14:textId="77777777">
        <w:trPr>
          <w:cantSplit/>
          <w:trHeight w:val="510"/>
          <w:jc w:val="center"/>
        </w:trPr>
        <w:tc>
          <w:tcPr>
            <w:tcW w:w="312" w:type="pct"/>
            <w:vAlign w:val="center"/>
          </w:tcPr>
          <w:p w14:paraId="78B9EFAD"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102CBA9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加油机</w:t>
            </w:r>
          </w:p>
        </w:tc>
        <w:tc>
          <w:tcPr>
            <w:tcW w:w="669" w:type="pct"/>
            <w:vAlign w:val="center"/>
          </w:tcPr>
          <w:p w14:paraId="1EFEADF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2B657DC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6F9818D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38FD8AC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71C1E79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28</w:t>
            </w:r>
          </w:p>
        </w:tc>
        <w:tc>
          <w:tcPr>
            <w:tcW w:w="812" w:type="pct"/>
            <w:vAlign w:val="center"/>
          </w:tcPr>
          <w:p w14:paraId="36DF140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711228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76716F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3157AF1E" w14:textId="77777777">
        <w:trPr>
          <w:cantSplit/>
          <w:trHeight w:val="510"/>
          <w:jc w:val="center"/>
        </w:trPr>
        <w:tc>
          <w:tcPr>
            <w:tcW w:w="312" w:type="pct"/>
            <w:vAlign w:val="center"/>
          </w:tcPr>
          <w:p w14:paraId="6CAE3F13"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3B6ACD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210C3F0"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1839AB53"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776E608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6079D88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3D75C4B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47.7</w:t>
            </w:r>
          </w:p>
        </w:tc>
        <w:tc>
          <w:tcPr>
            <w:tcW w:w="812" w:type="pct"/>
            <w:vAlign w:val="center"/>
          </w:tcPr>
          <w:p w14:paraId="6A09318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DBD914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C7A77E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36C01BE6" w14:textId="77777777">
        <w:trPr>
          <w:cantSplit/>
          <w:trHeight w:val="510"/>
          <w:jc w:val="center"/>
        </w:trPr>
        <w:tc>
          <w:tcPr>
            <w:tcW w:w="312" w:type="pct"/>
            <w:vAlign w:val="center"/>
          </w:tcPr>
          <w:p w14:paraId="0BE5DAA8"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C0220D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8B1DE3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6AA6100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7FC2FED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76B8684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1B867AA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28.2</w:t>
            </w:r>
          </w:p>
        </w:tc>
        <w:tc>
          <w:tcPr>
            <w:tcW w:w="812" w:type="pct"/>
            <w:vAlign w:val="center"/>
          </w:tcPr>
          <w:p w14:paraId="111B944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A13880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A5695D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519C351B" w14:textId="77777777">
        <w:trPr>
          <w:cantSplit/>
          <w:trHeight w:val="510"/>
          <w:jc w:val="center"/>
        </w:trPr>
        <w:tc>
          <w:tcPr>
            <w:tcW w:w="312" w:type="pct"/>
            <w:vAlign w:val="center"/>
          </w:tcPr>
          <w:p w14:paraId="02FB0D84"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44234F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AF650B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4683E97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4DA0DB7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F103E8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1D3B497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42.4</w:t>
            </w:r>
          </w:p>
        </w:tc>
        <w:tc>
          <w:tcPr>
            <w:tcW w:w="812" w:type="pct"/>
            <w:vAlign w:val="center"/>
          </w:tcPr>
          <w:p w14:paraId="067D0E5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69C632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895459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0CFB5805" w14:textId="77777777">
        <w:trPr>
          <w:cantSplit/>
          <w:trHeight w:val="510"/>
          <w:jc w:val="center"/>
        </w:trPr>
        <w:tc>
          <w:tcPr>
            <w:tcW w:w="312" w:type="pct"/>
            <w:vAlign w:val="center"/>
          </w:tcPr>
          <w:p w14:paraId="70AE38ED"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6CAE06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01060A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5F59DE0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15A8C00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5DC0A4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658282E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46.4</w:t>
            </w:r>
          </w:p>
        </w:tc>
        <w:tc>
          <w:tcPr>
            <w:tcW w:w="812" w:type="pct"/>
            <w:vAlign w:val="center"/>
          </w:tcPr>
          <w:p w14:paraId="5AE3EA1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497A9C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795A019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0C8F0DC6" w14:textId="77777777">
        <w:trPr>
          <w:cantSplit/>
          <w:trHeight w:val="510"/>
          <w:jc w:val="center"/>
        </w:trPr>
        <w:tc>
          <w:tcPr>
            <w:tcW w:w="312" w:type="pct"/>
            <w:vAlign w:val="center"/>
          </w:tcPr>
          <w:p w14:paraId="216C75C9"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8EF5BD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1A2127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71AAC87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3FD8DB9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D6CF46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7E9681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42.5</w:t>
            </w:r>
          </w:p>
        </w:tc>
        <w:tc>
          <w:tcPr>
            <w:tcW w:w="812" w:type="pct"/>
            <w:vAlign w:val="center"/>
          </w:tcPr>
          <w:p w14:paraId="304A1AD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5F4423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69DBE0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704896A8" w14:textId="77777777">
        <w:trPr>
          <w:cantSplit/>
          <w:trHeight w:val="510"/>
          <w:jc w:val="center"/>
        </w:trPr>
        <w:tc>
          <w:tcPr>
            <w:tcW w:w="5000" w:type="pct"/>
            <w:gridSpan w:val="9"/>
            <w:vAlign w:val="center"/>
          </w:tcPr>
          <w:p w14:paraId="67101D80" w14:textId="77777777" w:rsidR="00502148" w:rsidRDefault="00000000">
            <w:pPr>
              <w:pStyle w:val="affb"/>
              <w:spacing w:line="240" w:lineRule="auto"/>
              <w:ind w:left="440"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站内柴油工艺设备</w:t>
            </w:r>
          </w:p>
        </w:tc>
      </w:tr>
      <w:tr w:rsidR="00502148" w14:paraId="041B3035" w14:textId="77777777">
        <w:trPr>
          <w:cantSplit/>
          <w:trHeight w:val="510"/>
          <w:jc w:val="center"/>
        </w:trPr>
        <w:tc>
          <w:tcPr>
            <w:tcW w:w="312" w:type="pct"/>
            <w:vAlign w:val="center"/>
          </w:tcPr>
          <w:p w14:paraId="2BC89F19"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4A8C437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w:t>
            </w: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罐</w:t>
            </w:r>
          </w:p>
        </w:tc>
        <w:tc>
          <w:tcPr>
            <w:tcW w:w="669" w:type="pct"/>
            <w:vAlign w:val="center"/>
          </w:tcPr>
          <w:p w14:paraId="0206289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414F1CD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1311451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189523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2C6FA34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46.7</w:t>
            </w:r>
          </w:p>
        </w:tc>
        <w:tc>
          <w:tcPr>
            <w:tcW w:w="812" w:type="pct"/>
            <w:vAlign w:val="center"/>
          </w:tcPr>
          <w:p w14:paraId="51D80C5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85F851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381580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353BFBF9" w14:textId="77777777">
        <w:trPr>
          <w:cantSplit/>
          <w:trHeight w:val="510"/>
          <w:jc w:val="center"/>
        </w:trPr>
        <w:tc>
          <w:tcPr>
            <w:tcW w:w="312" w:type="pct"/>
            <w:vAlign w:val="center"/>
          </w:tcPr>
          <w:p w14:paraId="22151A0D"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E95326D"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CBC40E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3D13F9A6"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425D339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0C90087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0CA2497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65.4</w:t>
            </w:r>
          </w:p>
        </w:tc>
        <w:tc>
          <w:tcPr>
            <w:tcW w:w="812" w:type="pct"/>
            <w:vAlign w:val="center"/>
          </w:tcPr>
          <w:p w14:paraId="48E98B4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29151A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BF731B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4B8464AD" w14:textId="77777777">
        <w:trPr>
          <w:cantSplit/>
          <w:trHeight w:val="510"/>
          <w:jc w:val="center"/>
        </w:trPr>
        <w:tc>
          <w:tcPr>
            <w:tcW w:w="312" w:type="pct"/>
            <w:vAlign w:val="center"/>
          </w:tcPr>
          <w:p w14:paraId="593E50E7"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6B298C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C9B71C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0269436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1B4A906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16932A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26DF866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9</w:t>
            </w:r>
          </w:p>
        </w:tc>
        <w:tc>
          <w:tcPr>
            <w:tcW w:w="812" w:type="pct"/>
            <w:vAlign w:val="center"/>
          </w:tcPr>
          <w:p w14:paraId="6832C58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ED1804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4633C7C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1EBC20E0" w14:textId="77777777">
        <w:trPr>
          <w:cantSplit/>
          <w:trHeight w:val="510"/>
          <w:jc w:val="center"/>
        </w:trPr>
        <w:tc>
          <w:tcPr>
            <w:tcW w:w="312" w:type="pct"/>
            <w:vAlign w:val="center"/>
          </w:tcPr>
          <w:p w14:paraId="311727F3"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0646CB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07ABA7B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5F4DB4E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4322D0B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9AD2C6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738C7EC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28</w:t>
            </w:r>
          </w:p>
        </w:tc>
        <w:tc>
          <w:tcPr>
            <w:tcW w:w="812" w:type="pct"/>
            <w:vAlign w:val="center"/>
          </w:tcPr>
          <w:p w14:paraId="6FE83D3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B81EF6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2CA1CB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6D22E72C" w14:textId="77777777">
        <w:trPr>
          <w:cantSplit/>
          <w:trHeight w:val="510"/>
          <w:jc w:val="center"/>
        </w:trPr>
        <w:tc>
          <w:tcPr>
            <w:tcW w:w="312" w:type="pct"/>
            <w:vAlign w:val="center"/>
          </w:tcPr>
          <w:p w14:paraId="3245F20B"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063511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3D2B731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46EB23F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45D019D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5B7D30A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6CBFD8F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42.6</w:t>
            </w:r>
          </w:p>
        </w:tc>
        <w:tc>
          <w:tcPr>
            <w:tcW w:w="812" w:type="pct"/>
            <w:vAlign w:val="center"/>
          </w:tcPr>
          <w:p w14:paraId="16F48B2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E8BFD6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B858A9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2CA2F886" w14:textId="77777777">
        <w:trPr>
          <w:cantSplit/>
          <w:trHeight w:val="510"/>
          <w:jc w:val="center"/>
        </w:trPr>
        <w:tc>
          <w:tcPr>
            <w:tcW w:w="312" w:type="pct"/>
            <w:vAlign w:val="center"/>
          </w:tcPr>
          <w:p w14:paraId="6F0B69C9"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3E625F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F4AC4B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0268F6A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0FCBF0B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DDD5F5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50A051F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70.4</w:t>
            </w:r>
          </w:p>
        </w:tc>
        <w:tc>
          <w:tcPr>
            <w:tcW w:w="812" w:type="pct"/>
            <w:vAlign w:val="center"/>
          </w:tcPr>
          <w:p w14:paraId="31747E9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D2A34B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735F91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5CD54638" w14:textId="77777777">
        <w:trPr>
          <w:cantSplit/>
          <w:trHeight w:val="510"/>
          <w:jc w:val="center"/>
        </w:trPr>
        <w:tc>
          <w:tcPr>
            <w:tcW w:w="312" w:type="pct"/>
            <w:vAlign w:val="center"/>
          </w:tcPr>
          <w:p w14:paraId="0324F37E"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3B9DCED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通气管口</w:t>
            </w:r>
          </w:p>
        </w:tc>
        <w:tc>
          <w:tcPr>
            <w:tcW w:w="669" w:type="pct"/>
            <w:vAlign w:val="center"/>
          </w:tcPr>
          <w:p w14:paraId="3014CC1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28E5C7B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122AECD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13CD445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44C3424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51.8</w:t>
            </w:r>
          </w:p>
        </w:tc>
        <w:tc>
          <w:tcPr>
            <w:tcW w:w="812" w:type="pct"/>
            <w:vAlign w:val="center"/>
          </w:tcPr>
          <w:p w14:paraId="11D1752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B8751B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1560A4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7FB50C54" w14:textId="77777777">
        <w:trPr>
          <w:cantSplit/>
          <w:trHeight w:val="510"/>
          <w:jc w:val="center"/>
        </w:trPr>
        <w:tc>
          <w:tcPr>
            <w:tcW w:w="312" w:type="pct"/>
            <w:vAlign w:val="center"/>
          </w:tcPr>
          <w:p w14:paraId="7CF3B8EB"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D0A0E3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5D08E7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5CF6BC21"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009C27B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01AC564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4B76772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71</w:t>
            </w:r>
          </w:p>
        </w:tc>
        <w:tc>
          <w:tcPr>
            <w:tcW w:w="812" w:type="pct"/>
            <w:vAlign w:val="center"/>
          </w:tcPr>
          <w:p w14:paraId="1AC5C93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0C58E30"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5EC924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01756D20" w14:textId="77777777">
        <w:trPr>
          <w:cantSplit/>
          <w:trHeight w:val="510"/>
          <w:jc w:val="center"/>
        </w:trPr>
        <w:tc>
          <w:tcPr>
            <w:tcW w:w="312" w:type="pct"/>
            <w:vAlign w:val="center"/>
          </w:tcPr>
          <w:p w14:paraId="5FA6DE7C"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FB2318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22228B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43818C56"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5BF1A97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61000FF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5A71D5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17.9</w:t>
            </w:r>
          </w:p>
        </w:tc>
        <w:tc>
          <w:tcPr>
            <w:tcW w:w="812" w:type="pct"/>
            <w:vAlign w:val="center"/>
          </w:tcPr>
          <w:p w14:paraId="5C153D6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5E1F9A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93355F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5B899E0B" w14:textId="77777777">
        <w:trPr>
          <w:cantSplit/>
          <w:trHeight w:val="510"/>
          <w:jc w:val="center"/>
        </w:trPr>
        <w:tc>
          <w:tcPr>
            <w:tcW w:w="312" w:type="pct"/>
            <w:vAlign w:val="center"/>
          </w:tcPr>
          <w:p w14:paraId="10E8254B"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4EB585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3A9838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592863F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7D8F010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22803C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04268C3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38.1</w:t>
            </w:r>
          </w:p>
        </w:tc>
        <w:tc>
          <w:tcPr>
            <w:tcW w:w="812" w:type="pct"/>
            <w:vAlign w:val="center"/>
          </w:tcPr>
          <w:p w14:paraId="55DEE5F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329EEF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AC1E56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55CE79BB" w14:textId="77777777">
        <w:trPr>
          <w:cantSplit/>
          <w:trHeight w:val="510"/>
          <w:jc w:val="center"/>
        </w:trPr>
        <w:tc>
          <w:tcPr>
            <w:tcW w:w="312" w:type="pct"/>
            <w:vAlign w:val="center"/>
          </w:tcPr>
          <w:p w14:paraId="4980E3BD"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0AD980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EAE6AF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144A232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7B345DF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304FCA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115CA61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52.6</w:t>
            </w:r>
          </w:p>
        </w:tc>
        <w:tc>
          <w:tcPr>
            <w:tcW w:w="812" w:type="pct"/>
            <w:vAlign w:val="center"/>
          </w:tcPr>
          <w:p w14:paraId="2A5CDF5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7F16A7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38E513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402E3E6A" w14:textId="77777777">
        <w:trPr>
          <w:cantSplit/>
          <w:trHeight w:val="510"/>
          <w:jc w:val="center"/>
        </w:trPr>
        <w:tc>
          <w:tcPr>
            <w:tcW w:w="312" w:type="pct"/>
            <w:vAlign w:val="center"/>
          </w:tcPr>
          <w:p w14:paraId="6D20D119"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F02A7F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3F185C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23A5996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22FADF2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D4FDA1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4B6EBF6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77.1</w:t>
            </w:r>
          </w:p>
        </w:tc>
        <w:tc>
          <w:tcPr>
            <w:tcW w:w="812" w:type="pct"/>
            <w:vAlign w:val="center"/>
          </w:tcPr>
          <w:p w14:paraId="72B0E55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75A690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27B530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6EBBCB1D" w14:textId="77777777">
        <w:trPr>
          <w:cantSplit/>
          <w:trHeight w:val="510"/>
          <w:jc w:val="center"/>
        </w:trPr>
        <w:tc>
          <w:tcPr>
            <w:tcW w:w="312" w:type="pct"/>
            <w:vAlign w:val="center"/>
          </w:tcPr>
          <w:p w14:paraId="491D4BCA"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03F151B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加油机</w:t>
            </w:r>
          </w:p>
        </w:tc>
        <w:tc>
          <w:tcPr>
            <w:tcW w:w="669" w:type="pct"/>
            <w:vAlign w:val="center"/>
          </w:tcPr>
          <w:p w14:paraId="5BD877F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1A7F88E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29B348D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5DFEAB9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0E0A666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8.1</w:t>
            </w:r>
          </w:p>
        </w:tc>
        <w:tc>
          <w:tcPr>
            <w:tcW w:w="812" w:type="pct"/>
            <w:vAlign w:val="center"/>
          </w:tcPr>
          <w:p w14:paraId="40073205"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F16B0E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48E360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0AA94736" w14:textId="77777777">
        <w:trPr>
          <w:cantSplit/>
          <w:trHeight w:val="510"/>
          <w:jc w:val="center"/>
        </w:trPr>
        <w:tc>
          <w:tcPr>
            <w:tcW w:w="312" w:type="pct"/>
            <w:vAlign w:val="center"/>
          </w:tcPr>
          <w:p w14:paraId="356BFB31"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A9050C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D76E0A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3495D0D2"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7278D3D0"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2062D65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0AC674B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27.9</w:t>
            </w:r>
          </w:p>
        </w:tc>
        <w:tc>
          <w:tcPr>
            <w:tcW w:w="812" w:type="pct"/>
            <w:vAlign w:val="center"/>
          </w:tcPr>
          <w:p w14:paraId="7A797762"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0E5ED0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FC3EEB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2775D1C7" w14:textId="77777777">
        <w:trPr>
          <w:cantSplit/>
          <w:trHeight w:val="510"/>
          <w:jc w:val="center"/>
        </w:trPr>
        <w:tc>
          <w:tcPr>
            <w:tcW w:w="312" w:type="pct"/>
            <w:vAlign w:val="center"/>
          </w:tcPr>
          <w:p w14:paraId="1B1D919A"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867702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3464C48"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0AE91DE8" w14:textId="77777777" w:rsidR="00502148"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2C2D0627"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5651DAD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1D45275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38.6</w:t>
            </w:r>
          </w:p>
        </w:tc>
        <w:tc>
          <w:tcPr>
            <w:tcW w:w="812" w:type="pct"/>
            <w:vAlign w:val="center"/>
          </w:tcPr>
          <w:p w14:paraId="01025DF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2DC8DA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7232F1D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502148" w14:paraId="00411A73" w14:textId="77777777">
        <w:trPr>
          <w:cantSplit/>
          <w:trHeight w:val="510"/>
          <w:jc w:val="center"/>
        </w:trPr>
        <w:tc>
          <w:tcPr>
            <w:tcW w:w="312" w:type="pct"/>
            <w:vAlign w:val="center"/>
          </w:tcPr>
          <w:p w14:paraId="6DFD8A25"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2A998E4"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F5B2896"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5730E07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091F937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B680C9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01B82C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52.3</w:t>
            </w:r>
          </w:p>
        </w:tc>
        <w:tc>
          <w:tcPr>
            <w:tcW w:w="812" w:type="pct"/>
            <w:vAlign w:val="center"/>
          </w:tcPr>
          <w:p w14:paraId="118CA86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C24BB8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83BFC0C"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46B8E5D8" w14:textId="77777777">
        <w:trPr>
          <w:cantSplit/>
          <w:trHeight w:val="510"/>
          <w:jc w:val="center"/>
        </w:trPr>
        <w:tc>
          <w:tcPr>
            <w:tcW w:w="312" w:type="pct"/>
            <w:vAlign w:val="center"/>
          </w:tcPr>
          <w:p w14:paraId="5CA06932"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0F07E9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534CCB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w:t>
            </w:r>
            <w:r>
              <w:rPr>
                <w:rFonts w:ascii="Times New Roman" w:eastAsia="宋体" w:hAnsi="Times New Roman" w:cs="Times New Roman" w:hint="eastAsia"/>
                <w:color w:val="000000"/>
                <w:sz w:val="21"/>
                <w:szCs w:val="21"/>
                <w14:ligatures w14:val="none"/>
              </w:rPr>
              <w:t>宿舍楼</w:t>
            </w:r>
          </w:p>
        </w:tc>
        <w:tc>
          <w:tcPr>
            <w:tcW w:w="368" w:type="pct"/>
            <w:vAlign w:val="center"/>
          </w:tcPr>
          <w:p w14:paraId="059E0689"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西北</w:t>
            </w:r>
          </w:p>
        </w:tc>
        <w:tc>
          <w:tcPr>
            <w:tcW w:w="651" w:type="pct"/>
            <w:vAlign w:val="center"/>
          </w:tcPr>
          <w:p w14:paraId="1A6D740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40954E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250C429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55.9</w:t>
            </w:r>
          </w:p>
        </w:tc>
        <w:tc>
          <w:tcPr>
            <w:tcW w:w="812" w:type="pct"/>
            <w:vAlign w:val="center"/>
          </w:tcPr>
          <w:p w14:paraId="62639F1A"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2DB9924"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D8EB4BF"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510D0533" w14:textId="77777777">
        <w:trPr>
          <w:cantSplit/>
          <w:trHeight w:val="510"/>
          <w:jc w:val="center"/>
        </w:trPr>
        <w:tc>
          <w:tcPr>
            <w:tcW w:w="312" w:type="pct"/>
            <w:vAlign w:val="center"/>
          </w:tcPr>
          <w:p w14:paraId="3E565CDF" w14:textId="77777777" w:rsidR="00502148" w:rsidRDefault="00502148">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235A2D8"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EB4E50D"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6CC4007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365369F1"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391414B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526CC73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42.5</w:t>
            </w:r>
          </w:p>
        </w:tc>
        <w:tc>
          <w:tcPr>
            <w:tcW w:w="812" w:type="pct"/>
            <w:vAlign w:val="center"/>
          </w:tcPr>
          <w:p w14:paraId="32227A8B"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FC3F4DE"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4B95E8B3" w14:textId="77777777" w:rsidR="00502148"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502148" w14:paraId="7960E157" w14:textId="77777777">
        <w:trPr>
          <w:cantSplit/>
          <w:trHeight w:val="510"/>
          <w:jc w:val="center"/>
        </w:trPr>
        <w:tc>
          <w:tcPr>
            <w:tcW w:w="5000" w:type="pct"/>
            <w:gridSpan w:val="9"/>
            <w:vAlign w:val="center"/>
          </w:tcPr>
          <w:p w14:paraId="7B8D5E20" w14:textId="77777777" w:rsidR="00502148" w:rsidRDefault="00000000">
            <w:pPr>
              <w:spacing w:line="240" w:lineRule="auto"/>
              <w:ind w:firstLineChars="0" w:firstLine="0"/>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注：根据</w:t>
            </w:r>
            <w:r>
              <w:rPr>
                <w:rFonts w:ascii="Times New Roman" w:eastAsia="宋体" w:hAnsi="Times New Roman" w:cs="Times New Roman"/>
                <w:color w:val="000000"/>
                <w:sz w:val="21"/>
                <w:szCs w:val="21"/>
                <w14:ligatures w14:val="none"/>
              </w:rPr>
              <w:t>《汽车加油加气加氢站技术标准》</w:t>
            </w:r>
            <w:r>
              <w:rPr>
                <w:rFonts w:ascii="Times New Roman" w:eastAsia="宋体" w:hAnsi="Times New Roman" w:cs="Times New Roman"/>
                <w:color w:val="000000"/>
                <w:sz w:val="21"/>
                <w:szCs w:val="21"/>
                <w14:ligatures w14:val="none"/>
              </w:rPr>
              <w:t>GB50156-2021</w:t>
            </w:r>
            <w:r>
              <w:rPr>
                <w:rFonts w:ascii="Times New Roman" w:eastAsia="宋体" w:hAnsi="Times New Roman" w:cs="Times New Roman" w:hint="eastAsia"/>
                <w:color w:val="000000"/>
                <w:sz w:val="21"/>
                <w:szCs w:val="21"/>
                <w14:ligatures w14:val="none"/>
              </w:rPr>
              <w:t>附录</w:t>
            </w:r>
            <w:r>
              <w:rPr>
                <w:rFonts w:ascii="Times New Roman" w:eastAsia="宋体" w:hAnsi="Times New Roman" w:cs="Times New Roman" w:hint="eastAsia"/>
                <w:color w:val="000000"/>
                <w:sz w:val="21"/>
                <w:szCs w:val="21"/>
                <w14:ligatures w14:val="none"/>
              </w:rPr>
              <w:t>B</w:t>
            </w:r>
            <w:r>
              <w:rPr>
                <w:rFonts w:ascii="Times New Roman" w:eastAsia="宋体" w:hAnsi="Times New Roman" w:cs="Times New Roman" w:hint="eastAsia"/>
                <w:color w:val="000000"/>
                <w:sz w:val="21"/>
                <w:szCs w:val="21"/>
                <w14:ligatures w14:val="none"/>
              </w:rPr>
              <w:t>，该服务区停车场停车位数量为</w:t>
            </w:r>
            <w:r>
              <w:rPr>
                <w:rFonts w:ascii="Times New Roman" w:eastAsia="宋体" w:hAnsi="Times New Roman" w:cs="Times New Roman" w:hint="eastAsia"/>
                <w:color w:val="000000"/>
                <w:sz w:val="21"/>
                <w:szCs w:val="21"/>
                <w14:ligatures w14:val="none"/>
              </w:rPr>
              <w:t>42</w:t>
            </w:r>
            <w:r>
              <w:rPr>
                <w:rFonts w:ascii="Times New Roman" w:eastAsia="宋体" w:hAnsi="Times New Roman" w:cs="Times New Roman" w:hint="eastAsia"/>
                <w:color w:val="000000"/>
                <w:sz w:val="21"/>
                <w:szCs w:val="21"/>
                <w14:ligatures w14:val="none"/>
              </w:rPr>
              <w:t>个，</w:t>
            </w:r>
            <w:r>
              <w:rPr>
                <w:rFonts w:ascii="Times New Roman" w:eastAsia="宋体" w:hAnsi="Times New Roman" w:cs="Times New Roman"/>
                <w:color w:val="000000"/>
                <w:sz w:val="21"/>
                <w:szCs w:val="21"/>
                <w14:ligatures w14:val="none"/>
              </w:rPr>
              <w:t>总量没有超过</w:t>
            </w:r>
            <w:r>
              <w:rPr>
                <w:rFonts w:ascii="Times New Roman" w:eastAsia="宋体" w:hAnsi="Times New Roman" w:cs="Times New Roman"/>
                <w:color w:val="000000"/>
                <w:sz w:val="21"/>
                <w:szCs w:val="21"/>
                <w14:ligatures w14:val="none"/>
              </w:rPr>
              <w:t>200</w:t>
            </w:r>
            <w:r>
              <w:rPr>
                <w:rFonts w:ascii="Times New Roman" w:eastAsia="宋体" w:hAnsi="Times New Roman" w:cs="Times New Roman"/>
                <w:color w:val="000000"/>
                <w:sz w:val="21"/>
                <w:szCs w:val="21"/>
                <w14:ligatures w14:val="none"/>
              </w:rPr>
              <w:t>个，故为三类保护物</w:t>
            </w:r>
            <w:r>
              <w:rPr>
                <w:rFonts w:ascii="Times New Roman" w:eastAsia="宋体" w:hAnsi="Times New Roman" w:cs="Times New Roman" w:hint="eastAsia"/>
                <w:color w:val="000000"/>
                <w:sz w:val="21"/>
                <w:szCs w:val="21"/>
                <w14:ligatures w14:val="none"/>
              </w:rPr>
              <w:t>。</w:t>
            </w:r>
          </w:p>
        </w:tc>
      </w:tr>
    </w:tbl>
    <w:p w14:paraId="14B1C038" w14:textId="77777777" w:rsidR="00502148" w:rsidRDefault="00000000">
      <w:pPr>
        <w:ind w:firstLine="560"/>
        <w:jc w:val="left"/>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小结：</w:t>
      </w:r>
      <w:r>
        <w:rPr>
          <w:rFonts w:ascii="Times New Roman" w:eastAsia="宋体" w:hAnsi="Times New Roman" w:cs="Times New Roman" w:hint="eastAsia"/>
          <w:szCs w:val="28"/>
          <w14:ligatures w14:val="none"/>
        </w:rPr>
        <w:t>站内</w:t>
      </w:r>
      <w:r>
        <w:rPr>
          <w:rFonts w:ascii="Times New Roman" w:eastAsia="宋体" w:hAnsi="Times New Roman" w:cs="Times New Roman"/>
          <w:szCs w:val="28"/>
          <w14:ligatures w14:val="none"/>
        </w:rPr>
        <w:t>加油工艺设备与站外相邻建（构）筑物安全间距符合《汽车加油加气加氢站技术标准》</w:t>
      </w:r>
      <w:r>
        <w:rPr>
          <w:rFonts w:ascii="Times New Roman" w:eastAsia="宋体" w:hAnsi="Times New Roman" w:cs="Times New Roman"/>
          <w:szCs w:val="28"/>
          <w14:ligatures w14:val="none"/>
        </w:rPr>
        <w:t>GB50156-2021</w:t>
      </w:r>
      <w:r>
        <w:rPr>
          <w:rFonts w:ascii="Times New Roman" w:eastAsia="宋体" w:hAnsi="Times New Roman" w:cs="Times New Roman"/>
          <w:szCs w:val="28"/>
          <w14:ligatures w14:val="none"/>
        </w:rPr>
        <w:t>表</w:t>
      </w:r>
      <w:r>
        <w:rPr>
          <w:rFonts w:ascii="Times New Roman" w:eastAsia="宋体" w:hAnsi="Times New Roman" w:cs="Times New Roman"/>
          <w:szCs w:val="28"/>
          <w14:ligatures w14:val="none"/>
        </w:rPr>
        <w:t>4.0.4</w:t>
      </w:r>
      <w:r>
        <w:rPr>
          <w:rFonts w:ascii="Times New Roman" w:eastAsia="宋体" w:hAnsi="Times New Roman" w:cs="Times New Roman"/>
          <w:szCs w:val="28"/>
          <w14:ligatures w14:val="none"/>
        </w:rPr>
        <w:t>规定要求。</w:t>
      </w:r>
    </w:p>
    <w:p w14:paraId="0227D055"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4.1-4  </w:t>
      </w:r>
      <w:r>
        <w:rPr>
          <w:rFonts w:ascii="Times New Roman" w:eastAsia="黑体" w:hAnsi="Times New Roman" w:hint="eastAsia"/>
          <w:sz w:val="24"/>
        </w:rPr>
        <w:t>站内</w:t>
      </w:r>
      <w:r>
        <w:rPr>
          <w:rFonts w:ascii="Times New Roman" w:eastAsia="黑体" w:hAnsi="Times New Roman"/>
          <w:sz w:val="24"/>
        </w:rPr>
        <w:t>加油工艺设备与</w:t>
      </w:r>
      <w:r>
        <w:rPr>
          <w:rFonts w:ascii="Times New Roman" w:eastAsia="黑体" w:hAnsi="Times New Roman" w:hint="eastAsia"/>
          <w:sz w:val="24"/>
        </w:rPr>
        <w:t>站内设施</w:t>
      </w:r>
      <w:r>
        <w:rPr>
          <w:rFonts w:ascii="Times New Roman" w:eastAsia="黑体" w:hAnsi="Times New Roman"/>
          <w:sz w:val="24"/>
        </w:rPr>
        <w:t>安全间距表</w:t>
      </w:r>
      <w:r>
        <w:rPr>
          <w:rFonts w:ascii="Times New Roman" w:eastAsia="黑体" w:hAnsi="Times New Roman" w:hint="eastAsia"/>
          <w:sz w:val="24"/>
        </w:rPr>
        <w:t>（二级加油站）</w:t>
      </w:r>
    </w:p>
    <w:tbl>
      <w:tblPr>
        <w:tblW w:w="918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64"/>
        <w:gridCol w:w="1346"/>
        <w:gridCol w:w="1383"/>
        <w:gridCol w:w="752"/>
        <w:gridCol w:w="932"/>
        <w:gridCol w:w="1266"/>
        <w:gridCol w:w="1667"/>
        <w:gridCol w:w="1074"/>
      </w:tblGrid>
      <w:tr w:rsidR="00502148" w14:paraId="702423B2" w14:textId="77777777">
        <w:trPr>
          <w:trHeight w:val="454"/>
          <w:tblHeader/>
          <w:jc w:val="center"/>
        </w:trPr>
        <w:tc>
          <w:tcPr>
            <w:tcW w:w="764" w:type="dxa"/>
            <w:vMerge w:val="restart"/>
            <w:vAlign w:val="center"/>
          </w:tcPr>
          <w:p w14:paraId="4C6FF1E5" w14:textId="77777777" w:rsidR="00502148"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346" w:type="dxa"/>
            <w:vMerge w:val="restart"/>
            <w:vAlign w:val="center"/>
          </w:tcPr>
          <w:p w14:paraId="7D9FADB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工艺设施</w:t>
            </w:r>
          </w:p>
        </w:tc>
        <w:tc>
          <w:tcPr>
            <w:tcW w:w="2135" w:type="dxa"/>
            <w:gridSpan w:val="2"/>
            <w:vAlign w:val="center"/>
          </w:tcPr>
          <w:p w14:paraId="71D7456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其它设施</w:t>
            </w:r>
          </w:p>
        </w:tc>
        <w:tc>
          <w:tcPr>
            <w:tcW w:w="2198" w:type="dxa"/>
            <w:gridSpan w:val="2"/>
            <w:vAlign w:val="center"/>
          </w:tcPr>
          <w:p w14:paraId="6A8F569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防火距离</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m</w:t>
            </w:r>
            <w:r>
              <w:rPr>
                <w:rFonts w:ascii="Times New Roman" w:eastAsia="宋体" w:hAnsi="Times New Roman" w:cs="Times New Roman" w:hint="eastAsia"/>
                <w:sz w:val="21"/>
                <w:szCs w:val="21"/>
                <w14:ligatures w14:val="none"/>
              </w:rPr>
              <w:t>）</w:t>
            </w:r>
          </w:p>
        </w:tc>
        <w:tc>
          <w:tcPr>
            <w:tcW w:w="1667" w:type="dxa"/>
            <w:vMerge w:val="restart"/>
            <w:vAlign w:val="center"/>
          </w:tcPr>
          <w:p w14:paraId="17FAB42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依据</w:t>
            </w:r>
          </w:p>
        </w:tc>
        <w:tc>
          <w:tcPr>
            <w:tcW w:w="1074" w:type="dxa"/>
            <w:vMerge w:val="restart"/>
            <w:vAlign w:val="center"/>
          </w:tcPr>
          <w:p w14:paraId="07DE245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502148" w14:paraId="241D9FD5" w14:textId="77777777">
        <w:trPr>
          <w:trHeight w:val="454"/>
          <w:tblHeader/>
          <w:jc w:val="center"/>
        </w:trPr>
        <w:tc>
          <w:tcPr>
            <w:tcW w:w="764" w:type="dxa"/>
            <w:vMerge/>
            <w:vAlign w:val="center"/>
          </w:tcPr>
          <w:p w14:paraId="357A4F9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46" w:type="dxa"/>
            <w:vMerge/>
            <w:vAlign w:val="center"/>
          </w:tcPr>
          <w:p w14:paraId="304B105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ABFC3C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752" w:type="dxa"/>
            <w:vAlign w:val="center"/>
          </w:tcPr>
          <w:p w14:paraId="39C7B7F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方位</w:t>
            </w:r>
          </w:p>
        </w:tc>
        <w:tc>
          <w:tcPr>
            <w:tcW w:w="932" w:type="dxa"/>
            <w:vAlign w:val="center"/>
          </w:tcPr>
          <w:p w14:paraId="3DEA2BF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规范要求</w:t>
            </w:r>
          </w:p>
        </w:tc>
        <w:tc>
          <w:tcPr>
            <w:tcW w:w="1266" w:type="dxa"/>
            <w:vAlign w:val="center"/>
          </w:tcPr>
          <w:p w14:paraId="5BA49DE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实际距离</w:t>
            </w:r>
          </w:p>
        </w:tc>
        <w:tc>
          <w:tcPr>
            <w:tcW w:w="1667" w:type="dxa"/>
            <w:vMerge/>
            <w:vAlign w:val="center"/>
          </w:tcPr>
          <w:p w14:paraId="5549BF1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074" w:type="dxa"/>
            <w:vMerge/>
            <w:vAlign w:val="center"/>
          </w:tcPr>
          <w:p w14:paraId="0933D276"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r>
      <w:tr w:rsidR="00502148" w14:paraId="14BB9B29" w14:textId="77777777">
        <w:trPr>
          <w:trHeight w:val="454"/>
          <w:jc w:val="center"/>
        </w:trPr>
        <w:tc>
          <w:tcPr>
            <w:tcW w:w="764" w:type="dxa"/>
            <w:vAlign w:val="center"/>
          </w:tcPr>
          <w:p w14:paraId="1F89733E"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7716C23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w:t>
            </w:r>
            <w:r>
              <w:rPr>
                <w:rFonts w:ascii="Times New Roman" w:eastAsia="宋体" w:hAnsi="Times New Roman" w:cs="Times New Roman" w:hint="eastAsia"/>
                <w:sz w:val="21"/>
                <w:szCs w:val="21"/>
                <w14:ligatures w14:val="none"/>
              </w:rPr>
              <w:lastRenderedPageBreak/>
              <w:t>油罐</w:t>
            </w:r>
          </w:p>
        </w:tc>
        <w:tc>
          <w:tcPr>
            <w:tcW w:w="1383" w:type="dxa"/>
            <w:vAlign w:val="center"/>
          </w:tcPr>
          <w:p w14:paraId="3F26077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lastRenderedPageBreak/>
              <w:t>车用乙醇汽</w:t>
            </w:r>
            <w:r>
              <w:rPr>
                <w:rFonts w:ascii="Times New Roman" w:eastAsia="宋体" w:hAnsi="宋体" w:cs="Times New Roman" w:hint="eastAsia"/>
                <w:sz w:val="21"/>
                <w:szCs w:val="21"/>
                <w14:ligatures w14:val="none"/>
              </w:rPr>
              <w:lastRenderedPageBreak/>
              <w:t>油储罐</w:t>
            </w:r>
          </w:p>
        </w:tc>
        <w:tc>
          <w:tcPr>
            <w:tcW w:w="752" w:type="dxa"/>
            <w:vAlign w:val="center"/>
          </w:tcPr>
          <w:p w14:paraId="30F8EBF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西</w:t>
            </w:r>
          </w:p>
        </w:tc>
        <w:tc>
          <w:tcPr>
            <w:tcW w:w="932" w:type="dxa"/>
            <w:vAlign w:val="center"/>
          </w:tcPr>
          <w:p w14:paraId="58825CF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1C356CF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48A0FAA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2BD56E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50E437F1" w14:textId="77777777">
        <w:trPr>
          <w:trHeight w:val="454"/>
          <w:jc w:val="center"/>
        </w:trPr>
        <w:tc>
          <w:tcPr>
            <w:tcW w:w="764" w:type="dxa"/>
            <w:vAlign w:val="center"/>
          </w:tcPr>
          <w:p w14:paraId="7C3C330E"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2C7FA503"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37EA208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2BEFD7D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2B37BD9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147191C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63F1D75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4FDF9F0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6980E13" w14:textId="77777777">
        <w:trPr>
          <w:trHeight w:val="454"/>
          <w:jc w:val="center"/>
        </w:trPr>
        <w:tc>
          <w:tcPr>
            <w:tcW w:w="764" w:type="dxa"/>
            <w:vAlign w:val="center"/>
          </w:tcPr>
          <w:p w14:paraId="5E42EA12"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481AA65B"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16CC78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052F510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03450C6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0AF8C8F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9.9</w:t>
            </w:r>
          </w:p>
        </w:tc>
        <w:tc>
          <w:tcPr>
            <w:tcW w:w="1667" w:type="dxa"/>
            <w:vAlign w:val="center"/>
          </w:tcPr>
          <w:p w14:paraId="0542A2D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86F082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F9B0930" w14:textId="77777777">
        <w:trPr>
          <w:trHeight w:val="454"/>
          <w:jc w:val="center"/>
        </w:trPr>
        <w:tc>
          <w:tcPr>
            <w:tcW w:w="764" w:type="dxa"/>
            <w:vAlign w:val="center"/>
          </w:tcPr>
          <w:p w14:paraId="126095F1"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1E650A61"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254BFE3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6F632DD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4AE23FA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64B0226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6.6</w:t>
            </w:r>
          </w:p>
        </w:tc>
        <w:tc>
          <w:tcPr>
            <w:tcW w:w="1667" w:type="dxa"/>
            <w:vAlign w:val="center"/>
          </w:tcPr>
          <w:p w14:paraId="5424F9F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2995B70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705A2E4" w14:textId="77777777">
        <w:trPr>
          <w:trHeight w:val="454"/>
          <w:jc w:val="center"/>
        </w:trPr>
        <w:tc>
          <w:tcPr>
            <w:tcW w:w="764" w:type="dxa"/>
            <w:vAlign w:val="center"/>
          </w:tcPr>
          <w:p w14:paraId="29BC767E"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3E1A839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1383" w:type="dxa"/>
            <w:vAlign w:val="center"/>
          </w:tcPr>
          <w:p w14:paraId="1A36D3B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车用乙醇汽油储罐</w:t>
            </w:r>
          </w:p>
        </w:tc>
        <w:tc>
          <w:tcPr>
            <w:tcW w:w="752" w:type="dxa"/>
            <w:vAlign w:val="center"/>
          </w:tcPr>
          <w:p w14:paraId="4465764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0377C80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25428C6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0510A0D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9F7EB2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242783B5" w14:textId="77777777">
        <w:trPr>
          <w:trHeight w:val="454"/>
          <w:jc w:val="center"/>
        </w:trPr>
        <w:tc>
          <w:tcPr>
            <w:tcW w:w="764" w:type="dxa"/>
            <w:vAlign w:val="center"/>
          </w:tcPr>
          <w:p w14:paraId="5E46EF99"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6262BA90"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09C1B6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7FD4FAC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28A506B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5DFEC9C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128FE5C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356FFC1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176BC12E" w14:textId="77777777">
        <w:trPr>
          <w:trHeight w:val="454"/>
          <w:jc w:val="center"/>
        </w:trPr>
        <w:tc>
          <w:tcPr>
            <w:tcW w:w="764" w:type="dxa"/>
            <w:vAlign w:val="center"/>
          </w:tcPr>
          <w:p w14:paraId="1AF47FD0"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0D805DC"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6A65A4B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586CA12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5A6F1023"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71CAE6A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8.8</w:t>
            </w:r>
          </w:p>
        </w:tc>
        <w:tc>
          <w:tcPr>
            <w:tcW w:w="1667" w:type="dxa"/>
            <w:vAlign w:val="center"/>
          </w:tcPr>
          <w:p w14:paraId="1000847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7EE7A32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6A48A236" w14:textId="77777777">
        <w:trPr>
          <w:trHeight w:val="454"/>
          <w:jc w:val="center"/>
        </w:trPr>
        <w:tc>
          <w:tcPr>
            <w:tcW w:w="764" w:type="dxa"/>
            <w:vAlign w:val="center"/>
          </w:tcPr>
          <w:p w14:paraId="1BDEAE4C"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48D15002"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20F7319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463772E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583F24F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0978E70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6.6</w:t>
            </w:r>
          </w:p>
        </w:tc>
        <w:tc>
          <w:tcPr>
            <w:tcW w:w="1667" w:type="dxa"/>
            <w:vAlign w:val="center"/>
          </w:tcPr>
          <w:p w14:paraId="7E44ABB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2B7CB56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2711DD7" w14:textId="77777777">
        <w:trPr>
          <w:trHeight w:val="454"/>
          <w:jc w:val="center"/>
        </w:trPr>
        <w:tc>
          <w:tcPr>
            <w:tcW w:w="764" w:type="dxa"/>
            <w:vAlign w:val="center"/>
          </w:tcPr>
          <w:p w14:paraId="7F83D15F"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7F042EF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w:t>
            </w:r>
            <w:r>
              <w:rPr>
                <w:rFonts w:ascii="Times New Roman" w:eastAsia="宋体" w:hAnsi="Times New Roman" w:cs="Times New Roman"/>
                <w:sz w:val="21"/>
                <w:szCs w:val="21"/>
                <w14:ligatures w14:val="none"/>
              </w:rPr>
              <w:t>汽油通气管口</w:t>
            </w:r>
          </w:p>
        </w:tc>
        <w:tc>
          <w:tcPr>
            <w:tcW w:w="1383" w:type="dxa"/>
            <w:vAlign w:val="center"/>
          </w:tcPr>
          <w:p w14:paraId="5E8A5A2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7CB23CD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5CD53C2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7B709C0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17.3</w:t>
            </w:r>
          </w:p>
        </w:tc>
        <w:tc>
          <w:tcPr>
            <w:tcW w:w="1667" w:type="dxa"/>
            <w:vAlign w:val="center"/>
          </w:tcPr>
          <w:p w14:paraId="2A1E6A7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BE6705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5748071" w14:textId="77777777">
        <w:trPr>
          <w:trHeight w:val="454"/>
          <w:jc w:val="center"/>
        </w:trPr>
        <w:tc>
          <w:tcPr>
            <w:tcW w:w="764" w:type="dxa"/>
            <w:vAlign w:val="center"/>
          </w:tcPr>
          <w:p w14:paraId="48927F5F"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72D372E"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CAABE1F" w14:textId="77777777" w:rsidR="00502148" w:rsidRDefault="00000000">
            <w:pPr>
              <w:spacing w:line="240" w:lineRule="auto"/>
              <w:ind w:firstLineChars="0" w:firstLine="0"/>
              <w:jc w:val="center"/>
              <w:rPr>
                <w:rFonts w:ascii="Times New Roman" w:eastAsia="宋体" w:hAnsi="宋体" w:cs="Times New Roman" w:hint="eastAsia"/>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1D4C800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1AD790E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5ADF1FB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15.1</w:t>
            </w:r>
          </w:p>
        </w:tc>
        <w:tc>
          <w:tcPr>
            <w:tcW w:w="1667" w:type="dxa"/>
            <w:vAlign w:val="center"/>
          </w:tcPr>
          <w:p w14:paraId="3CD0D75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32E139D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33A8D7C" w14:textId="77777777">
        <w:trPr>
          <w:trHeight w:val="454"/>
          <w:jc w:val="center"/>
        </w:trPr>
        <w:tc>
          <w:tcPr>
            <w:tcW w:w="764" w:type="dxa"/>
            <w:vAlign w:val="center"/>
          </w:tcPr>
          <w:p w14:paraId="61701D48"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25202FC5"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ED55F8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3ABE720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3729EC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5E52C48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6.2</w:t>
            </w:r>
          </w:p>
        </w:tc>
        <w:tc>
          <w:tcPr>
            <w:tcW w:w="1667" w:type="dxa"/>
            <w:vAlign w:val="center"/>
          </w:tcPr>
          <w:p w14:paraId="284A8C9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4F0162D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7281983E" w14:textId="77777777">
        <w:trPr>
          <w:trHeight w:val="454"/>
          <w:jc w:val="center"/>
        </w:trPr>
        <w:tc>
          <w:tcPr>
            <w:tcW w:w="764" w:type="dxa"/>
            <w:vAlign w:val="center"/>
          </w:tcPr>
          <w:p w14:paraId="78526F50"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0D8542C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w:t>
            </w:r>
            <w:r>
              <w:rPr>
                <w:rFonts w:ascii="Times New Roman" w:eastAsia="宋体" w:hAnsi="Times New Roman" w:cs="Times New Roman"/>
                <w:sz w:val="21"/>
                <w:szCs w:val="21"/>
                <w14:ligatures w14:val="none"/>
              </w:rPr>
              <w:t>油通气管口</w:t>
            </w:r>
          </w:p>
        </w:tc>
        <w:tc>
          <w:tcPr>
            <w:tcW w:w="1383" w:type="dxa"/>
            <w:vAlign w:val="center"/>
          </w:tcPr>
          <w:p w14:paraId="4C5FC0A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106ECA3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055184D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2362F20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w:t>
            </w:r>
          </w:p>
        </w:tc>
        <w:tc>
          <w:tcPr>
            <w:tcW w:w="1667" w:type="dxa"/>
            <w:vAlign w:val="center"/>
          </w:tcPr>
          <w:p w14:paraId="25EC6F1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7A6E3F5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5DC9903C" w14:textId="77777777">
        <w:trPr>
          <w:trHeight w:val="454"/>
          <w:jc w:val="center"/>
        </w:trPr>
        <w:tc>
          <w:tcPr>
            <w:tcW w:w="764" w:type="dxa"/>
            <w:vAlign w:val="center"/>
          </w:tcPr>
          <w:p w14:paraId="70BA6B0C"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AA9942F"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16A6AD6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135762E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1A7AC00B"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3.5</w:t>
            </w:r>
          </w:p>
        </w:tc>
        <w:tc>
          <w:tcPr>
            <w:tcW w:w="1266" w:type="dxa"/>
            <w:vAlign w:val="center"/>
          </w:tcPr>
          <w:p w14:paraId="7226245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1667" w:type="dxa"/>
            <w:vAlign w:val="center"/>
          </w:tcPr>
          <w:p w14:paraId="3C4CD5E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AB5DC19"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3A39F7B3" w14:textId="77777777">
        <w:trPr>
          <w:trHeight w:val="454"/>
          <w:jc w:val="center"/>
        </w:trPr>
        <w:tc>
          <w:tcPr>
            <w:tcW w:w="764" w:type="dxa"/>
            <w:vAlign w:val="center"/>
          </w:tcPr>
          <w:p w14:paraId="18AF2FE1"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13CC9BAA" w14:textId="77777777" w:rsidR="00502148" w:rsidRDefault="0050214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2B7C82D4"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62B3D016"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2742CA5D"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485A1A9E"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6.2</w:t>
            </w:r>
          </w:p>
        </w:tc>
        <w:tc>
          <w:tcPr>
            <w:tcW w:w="1667" w:type="dxa"/>
            <w:vAlign w:val="center"/>
          </w:tcPr>
          <w:p w14:paraId="43BBE82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1AC60852"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50EF6D97" w14:textId="77777777">
        <w:trPr>
          <w:trHeight w:val="454"/>
          <w:jc w:val="center"/>
        </w:trPr>
        <w:tc>
          <w:tcPr>
            <w:tcW w:w="764" w:type="dxa"/>
            <w:vAlign w:val="center"/>
          </w:tcPr>
          <w:p w14:paraId="5CE0538F"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Align w:val="center"/>
          </w:tcPr>
          <w:p w14:paraId="24F2845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加油机</w:t>
            </w:r>
            <w:r>
              <w:rPr>
                <w:rFonts w:ascii="Times New Roman" w:eastAsia="宋体" w:hAnsi="Times New Roman" w:cs="Times New Roman" w:hint="eastAsia"/>
                <w:sz w:val="21"/>
                <w:szCs w:val="21"/>
                <w14:ligatures w14:val="none"/>
              </w:rPr>
              <w:t>（柴油加油机）</w:t>
            </w:r>
          </w:p>
        </w:tc>
        <w:tc>
          <w:tcPr>
            <w:tcW w:w="1383" w:type="dxa"/>
            <w:vAlign w:val="center"/>
          </w:tcPr>
          <w:p w14:paraId="06CCE7D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sz w:val="21"/>
                <w:szCs w:val="21"/>
                <w14:ligatures w14:val="none"/>
              </w:rPr>
              <w:t>站房</w:t>
            </w:r>
          </w:p>
        </w:tc>
        <w:tc>
          <w:tcPr>
            <w:tcW w:w="752" w:type="dxa"/>
            <w:vAlign w:val="center"/>
          </w:tcPr>
          <w:p w14:paraId="7DE5CBF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73CF6FF0"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p>
        </w:tc>
        <w:tc>
          <w:tcPr>
            <w:tcW w:w="1266" w:type="dxa"/>
            <w:vAlign w:val="center"/>
          </w:tcPr>
          <w:p w14:paraId="780651E1"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6.2</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16.2</w:t>
            </w:r>
            <w:r>
              <w:rPr>
                <w:rFonts w:ascii="Times New Roman" w:eastAsia="宋体" w:hAnsi="Times New Roman" w:cs="Times New Roman" w:hint="eastAsia"/>
                <w:sz w:val="21"/>
                <w:szCs w:val="21"/>
                <w14:ligatures w14:val="none"/>
              </w:rPr>
              <w:t>）</w:t>
            </w:r>
          </w:p>
        </w:tc>
        <w:tc>
          <w:tcPr>
            <w:tcW w:w="1667" w:type="dxa"/>
            <w:vAlign w:val="center"/>
          </w:tcPr>
          <w:p w14:paraId="2580232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3FD10667"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502148" w14:paraId="050170AC" w14:textId="77777777">
        <w:trPr>
          <w:trHeight w:val="454"/>
          <w:jc w:val="center"/>
        </w:trPr>
        <w:tc>
          <w:tcPr>
            <w:tcW w:w="764" w:type="dxa"/>
            <w:vAlign w:val="center"/>
          </w:tcPr>
          <w:p w14:paraId="0C4C2156" w14:textId="77777777" w:rsidR="00502148" w:rsidRDefault="00502148">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Align w:val="center"/>
          </w:tcPr>
          <w:p w14:paraId="5FA78DC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密闭卸油点</w:t>
            </w:r>
          </w:p>
        </w:tc>
        <w:tc>
          <w:tcPr>
            <w:tcW w:w="1383" w:type="dxa"/>
            <w:vAlign w:val="center"/>
          </w:tcPr>
          <w:p w14:paraId="39F7B5B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站房</w:t>
            </w:r>
          </w:p>
        </w:tc>
        <w:tc>
          <w:tcPr>
            <w:tcW w:w="752" w:type="dxa"/>
            <w:vAlign w:val="center"/>
          </w:tcPr>
          <w:p w14:paraId="6F03B2FA"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7BF61E2C"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1266" w:type="dxa"/>
            <w:vAlign w:val="center"/>
          </w:tcPr>
          <w:p w14:paraId="2BF079D8"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20.3</w:t>
            </w:r>
          </w:p>
        </w:tc>
        <w:tc>
          <w:tcPr>
            <w:tcW w:w="1667" w:type="dxa"/>
            <w:vAlign w:val="center"/>
          </w:tcPr>
          <w:p w14:paraId="437F10AF"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7CAFF2C5" w14:textId="77777777" w:rsidR="00502148"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bl>
    <w:p w14:paraId="234C28C3"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小结：站内加油部分工艺设备的建（构）筑物间的防火间距均符合《汽车加油加气加氢站技术标准》</w:t>
      </w:r>
      <w:r>
        <w:rPr>
          <w:rFonts w:ascii="Times New Roman" w:eastAsia="宋体" w:hAnsi="Times New Roman" w:cs="Times New Roman"/>
          <w:szCs w:val="20"/>
          <w14:ligatures w14:val="none"/>
        </w:rPr>
        <w:t>GB50156-2021</w:t>
      </w:r>
      <w:r>
        <w:rPr>
          <w:rFonts w:ascii="Times New Roman" w:eastAsia="宋体" w:hAnsi="Times New Roman" w:cs="Times New Roman"/>
          <w:szCs w:val="20"/>
          <w14:ligatures w14:val="none"/>
        </w:rPr>
        <w:t>表</w:t>
      </w:r>
      <w:r>
        <w:rPr>
          <w:rFonts w:ascii="Times New Roman" w:eastAsia="宋体" w:hAnsi="Times New Roman" w:cs="Times New Roman"/>
          <w:szCs w:val="20"/>
          <w14:ligatures w14:val="none"/>
        </w:rPr>
        <w:t>5.0.13-</w:t>
      </w:r>
      <w:r>
        <w:rPr>
          <w:rFonts w:ascii="Times New Roman" w:eastAsia="宋体" w:hAnsi="Times New Roman" w:cs="Times New Roman" w:hint="eastAsia"/>
          <w:szCs w:val="20"/>
          <w14:ligatures w14:val="none"/>
        </w:rPr>
        <w:t>1</w:t>
      </w:r>
      <w:r>
        <w:rPr>
          <w:rFonts w:ascii="Times New Roman" w:eastAsia="宋体" w:hAnsi="Times New Roman" w:cs="Times New Roman"/>
          <w:szCs w:val="20"/>
          <w14:ligatures w14:val="none"/>
        </w:rPr>
        <w:t>的要求。</w:t>
      </w:r>
    </w:p>
    <w:p w14:paraId="3BC4961C" w14:textId="7A47F5A3"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安全检查表的检查结果为五个评价单元总检查项目</w:t>
      </w:r>
      <w:r w:rsidRPr="002738A1">
        <w:rPr>
          <w:rFonts w:ascii="Times New Roman" w:eastAsia="宋体" w:hAnsi="Times New Roman" w:cs="Times New Roman"/>
          <w:szCs w:val="20"/>
          <w14:ligatures w14:val="none"/>
        </w:rPr>
        <w:t>共</w:t>
      </w:r>
      <w:r w:rsidRPr="002738A1">
        <w:rPr>
          <w:rFonts w:ascii="Times New Roman" w:eastAsia="宋体" w:hAnsi="Times New Roman" w:cs="Times New Roman" w:hint="eastAsia"/>
          <w:szCs w:val="20"/>
          <w14:ligatures w14:val="none"/>
        </w:rPr>
        <w:t>130</w:t>
      </w:r>
      <w:r w:rsidRPr="002738A1">
        <w:rPr>
          <w:rFonts w:ascii="Times New Roman" w:eastAsia="宋体" w:hAnsi="Times New Roman" w:cs="Times New Roman"/>
          <w:szCs w:val="20"/>
          <w14:ligatures w14:val="none"/>
        </w:rPr>
        <w:t>项，其中符合项为</w:t>
      </w:r>
      <w:r w:rsidRPr="002738A1">
        <w:rPr>
          <w:rFonts w:ascii="Times New Roman" w:eastAsia="宋体" w:hAnsi="Times New Roman" w:cs="Times New Roman" w:hint="eastAsia"/>
          <w:szCs w:val="20"/>
          <w14:ligatures w14:val="none"/>
        </w:rPr>
        <w:t>1</w:t>
      </w:r>
      <w:r w:rsidR="002738A1" w:rsidRPr="002738A1">
        <w:rPr>
          <w:rFonts w:ascii="Times New Roman" w:eastAsia="宋体" w:hAnsi="Times New Roman" w:cs="Times New Roman" w:hint="eastAsia"/>
          <w:szCs w:val="20"/>
          <w14:ligatures w14:val="none"/>
        </w:rPr>
        <w:t>23</w:t>
      </w:r>
      <w:r w:rsidRPr="002738A1">
        <w:rPr>
          <w:rFonts w:ascii="Times New Roman" w:eastAsia="宋体" w:hAnsi="Times New Roman" w:cs="Times New Roman"/>
          <w:szCs w:val="20"/>
          <w14:ligatures w14:val="none"/>
        </w:rPr>
        <w:t>项，无关项为</w:t>
      </w:r>
      <w:r w:rsidRPr="002738A1">
        <w:rPr>
          <w:rFonts w:ascii="Times New Roman" w:eastAsia="宋体" w:hAnsi="Times New Roman" w:cs="Times New Roman"/>
          <w:szCs w:val="20"/>
          <w14:ligatures w14:val="none"/>
        </w:rPr>
        <w:t>7</w:t>
      </w:r>
      <w:r w:rsidRPr="002738A1">
        <w:rPr>
          <w:rFonts w:ascii="Times New Roman" w:eastAsia="宋体" w:hAnsi="Times New Roman" w:cs="Times New Roman"/>
          <w:szCs w:val="20"/>
          <w14:ligatures w14:val="none"/>
        </w:rPr>
        <w:t>项，检查结论汇总见下表</w:t>
      </w:r>
      <w:r>
        <w:rPr>
          <w:rFonts w:ascii="Times New Roman" w:eastAsia="宋体" w:hAnsi="Times New Roman" w:cs="Times New Roman"/>
          <w:szCs w:val="20"/>
          <w14:ligatures w14:val="none"/>
        </w:rPr>
        <w:t>。</w:t>
      </w:r>
    </w:p>
    <w:p w14:paraId="7FBF7EC5" w14:textId="77777777" w:rsidR="00502148" w:rsidRDefault="00502148">
      <w:pPr>
        <w:ind w:firstLine="560"/>
        <w:rPr>
          <w:rFonts w:ascii="Times New Roman" w:eastAsia="宋体" w:hAnsi="Times New Roman" w:cs="Times New Roman"/>
          <w:szCs w:val="20"/>
          <w:lang w:val="zh-CN"/>
          <w14:ligatures w14:val="none"/>
        </w:rPr>
      </w:pPr>
    </w:p>
    <w:p w14:paraId="706F3A28"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lastRenderedPageBreak/>
        <w:t>附表</w:t>
      </w:r>
      <w:r>
        <w:rPr>
          <w:rFonts w:ascii="Times New Roman" w:eastAsia="黑体" w:hAnsi="Times New Roman"/>
          <w:sz w:val="24"/>
        </w:rPr>
        <w:t>4.1-5</w:t>
      </w:r>
      <w:r>
        <w:rPr>
          <w:rFonts w:ascii="Times New Roman" w:eastAsia="黑体" w:hAnsi="Times New Roman" w:hint="eastAsia"/>
          <w:sz w:val="24"/>
        </w:rPr>
        <w:t xml:space="preserve"> </w:t>
      </w:r>
      <w:r>
        <w:rPr>
          <w:rFonts w:ascii="Times New Roman" w:eastAsia="黑体" w:hAnsi="Times New Roman"/>
          <w:sz w:val="24"/>
        </w:rPr>
        <w:t xml:space="preserve"> </w:t>
      </w:r>
      <w:r>
        <w:rPr>
          <w:rFonts w:ascii="Times New Roman" w:eastAsia="黑体" w:hAnsi="Times New Roman"/>
          <w:sz w:val="24"/>
        </w:rPr>
        <w:t>检查结论汇总表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9"/>
        <w:gridCol w:w="1487"/>
        <w:gridCol w:w="1487"/>
        <w:gridCol w:w="1491"/>
        <w:gridCol w:w="1416"/>
      </w:tblGrid>
      <w:tr w:rsidR="002738A1" w14:paraId="2B498B43" w14:textId="77777777" w:rsidTr="002738A1">
        <w:trPr>
          <w:trHeight w:hRule="exact" w:val="665"/>
        </w:trPr>
        <w:tc>
          <w:tcPr>
            <w:tcW w:w="1797" w:type="pct"/>
            <w:tcBorders>
              <w:top w:val="single" w:sz="4" w:space="0" w:color="auto"/>
              <w:left w:val="single" w:sz="4" w:space="0" w:color="auto"/>
              <w:bottom w:val="single" w:sz="4" w:space="0" w:color="auto"/>
              <w:right w:val="single" w:sz="4" w:space="0" w:color="auto"/>
              <w:tl2br w:val="single" w:sz="4" w:space="0" w:color="auto"/>
            </w:tcBorders>
            <w:vAlign w:val="center"/>
          </w:tcPr>
          <w:p w14:paraId="761714A0"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 xml:space="preserve">         </w:t>
            </w:r>
            <w:r>
              <w:rPr>
                <w:rFonts w:ascii="Times New Roman" w:eastAsia="宋体" w:hAnsi="Times New Roman" w:cs="Times New Roman" w:hint="eastAsia"/>
                <w:sz w:val="21"/>
                <w:szCs w:val="21"/>
                <w14:ligatures w14:val="none"/>
              </w:rPr>
              <w:t xml:space="preserve">    </w:t>
            </w:r>
            <w:r>
              <w:rPr>
                <w:rFonts w:ascii="Times New Roman" w:eastAsia="宋体" w:hAnsi="Times New Roman" w:cs="Times New Roman"/>
                <w:sz w:val="21"/>
                <w:szCs w:val="21"/>
                <w14:ligatures w14:val="none"/>
              </w:rPr>
              <w:t xml:space="preserve"> </w:t>
            </w:r>
            <w:r>
              <w:rPr>
                <w:rFonts w:ascii="Times New Roman" w:eastAsia="宋体" w:hAnsi="Times New Roman" w:cs="Times New Roman"/>
                <w:sz w:val="21"/>
                <w:szCs w:val="21"/>
                <w14:ligatures w14:val="none"/>
              </w:rPr>
              <w:t>类别</w:t>
            </w:r>
          </w:p>
          <w:p w14:paraId="6E7F4751" w14:textId="77777777" w:rsidR="002738A1" w:rsidRDefault="002738A1">
            <w:pPr>
              <w:adjustRightInd/>
              <w:snapToGrid/>
              <w:spacing w:line="240" w:lineRule="auto"/>
              <w:ind w:firstLineChars="100" w:firstLine="21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单元</w:t>
            </w:r>
          </w:p>
        </w:tc>
        <w:tc>
          <w:tcPr>
            <w:tcW w:w="810" w:type="pct"/>
            <w:tcBorders>
              <w:top w:val="single" w:sz="4" w:space="0" w:color="auto"/>
              <w:left w:val="single" w:sz="4" w:space="0" w:color="auto"/>
              <w:bottom w:val="single" w:sz="4" w:space="0" w:color="auto"/>
              <w:right w:val="single" w:sz="4" w:space="0" w:color="auto"/>
            </w:tcBorders>
            <w:vAlign w:val="center"/>
          </w:tcPr>
          <w:p w14:paraId="23DFDEBF"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总项</w:t>
            </w:r>
          </w:p>
        </w:tc>
        <w:tc>
          <w:tcPr>
            <w:tcW w:w="810" w:type="pct"/>
            <w:tcBorders>
              <w:top w:val="single" w:sz="4" w:space="0" w:color="auto"/>
              <w:left w:val="single" w:sz="4" w:space="0" w:color="auto"/>
              <w:bottom w:val="single" w:sz="4" w:space="0" w:color="auto"/>
              <w:right w:val="single" w:sz="4" w:space="0" w:color="auto"/>
            </w:tcBorders>
            <w:vAlign w:val="center"/>
          </w:tcPr>
          <w:p w14:paraId="5E7103A7"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c>
          <w:tcPr>
            <w:tcW w:w="812" w:type="pct"/>
            <w:tcBorders>
              <w:top w:val="single" w:sz="4" w:space="0" w:color="auto"/>
              <w:left w:val="single" w:sz="4" w:space="0" w:color="auto"/>
              <w:bottom w:val="single" w:sz="4" w:space="0" w:color="auto"/>
              <w:right w:val="single" w:sz="4" w:space="0" w:color="auto"/>
            </w:tcBorders>
            <w:vAlign w:val="center"/>
          </w:tcPr>
          <w:p w14:paraId="30A5F556"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不符合</w:t>
            </w:r>
          </w:p>
        </w:tc>
        <w:tc>
          <w:tcPr>
            <w:tcW w:w="771" w:type="pct"/>
            <w:tcBorders>
              <w:top w:val="single" w:sz="4" w:space="0" w:color="auto"/>
              <w:left w:val="single" w:sz="4" w:space="0" w:color="auto"/>
              <w:bottom w:val="single" w:sz="4" w:space="0" w:color="auto"/>
              <w:right w:val="single" w:sz="4" w:space="0" w:color="auto"/>
            </w:tcBorders>
            <w:vAlign w:val="center"/>
          </w:tcPr>
          <w:p w14:paraId="69C1ABA6"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2738A1" w14:paraId="50779846" w14:textId="77777777" w:rsidTr="002738A1">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3F704821"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安全管理单元</w:t>
            </w:r>
          </w:p>
        </w:tc>
        <w:tc>
          <w:tcPr>
            <w:tcW w:w="810" w:type="pct"/>
            <w:tcBorders>
              <w:top w:val="single" w:sz="4" w:space="0" w:color="auto"/>
              <w:left w:val="single" w:sz="4" w:space="0" w:color="auto"/>
              <w:bottom w:val="single" w:sz="4" w:space="0" w:color="auto"/>
              <w:right w:val="single" w:sz="4" w:space="0" w:color="auto"/>
            </w:tcBorders>
            <w:vAlign w:val="center"/>
          </w:tcPr>
          <w:p w14:paraId="518BFC12"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810" w:type="pct"/>
            <w:tcBorders>
              <w:top w:val="single" w:sz="4" w:space="0" w:color="auto"/>
              <w:left w:val="single" w:sz="4" w:space="0" w:color="auto"/>
              <w:bottom w:val="single" w:sz="4" w:space="0" w:color="auto"/>
              <w:right w:val="single" w:sz="4" w:space="0" w:color="auto"/>
            </w:tcBorders>
            <w:vAlign w:val="center"/>
          </w:tcPr>
          <w:p w14:paraId="02520F77" w14:textId="68644F78"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812" w:type="pct"/>
            <w:tcBorders>
              <w:top w:val="single" w:sz="4" w:space="0" w:color="auto"/>
              <w:left w:val="single" w:sz="4" w:space="0" w:color="auto"/>
              <w:bottom w:val="single" w:sz="4" w:space="0" w:color="auto"/>
              <w:right w:val="single" w:sz="4" w:space="0" w:color="auto"/>
            </w:tcBorders>
            <w:vAlign w:val="center"/>
          </w:tcPr>
          <w:p w14:paraId="2128024D"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16ED150D"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2738A1" w14:paraId="717C839F" w14:textId="77777777" w:rsidTr="002738A1">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1719A560"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选址</w:t>
            </w:r>
            <w:r>
              <w:rPr>
                <w:rFonts w:ascii="Times New Roman" w:eastAsia="宋体" w:hAnsi="Times New Roman" w:cs="Times New Roman"/>
                <w:sz w:val="21"/>
                <w:szCs w:val="21"/>
                <w14:ligatures w14:val="none"/>
              </w:rPr>
              <w:t>及总平面布置单元</w:t>
            </w:r>
          </w:p>
        </w:tc>
        <w:tc>
          <w:tcPr>
            <w:tcW w:w="810" w:type="pct"/>
            <w:tcBorders>
              <w:top w:val="single" w:sz="4" w:space="0" w:color="auto"/>
              <w:left w:val="single" w:sz="4" w:space="0" w:color="auto"/>
              <w:bottom w:val="single" w:sz="4" w:space="0" w:color="auto"/>
              <w:right w:val="single" w:sz="4" w:space="0" w:color="auto"/>
            </w:tcBorders>
            <w:vAlign w:val="center"/>
          </w:tcPr>
          <w:p w14:paraId="4DEA1596"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w:t>
            </w:r>
          </w:p>
        </w:tc>
        <w:tc>
          <w:tcPr>
            <w:tcW w:w="810" w:type="pct"/>
            <w:tcBorders>
              <w:top w:val="single" w:sz="4" w:space="0" w:color="auto"/>
              <w:left w:val="single" w:sz="4" w:space="0" w:color="auto"/>
              <w:bottom w:val="single" w:sz="4" w:space="0" w:color="auto"/>
              <w:right w:val="single" w:sz="4" w:space="0" w:color="auto"/>
            </w:tcBorders>
            <w:vAlign w:val="center"/>
          </w:tcPr>
          <w:p w14:paraId="284B00CC"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w:t>
            </w:r>
          </w:p>
        </w:tc>
        <w:tc>
          <w:tcPr>
            <w:tcW w:w="812" w:type="pct"/>
            <w:tcBorders>
              <w:top w:val="single" w:sz="4" w:space="0" w:color="auto"/>
              <w:left w:val="single" w:sz="4" w:space="0" w:color="auto"/>
              <w:bottom w:val="single" w:sz="4" w:space="0" w:color="auto"/>
              <w:right w:val="single" w:sz="4" w:space="0" w:color="auto"/>
            </w:tcBorders>
            <w:vAlign w:val="center"/>
          </w:tcPr>
          <w:p w14:paraId="606A5BC3"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6B4F36E2"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2738A1" w14:paraId="600C37FD" w14:textId="77777777" w:rsidTr="002738A1">
        <w:trPr>
          <w:trHeight w:hRule="exact" w:val="645"/>
        </w:trPr>
        <w:tc>
          <w:tcPr>
            <w:tcW w:w="1797" w:type="pct"/>
            <w:tcBorders>
              <w:top w:val="single" w:sz="4" w:space="0" w:color="auto"/>
              <w:left w:val="single" w:sz="4" w:space="0" w:color="auto"/>
              <w:bottom w:val="single" w:sz="4" w:space="0" w:color="auto"/>
              <w:right w:val="single" w:sz="4" w:space="0" w:color="auto"/>
            </w:tcBorders>
            <w:vAlign w:val="center"/>
          </w:tcPr>
          <w:p w14:paraId="50D25D40"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加油工艺设备及设施单元</w:t>
            </w:r>
          </w:p>
        </w:tc>
        <w:tc>
          <w:tcPr>
            <w:tcW w:w="810" w:type="pct"/>
            <w:tcBorders>
              <w:top w:val="single" w:sz="4" w:space="0" w:color="auto"/>
              <w:left w:val="single" w:sz="4" w:space="0" w:color="auto"/>
              <w:bottom w:val="single" w:sz="4" w:space="0" w:color="auto"/>
              <w:right w:val="single" w:sz="4" w:space="0" w:color="auto"/>
            </w:tcBorders>
            <w:vAlign w:val="center"/>
          </w:tcPr>
          <w:p w14:paraId="31504F12"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0" w:type="pct"/>
            <w:tcBorders>
              <w:top w:val="single" w:sz="4" w:space="0" w:color="auto"/>
              <w:left w:val="single" w:sz="4" w:space="0" w:color="auto"/>
              <w:bottom w:val="single" w:sz="4" w:space="0" w:color="auto"/>
              <w:right w:val="single" w:sz="4" w:space="0" w:color="auto"/>
            </w:tcBorders>
            <w:vAlign w:val="center"/>
          </w:tcPr>
          <w:p w14:paraId="70F631D0"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2" w:type="pct"/>
            <w:tcBorders>
              <w:top w:val="single" w:sz="4" w:space="0" w:color="auto"/>
              <w:left w:val="single" w:sz="4" w:space="0" w:color="auto"/>
              <w:bottom w:val="single" w:sz="4" w:space="0" w:color="auto"/>
              <w:right w:val="single" w:sz="4" w:space="0" w:color="auto"/>
            </w:tcBorders>
            <w:vAlign w:val="center"/>
          </w:tcPr>
          <w:p w14:paraId="2FE1F552"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0A8D0EE7"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2738A1" w14:paraId="191D48AB" w14:textId="77777777" w:rsidTr="002738A1">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4FCCDFF1"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公用工程及辅助单元</w:t>
            </w:r>
          </w:p>
        </w:tc>
        <w:tc>
          <w:tcPr>
            <w:tcW w:w="810" w:type="pct"/>
            <w:tcBorders>
              <w:top w:val="single" w:sz="4" w:space="0" w:color="auto"/>
              <w:left w:val="single" w:sz="4" w:space="0" w:color="auto"/>
              <w:bottom w:val="single" w:sz="4" w:space="0" w:color="auto"/>
              <w:right w:val="single" w:sz="4" w:space="0" w:color="auto"/>
            </w:tcBorders>
            <w:vAlign w:val="center"/>
          </w:tcPr>
          <w:p w14:paraId="01B80422"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810" w:type="pct"/>
            <w:tcBorders>
              <w:top w:val="single" w:sz="4" w:space="0" w:color="auto"/>
              <w:left w:val="single" w:sz="4" w:space="0" w:color="auto"/>
              <w:bottom w:val="single" w:sz="4" w:space="0" w:color="auto"/>
              <w:right w:val="single" w:sz="4" w:space="0" w:color="auto"/>
            </w:tcBorders>
            <w:vAlign w:val="center"/>
          </w:tcPr>
          <w:p w14:paraId="0B834F31"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812" w:type="pct"/>
            <w:tcBorders>
              <w:top w:val="single" w:sz="4" w:space="0" w:color="auto"/>
              <w:left w:val="single" w:sz="4" w:space="0" w:color="auto"/>
              <w:bottom w:val="single" w:sz="4" w:space="0" w:color="auto"/>
              <w:right w:val="single" w:sz="4" w:space="0" w:color="auto"/>
            </w:tcBorders>
            <w:vAlign w:val="center"/>
          </w:tcPr>
          <w:p w14:paraId="4781BF2E"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579010E8"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2738A1" w14:paraId="0CFFCD41" w14:textId="77777777" w:rsidTr="002738A1">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13798C9C"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重大安全事故隐患判定单元</w:t>
            </w:r>
          </w:p>
        </w:tc>
        <w:tc>
          <w:tcPr>
            <w:tcW w:w="810" w:type="pct"/>
            <w:tcBorders>
              <w:top w:val="single" w:sz="4" w:space="0" w:color="auto"/>
              <w:left w:val="single" w:sz="4" w:space="0" w:color="auto"/>
              <w:bottom w:val="single" w:sz="4" w:space="0" w:color="auto"/>
              <w:right w:val="single" w:sz="4" w:space="0" w:color="auto"/>
            </w:tcBorders>
            <w:vAlign w:val="center"/>
          </w:tcPr>
          <w:p w14:paraId="3913F0E6"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20</w:t>
            </w:r>
          </w:p>
        </w:tc>
        <w:tc>
          <w:tcPr>
            <w:tcW w:w="810" w:type="pct"/>
            <w:tcBorders>
              <w:top w:val="single" w:sz="4" w:space="0" w:color="auto"/>
              <w:left w:val="single" w:sz="4" w:space="0" w:color="auto"/>
              <w:bottom w:val="single" w:sz="4" w:space="0" w:color="auto"/>
              <w:right w:val="single" w:sz="4" w:space="0" w:color="auto"/>
            </w:tcBorders>
            <w:vAlign w:val="center"/>
          </w:tcPr>
          <w:p w14:paraId="4D0D722F" w14:textId="4E0F9CAF"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w:t>
            </w:r>
          </w:p>
        </w:tc>
        <w:tc>
          <w:tcPr>
            <w:tcW w:w="812" w:type="pct"/>
            <w:tcBorders>
              <w:top w:val="single" w:sz="4" w:space="0" w:color="auto"/>
              <w:left w:val="single" w:sz="4" w:space="0" w:color="auto"/>
              <w:bottom w:val="single" w:sz="4" w:space="0" w:color="auto"/>
              <w:right w:val="single" w:sz="4" w:space="0" w:color="auto"/>
            </w:tcBorders>
            <w:vAlign w:val="center"/>
          </w:tcPr>
          <w:p w14:paraId="17E24B9F"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5F7BBE5E"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r>
      <w:tr w:rsidR="002738A1" w14:paraId="5D7A7AB1" w14:textId="77777777" w:rsidTr="002738A1">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4C71DD80" w14:textId="77777777" w:rsidR="002738A1" w:rsidRDefault="002738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合计</w:t>
            </w:r>
          </w:p>
        </w:tc>
        <w:tc>
          <w:tcPr>
            <w:tcW w:w="810" w:type="pct"/>
            <w:tcBorders>
              <w:top w:val="single" w:sz="4" w:space="0" w:color="auto"/>
              <w:left w:val="single" w:sz="4" w:space="0" w:color="auto"/>
              <w:bottom w:val="single" w:sz="4" w:space="0" w:color="auto"/>
              <w:right w:val="single" w:sz="4" w:space="0" w:color="auto"/>
            </w:tcBorders>
            <w:vAlign w:val="center"/>
          </w:tcPr>
          <w:p w14:paraId="474B5BC1"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130</w:t>
            </w:r>
          </w:p>
        </w:tc>
        <w:tc>
          <w:tcPr>
            <w:tcW w:w="810" w:type="pct"/>
            <w:tcBorders>
              <w:top w:val="single" w:sz="4" w:space="0" w:color="auto"/>
              <w:left w:val="single" w:sz="4" w:space="0" w:color="auto"/>
              <w:bottom w:val="single" w:sz="4" w:space="0" w:color="auto"/>
              <w:right w:val="single" w:sz="4" w:space="0" w:color="auto"/>
            </w:tcBorders>
            <w:vAlign w:val="center"/>
          </w:tcPr>
          <w:p w14:paraId="310BD64D" w14:textId="74588965"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123</w:t>
            </w:r>
          </w:p>
        </w:tc>
        <w:tc>
          <w:tcPr>
            <w:tcW w:w="812" w:type="pct"/>
            <w:tcBorders>
              <w:top w:val="single" w:sz="4" w:space="0" w:color="auto"/>
              <w:left w:val="single" w:sz="4" w:space="0" w:color="auto"/>
              <w:bottom w:val="single" w:sz="4" w:space="0" w:color="auto"/>
              <w:right w:val="single" w:sz="4" w:space="0" w:color="auto"/>
            </w:tcBorders>
            <w:vAlign w:val="center"/>
          </w:tcPr>
          <w:p w14:paraId="2E2923FC"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7B56567B" w14:textId="77777777" w:rsidR="002738A1" w:rsidRDefault="002738A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r>
    </w:tbl>
    <w:p w14:paraId="3EC1BEF4" w14:textId="77777777" w:rsidR="00502148"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4" w:name="_Toc1722"/>
      <w:bookmarkStart w:id="125" w:name="_Toc25787"/>
      <w:bookmarkStart w:id="126" w:name="_Toc15036"/>
      <w:bookmarkEnd w:id="123"/>
      <w:r>
        <w:rPr>
          <w:rFonts w:ascii="Times New Roman" w:eastAsia="楷体" w:hAnsi="Times New Roman" w:cs="Times New Roman"/>
          <w:b/>
          <w:bCs/>
          <w:sz w:val="32"/>
          <w:szCs w:val="32"/>
        </w:rPr>
        <w:t>F4.2</w:t>
      </w:r>
      <w:r>
        <w:rPr>
          <w:rFonts w:ascii="Times New Roman" w:eastAsia="楷体" w:hAnsi="Times New Roman" w:cs="Times New Roman"/>
          <w:b/>
          <w:bCs/>
          <w:sz w:val="32"/>
          <w:szCs w:val="32"/>
        </w:rPr>
        <w:t>作业条件危险性分析法定性评价过程</w:t>
      </w:r>
      <w:bookmarkEnd w:id="124"/>
      <w:bookmarkEnd w:id="125"/>
      <w:bookmarkEnd w:id="126"/>
    </w:p>
    <w:p w14:paraId="29C76AA3"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对</w:t>
      </w:r>
      <w:r>
        <w:rPr>
          <w:rFonts w:ascii="Times New Roman" w:eastAsia="宋体" w:hAnsi="Times New Roman" w:cs="Times New Roman" w:hint="eastAsia"/>
          <w:szCs w:val="20"/>
          <w14:ligatures w14:val="none"/>
        </w:rPr>
        <w:t>本项目工艺设备、设施</w:t>
      </w:r>
      <w:r>
        <w:rPr>
          <w:rFonts w:ascii="Times New Roman" w:eastAsia="宋体" w:hAnsi="Times New Roman" w:cs="Times New Roman"/>
          <w:szCs w:val="20"/>
          <w14:ligatures w14:val="none"/>
        </w:rPr>
        <w:t>采用作业条件危险性分析法进行危险度评价，评价过程及结果见附表</w:t>
      </w:r>
      <w:r>
        <w:rPr>
          <w:rFonts w:ascii="Times New Roman" w:eastAsia="宋体" w:hAnsi="Times New Roman" w:cs="Times New Roman"/>
          <w:szCs w:val="20"/>
          <w14:ligatures w14:val="none"/>
        </w:rPr>
        <w:t>4.2-1</w:t>
      </w:r>
      <w:r>
        <w:rPr>
          <w:rFonts w:ascii="Times New Roman" w:eastAsia="宋体" w:hAnsi="Times New Roman" w:cs="Times New Roman"/>
          <w:szCs w:val="20"/>
          <w14:ligatures w14:val="none"/>
        </w:rPr>
        <w:t>。</w:t>
      </w:r>
    </w:p>
    <w:p w14:paraId="6252BA71"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4.2-1  </w:t>
      </w:r>
      <w:r>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60"/>
        <w:gridCol w:w="763"/>
        <w:gridCol w:w="1380"/>
        <w:gridCol w:w="1072"/>
        <w:gridCol w:w="1380"/>
        <w:gridCol w:w="1378"/>
        <w:gridCol w:w="1338"/>
        <w:gridCol w:w="1103"/>
      </w:tblGrid>
      <w:tr w:rsidR="00502148" w14:paraId="5BFE52B6" w14:textId="77777777">
        <w:trPr>
          <w:trHeight w:val="510"/>
          <w:tblHeader/>
        </w:trPr>
        <w:tc>
          <w:tcPr>
            <w:tcW w:w="415" w:type="pct"/>
            <w:vAlign w:val="center"/>
          </w:tcPr>
          <w:p w14:paraId="1AC768F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作业场所</w:t>
            </w:r>
          </w:p>
        </w:tc>
        <w:tc>
          <w:tcPr>
            <w:tcW w:w="416" w:type="pct"/>
            <w:vAlign w:val="center"/>
          </w:tcPr>
          <w:p w14:paraId="6F13162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作业岗位</w:t>
            </w:r>
          </w:p>
        </w:tc>
        <w:tc>
          <w:tcPr>
            <w:tcW w:w="752" w:type="pct"/>
            <w:vAlign w:val="center"/>
          </w:tcPr>
          <w:p w14:paraId="4A47015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危险、有害因素</w:t>
            </w:r>
          </w:p>
        </w:tc>
        <w:tc>
          <w:tcPr>
            <w:tcW w:w="584" w:type="pct"/>
            <w:vAlign w:val="center"/>
          </w:tcPr>
          <w:p w14:paraId="210B084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可能性（</w:t>
            </w:r>
            <w:r>
              <w:rPr>
                <w:rFonts w:ascii="Times New Roman" w:eastAsia="宋体" w:hAnsi="Times New Roman" w:cs="Times New Roman"/>
                <w:sz w:val="21"/>
                <w:lang w:val="zh-CN"/>
                <w14:ligatures w14:val="none"/>
              </w:rPr>
              <w:t>L</w:t>
            </w:r>
            <w:r>
              <w:rPr>
                <w:rFonts w:ascii="Times New Roman" w:eastAsia="宋体" w:hAnsi="Times New Roman" w:cs="Times New Roman" w:hint="eastAsia"/>
                <w:sz w:val="21"/>
                <w:lang w:val="zh-CN"/>
                <w14:ligatures w14:val="none"/>
              </w:rPr>
              <w:t>）</w:t>
            </w:r>
          </w:p>
        </w:tc>
        <w:tc>
          <w:tcPr>
            <w:tcW w:w="752" w:type="pct"/>
            <w:vAlign w:val="center"/>
          </w:tcPr>
          <w:p w14:paraId="3F48481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频繁程度（</w:t>
            </w:r>
            <w:r>
              <w:rPr>
                <w:rFonts w:ascii="Times New Roman" w:eastAsia="宋体" w:hAnsi="Times New Roman" w:cs="Times New Roman" w:hint="eastAsia"/>
                <w:sz w:val="21"/>
                <w:lang w:val="zh-CN"/>
                <w14:ligatures w14:val="none"/>
              </w:rPr>
              <w:t>E</w:t>
            </w:r>
            <w:r>
              <w:rPr>
                <w:rFonts w:ascii="Times New Roman" w:eastAsia="宋体" w:hAnsi="Times New Roman" w:cs="Times New Roman" w:hint="eastAsia"/>
                <w:sz w:val="21"/>
                <w:lang w:val="zh-CN"/>
                <w14:ligatures w14:val="none"/>
              </w:rPr>
              <w:t>）</w:t>
            </w:r>
          </w:p>
        </w:tc>
        <w:tc>
          <w:tcPr>
            <w:tcW w:w="751" w:type="pct"/>
            <w:vAlign w:val="center"/>
          </w:tcPr>
          <w:p w14:paraId="5302166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事故后果（</w:t>
            </w:r>
            <w:r>
              <w:rPr>
                <w:rFonts w:ascii="Times New Roman" w:eastAsia="宋体" w:hAnsi="Times New Roman" w:cs="Times New Roman" w:hint="eastAsia"/>
                <w:sz w:val="21"/>
                <w:lang w:val="zh-CN"/>
                <w14:ligatures w14:val="none"/>
              </w:rPr>
              <w:t>C</w:t>
            </w:r>
            <w:r>
              <w:rPr>
                <w:rFonts w:ascii="Times New Roman" w:eastAsia="宋体" w:hAnsi="Times New Roman" w:cs="Times New Roman" w:hint="eastAsia"/>
                <w:sz w:val="21"/>
                <w:lang w:val="zh-CN"/>
                <w14:ligatures w14:val="none"/>
              </w:rPr>
              <w:t>）</w:t>
            </w:r>
          </w:p>
        </w:tc>
        <w:tc>
          <w:tcPr>
            <w:tcW w:w="729" w:type="pct"/>
            <w:vAlign w:val="center"/>
          </w:tcPr>
          <w:p w14:paraId="122195C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危险性等级（</w:t>
            </w:r>
            <w:r>
              <w:rPr>
                <w:rFonts w:ascii="Times New Roman" w:eastAsia="宋体" w:hAnsi="Times New Roman" w:cs="Times New Roman" w:hint="eastAsia"/>
                <w:sz w:val="21"/>
                <w:lang w:val="zh-CN"/>
                <w14:ligatures w14:val="none"/>
              </w:rPr>
              <w:t>D</w:t>
            </w:r>
            <w:r>
              <w:rPr>
                <w:rFonts w:ascii="Times New Roman" w:eastAsia="宋体" w:hAnsi="Times New Roman" w:cs="Times New Roman" w:hint="eastAsia"/>
                <w:sz w:val="21"/>
                <w:lang w:val="zh-CN"/>
                <w14:ligatures w14:val="none"/>
              </w:rPr>
              <w:t>）</w:t>
            </w:r>
          </w:p>
        </w:tc>
        <w:tc>
          <w:tcPr>
            <w:tcW w:w="601" w:type="pct"/>
            <w:vAlign w:val="center"/>
          </w:tcPr>
          <w:p w14:paraId="2D7AD30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危险程度</w:t>
            </w:r>
          </w:p>
        </w:tc>
      </w:tr>
      <w:tr w:rsidR="00502148" w14:paraId="0589EDC9" w14:textId="77777777">
        <w:trPr>
          <w:trHeight w:val="510"/>
        </w:trPr>
        <w:tc>
          <w:tcPr>
            <w:tcW w:w="415" w:type="pct"/>
            <w:vMerge w:val="restart"/>
            <w:vAlign w:val="center"/>
          </w:tcPr>
          <w:p w14:paraId="46B7FF89"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1BD3086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09F73FC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D556FC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01AE2CF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1200BDF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4183FD8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7FA2043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65F7B60D" w14:textId="77777777">
        <w:trPr>
          <w:trHeight w:val="510"/>
        </w:trPr>
        <w:tc>
          <w:tcPr>
            <w:tcW w:w="415" w:type="pct"/>
            <w:vMerge/>
            <w:vAlign w:val="center"/>
          </w:tcPr>
          <w:p w14:paraId="1773E61A"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44F421E"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FA86E7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7BA27E7A" w14:textId="069E1478" w:rsidR="00502148" w:rsidRDefault="00A66FFA">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23DB17D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272D6C6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4A40C67" w14:textId="5572B253" w:rsidR="00502148" w:rsidRDefault="00A66FFA">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747C774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1CA141F7" w14:textId="77777777">
        <w:trPr>
          <w:trHeight w:val="510"/>
        </w:trPr>
        <w:tc>
          <w:tcPr>
            <w:tcW w:w="415" w:type="pct"/>
            <w:vMerge/>
            <w:vAlign w:val="center"/>
          </w:tcPr>
          <w:p w14:paraId="6B100ED3"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215A964"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4103B2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2DBAB24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6E56C0C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112EBB2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8CFBDB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64AEAFF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249BCC49" w14:textId="77777777">
        <w:trPr>
          <w:trHeight w:val="510"/>
        </w:trPr>
        <w:tc>
          <w:tcPr>
            <w:tcW w:w="415" w:type="pct"/>
            <w:vMerge/>
            <w:vAlign w:val="center"/>
          </w:tcPr>
          <w:p w14:paraId="716C7326"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88A7183"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231A06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64E38C3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8883E4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6DC916A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5676289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0DFFACF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0FD3DFBA" w14:textId="77777777">
        <w:trPr>
          <w:trHeight w:val="510"/>
        </w:trPr>
        <w:tc>
          <w:tcPr>
            <w:tcW w:w="415" w:type="pct"/>
            <w:vMerge/>
            <w:vAlign w:val="center"/>
          </w:tcPr>
          <w:p w14:paraId="07F8E1B7"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71F7F11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4FE9B1E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535A2EE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45C61AC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5BFEFDD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605E0DD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13466D1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497221E7" w14:textId="77777777">
        <w:trPr>
          <w:trHeight w:val="510"/>
        </w:trPr>
        <w:tc>
          <w:tcPr>
            <w:tcW w:w="415" w:type="pct"/>
            <w:vMerge/>
            <w:vAlign w:val="center"/>
          </w:tcPr>
          <w:p w14:paraId="4E3AAA47"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BA3391D"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FD2E6C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58EC209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5AAC84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33D1FE9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A20ED0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7C32F1C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6C4604E6" w14:textId="77777777">
        <w:trPr>
          <w:trHeight w:val="510"/>
        </w:trPr>
        <w:tc>
          <w:tcPr>
            <w:tcW w:w="415" w:type="pct"/>
            <w:vMerge w:val="restart"/>
            <w:vAlign w:val="center"/>
          </w:tcPr>
          <w:p w14:paraId="3A8B8731"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加油作业区（罩棚、加油机附近）</w:t>
            </w:r>
          </w:p>
        </w:tc>
        <w:tc>
          <w:tcPr>
            <w:tcW w:w="416" w:type="pct"/>
            <w:vMerge w:val="restart"/>
            <w:vAlign w:val="center"/>
          </w:tcPr>
          <w:p w14:paraId="15CE285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加油作业</w:t>
            </w:r>
          </w:p>
        </w:tc>
        <w:tc>
          <w:tcPr>
            <w:tcW w:w="752" w:type="pct"/>
            <w:vAlign w:val="center"/>
          </w:tcPr>
          <w:p w14:paraId="20EE344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D59254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0FF7A3D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A55CFA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90C950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32BF344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502148" w14:paraId="44F2EE07" w14:textId="77777777">
        <w:trPr>
          <w:trHeight w:val="510"/>
        </w:trPr>
        <w:tc>
          <w:tcPr>
            <w:tcW w:w="415" w:type="pct"/>
            <w:vMerge/>
            <w:vAlign w:val="center"/>
          </w:tcPr>
          <w:p w14:paraId="5536DBB9"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4981EE6"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AE63D7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7DD0C4E2" w14:textId="461AAFAC" w:rsidR="00502148" w:rsidRDefault="00A66FFA">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4D1E1D5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1757992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69B0FCA" w14:textId="74B9F3E0" w:rsidR="00502148" w:rsidRDefault="00A66FFA">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5B968B6" w14:textId="1D7F3F8F" w:rsidR="00502148" w:rsidRDefault="00A66FFA">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w:t>
            </w:r>
            <w:r>
              <w:rPr>
                <w:rFonts w:ascii="Times New Roman" w:eastAsia="宋体" w:hAnsi="Times New Roman" w:cs="Times New Roman"/>
                <w:sz w:val="21"/>
                <w:lang w:val="zh-CN"/>
                <w14:ligatures w14:val="none"/>
              </w:rPr>
              <w:t>危险</w:t>
            </w:r>
          </w:p>
        </w:tc>
      </w:tr>
      <w:tr w:rsidR="00502148" w14:paraId="6748A1C2" w14:textId="77777777">
        <w:trPr>
          <w:trHeight w:val="510"/>
        </w:trPr>
        <w:tc>
          <w:tcPr>
            <w:tcW w:w="415" w:type="pct"/>
            <w:vMerge/>
            <w:vAlign w:val="center"/>
          </w:tcPr>
          <w:p w14:paraId="36A24934"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ADF0E62"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A378BD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2FFB659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5A75CA3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73DC8BA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EE7864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4317133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4E376AC1" w14:textId="77777777">
        <w:trPr>
          <w:trHeight w:val="510"/>
        </w:trPr>
        <w:tc>
          <w:tcPr>
            <w:tcW w:w="415" w:type="pct"/>
            <w:vMerge/>
            <w:vAlign w:val="center"/>
          </w:tcPr>
          <w:p w14:paraId="68727095"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955ED8F"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08729D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1C5DF5D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5BAD7B9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96C4AE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A82F02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4C43559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409DA65A" w14:textId="77777777">
        <w:trPr>
          <w:trHeight w:val="510"/>
        </w:trPr>
        <w:tc>
          <w:tcPr>
            <w:tcW w:w="415" w:type="pct"/>
            <w:vMerge/>
            <w:vAlign w:val="center"/>
          </w:tcPr>
          <w:p w14:paraId="3F075357"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71519A8"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F860ED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机械伤害</w:t>
            </w:r>
          </w:p>
        </w:tc>
        <w:tc>
          <w:tcPr>
            <w:tcW w:w="584" w:type="pct"/>
            <w:vAlign w:val="center"/>
          </w:tcPr>
          <w:p w14:paraId="74F3E22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4B3918F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68807BB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418466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5252769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3ABA950D" w14:textId="77777777">
        <w:trPr>
          <w:trHeight w:val="510"/>
        </w:trPr>
        <w:tc>
          <w:tcPr>
            <w:tcW w:w="415" w:type="pct"/>
            <w:vMerge/>
            <w:vAlign w:val="center"/>
          </w:tcPr>
          <w:p w14:paraId="7B039672"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3AF85C1"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FAB1E2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噪声与振动</w:t>
            </w:r>
          </w:p>
        </w:tc>
        <w:tc>
          <w:tcPr>
            <w:tcW w:w="584" w:type="pct"/>
            <w:vAlign w:val="center"/>
          </w:tcPr>
          <w:p w14:paraId="32B053E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318F6BF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662D61D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760EFB5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37CC7BE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09A154C8" w14:textId="77777777">
        <w:trPr>
          <w:trHeight w:val="510"/>
        </w:trPr>
        <w:tc>
          <w:tcPr>
            <w:tcW w:w="415" w:type="pct"/>
            <w:vMerge/>
            <w:vAlign w:val="center"/>
          </w:tcPr>
          <w:p w14:paraId="22F4F3C8"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2A39144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检维修作业</w:t>
            </w:r>
          </w:p>
        </w:tc>
        <w:tc>
          <w:tcPr>
            <w:tcW w:w="752" w:type="pct"/>
            <w:vAlign w:val="center"/>
          </w:tcPr>
          <w:p w14:paraId="6ACAB7D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7DFC603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560504F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199C3480"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1896D1E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6CFEE4ED"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43089FEE" w14:textId="77777777">
        <w:trPr>
          <w:trHeight w:val="510"/>
        </w:trPr>
        <w:tc>
          <w:tcPr>
            <w:tcW w:w="415" w:type="pct"/>
            <w:vMerge/>
            <w:vAlign w:val="center"/>
          </w:tcPr>
          <w:p w14:paraId="0D3E39BA"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7394979"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BC4639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182CD63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B22F7B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5784F08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20B6F5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2BBB145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502148" w14:paraId="14CE0DB2" w14:textId="77777777">
        <w:trPr>
          <w:trHeight w:val="510"/>
        </w:trPr>
        <w:tc>
          <w:tcPr>
            <w:tcW w:w="415" w:type="pct"/>
            <w:vMerge/>
            <w:vAlign w:val="center"/>
          </w:tcPr>
          <w:p w14:paraId="3CEC4221"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EB1CF91"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674D6E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1B642A1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CB0731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83C7AB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33DC42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039C0DE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11C384EA" w14:textId="77777777">
        <w:trPr>
          <w:trHeight w:val="510"/>
        </w:trPr>
        <w:tc>
          <w:tcPr>
            <w:tcW w:w="415" w:type="pct"/>
            <w:vMerge/>
            <w:vAlign w:val="center"/>
          </w:tcPr>
          <w:p w14:paraId="3FF010AC"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7BC7A5C"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4AF207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1D7E726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6F7406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266E22E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6A3DEB4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6479050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6BE5FB93" w14:textId="77777777">
        <w:trPr>
          <w:trHeight w:val="510"/>
        </w:trPr>
        <w:tc>
          <w:tcPr>
            <w:tcW w:w="415" w:type="pct"/>
            <w:vMerge/>
            <w:vAlign w:val="center"/>
          </w:tcPr>
          <w:p w14:paraId="14CEB989"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9B07CE8"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2B4BCB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4AB818D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39E971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4617787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0D764E8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0EAF0881"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24F2C9F0" w14:textId="77777777">
        <w:trPr>
          <w:trHeight w:val="510"/>
        </w:trPr>
        <w:tc>
          <w:tcPr>
            <w:tcW w:w="415" w:type="pct"/>
            <w:vMerge w:val="restart"/>
            <w:vAlign w:val="center"/>
          </w:tcPr>
          <w:p w14:paraId="70F137E0" w14:textId="77777777" w:rsidR="00502148"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70F987C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2FDAE3C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7B61980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A11D746"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97C822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899F75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55B1E6DF"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3FF8EF74" w14:textId="77777777">
        <w:trPr>
          <w:trHeight w:val="510"/>
        </w:trPr>
        <w:tc>
          <w:tcPr>
            <w:tcW w:w="415" w:type="pct"/>
            <w:vMerge/>
            <w:vAlign w:val="center"/>
          </w:tcPr>
          <w:p w14:paraId="1139B643"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E11D30C"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CDA61B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20E40BD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7A706D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0DBDD70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6EFADA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73E554F3"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0C42811F" w14:textId="77777777">
        <w:trPr>
          <w:trHeight w:val="510"/>
        </w:trPr>
        <w:tc>
          <w:tcPr>
            <w:tcW w:w="415" w:type="pct"/>
            <w:vMerge/>
            <w:vAlign w:val="center"/>
          </w:tcPr>
          <w:p w14:paraId="4C0714AC"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6B0FB07"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E9B0EA4"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6D8D6DE9"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5BE76A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56DB045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2B425A5E"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2B919D0B"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502148" w14:paraId="24ACB37E" w14:textId="77777777">
        <w:trPr>
          <w:trHeight w:val="510"/>
        </w:trPr>
        <w:tc>
          <w:tcPr>
            <w:tcW w:w="415" w:type="pct"/>
            <w:vMerge/>
            <w:vAlign w:val="center"/>
          </w:tcPr>
          <w:p w14:paraId="6E6038BB" w14:textId="77777777" w:rsidR="00502148" w:rsidRDefault="00502148">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C6D6028" w14:textId="77777777" w:rsidR="00502148" w:rsidRDefault="00502148">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B0ED30C"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52C33838"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650936A"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7C33FF87"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71DEDCD2"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0DCA4B05" w14:textId="77777777" w:rsidR="00502148"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bl>
    <w:p w14:paraId="106EB6DA" w14:textId="6F42938A"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评价小结：通过作业条件危险性评价可知，该</w:t>
      </w:r>
      <w:r>
        <w:rPr>
          <w:rFonts w:ascii="Times New Roman" w:eastAsia="宋体" w:hAnsi="Times New Roman" w:cs="Times New Roman" w:hint="eastAsia"/>
          <w:szCs w:val="20"/>
          <w14:ligatures w14:val="none"/>
        </w:rPr>
        <w:t>站在卸油区进行卸油作业时发生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中毒和窒息</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车辆伤害的危险程度为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”；进行检维修作业时发生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触电的危险程度</w:t>
      </w:r>
      <w:r>
        <w:rPr>
          <w:rFonts w:ascii="Times New Roman" w:eastAsia="宋体" w:hAnsi="Times New Roman" w:cs="Times New Roman" w:hint="eastAsia"/>
          <w:szCs w:val="20"/>
          <w14:ligatures w14:val="none"/>
        </w:rPr>
        <w:t>为“</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”；在</w:t>
      </w:r>
      <w:r>
        <w:rPr>
          <w:rFonts w:ascii="Times New Roman" w:eastAsia="宋体" w:hAnsi="Times New Roman" w:cs="Times New Roman"/>
          <w:szCs w:val="20"/>
          <w14:ligatures w14:val="none"/>
        </w:rPr>
        <w:t>加油作业区</w:t>
      </w:r>
      <w:r>
        <w:rPr>
          <w:rFonts w:ascii="Times New Roman" w:eastAsia="宋体" w:hAnsi="Times New Roman" w:cs="Times New Roman" w:hint="eastAsia"/>
          <w:szCs w:val="20"/>
          <w14:ligatures w14:val="none"/>
        </w:rPr>
        <w:t>进行加油作业时发生</w:t>
      </w:r>
      <w:r>
        <w:rPr>
          <w:rFonts w:ascii="Times New Roman" w:eastAsia="宋体" w:hAnsi="Times New Roman" w:cs="Times New Roman"/>
          <w:szCs w:val="20"/>
          <w14:ligatures w14:val="none"/>
        </w:rPr>
        <w:t>火灾、爆炸的危险程度</w:t>
      </w:r>
      <w:r>
        <w:rPr>
          <w:rFonts w:ascii="Times New Roman" w:eastAsia="宋体" w:hAnsi="Times New Roman" w:cs="Times New Roman" w:hint="eastAsia"/>
          <w:szCs w:val="20"/>
          <w14:ligatures w14:val="none"/>
        </w:rPr>
        <w:t>为“比较危险”、发生</w:t>
      </w:r>
      <w:bookmarkStart w:id="127" w:name="_Hlk208741571"/>
      <w:r w:rsidR="00A66FFA" w:rsidRPr="00A66FFA">
        <w:rPr>
          <w:rFonts w:ascii="Times New Roman" w:eastAsia="宋体" w:hAnsi="Times New Roman" w:cs="Times New Roman"/>
          <w:szCs w:val="20"/>
          <w14:ligatures w14:val="none"/>
        </w:rPr>
        <w:t>中毒和窒息</w:t>
      </w:r>
      <w:r w:rsidR="00A66FFA">
        <w:rPr>
          <w:rFonts w:ascii="Times New Roman" w:eastAsia="宋体" w:hAnsi="Times New Roman" w:cs="Times New Roman" w:hint="eastAsia"/>
          <w:szCs w:val="20"/>
          <w14:ligatures w14:val="none"/>
        </w:rPr>
        <w:t>、</w:t>
      </w:r>
      <w:bookmarkEnd w:id="127"/>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车辆伤害</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机械伤害</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噪声与振动的危险程度</w:t>
      </w:r>
      <w:r>
        <w:rPr>
          <w:rFonts w:ascii="Times New Roman" w:eastAsia="宋体" w:hAnsi="Times New Roman" w:cs="Times New Roman" w:hint="eastAsia"/>
          <w:szCs w:val="20"/>
          <w14:ligatures w14:val="none"/>
        </w:rPr>
        <w:t>为“</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”；进行</w:t>
      </w:r>
      <w:r>
        <w:rPr>
          <w:rFonts w:ascii="Times New Roman" w:eastAsia="宋体" w:hAnsi="Times New Roman" w:cs="Times New Roman"/>
          <w:szCs w:val="20"/>
          <w14:ligatures w14:val="none"/>
        </w:rPr>
        <w:t>检维修作业</w:t>
      </w:r>
      <w:r>
        <w:rPr>
          <w:rFonts w:ascii="Times New Roman" w:eastAsia="宋体" w:hAnsi="Times New Roman" w:cs="Times New Roman" w:hint="eastAsia"/>
          <w:szCs w:val="20"/>
          <w14:ligatures w14:val="none"/>
        </w:rPr>
        <w:t>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物体打击</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高处坠落</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坍塌的危险程度为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”；在站房进行检维修作业时发生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物体打击</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高处坠落</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坍塌的危险程度为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”，企业</w:t>
      </w:r>
      <w:r>
        <w:rPr>
          <w:rFonts w:ascii="Times New Roman" w:eastAsia="宋体" w:hAnsi="Times New Roman" w:cs="Times New Roman"/>
          <w:szCs w:val="20"/>
          <w14:ligatures w14:val="none"/>
        </w:rPr>
        <w:t>在对以上岗位事故风险采取相应的安全对策措施后，事故风险可控制在可接受的范围内。</w:t>
      </w:r>
    </w:p>
    <w:p w14:paraId="02698704"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8" w:name="_Toc13815"/>
      <w:bookmarkStart w:id="129" w:name="_Toc1691"/>
      <w:bookmarkStart w:id="130" w:name="_Toc8035"/>
      <w:bookmarkStart w:id="131" w:name="_Toc11404"/>
      <w:r>
        <w:rPr>
          <w:rFonts w:ascii="Times New Roman" w:eastAsia="楷体" w:hAnsi="Times New Roman" w:cs="Times New Roman"/>
          <w:b/>
          <w:bCs/>
          <w:sz w:val="32"/>
          <w:szCs w:val="32"/>
        </w:rPr>
        <w:t>F4.3</w:t>
      </w:r>
      <w:r>
        <w:rPr>
          <w:rFonts w:ascii="Times New Roman" w:eastAsia="楷体" w:hAnsi="Times New Roman" w:cs="Times New Roman"/>
          <w:b/>
          <w:bCs/>
          <w:sz w:val="32"/>
          <w:szCs w:val="32"/>
        </w:rPr>
        <w:t>定量分析具有可燃性化学品的</w:t>
      </w:r>
      <w:bookmarkEnd w:id="128"/>
      <w:bookmarkEnd w:id="129"/>
      <w:r>
        <w:rPr>
          <w:rFonts w:ascii="Times New Roman" w:eastAsia="楷体" w:hAnsi="Times New Roman" w:cs="Times New Roman"/>
          <w:b/>
          <w:bCs/>
          <w:sz w:val="32"/>
          <w:szCs w:val="32"/>
        </w:rPr>
        <w:t>固有风险程度</w:t>
      </w:r>
      <w:bookmarkEnd w:id="130"/>
      <w:bookmarkEnd w:id="131"/>
    </w:p>
    <w:p w14:paraId="256D5250"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站内储罐区物质泄漏后形成蒸</w:t>
      </w:r>
      <w:r>
        <w:rPr>
          <w:rFonts w:ascii="Times New Roman" w:eastAsia="宋体" w:hAnsi="Times New Roman" w:cs="Times New Roman" w:hint="eastAsia"/>
          <w:szCs w:val="28"/>
          <w14:ligatures w14:val="none"/>
        </w:rPr>
        <w:t>气</w:t>
      </w:r>
      <w:r>
        <w:rPr>
          <w:rFonts w:ascii="Times New Roman" w:eastAsia="宋体" w:hAnsi="Times New Roman" w:cs="Times New Roman"/>
          <w:szCs w:val="28"/>
          <w14:ligatures w14:val="none"/>
        </w:rPr>
        <w:t>云，蒸汽云爆炸的能量常用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6DFB80D5"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本项目</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hint="eastAsia"/>
          <w:szCs w:val="28"/>
          <w14:ligatures w14:val="none"/>
        </w:rPr>
        <w:t>计算过程详见如下：</w:t>
      </w:r>
    </w:p>
    <w:p w14:paraId="648A5DF1" w14:textId="77777777" w:rsidR="00502148" w:rsidRDefault="00000000">
      <w:pPr>
        <w:ind w:firstLine="560"/>
        <w:rPr>
          <w:rFonts w:ascii="Times New Roman" w:eastAsia="宋体" w:hAnsi="Times New Roman" w:cs="Times New Roman"/>
          <w:szCs w:val="28"/>
          <w14:ligatures w14:val="none"/>
        </w:rPr>
      </w:pPr>
      <w:bookmarkStart w:id="132" w:name="_Toc21527"/>
      <w:r>
        <w:rPr>
          <w:rFonts w:ascii="Times New Roman" w:eastAsia="宋体" w:hAnsi="Times New Roman" w:cs="Times New Roman" w:hint="eastAsia"/>
          <w:szCs w:val="28"/>
          <w14:ligatures w14:val="none"/>
        </w:rPr>
        <w:lastRenderedPageBreak/>
        <w:t>（</w:t>
      </w:r>
      <w:r>
        <w:rPr>
          <w:rFonts w:ascii="Times New Roman" w:eastAsia="宋体" w:hAnsi="Times New Roman" w:cs="Times New Roman" w:hint="eastAsia"/>
          <w:szCs w:val="28"/>
          <w14:ligatures w14:val="none"/>
        </w:rPr>
        <w:t>1</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当量计算公式如下：</w:t>
      </w:r>
      <w:bookmarkEnd w:id="132"/>
    </w:p>
    <w:p w14:paraId="2B42DC6A" w14:textId="77777777" w:rsidR="00502148" w:rsidRDefault="00000000">
      <w:pPr>
        <w:ind w:firstLine="560"/>
        <w:rPr>
          <w:rFonts w:ascii="Times New Roman" w:eastAsia="宋体" w:hAnsi="Times New Roman" w:cs="Times New Roman"/>
          <w:szCs w:val="28"/>
          <w14:ligatures w14:val="none"/>
        </w:rPr>
      </w:pPr>
      <w:bookmarkStart w:id="133" w:name="_Toc3964"/>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bookmarkEnd w:id="133"/>
    </w:p>
    <w:p w14:paraId="3F0E9DA2"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式中：</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蒸气云的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szCs w:val="28"/>
          <w14:ligatures w14:val="none"/>
        </w:rPr>
        <w:t>kg</w:t>
      </w:r>
      <w:r>
        <w:rPr>
          <w:rFonts w:ascii="Times New Roman" w:eastAsia="宋体" w:hAnsi="Times New Roman" w:cs="Times New Roman"/>
          <w:szCs w:val="28"/>
          <w14:ligatures w14:val="none"/>
        </w:rPr>
        <w:t>；</w:t>
      </w:r>
    </w:p>
    <w:p w14:paraId="2EC22280"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υ</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蒸气云当量系数</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通常取</w:t>
      </w:r>
      <w:r>
        <w:rPr>
          <w:rFonts w:ascii="Times New Roman" w:eastAsia="宋体" w:hAnsi="Times New Roman" w:cs="Times New Roman" w:hint="eastAsia"/>
          <w:szCs w:val="28"/>
          <w14:ligatures w14:val="none"/>
        </w:rPr>
        <w:t>0.04</w:t>
      </w:r>
      <w:r>
        <w:rPr>
          <w:rFonts w:ascii="Times New Roman" w:eastAsia="宋体" w:hAnsi="Times New Roman" w:cs="Times New Roman"/>
          <w:szCs w:val="28"/>
          <w14:ligatures w14:val="none"/>
        </w:rPr>
        <w:t>；</w:t>
      </w:r>
    </w:p>
    <w:p w14:paraId="68B24963"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V</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储罐的公称容积</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 xml:space="preserve"> </w:t>
      </w:r>
    </w:p>
    <w:p w14:paraId="1AB64058"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ρ</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油品比重，取</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10</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hint="eastAsia"/>
          <w:szCs w:val="28"/>
          <w14:ligatures w14:val="none"/>
        </w:rPr>
        <w:t>kg/m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p>
    <w:p w14:paraId="5CCF4097"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油品的最大发热量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43.73</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15EDCBC8"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——TNT</w:t>
      </w:r>
      <w:r>
        <w:rPr>
          <w:rFonts w:ascii="Times New Roman" w:eastAsia="宋体" w:hAnsi="Times New Roman" w:cs="Times New Roman" w:hint="eastAsia"/>
          <w:szCs w:val="28"/>
          <w14:ligatures w14:val="none"/>
        </w:rPr>
        <w:t>爆炸时所释放出的能量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一般取平均值</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00</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5EAF72D9"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以</w:t>
      </w:r>
      <w:r>
        <w:rPr>
          <w:rFonts w:ascii="Times New Roman" w:eastAsia="宋体" w:hAnsi="Times New Roman" w:cs="Times New Roman" w:hint="eastAsia"/>
          <w:szCs w:val="28"/>
          <w14:ligatures w14:val="none"/>
        </w:rPr>
        <w:t>车用乙醇</w:t>
      </w:r>
      <w:r>
        <w:rPr>
          <w:rFonts w:ascii="Times New Roman" w:eastAsia="宋体" w:hAnsi="Times New Roman" w:cs="Times New Roman"/>
          <w:szCs w:val="28"/>
          <w14:ligatures w14:val="none"/>
        </w:rPr>
        <w:t>汽油储罐蒸汽云爆炸的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当量计算为例：</w:t>
      </w:r>
    </w:p>
    <w:p w14:paraId="0BD5DBB5"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本项目一</w:t>
      </w:r>
      <w:r>
        <w:rPr>
          <w:rFonts w:ascii="Times New Roman" w:eastAsia="宋体" w:hAnsi="Times New Roman" w:cs="Times New Roman" w:hint="eastAsia"/>
          <w:szCs w:val="28"/>
          <w14:ligatures w14:val="none"/>
        </w:rPr>
        <w:t>座</w:t>
      </w:r>
      <w:r>
        <w:rPr>
          <w:rFonts w:ascii="Times New Roman" w:eastAsia="宋体" w:hAnsi="Times New Roman" w:cs="Times New Roman"/>
          <w:szCs w:val="28"/>
          <w14:ligatures w14:val="none"/>
        </w:rPr>
        <w:t>埋地汽油罐</w:t>
      </w:r>
      <w:r>
        <w:rPr>
          <w:rFonts w:ascii="Times New Roman" w:eastAsia="宋体" w:hAnsi="Times New Roman" w:cs="Times New Roman" w:hint="eastAsia"/>
          <w:szCs w:val="28"/>
          <w14:ligatures w14:val="none"/>
        </w:rPr>
        <w:t>最大</w:t>
      </w:r>
      <w:r>
        <w:rPr>
          <w:rFonts w:ascii="Times New Roman" w:eastAsia="宋体" w:hAnsi="Times New Roman" w:cs="Times New Roman"/>
          <w:szCs w:val="28"/>
          <w14:ligatures w14:val="none"/>
        </w:rPr>
        <w:t>储存的质量为</w:t>
      </w:r>
      <w:r>
        <w:rPr>
          <w:rFonts w:ascii="Times New Roman" w:eastAsia="宋体" w:hAnsi="Times New Roman" w:cs="Times New Roman" w:hint="eastAsia"/>
          <w:szCs w:val="28"/>
          <w14:ligatures w14:val="none"/>
        </w:rPr>
        <w:t>24</w:t>
      </w:r>
      <w:r>
        <w:rPr>
          <w:rFonts w:ascii="Times New Roman" w:eastAsia="宋体" w:hAnsi="Times New Roman" w:cs="Times New Roman"/>
          <w:szCs w:val="28"/>
          <w14:ligatures w14:val="none"/>
        </w:rPr>
        <w:t>t</w:t>
      </w:r>
      <w:r>
        <w:rPr>
          <w:rFonts w:ascii="Times New Roman" w:eastAsia="宋体" w:hAnsi="Times New Roman" w:cs="Times New Roman"/>
          <w:szCs w:val="28"/>
          <w14:ligatures w14:val="none"/>
        </w:rPr>
        <w:t>。</w:t>
      </w:r>
    </w:p>
    <w:p w14:paraId="265A5F4F" w14:textId="77777777" w:rsidR="00502148"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 xml:space="preserve">TNT </w:t>
      </w:r>
      <w:r>
        <w:rPr>
          <w:rFonts w:ascii="Times New Roman" w:eastAsia="宋体" w:hAnsi="Times New Roman" w:cs="Times New Roman"/>
          <w:szCs w:val="28"/>
          <w14:ligatures w14:val="none"/>
        </w:rPr>
        <w:t>=0.04×</w:t>
      </w:r>
      <w:r>
        <w:rPr>
          <w:rFonts w:ascii="Times New Roman" w:eastAsia="宋体" w:hAnsi="Times New Roman" w:cs="Times New Roman" w:hint="eastAsia"/>
          <w:szCs w:val="28"/>
          <w14:ligatures w14:val="none"/>
        </w:rPr>
        <w:t>24</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10</w:t>
      </w:r>
      <w:r>
        <w:rPr>
          <w:rFonts w:ascii="Times New Roman" w:eastAsia="宋体" w:hAnsi="Times New Roman" w:cs="Times New Roman"/>
          <w:szCs w:val="28"/>
          <w:vertAlign w:val="superscript"/>
          <w14:ligatures w14:val="none"/>
        </w:rPr>
        <w:t>3</w:t>
      </w:r>
      <w:r>
        <w:rPr>
          <w:rFonts w:ascii="Times New Roman" w:eastAsia="宋体" w:hAnsi="Times New Roman" w:cs="Times New Roman"/>
          <w:szCs w:val="28"/>
          <w14:ligatures w14:val="none"/>
        </w:rPr>
        <w:t>×4</w:t>
      </w:r>
      <w:r>
        <w:rPr>
          <w:rFonts w:ascii="Times New Roman" w:eastAsia="宋体" w:hAnsi="Times New Roman" w:cs="Times New Roman" w:hint="eastAsia"/>
          <w:szCs w:val="28"/>
          <w14:ligatures w14:val="none"/>
        </w:rPr>
        <w:t>3.73</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w:t>
      </w:r>
      <w:r>
        <w:rPr>
          <w:rFonts w:ascii="Times New Roman" w:eastAsia="宋体" w:hAnsi="Times New Roman" w:cs="Times New Roman"/>
          <w:szCs w:val="28"/>
          <w14:ligatures w14:val="none"/>
        </w:rPr>
        <w:t>0=</w:t>
      </w:r>
      <w:r>
        <w:rPr>
          <w:rFonts w:ascii="Times New Roman" w:eastAsia="宋体" w:hAnsi="Times New Roman" w:cs="Times New Roman" w:hint="eastAsia"/>
          <w:szCs w:val="28"/>
          <w14:ligatures w14:val="none"/>
        </w:rPr>
        <w:t>6.9</w:t>
      </w:r>
      <w:r>
        <w:rPr>
          <w:rFonts w:ascii="Times New Roman" w:eastAsia="宋体" w:hAnsi="Times New Roman" w:cs="Times New Roman"/>
          <w:szCs w:val="28"/>
          <w14:ligatures w14:val="none"/>
        </w:rPr>
        <w:t>kg</w:t>
      </w:r>
    </w:p>
    <w:p w14:paraId="74072825"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）地下储罐爆炸冲击波计算应采用岩土爆破研究有关的成果，结合地下储油罐属于沙土覆盖和填充，采用</w:t>
      </w:r>
      <w:r>
        <w:rPr>
          <w:rFonts w:ascii="Times New Roman" w:eastAsia="宋体" w:hAnsi="Times New Roman" w:cs="Times New Roman" w:hint="eastAsia"/>
        </w:rPr>
        <w:t>G.M</w:t>
      </w:r>
      <w:r>
        <w:rPr>
          <w:rFonts w:ascii="Times New Roman" w:eastAsia="宋体" w:hAnsi="Times New Roman" w:cs="Times New Roman" w:hint="eastAsia"/>
        </w:rPr>
        <w:t>莱克霍夫的研究成果。莱克霍夫对于砂质土壤中的冲击波超压，有：</w:t>
      </w:r>
    </w:p>
    <w:p w14:paraId="519C1A76" w14:textId="77777777" w:rsidR="00502148" w:rsidRDefault="00000000">
      <w:pPr>
        <w:ind w:firstLine="560"/>
        <w:rPr>
          <w:rFonts w:ascii="Times New Roman" w:eastAsia="宋体" w:hAnsi="Times New Roman" w:cs="Times New Roman"/>
          <w:vertAlign w:val="superscript"/>
        </w:rPr>
      </w:pPr>
      <w:r>
        <w:rPr>
          <w:rFonts w:ascii="微软雅黑" w:eastAsia="微软雅黑" w:hAnsi="微软雅黑" w:cs="微软雅黑" w:hint="eastAsia"/>
        </w:rPr>
        <w:t>Δ</w:t>
      </w:r>
      <w:r>
        <w:rPr>
          <w:rFonts w:ascii="Times New Roman" w:eastAsia="宋体" w:hAnsi="Times New Roman" w:cs="Times New Roman" w:hint="eastAsia"/>
        </w:rPr>
        <w:t>Pm=8[R/</w:t>
      </w:r>
      <w:r>
        <w:rPr>
          <w:rFonts w:ascii="Times New Roman" w:eastAsia="宋体" w:hAnsi="Times New Roman" w:cs="Times New Roman" w:hint="eastAsia"/>
        </w:rPr>
        <w:t>（</w:t>
      </w: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vertAlign w:val="superscript"/>
        </w:rPr>
        <w:t>1/3</w:t>
      </w:r>
      <w:r>
        <w:rPr>
          <w:rFonts w:ascii="Times New Roman" w:eastAsia="宋体" w:hAnsi="Times New Roman" w:cs="Times New Roman" w:hint="eastAsia"/>
        </w:rPr>
        <w:t>]</w:t>
      </w:r>
      <w:r>
        <w:rPr>
          <w:rFonts w:ascii="Times New Roman" w:eastAsia="宋体" w:hAnsi="Times New Roman" w:cs="Times New Roman" w:hint="eastAsia"/>
          <w:vertAlign w:val="superscript"/>
        </w:rPr>
        <w:t>-3</w:t>
      </w:r>
    </w:p>
    <w:p w14:paraId="6CB006FE" w14:textId="77777777" w:rsidR="00502148"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式中Δ</w:t>
      </w:r>
      <w:r>
        <w:rPr>
          <w:rFonts w:ascii="Times New Roman" w:eastAsia="宋体" w:hAnsi="Times New Roman" w:cs="Times New Roman" w:hint="eastAsia"/>
        </w:rPr>
        <w:t>Pm</w:t>
      </w:r>
      <w:r>
        <w:rPr>
          <w:rFonts w:ascii="Times New Roman" w:eastAsia="宋体" w:hAnsi="Times New Roman" w:cs="Times New Roman" w:hint="eastAsia"/>
        </w:rPr>
        <w:t>——爆炸冲击波超压，</w:t>
      </w:r>
      <w:r>
        <w:rPr>
          <w:rFonts w:ascii="Times New Roman" w:eastAsia="宋体" w:hAnsi="Times New Roman" w:cs="Times New Roman" w:hint="eastAsia"/>
        </w:rPr>
        <w:t>kg</w:t>
      </w:r>
      <w:r>
        <w:rPr>
          <w:rFonts w:ascii="Times New Roman" w:eastAsia="宋体" w:hAnsi="Times New Roman" w:cs="Times New Roman" w:hint="eastAsia"/>
        </w:rPr>
        <w:t>·</w:t>
      </w:r>
      <w:r>
        <w:rPr>
          <w:rFonts w:ascii="Times New Roman" w:eastAsia="宋体" w:hAnsi="Times New Roman" w:cs="Times New Roman" w:hint="eastAsia"/>
        </w:rPr>
        <w:t>f/cm</w:t>
      </w:r>
      <w:r>
        <w:rPr>
          <w:rFonts w:ascii="Times New Roman" w:eastAsia="宋体" w:hAnsi="Times New Roman" w:cs="Times New Roman" w:hint="eastAsia"/>
          <w:vertAlign w:val="superscript"/>
        </w:rPr>
        <w:t>2</w:t>
      </w:r>
      <w:r>
        <w:rPr>
          <w:rFonts w:ascii="Times New Roman" w:eastAsia="宋体" w:hAnsi="Times New Roman" w:cs="Times New Roman" w:hint="eastAsia"/>
        </w:rPr>
        <w:t>；</w:t>
      </w:r>
    </w:p>
    <w:p w14:paraId="38092E38"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R</w:t>
      </w:r>
      <w:r>
        <w:rPr>
          <w:rFonts w:ascii="Times New Roman" w:eastAsia="宋体" w:hAnsi="Times New Roman" w:cs="Times New Roman" w:hint="eastAsia"/>
        </w:rPr>
        <w:t>——爆心到所研究点的距离，</w:t>
      </w:r>
      <w:r>
        <w:rPr>
          <w:rFonts w:ascii="Times New Roman" w:eastAsia="宋体" w:hAnsi="Times New Roman" w:cs="Times New Roman" w:hint="eastAsia"/>
        </w:rPr>
        <w:t>m</w:t>
      </w:r>
      <w:r>
        <w:rPr>
          <w:rFonts w:ascii="Times New Roman" w:eastAsia="宋体" w:hAnsi="Times New Roman" w:cs="Times New Roman" w:hint="eastAsia"/>
        </w:rPr>
        <w:t>；</w:t>
      </w:r>
    </w:p>
    <w:p w14:paraId="533EDC34"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——蒸气云的</w:t>
      </w:r>
      <w:r>
        <w:rPr>
          <w:rFonts w:ascii="Times New Roman" w:eastAsia="宋体" w:hAnsi="Times New Roman" w:cs="Times New Roman" w:hint="eastAsia"/>
        </w:rPr>
        <w:t>TNT</w:t>
      </w:r>
      <w:r>
        <w:rPr>
          <w:rFonts w:ascii="Times New Roman" w:eastAsia="宋体" w:hAnsi="Times New Roman" w:cs="Times New Roman" w:hint="eastAsia"/>
        </w:rPr>
        <w:t>当量，</w:t>
      </w:r>
      <w:r>
        <w:rPr>
          <w:rFonts w:ascii="Times New Roman" w:eastAsia="宋体" w:hAnsi="Times New Roman" w:cs="Times New Roman" w:hint="eastAsia"/>
        </w:rPr>
        <w:t>kg</w:t>
      </w:r>
      <w:r>
        <w:rPr>
          <w:rFonts w:ascii="Times New Roman" w:eastAsia="宋体" w:hAnsi="Times New Roman" w:cs="Times New Roman" w:hint="eastAsia"/>
        </w:rPr>
        <w:t>。</w:t>
      </w:r>
    </w:p>
    <w:p w14:paraId="2D92AA22" w14:textId="77777777" w:rsidR="00502148"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根据上式，则有</w:t>
      </w:r>
      <w:r>
        <w:rPr>
          <w:rFonts w:ascii="Times New Roman" w:eastAsia="宋体" w:hAnsi="Times New Roman" w:cs="Times New Roman" w:hint="eastAsia"/>
        </w:rPr>
        <w:t>R=[8Q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rPr>
        <w:t>Δ</w:t>
      </w:r>
      <w:r>
        <w:rPr>
          <w:rFonts w:ascii="Times New Roman" w:eastAsia="宋体" w:hAnsi="Times New Roman" w:cs="Times New Roman" w:hint="eastAsia"/>
        </w:rPr>
        <w:t>Pm]</w:t>
      </w:r>
      <w:r>
        <w:rPr>
          <w:rFonts w:ascii="Times New Roman" w:eastAsia="宋体" w:hAnsi="Times New Roman" w:cs="Times New Roman" w:hint="eastAsia"/>
          <w:vertAlign w:val="superscript"/>
        </w:rPr>
        <w:t>1/3</w:t>
      </w:r>
    </w:p>
    <w:p w14:paraId="6E959BC3" w14:textId="77777777" w:rsidR="00502148" w:rsidRDefault="00000000">
      <w:pPr>
        <w:ind w:firstLine="560"/>
        <w:rPr>
          <w:rFonts w:ascii="Times New Roman" w:eastAsia="宋体" w:hAnsi="Times New Roman" w:cs="Times New Roman"/>
        </w:rPr>
      </w:pPr>
      <w:r>
        <w:rPr>
          <w:rFonts w:ascii="Times New Roman" w:eastAsia="宋体" w:hAnsi="Times New Roman" w:cs="Times New Roman" w:hint="eastAsia"/>
        </w:rPr>
        <w:t>根据爆炸事故后果模拟评价方法中的超压准则，冲击波对人体的伤害和建筑物破坏作用如下表：</w:t>
      </w:r>
    </w:p>
    <w:p w14:paraId="7C8577A1" w14:textId="77777777" w:rsidR="00502148" w:rsidRDefault="00502148">
      <w:pPr>
        <w:ind w:firstLine="560"/>
        <w:rPr>
          <w:rFonts w:ascii="Times New Roman" w:eastAsia="宋体" w:hAnsi="Times New Roman" w:cs="Times New Roman"/>
        </w:rPr>
      </w:pPr>
    </w:p>
    <w:p w14:paraId="274B5BFE" w14:textId="77777777" w:rsidR="00502148" w:rsidRDefault="00000000">
      <w:pPr>
        <w:keepNext/>
        <w:keepLines/>
        <w:spacing w:beforeLines="50" w:before="156" w:afterLines="50" w:after="156" w:line="240" w:lineRule="auto"/>
        <w:ind w:firstLineChars="0" w:firstLine="0"/>
        <w:jc w:val="center"/>
        <w:rPr>
          <w:rFonts w:ascii="Times New Roman" w:eastAsia="黑体" w:hAnsi="Times New Roman" w:cs="Times New Roman"/>
          <w:sz w:val="24"/>
        </w:rPr>
      </w:pPr>
      <w:r>
        <w:rPr>
          <w:rFonts w:ascii="Times New Roman" w:eastAsia="黑体" w:hAnsi="Times New Roman" w:cs="Times New Roman" w:hint="eastAsia"/>
          <w:sz w:val="24"/>
        </w:rPr>
        <w:lastRenderedPageBreak/>
        <w:t>附</w:t>
      </w:r>
      <w:r>
        <w:rPr>
          <w:rFonts w:ascii="Times New Roman" w:eastAsia="黑体" w:hAnsi="Times New Roman" w:cs="Times New Roman"/>
          <w:sz w:val="24"/>
        </w:rPr>
        <w:t>表</w:t>
      </w:r>
      <w:r>
        <w:rPr>
          <w:rFonts w:ascii="Times New Roman" w:eastAsia="黑体" w:hAnsi="Times New Roman" w:cs="Times New Roman"/>
          <w:sz w:val="24"/>
        </w:rPr>
        <w:t xml:space="preserve">4.3-1  </w:t>
      </w:r>
      <w:r>
        <w:rPr>
          <w:rFonts w:ascii="Times New Roman" w:eastAsia="黑体" w:hAnsi="Times New Roman" w:cs="Times New Roman" w:hint="eastAsia"/>
          <w:sz w:val="24"/>
        </w:rPr>
        <w:t>人员伤害超压准则</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362"/>
        <w:gridCol w:w="1486"/>
        <w:gridCol w:w="5495"/>
      </w:tblGrid>
      <w:tr w:rsidR="00502148" w14:paraId="00FDB6DE" w14:textId="77777777" w:rsidTr="0082631A">
        <w:trPr>
          <w:trHeight w:val="454"/>
          <w:tblHeader/>
          <w:jc w:val="center"/>
        </w:trPr>
        <w:tc>
          <w:tcPr>
            <w:tcW w:w="451" w:type="pct"/>
            <w:vAlign w:val="center"/>
          </w:tcPr>
          <w:p w14:paraId="1114E68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742" w:type="pct"/>
            <w:vAlign w:val="center"/>
          </w:tcPr>
          <w:p w14:paraId="69DCBF47"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伤害程度</w:t>
            </w:r>
          </w:p>
        </w:tc>
        <w:tc>
          <w:tcPr>
            <w:tcW w:w="810" w:type="pct"/>
            <w:vAlign w:val="center"/>
          </w:tcPr>
          <w:p w14:paraId="54A2F8C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超压Δ</w:t>
            </w:r>
            <w:r>
              <w:rPr>
                <w:rFonts w:ascii="Times New Roman" w:eastAsia="宋体" w:hAnsi="Times New Roman" w:cs="Times New Roman" w:hint="eastAsia"/>
                <w:sz w:val="21"/>
                <w:szCs w:val="21"/>
                <w14:ligatures w14:val="none"/>
              </w:rPr>
              <w:t>Pm</w:t>
            </w:r>
          </w:p>
        </w:tc>
        <w:tc>
          <w:tcPr>
            <w:tcW w:w="2995" w:type="pct"/>
            <w:vAlign w:val="center"/>
          </w:tcPr>
          <w:p w14:paraId="0B2E0EE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伤害情况</w:t>
            </w:r>
          </w:p>
        </w:tc>
      </w:tr>
      <w:tr w:rsidR="00502148" w14:paraId="5A8E9830" w14:textId="77777777" w:rsidTr="0082631A">
        <w:trPr>
          <w:trHeight w:val="454"/>
          <w:jc w:val="center"/>
        </w:trPr>
        <w:tc>
          <w:tcPr>
            <w:tcW w:w="451" w:type="pct"/>
            <w:vAlign w:val="center"/>
          </w:tcPr>
          <w:p w14:paraId="205D100F"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742" w:type="pct"/>
            <w:vAlign w:val="center"/>
          </w:tcPr>
          <w:p w14:paraId="2D3DC5C6"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轻微</w:t>
            </w:r>
          </w:p>
        </w:tc>
        <w:tc>
          <w:tcPr>
            <w:tcW w:w="810" w:type="pct"/>
            <w:vAlign w:val="center"/>
          </w:tcPr>
          <w:p w14:paraId="35D9165C"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0.2~0.3</w:t>
            </w:r>
          </w:p>
        </w:tc>
        <w:tc>
          <w:tcPr>
            <w:tcW w:w="2995" w:type="pct"/>
            <w:vAlign w:val="center"/>
          </w:tcPr>
          <w:p w14:paraId="643B85F3"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轻微挫伤</w:t>
            </w:r>
          </w:p>
        </w:tc>
      </w:tr>
      <w:tr w:rsidR="00502148" w14:paraId="79A2C0F0" w14:textId="77777777" w:rsidTr="0082631A">
        <w:trPr>
          <w:trHeight w:val="454"/>
          <w:jc w:val="center"/>
        </w:trPr>
        <w:tc>
          <w:tcPr>
            <w:tcW w:w="451" w:type="pct"/>
            <w:vAlign w:val="center"/>
          </w:tcPr>
          <w:p w14:paraId="2B714C4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742" w:type="pct"/>
            <w:vAlign w:val="center"/>
          </w:tcPr>
          <w:p w14:paraId="3487BCF2"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中等</w:t>
            </w:r>
          </w:p>
        </w:tc>
        <w:tc>
          <w:tcPr>
            <w:tcW w:w="810" w:type="pct"/>
            <w:vAlign w:val="center"/>
          </w:tcPr>
          <w:p w14:paraId="56686D80"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0.3~0.5</w:t>
            </w:r>
          </w:p>
        </w:tc>
        <w:tc>
          <w:tcPr>
            <w:tcW w:w="2995" w:type="pct"/>
            <w:vAlign w:val="center"/>
          </w:tcPr>
          <w:p w14:paraId="7F3D9C51"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听觉、气管损伤、中等挫伤、骨折</w:t>
            </w:r>
          </w:p>
        </w:tc>
      </w:tr>
      <w:tr w:rsidR="00502148" w14:paraId="13E6C102" w14:textId="77777777" w:rsidTr="0082631A">
        <w:trPr>
          <w:trHeight w:val="454"/>
          <w:jc w:val="center"/>
        </w:trPr>
        <w:tc>
          <w:tcPr>
            <w:tcW w:w="451" w:type="pct"/>
            <w:vAlign w:val="center"/>
          </w:tcPr>
          <w:p w14:paraId="73D0BE9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742" w:type="pct"/>
            <w:vAlign w:val="center"/>
          </w:tcPr>
          <w:p w14:paraId="2A2C3CA9"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严重</w:t>
            </w:r>
          </w:p>
        </w:tc>
        <w:tc>
          <w:tcPr>
            <w:tcW w:w="810" w:type="pct"/>
            <w:vAlign w:val="center"/>
          </w:tcPr>
          <w:p w14:paraId="7E1FF3D6"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0.5~1</w:t>
            </w:r>
          </w:p>
        </w:tc>
        <w:tc>
          <w:tcPr>
            <w:tcW w:w="2995" w:type="pct"/>
            <w:vAlign w:val="center"/>
          </w:tcPr>
          <w:p w14:paraId="2ADA4DC8"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内脏严重挫伤，可能造成死亡</w:t>
            </w:r>
          </w:p>
        </w:tc>
      </w:tr>
      <w:tr w:rsidR="00502148" w14:paraId="3EDD06AD" w14:textId="77777777" w:rsidTr="0082631A">
        <w:trPr>
          <w:trHeight w:val="454"/>
          <w:jc w:val="center"/>
        </w:trPr>
        <w:tc>
          <w:tcPr>
            <w:tcW w:w="451" w:type="pct"/>
            <w:vAlign w:val="center"/>
          </w:tcPr>
          <w:p w14:paraId="16872AEB"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742" w:type="pct"/>
            <w:vAlign w:val="center"/>
          </w:tcPr>
          <w:p w14:paraId="5A862DE5"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极严重</w:t>
            </w:r>
          </w:p>
        </w:tc>
        <w:tc>
          <w:tcPr>
            <w:tcW w:w="810" w:type="pct"/>
            <w:vAlign w:val="center"/>
          </w:tcPr>
          <w:p w14:paraId="689B90B1" w14:textId="77777777" w:rsidR="00502148"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w:t>
            </w:r>
          </w:p>
        </w:tc>
        <w:tc>
          <w:tcPr>
            <w:tcW w:w="2995" w:type="pct"/>
            <w:vAlign w:val="center"/>
          </w:tcPr>
          <w:p w14:paraId="330AC2B9" w14:textId="77777777" w:rsidR="00502148"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大部分人死亡</w:t>
            </w:r>
          </w:p>
        </w:tc>
      </w:tr>
    </w:tbl>
    <w:p w14:paraId="40560206" w14:textId="77777777" w:rsidR="00502148" w:rsidRDefault="00000000">
      <w:pPr>
        <w:ind w:firstLine="560"/>
        <w:rPr>
          <w:rFonts w:ascii="Times New Roman" w:eastAsia="宋体" w:hAnsi="Times New Roman"/>
        </w:rPr>
      </w:pPr>
      <w:r>
        <w:rPr>
          <w:rFonts w:ascii="Times New Roman" w:eastAsia="宋体" w:hAnsi="Times New Roman" w:cs="Times New Roman" w:hint="eastAsia"/>
        </w:rPr>
        <w:t>本次评估分析人员死亡半径，故将造成人员死亡的超压Δ</w:t>
      </w:r>
      <w:r>
        <w:rPr>
          <w:rFonts w:ascii="Times New Roman" w:eastAsia="宋体" w:hAnsi="Times New Roman" w:cs="Times New Roman" w:hint="eastAsia"/>
        </w:rPr>
        <w:t>Pm</w:t>
      </w:r>
      <w:r>
        <w:rPr>
          <w:rFonts w:ascii="Times New Roman" w:eastAsia="宋体" w:hAnsi="Times New Roman" w:cs="Times New Roman" w:hint="eastAsia"/>
        </w:rPr>
        <w:t>代入公式即可得出造成人员死亡的半径为</w:t>
      </w:r>
      <w:r>
        <w:rPr>
          <w:rFonts w:ascii="Times New Roman" w:eastAsia="宋体" w:hAnsi="Times New Roman" w:cs="Times New Roman" w:hint="eastAsia"/>
        </w:rPr>
        <w:t>3.8m</w:t>
      </w:r>
      <w:r>
        <w:rPr>
          <w:rFonts w:ascii="Times New Roman" w:eastAsia="宋体" w:hAnsi="Times New Roman" w:cs="Times New Roman" w:hint="eastAsia"/>
        </w:rPr>
        <w:t>。</w:t>
      </w:r>
      <w:r>
        <w:rPr>
          <w:rFonts w:ascii="Times New Roman" w:eastAsia="宋体" w:hAnsi="Times New Roman"/>
        </w:rPr>
        <w:br w:type="page"/>
      </w:r>
    </w:p>
    <w:p w14:paraId="3E987E97" w14:textId="77777777" w:rsidR="00502148"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34" w:name="_Toc8041"/>
      <w:bookmarkStart w:id="135" w:name="_Toc12754"/>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5</w:t>
      </w:r>
      <w:r>
        <w:rPr>
          <w:rFonts w:ascii="Times New Roman" w:eastAsia="黑体" w:hAnsi="Times New Roman" w:cs="Times New Roman"/>
          <w:b/>
          <w:bCs/>
          <w:sz w:val="32"/>
          <w:szCs w:val="32"/>
        </w:rPr>
        <w:t>安全评价依据</w:t>
      </w:r>
      <w:bookmarkEnd w:id="134"/>
      <w:bookmarkEnd w:id="135"/>
    </w:p>
    <w:p w14:paraId="7B3D3B99"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36" w:name="_Toc3401"/>
      <w:bookmarkStart w:id="137" w:name="_Toc17267"/>
      <w:bookmarkStart w:id="138" w:name="_Toc17077"/>
      <w:bookmarkStart w:id="139" w:name="_Toc18056"/>
      <w:bookmarkStart w:id="140" w:name="_Toc19166"/>
      <w:bookmarkStart w:id="141" w:name="_Toc336"/>
      <w:r>
        <w:rPr>
          <w:rFonts w:ascii="Times New Roman" w:eastAsia="楷体" w:hAnsi="Times New Roman" w:cs="Times New Roman"/>
          <w:b/>
          <w:bCs/>
          <w:sz w:val="32"/>
          <w:szCs w:val="32"/>
        </w:rPr>
        <w:t>F5.1</w:t>
      </w:r>
      <w:r>
        <w:rPr>
          <w:rFonts w:ascii="Times New Roman" w:eastAsia="楷体" w:hAnsi="Times New Roman" w:cs="Times New Roman"/>
          <w:b/>
          <w:bCs/>
          <w:sz w:val="32"/>
          <w:szCs w:val="32"/>
        </w:rPr>
        <w:t>法律</w:t>
      </w:r>
      <w:bookmarkEnd w:id="136"/>
      <w:bookmarkEnd w:id="137"/>
      <w:bookmarkEnd w:id="138"/>
      <w:bookmarkEnd w:id="139"/>
      <w:bookmarkEnd w:id="140"/>
      <w:bookmarkEnd w:id="141"/>
    </w:p>
    <w:p w14:paraId="77244721"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bookmarkStart w:id="142" w:name="_Toc30587"/>
      <w:bookmarkStart w:id="143" w:name="_Toc8671"/>
      <w:bookmarkStart w:id="144" w:name="_Toc3607"/>
      <w:r>
        <w:rPr>
          <w:rFonts w:ascii="Times New Roman" w:eastAsia="宋体" w:hAnsi="Times New Roman" w:cs="Times New Roman"/>
          <w:szCs w:val="20"/>
          <w14:ligatures w14:val="none"/>
        </w:rPr>
        <w:t>《中华人民共和国安全生产法》（国家主席令第八十八号，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45C9A237"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《中华人民共和国消防法》（国家主席令第八十一号，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6361011A"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《中华人民共和国职业病防治法》（国家主席令第二十四号，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1B743C95"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《中华人民共和国劳动法》（国家主席令第二十四号，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5544D673"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《中华人民共和国劳动合同法》（国</w:t>
      </w:r>
      <w:r>
        <w:rPr>
          <w:rFonts w:ascii="Times New Roman" w:eastAsia="宋体" w:hAnsi="Times New Roman" w:cs="Times New Roman" w:hint="eastAsia"/>
          <w:szCs w:val="20"/>
          <w14:ligatures w14:val="none"/>
        </w:rPr>
        <w:t>家</w:t>
      </w:r>
      <w:r>
        <w:rPr>
          <w:rFonts w:ascii="Times New Roman" w:eastAsia="宋体" w:hAnsi="Times New Roman" w:cs="Times New Roman"/>
          <w:szCs w:val="20"/>
          <w14:ligatures w14:val="none"/>
        </w:rPr>
        <w:t>主席令第</w:t>
      </w:r>
      <w:r>
        <w:rPr>
          <w:rFonts w:ascii="Times New Roman" w:eastAsia="宋体" w:hAnsi="Times New Roman" w:cs="Times New Roman" w:hint="eastAsia"/>
          <w:szCs w:val="20"/>
          <w14:ligatures w14:val="none"/>
        </w:rPr>
        <w:t>七十三</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28</w:t>
      </w:r>
      <w:r>
        <w:rPr>
          <w:rFonts w:ascii="Times New Roman" w:eastAsia="宋体" w:hAnsi="Times New Roman" w:cs="Times New Roman"/>
          <w:szCs w:val="20"/>
          <w14:ligatures w14:val="none"/>
        </w:rPr>
        <w:t>日施行）</w:t>
      </w:r>
    </w:p>
    <w:p w14:paraId="4CE3EE11"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《中华人民共和国环境保护法》（国家主席令第九号，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5F30D86B"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《中华人民共和国突发事件应对法》（国家主席令第二十五号，</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6FEB5D54"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《中华人民共和国气象法》（国家主席令第五十七号，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07</w:t>
      </w:r>
      <w:r>
        <w:rPr>
          <w:rFonts w:ascii="Times New Roman" w:eastAsia="宋体" w:hAnsi="Times New Roman" w:cs="Times New Roman"/>
          <w:szCs w:val="20"/>
          <w14:ligatures w14:val="none"/>
        </w:rPr>
        <w:t>日施行）</w:t>
      </w:r>
    </w:p>
    <w:p w14:paraId="33686544" w14:textId="77777777" w:rsidR="00502148"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《中华人民共和国防震减灾法》（国家主席令第七号，</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47019E05" w14:textId="77777777" w:rsidR="00502148"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45" w:name="_Toc22167"/>
      <w:bookmarkStart w:id="146" w:name="_Toc3078"/>
      <w:bookmarkStart w:id="147" w:name="_Toc26261"/>
      <w:r>
        <w:rPr>
          <w:rFonts w:ascii="Times New Roman" w:eastAsia="楷体" w:hAnsi="Times New Roman" w:cs="Times New Roman"/>
          <w:b/>
          <w:bCs/>
          <w:sz w:val="32"/>
          <w:szCs w:val="32"/>
        </w:rPr>
        <w:t>F5.2</w:t>
      </w:r>
      <w:r>
        <w:rPr>
          <w:rFonts w:ascii="Times New Roman" w:eastAsia="楷体" w:hAnsi="Times New Roman" w:cs="Times New Roman"/>
          <w:b/>
          <w:bCs/>
          <w:sz w:val="32"/>
          <w:szCs w:val="32"/>
        </w:rPr>
        <w:t>法规</w:t>
      </w:r>
      <w:bookmarkEnd w:id="142"/>
      <w:bookmarkEnd w:id="143"/>
      <w:bookmarkEnd w:id="144"/>
      <w:bookmarkEnd w:id="145"/>
      <w:bookmarkEnd w:id="146"/>
      <w:bookmarkEnd w:id="147"/>
    </w:p>
    <w:p w14:paraId="24180820"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《生产安全事故应急条例》（国务院令</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708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lastRenderedPageBreak/>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48FC7317"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《危险化学品安全管理条例》（国务院令第</w:t>
      </w:r>
      <w:r>
        <w:rPr>
          <w:rFonts w:ascii="Times New Roman" w:eastAsia="宋体" w:hAnsi="Times New Roman" w:cs="Times New Roman"/>
          <w:szCs w:val="20"/>
          <w14:ligatures w14:val="none"/>
        </w:rPr>
        <w:t>344</w:t>
      </w:r>
      <w:r>
        <w:rPr>
          <w:rFonts w:ascii="Times New Roman" w:eastAsia="宋体" w:hAnsi="Times New Roman" w:cs="Times New Roman"/>
          <w:szCs w:val="20"/>
          <w14:ligatures w14:val="none"/>
        </w:rPr>
        <w:t>号，中华人民共和国国务院令</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645</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日实施）</w:t>
      </w:r>
    </w:p>
    <w:p w14:paraId="17D80D6E"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《工伤保险条例》（国务院令第</w:t>
      </w:r>
      <w:r>
        <w:rPr>
          <w:rFonts w:ascii="Times New Roman" w:eastAsia="宋体" w:hAnsi="Times New Roman" w:cs="Times New Roman"/>
          <w:szCs w:val="20"/>
          <w14:ligatures w14:val="none"/>
        </w:rPr>
        <w:t>375</w:t>
      </w:r>
      <w:r>
        <w:rPr>
          <w:rFonts w:ascii="Times New Roman" w:eastAsia="宋体" w:hAnsi="Times New Roman" w:cs="Times New Roman"/>
          <w:szCs w:val="20"/>
          <w14:ligatures w14:val="none"/>
        </w:rPr>
        <w:t>号公布，中华人民共和国国务院令</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586</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5687E0CB"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《建设工程安全生产管理条例》（国务院令</w:t>
      </w:r>
      <w:r>
        <w:rPr>
          <w:rFonts w:ascii="Times New Roman" w:eastAsia="宋体" w:hAnsi="Times New Roman" w:cs="Times New Roman"/>
          <w:szCs w:val="20"/>
          <w14:ligatures w14:val="none"/>
        </w:rPr>
        <w:t>[2003]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393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35C7AF8D"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《气象灾害防御条例》（国务院令</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570</w:t>
      </w:r>
      <w:r>
        <w:rPr>
          <w:rFonts w:ascii="Times New Roman" w:eastAsia="宋体" w:hAnsi="Times New Roman" w:cs="Times New Roman"/>
          <w:szCs w:val="20"/>
          <w14:ligatures w14:val="none"/>
        </w:rPr>
        <w:t>号，中华人民共和国国务院令</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687</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10</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日实施）</w:t>
      </w:r>
    </w:p>
    <w:p w14:paraId="48A68BF7"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生产安全事故报告和调查处理条例</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国务院令第</w:t>
      </w:r>
      <w:r>
        <w:rPr>
          <w:rFonts w:ascii="Times New Roman" w:eastAsia="宋体" w:hAnsi="Times New Roman" w:cs="Times New Roman"/>
          <w:szCs w:val="20"/>
          <w14:ligatures w14:val="none"/>
        </w:rPr>
        <w:t>493</w:t>
      </w:r>
      <w:r>
        <w:rPr>
          <w:rFonts w:ascii="Times New Roman" w:eastAsia="宋体" w:hAnsi="Times New Roman" w:cs="Times New Roman"/>
          <w:szCs w:val="20"/>
          <w14:ligatures w14:val="none"/>
        </w:rPr>
        <w:t>号</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2007</w:t>
      </w:r>
      <w:r>
        <w:rPr>
          <w:rFonts w:ascii="Times New Roman" w:eastAsia="宋体" w:hAnsi="Times New Roman" w:cs="Times New Roman" w:hint="eastAsia"/>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hint="eastAsia"/>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hint="eastAsia"/>
          <w:szCs w:val="20"/>
          <w14:ligatures w14:val="none"/>
        </w:rPr>
        <w:t>日实施）</w:t>
      </w:r>
    </w:p>
    <w:p w14:paraId="3854511B" w14:textId="77777777" w:rsidR="00502148"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安全生产事故隐患排查治理暂行规定</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国家安全生产监督管理总局令第</w:t>
      </w:r>
      <w:r>
        <w:rPr>
          <w:rFonts w:ascii="Times New Roman" w:eastAsia="宋体" w:hAnsi="Times New Roman" w:cs="Times New Roman"/>
          <w:szCs w:val="20"/>
          <w14:ligatures w14:val="none"/>
        </w:rPr>
        <w:t>16</w:t>
      </w:r>
      <w:r>
        <w:rPr>
          <w:rFonts w:ascii="Times New Roman" w:eastAsia="宋体" w:hAnsi="Times New Roman" w:cs="Times New Roman"/>
          <w:szCs w:val="20"/>
          <w14:ligatures w14:val="none"/>
        </w:rPr>
        <w:t>号</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2008</w:t>
      </w:r>
      <w:r>
        <w:rPr>
          <w:rFonts w:ascii="Times New Roman" w:eastAsia="宋体" w:hAnsi="Times New Roman" w:cs="Times New Roman" w:hint="eastAsia"/>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hint="eastAsia"/>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hint="eastAsia"/>
          <w:szCs w:val="20"/>
          <w14:ligatures w14:val="none"/>
        </w:rPr>
        <w:t>日实施）</w:t>
      </w:r>
    </w:p>
    <w:p w14:paraId="15B85280"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48" w:name="_Toc14760"/>
      <w:bookmarkStart w:id="149" w:name="_Toc27088"/>
      <w:bookmarkStart w:id="150" w:name="_Toc2718"/>
      <w:bookmarkStart w:id="151" w:name="_Toc3659"/>
      <w:bookmarkStart w:id="152" w:name="_Toc15510"/>
      <w:bookmarkStart w:id="153" w:name="_Toc9851"/>
      <w:r>
        <w:rPr>
          <w:rFonts w:ascii="Times New Roman" w:eastAsia="楷体" w:hAnsi="Times New Roman" w:cs="Times New Roman"/>
          <w:b/>
          <w:bCs/>
          <w:sz w:val="32"/>
          <w:szCs w:val="32"/>
        </w:rPr>
        <w:t>F5.3</w:t>
      </w:r>
      <w:r>
        <w:rPr>
          <w:rFonts w:ascii="Times New Roman" w:eastAsia="楷体" w:hAnsi="Times New Roman" w:cs="Times New Roman"/>
          <w:b/>
          <w:bCs/>
          <w:sz w:val="32"/>
          <w:szCs w:val="32"/>
        </w:rPr>
        <w:t>规章和文件</w:t>
      </w:r>
      <w:bookmarkEnd w:id="148"/>
      <w:bookmarkEnd w:id="149"/>
      <w:bookmarkEnd w:id="150"/>
      <w:bookmarkEnd w:id="151"/>
      <w:bookmarkEnd w:id="152"/>
      <w:bookmarkEnd w:id="153"/>
    </w:p>
    <w:p w14:paraId="5B41BC3C"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bookmarkStart w:id="154" w:name="_Toc5224"/>
      <w:bookmarkStart w:id="155" w:name="_Toc17502"/>
      <w:bookmarkStart w:id="156" w:name="_Toc11035"/>
      <w:r>
        <w:rPr>
          <w:rFonts w:ascii="Times New Roman" w:eastAsia="宋体" w:hAnsi="Times New Roman" w:cs="Times New Roman"/>
          <w:szCs w:val="20"/>
          <w14:ligatures w14:val="none"/>
        </w:rPr>
        <w:t>《危险化学品建设项目安全监督管理办法》（原国家安全生产督监管理总局令</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45</w:t>
      </w:r>
      <w:r>
        <w:rPr>
          <w:rFonts w:ascii="Times New Roman" w:eastAsia="宋体" w:hAnsi="Times New Roman" w:cs="Times New Roman"/>
          <w:szCs w:val="20"/>
          <w14:ligatures w14:val="none"/>
        </w:rPr>
        <w:t>号，原国家安全监督管理局令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79</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日实施）</w:t>
      </w:r>
    </w:p>
    <w:p w14:paraId="03DF2B6F"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危险化学品建设项目安全评价细则（试行）</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的通知》（安监总危化</w:t>
      </w:r>
      <w:r>
        <w:rPr>
          <w:rFonts w:ascii="Times New Roman" w:eastAsia="宋体" w:hAnsi="Times New Roman" w:cs="Times New Roman"/>
          <w:szCs w:val="20"/>
          <w14:ligatures w14:val="none"/>
        </w:rPr>
        <w:t>[2007]255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2391E870"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《应急管理部、国家发展改革委、工业和信息化部、市场监管总局关于印发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危险化学品生产建设项目安全风险防控指南（试行）</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的通知》（应急</w:t>
      </w:r>
      <w:r>
        <w:rPr>
          <w:rFonts w:ascii="Times New Roman" w:eastAsia="宋体" w:hAnsi="Times New Roman" w:cs="Times New Roman"/>
          <w:szCs w:val="20"/>
          <w14:ligatures w14:val="none"/>
        </w:rPr>
        <w:t>[2022]52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10</w:t>
      </w:r>
      <w:r>
        <w:rPr>
          <w:rFonts w:ascii="Times New Roman" w:eastAsia="宋体" w:hAnsi="Times New Roman" w:cs="Times New Roman"/>
          <w:szCs w:val="20"/>
          <w14:ligatures w14:val="none"/>
        </w:rPr>
        <w:t>日实施）</w:t>
      </w:r>
    </w:p>
    <w:p w14:paraId="2F8EE37C"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《危险化学品经营许可证管理办法》（原国家安全监管总局令</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55</w:t>
      </w:r>
      <w:r>
        <w:rPr>
          <w:rFonts w:ascii="Times New Roman" w:eastAsia="宋体" w:hAnsi="Times New Roman" w:cs="Times New Roman"/>
          <w:szCs w:val="20"/>
          <w14:ligatures w14:val="none"/>
        </w:rPr>
        <w:t>号，原国家安全监管总局令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79</w:t>
      </w:r>
      <w:r>
        <w:rPr>
          <w:rFonts w:ascii="Times New Roman" w:eastAsia="宋体" w:hAnsi="Times New Roman" w:cs="Times New Roman"/>
          <w:szCs w:val="20"/>
          <w14:ligatures w14:val="none"/>
        </w:rPr>
        <w:t>号修正，应急部公告</w:t>
      </w:r>
      <w:r>
        <w:rPr>
          <w:rFonts w:ascii="Times New Roman" w:eastAsia="宋体" w:hAnsi="Times New Roman" w:cs="Times New Roman"/>
          <w:szCs w:val="20"/>
          <w14:ligatures w14:val="none"/>
        </w:rPr>
        <w:t>[2018]12</w:t>
      </w:r>
      <w:r>
        <w:rPr>
          <w:rFonts w:ascii="Times New Roman" w:eastAsia="宋体" w:hAnsi="Times New Roman" w:cs="Times New Roman"/>
          <w:szCs w:val="20"/>
          <w14:ligatures w14:val="none"/>
        </w:rPr>
        <w:lastRenderedPageBreak/>
        <w:t>号修正，应急部公告</w:t>
      </w:r>
      <w:r>
        <w:rPr>
          <w:rFonts w:ascii="Times New Roman" w:eastAsia="宋体" w:hAnsi="Times New Roman" w:cs="Times New Roman"/>
          <w:szCs w:val="20"/>
          <w14:ligatures w14:val="none"/>
        </w:rPr>
        <w:t>[2019]11</w:t>
      </w:r>
      <w:r>
        <w:rPr>
          <w:rFonts w:ascii="Times New Roman" w:eastAsia="宋体" w:hAnsi="Times New Roman" w:cs="Times New Roman"/>
          <w:szCs w:val="20"/>
          <w14:ligatures w14:val="none"/>
        </w:rPr>
        <w:t>号修正，</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13</w:t>
      </w:r>
      <w:r>
        <w:rPr>
          <w:rFonts w:ascii="Times New Roman" w:eastAsia="宋体" w:hAnsi="Times New Roman" w:cs="Times New Roman"/>
          <w:szCs w:val="20"/>
          <w14:ligatures w14:val="none"/>
        </w:rPr>
        <w:t>日实施）</w:t>
      </w:r>
    </w:p>
    <w:p w14:paraId="17B9DAE0"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《生产安全事故应急预案管理办法》（国家安全生产监督管理总局令第</w:t>
      </w:r>
      <w:r>
        <w:rPr>
          <w:rFonts w:ascii="Times New Roman" w:eastAsia="宋体" w:hAnsi="Times New Roman" w:cs="Times New Roman"/>
          <w:szCs w:val="20"/>
          <w14:ligatures w14:val="none"/>
        </w:rPr>
        <w:t>88</w:t>
      </w:r>
      <w:r>
        <w:rPr>
          <w:rFonts w:ascii="Times New Roman" w:eastAsia="宋体" w:hAnsi="Times New Roman" w:cs="Times New Roman"/>
          <w:szCs w:val="20"/>
          <w14:ligatures w14:val="none"/>
        </w:rPr>
        <w:t>号公布，应急管理部令</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500E7A26"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《生产经营单位安全培训规定》（原国家安全生产监督管理总局令</w:t>
      </w:r>
      <w:r>
        <w:rPr>
          <w:rFonts w:ascii="Times New Roman" w:eastAsia="宋体" w:hAnsi="Times New Roman" w:cs="Times New Roman"/>
          <w:szCs w:val="20"/>
          <w14:ligatures w14:val="none"/>
        </w:rPr>
        <w:t>[2006]</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号，原国家安全生产监督管理总局令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80</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5670D52D"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《安全生产培训管理办法》（原国家安全生产监督管理局令</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44</w:t>
      </w:r>
      <w:r>
        <w:rPr>
          <w:rFonts w:ascii="Times New Roman" w:eastAsia="宋体" w:hAnsi="Times New Roman" w:cs="Times New Roman"/>
          <w:szCs w:val="20"/>
          <w14:ligatures w14:val="none"/>
        </w:rPr>
        <w:t>号，原国家安全监督管理局令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80</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41AF033A"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版）》（原国家安全生产监督管理总局等十部门公告</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721BA6C7"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《国家安全监管总局办公厅关于印发危险化学品目录（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版）实施指南（试行）的通知》（安监总厅管三</w:t>
      </w:r>
      <w:r>
        <w:rPr>
          <w:rFonts w:ascii="Times New Roman" w:eastAsia="宋体" w:hAnsi="Times New Roman" w:cs="Times New Roman"/>
          <w:szCs w:val="20"/>
          <w14:ligatures w14:val="none"/>
        </w:rPr>
        <w:t>[2015]80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19</w:t>
      </w:r>
      <w:r>
        <w:rPr>
          <w:rFonts w:ascii="Times New Roman" w:eastAsia="宋体" w:hAnsi="Times New Roman" w:cs="Times New Roman"/>
          <w:szCs w:val="20"/>
          <w14:ligatures w14:val="none"/>
        </w:rPr>
        <w:t>日实施）</w:t>
      </w:r>
    </w:p>
    <w:p w14:paraId="29DA10E9"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《关于调整危险化学品目录（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版）的公告》（中华人民共和国应急管理部等十部门公告</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年第</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2DC794C9"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《应急管理部办公厅关于修改</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版）实施指南（试行）涉及柴油部分内容的通知》（应急厅函</w:t>
      </w:r>
      <w:r>
        <w:rPr>
          <w:rFonts w:ascii="Times New Roman" w:eastAsia="宋体" w:hAnsi="Times New Roman" w:cs="Times New Roman"/>
          <w:szCs w:val="20"/>
          <w14:ligatures w14:val="none"/>
        </w:rPr>
        <w:t>[2022]300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5CA3AA33"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《应急管理部办公厅关于认真做好柴油安全许可有关工作的通知》（应急厅函〔</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317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26</w:t>
      </w:r>
      <w:r>
        <w:rPr>
          <w:rFonts w:ascii="Times New Roman" w:eastAsia="宋体" w:hAnsi="Times New Roman" w:cs="Times New Roman"/>
          <w:szCs w:val="20"/>
          <w14:ligatures w14:val="none"/>
        </w:rPr>
        <w:t>日实施）</w:t>
      </w:r>
    </w:p>
    <w:p w14:paraId="0DC555CD"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《特别管控危险化学品目录（第一版）》（应急管理部工业和信息化部公安部交通运输部公告</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667942D5"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《国家安全监管总局关于公布首批重点监管的危险化学品名录的通知》（安监总管三</w:t>
      </w:r>
      <w:r>
        <w:rPr>
          <w:rFonts w:ascii="Times New Roman" w:eastAsia="宋体" w:hAnsi="Times New Roman" w:cs="Times New Roman"/>
          <w:szCs w:val="20"/>
          <w14:ligatures w14:val="none"/>
        </w:rPr>
        <w:t>[2011]95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21</w:t>
      </w:r>
      <w:r>
        <w:rPr>
          <w:rFonts w:ascii="Times New Roman" w:eastAsia="宋体" w:hAnsi="Times New Roman" w:cs="Times New Roman"/>
          <w:szCs w:val="20"/>
          <w14:ligatures w14:val="none"/>
        </w:rPr>
        <w:t>日实施）</w:t>
      </w:r>
    </w:p>
    <w:p w14:paraId="5505C968"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《首批重点监管的危险化学品安全措施和应急处置原则》（安监总厅管三</w:t>
      </w:r>
      <w:r>
        <w:rPr>
          <w:rFonts w:ascii="Times New Roman" w:eastAsia="宋体" w:hAnsi="Times New Roman" w:cs="Times New Roman"/>
          <w:szCs w:val="20"/>
          <w14:ligatures w14:val="none"/>
        </w:rPr>
        <w:t>[2011]142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5A0C876D"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《国家安全监管总局关于公布第二批重点监管危险化学品名录的通知》（安监总管三</w:t>
      </w:r>
      <w:r>
        <w:rPr>
          <w:rFonts w:ascii="Times New Roman" w:eastAsia="宋体" w:hAnsi="Times New Roman" w:cs="Times New Roman"/>
          <w:szCs w:val="20"/>
          <w14:ligatures w14:val="none"/>
        </w:rPr>
        <w:t>[2013]12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日实施）</w:t>
      </w:r>
    </w:p>
    <w:p w14:paraId="2DB448F9"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《国家安全监管总局关于公布首批重点监管的危险化工工艺目录的通知》（安监总管三</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116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日实施）</w:t>
      </w:r>
    </w:p>
    <w:p w14:paraId="78605344"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《国家安全监管总局关于公布第二批重点监管危险化工工艺目录和调整首批重点监管危险化工工艺中部分典型工艺的通知》（安监总管三</w:t>
      </w:r>
      <w:r>
        <w:rPr>
          <w:rFonts w:ascii="Times New Roman" w:eastAsia="宋体" w:hAnsi="Times New Roman" w:cs="Times New Roman"/>
          <w:szCs w:val="20"/>
          <w14:ligatures w14:val="none"/>
        </w:rPr>
        <w:t>[2013]3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15</w:t>
      </w:r>
      <w:r>
        <w:rPr>
          <w:rFonts w:ascii="Times New Roman" w:eastAsia="宋体" w:hAnsi="Times New Roman" w:cs="Times New Roman"/>
          <w:szCs w:val="20"/>
          <w14:ligatures w14:val="none"/>
        </w:rPr>
        <w:t>日实施）</w:t>
      </w:r>
    </w:p>
    <w:p w14:paraId="22675D9A"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《国家安全监管总局办公厅关于进一步加强加油站安全生产工作的通知》（安监总厅管三</w:t>
      </w:r>
      <w:r>
        <w:rPr>
          <w:rFonts w:ascii="Times New Roman" w:eastAsia="宋体" w:hAnsi="Times New Roman" w:cs="Times New Roman"/>
          <w:szCs w:val="20"/>
          <w14:ligatures w14:val="none"/>
        </w:rPr>
        <w:t>[2016]8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日实施）</w:t>
      </w:r>
    </w:p>
    <w:p w14:paraId="727EA732"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《化工和危险化学品安全生产治本攻坚三年行动方案（</w:t>
      </w:r>
      <w:r>
        <w:rPr>
          <w:rFonts w:ascii="Times New Roman" w:eastAsia="宋体" w:hAnsi="Times New Roman" w:cs="Times New Roman"/>
          <w:szCs w:val="20"/>
          <w14:ligatures w14:val="none"/>
        </w:rPr>
        <w:t>2024-2026</w:t>
      </w:r>
      <w:r>
        <w:rPr>
          <w:rFonts w:ascii="Times New Roman" w:eastAsia="宋体" w:hAnsi="Times New Roman" w:cs="Times New Roman"/>
          <w:szCs w:val="20"/>
          <w14:ligatures w14:val="none"/>
        </w:rPr>
        <w:t>年）》（安委办</w:t>
      </w:r>
      <w:r>
        <w:rPr>
          <w:rFonts w:ascii="Times New Roman" w:eastAsia="宋体" w:hAnsi="Times New Roman" w:cs="Times New Roman"/>
          <w:szCs w:val="20"/>
          <w14:ligatures w14:val="none"/>
        </w:rPr>
        <w:t>[2024]1</w:t>
      </w:r>
      <w:r>
        <w:rPr>
          <w:rFonts w:ascii="Times New Roman" w:eastAsia="宋体" w:hAnsi="Times New Roman" w:cs="Times New Roman"/>
          <w:szCs w:val="20"/>
          <w14:ligatures w14:val="none"/>
        </w:rPr>
        <w:t>号）</w:t>
      </w:r>
    </w:p>
    <w:p w14:paraId="7FE12996"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《国务院安全生产委员会关于印发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全国危险化学品安全风险集中治理方案</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的通知》（安委</w:t>
      </w:r>
      <w:r>
        <w:rPr>
          <w:rFonts w:ascii="Times New Roman" w:eastAsia="宋体" w:hAnsi="Times New Roman" w:cs="Times New Roman"/>
          <w:szCs w:val="20"/>
          <w14:ligatures w14:val="none"/>
        </w:rPr>
        <w:t>[2021]12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31</w:t>
      </w:r>
      <w:r>
        <w:rPr>
          <w:rFonts w:ascii="Times New Roman" w:eastAsia="宋体" w:hAnsi="Times New Roman" w:cs="Times New Roman"/>
          <w:szCs w:val="20"/>
          <w14:ligatures w14:val="none"/>
        </w:rPr>
        <w:t>日实施）</w:t>
      </w:r>
    </w:p>
    <w:p w14:paraId="7C056C94"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《国务院安全生产委员会印发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关于进一步强化安全生产责任落实坚决防范遏制重特大事故的若干措施</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》的通知（安委</w:t>
      </w:r>
      <w:r>
        <w:rPr>
          <w:rFonts w:ascii="Times New Roman" w:eastAsia="宋体" w:hAnsi="Times New Roman" w:cs="Times New Roman"/>
          <w:szCs w:val="20"/>
          <w14:ligatures w14:val="none"/>
        </w:rPr>
        <w:t>[2022]6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日实施）</w:t>
      </w:r>
    </w:p>
    <w:p w14:paraId="77236B2A"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企业安全生产费用提取和使用管理办法</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的通知》（财政部</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应急部</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财资〔</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136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21</w:t>
      </w:r>
      <w:r>
        <w:rPr>
          <w:rFonts w:ascii="Times New Roman" w:eastAsia="宋体" w:hAnsi="Times New Roman" w:cs="Times New Roman"/>
          <w:szCs w:val="20"/>
          <w14:ligatures w14:val="none"/>
        </w:rPr>
        <w:t>日起实施）</w:t>
      </w:r>
    </w:p>
    <w:p w14:paraId="24D31EC6"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《产业结构调整指导目录（</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年本）》（国家发改委令</w:t>
      </w:r>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日起实施）</w:t>
      </w:r>
    </w:p>
    <w:p w14:paraId="525056CA"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淘汏落后危险化学品安全生产工艺设备目录（第一批）</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的通知》（应急</w:t>
      </w:r>
      <w:r>
        <w:rPr>
          <w:rFonts w:ascii="Times New Roman" w:eastAsia="宋体" w:hAnsi="Times New Roman" w:cs="Times New Roman"/>
          <w:szCs w:val="20"/>
          <w14:ligatures w14:val="none"/>
        </w:rPr>
        <w:t>[2020]38</w:t>
      </w:r>
      <w:r>
        <w:rPr>
          <w:rFonts w:ascii="Times New Roman" w:eastAsia="宋体" w:hAnsi="Times New Roman" w:cs="Times New Roman"/>
          <w:szCs w:val="20"/>
          <w14:ligatures w14:val="none"/>
        </w:rPr>
        <w:t>号）</w:t>
      </w:r>
    </w:p>
    <w:p w14:paraId="6F1E5A72"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《应急管理部办公厅关于印发淘汰落后危险化学品安全生产工艺</w:t>
      </w:r>
      <w:r>
        <w:rPr>
          <w:rFonts w:ascii="Times New Roman" w:eastAsia="宋体" w:hAnsi="Times New Roman" w:cs="Times New Roman"/>
          <w:szCs w:val="20"/>
          <w14:ligatures w14:val="none"/>
        </w:rPr>
        <w:lastRenderedPageBreak/>
        <w:t>技术设备目录（第二批）的通知》（应急厅</w:t>
      </w:r>
      <w:r>
        <w:rPr>
          <w:rFonts w:ascii="Times New Roman" w:eastAsia="宋体" w:hAnsi="Times New Roman" w:cs="Times New Roman"/>
          <w:szCs w:val="20"/>
          <w14:ligatures w14:val="none"/>
        </w:rPr>
        <w:t>[2024]86</w:t>
      </w:r>
      <w:r>
        <w:rPr>
          <w:rFonts w:ascii="Times New Roman" w:eastAsia="宋体" w:hAnsi="Times New Roman" w:cs="Times New Roman"/>
          <w:szCs w:val="20"/>
          <w14:ligatures w14:val="none"/>
        </w:rPr>
        <w:t>号）</w:t>
      </w:r>
    </w:p>
    <w:p w14:paraId="7A80CA29"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《关于进一步加强企业安全生产工作的通知》（国务院国发</w:t>
      </w:r>
      <w:r>
        <w:rPr>
          <w:rFonts w:ascii="Times New Roman" w:eastAsia="宋体" w:hAnsi="Times New Roman" w:cs="Times New Roman"/>
          <w:szCs w:val="20"/>
          <w14:ligatures w14:val="none"/>
        </w:rPr>
        <w:t>[2010]23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19</w:t>
      </w:r>
      <w:r>
        <w:rPr>
          <w:rFonts w:ascii="Times New Roman" w:eastAsia="宋体" w:hAnsi="Times New Roman" w:cs="Times New Roman"/>
          <w:szCs w:val="20"/>
          <w14:ligatures w14:val="none"/>
        </w:rPr>
        <w:t>日实施）</w:t>
      </w:r>
    </w:p>
    <w:p w14:paraId="39D885C0" w14:textId="77777777" w:rsidR="00502148"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《国务院办公厅关于进一步做好防雷减灾工作的通知》（国办发明电</w:t>
      </w:r>
      <w:r>
        <w:rPr>
          <w:rFonts w:ascii="Times New Roman" w:eastAsia="宋体" w:hAnsi="Times New Roman" w:cs="Times New Roman"/>
          <w:szCs w:val="20"/>
          <w14:ligatures w14:val="none"/>
        </w:rPr>
        <w:t>[2006]28</w:t>
      </w:r>
      <w:r>
        <w:rPr>
          <w:rFonts w:ascii="Times New Roman" w:eastAsia="宋体" w:hAnsi="Times New Roman" w:cs="Times New Roman"/>
          <w:szCs w:val="20"/>
          <w14:ligatures w14:val="none"/>
        </w:rPr>
        <w:t>号）</w:t>
      </w:r>
    </w:p>
    <w:p w14:paraId="428FDE28"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57" w:name="_Toc27229"/>
      <w:bookmarkStart w:id="158" w:name="_Toc24134"/>
      <w:bookmarkStart w:id="159" w:name="_Toc5848"/>
      <w:r>
        <w:rPr>
          <w:rFonts w:ascii="Times New Roman" w:eastAsia="楷体" w:hAnsi="Times New Roman" w:cs="Times New Roman"/>
          <w:b/>
          <w:bCs/>
          <w:sz w:val="32"/>
          <w:szCs w:val="32"/>
        </w:rPr>
        <w:t>F5.4</w:t>
      </w:r>
      <w:r>
        <w:rPr>
          <w:rFonts w:ascii="Times New Roman" w:eastAsia="楷体" w:hAnsi="Times New Roman" w:cs="Times New Roman"/>
          <w:b/>
          <w:bCs/>
          <w:sz w:val="32"/>
          <w:szCs w:val="32"/>
        </w:rPr>
        <w:t>地方法规、规章和文件</w:t>
      </w:r>
      <w:bookmarkEnd w:id="154"/>
      <w:bookmarkEnd w:id="155"/>
      <w:bookmarkEnd w:id="156"/>
      <w:bookmarkEnd w:id="157"/>
      <w:bookmarkEnd w:id="158"/>
      <w:bookmarkEnd w:id="159"/>
    </w:p>
    <w:p w14:paraId="244A8258"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《辽宁省安全生产条例》（辽宁省人民代表大会常务委员会公告〔</w:t>
      </w:r>
      <w:r>
        <w:rPr>
          <w:rFonts w:ascii="Times New Roman" w:eastAsia="宋体" w:hAnsi="Times New Roman" w:cs="Times New Roman"/>
          <w:szCs w:val="20"/>
          <w14:ligatures w14:val="none"/>
        </w:rPr>
        <w:t>2025</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34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日起施行）</w:t>
      </w:r>
    </w:p>
    <w:p w14:paraId="59772D54"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《辽宁省消防条例》（辽宁省人民代表大会常务委员会公告</w:t>
      </w:r>
      <w:r>
        <w:rPr>
          <w:rFonts w:ascii="Times New Roman" w:eastAsia="宋体" w:hAnsi="Times New Roman" w:cs="Times New Roman"/>
          <w:szCs w:val="20"/>
          <w14:ligatures w14:val="none"/>
        </w:rPr>
        <w:t>[2022]103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日实施）</w:t>
      </w:r>
    </w:p>
    <w:p w14:paraId="4C12D4AB"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《辽宁省突发事件应对条例》（辽宁省人民代表大会常务委员会公告</w:t>
      </w:r>
      <w:r>
        <w:rPr>
          <w:rFonts w:ascii="Times New Roman" w:eastAsia="宋体" w:hAnsi="Times New Roman" w:cs="Times New Roman"/>
          <w:szCs w:val="20"/>
          <w14:ligatures w14:val="none"/>
        </w:rPr>
        <w:t>[2020]47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09758635"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《辽宁省企业安全生产主体责任规定》（辽宁省人民政府令</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341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18</w:t>
      </w:r>
      <w:r>
        <w:rPr>
          <w:rFonts w:ascii="Times New Roman" w:eastAsia="宋体" w:hAnsi="Times New Roman" w:cs="Times New Roman"/>
          <w:szCs w:val="20"/>
          <w14:ligatures w14:val="none"/>
        </w:rPr>
        <w:t>日实施）</w:t>
      </w:r>
    </w:p>
    <w:p w14:paraId="7CAA49CF"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《辽宁省建设项目安全设施监督管理办法》（辽宁省人民政府令</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341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18</w:t>
      </w:r>
      <w:r>
        <w:rPr>
          <w:rFonts w:ascii="Times New Roman" w:eastAsia="宋体" w:hAnsi="Times New Roman" w:cs="Times New Roman"/>
          <w:szCs w:val="20"/>
          <w14:ligatures w14:val="none"/>
        </w:rPr>
        <w:t>日实施）</w:t>
      </w:r>
    </w:p>
    <w:p w14:paraId="2BDE90FF"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《辽宁省雷电灾害防御管理规定》（辽宁省人民政府令</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324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日实施）</w:t>
      </w:r>
    </w:p>
    <w:p w14:paraId="146D57C9"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《辽宁省建设项目选址规划管理办法》（辽宁省人民政府令</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300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17</w:t>
      </w:r>
      <w:r>
        <w:rPr>
          <w:rFonts w:ascii="Times New Roman" w:eastAsia="宋体" w:hAnsi="Times New Roman" w:cs="Times New Roman"/>
          <w:szCs w:val="20"/>
          <w14:ligatures w14:val="none"/>
        </w:rPr>
        <w:t>日实施）</w:t>
      </w:r>
    </w:p>
    <w:p w14:paraId="41CD88FF"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《辽宁省危险化学品建设项目安全监督管理实施细则》（辽宁省安全生产监督管理局辽安监管三</w:t>
      </w:r>
      <w:r>
        <w:rPr>
          <w:rFonts w:ascii="Times New Roman" w:eastAsia="宋体" w:hAnsi="Times New Roman" w:cs="Times New Roman"/>
          <w:szCs w:val="20"/>
          <w14:ligatures w14:val="none"/>
        </w:rPr>
        <w:t>[2016]24</w:t>
      </w:r>
      <w:r>
        <w:rPr>
          <w:rFonts w:ascii="Times New Roman" w:eastAsia="宋体" w:hAnsi="Times New Roman" w:cs="Times New Roman"/>
          <w:szCs w:val="20"/>
          <w14:ligatures w14:val="none"/>
        </w:rPr>
        <w:t>号）</w:t>
      </w:r>
    </w:p>
    <w:p w14:paraId="050D635A"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《关于印发辽宁省安全生产监督管理局贯彻落实〈生产安全事故应急预案管理办法〉实施细则的通知》（辽安监应急</w:t>
      </w:r>
      <w:r>
        <w:rPr>
          <w:rFonts w:ascii="Times New Roman" w:eastAsia="宋体" w:hAnsi="Times New Roman" w:cs="Times New Roman"/>
          <w:szCs w:val="20"/>
          <w14:ligatures w14:val="none"/>
        </w:rPr>
        <w:t>[2017]5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13</w:t>
      </w:r>
      <w:r>
        <w:rPr>
          <w:rFonts w:ascii="Times New Roman" w:eastAsia="宋体" w:hAnsi="Times New Roman" w:cs="Times New Roman"/>
          <w:szCs w:val="20"/>
          <w14:ligatures w14:val="none"/>
        </w:rPr>
        <w:lastRenderedPageBreak/>
        <w:t>日实施）</w:t>
      </w:r>
    </w:p>
    <w:p w14:paraId="6DA91676" w14:textId="77777777" w:rsidR="00502148"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《关于做好危险化学品经营许可证颁发管理有关工作的通知》（辽安监管三</w:t>
      </w:r>
      <w:r>
        <w:rPr>
          <w:rFonts w:ascii="Times New Roman" w:eastAsia="宋体" w:hAnsi="Times New Roman" w:cs="Times New Roman"/>
          <w:szCs w:val="20"/>
          <w14:ligatures w14:val="none"/>
        </w:rPr>
        <w:t>[2012]144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0ACF9180" w14:textId="77777777" w:rsidR="00502148"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60" w:name="_Toc18759"/>
      <w:bookmarkStart w:id="161" w:name="_Toc16685"/>
      <w:bookmarkStart w:id="162" w:name="_Toc20381"/>
      <w:bookmarkStart w:id="163" w:name="_Toc12804"/>
      <w:bookmarkStart w:id="164" w:name="_Toc12582"/>
      <w:bookmarkStart w:id="165" w:name="_Toc30727"/>
      <w:r>
        <w:rPr>
          <w:rFonts w:ascii="Times New Roman" w:eastAsia="楷体" w:hAnsi="Times New Roman" w:cs="Times New Roman"/>
          <w:b/>
          <w:bCs/>
          <w:sz w:val="32"/>
          <w:szCs w:val="32"/>
        </w:rPr>
        <w:t>F5.5</w:t>
      </w:r>
      <w:r>
        <w:rPr>
          <w:rFonts w:ascii="Times New Roman" w:eastAsia="楷体" w:hAnsi="Times New Roman" w:cs="Times New Roman"/>
          <w:b/>
          <w:bCs/>
          <w:sz w:val="32"/>
          <w:szCs w:val="32"/>
        </w:rPr>
        <w:t>国家及行业标准、规范</w:t>
      </w:r>
      <w:bookmarkEnd w:id="160"/>
      <w:bookmarkEnd w:id="161"/>
      <w:bookmarkEnd w:id="162"/>
      <w:bookmarkEnd w:id="163"/>
      <w:bookmarkEnd w:id="164"/>
      <w:bookmarkEnd w:id="165"/>
    </w:p>
    <w:p w14:paraId="580D8CE0"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《安全评价通则》（</w:t>
      </w:r>
      <w:r>
        <w:rPr>
          <w:rFonts w:ascii="Times New Roman" w:eastAsia="宋体" w:hAnsi="Times New Roman" w:cs="Times New Roman"/>
          <w:szCs w:val="20"/>
          <w14:ligatures w14:val="none"/>
        </w:rPr>
        <w:t>AQ 8001-2007</w:t>
      </w:r>
      <w:r>
        <w:rPr>
          <w:rFonts w:ascii="Times New Roman" w:eastAsia="宋体" w:hAnsi="Times New Roman" w:cs="Times New Roman"/>
          <w:szCs w:val="20"/>
          <w14:ligatures w14:val="none"/>
        </w:rPr>
        <w:t>）</w:t>
      </w:r>
    </w:p>
    <w:p w14:paraId="1AE2621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《安全验收评价导则》（</w:t>
      </w:r>
      <w:r>
        <w:rPr>
          <w:rFonts w:ascii="Times New Roman" w:eastAsia="宋体" w:hAnsi="Times New Roman" w:cs="Times New Roman"/>
          <w:szCs w:val="20"/>
          <w14:ligatures w14:val="none"/>
        </w:rPr>
        <w:t>AQ 8003-2007</w:t>
      </w:r>
      <w:r>
        <w:rPr>
          <w:rFonts w:ascii="Times New Roman" w:eastAsia="宋体" w:hAnsi="Times New Roman" w:cs="Times New Roman"/>
          <w:szCs w:val="20"/>
          <w14:ligatures w14:val="none"/>
        </w:rPr>
        <w:t>）</w:t>
      </w:r>
    </w:p>
    <w:p w14:paraId="79DACC3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《汽车加油加气加氢站技术标准》（</w:t>
      </w:r>
      <w:r>
        <w:rPr>
          <w:rFonts w:ascii="Times New Roman" w:eastAsia="宋体" w:hAnsi="Times New Roman" w:cs="Times New Roman"/>
          <w:szCs w:val="20"/>
          <w14:ligatures w14:val="none"/>
        </w:rPr>
        <w:t>GB 50156-2021</w:t>
      </w:r>
      <w:r>
        <w:rPr>
          <w:rFonts w:ascii="Times New Roman" w:eastAsia="宋体" w:hAnsi="Times New Roman" w:cs="Times New Roman"/>
          <w:szCs w:val="20"/>
          <w14:ligatures w14:val="none"/>
        </w:rPr>
        <w:t>）</w:t>
      </w:r>
    </w:p>
    <w:p w14:paraId="59D990C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《建筑防火通用规范》（</w:t>
      </w:r>
      <w:r>
        <w:rPr>
          <w:rFonts w:ascii="Times New Roman" w:eastAsia="宋体" w:hAnsi="Times New Roman" w:cs="Times New Roman"/>
          <w:szCs w:val="20"/>
          <w14:ligatures w14:val="none"/>
        </w:rPr>
        <w:t>GB 55037-2022</w:t>
      </w:r>
      <w:r>
        <w:rPr>
          <w:rFonts w:ascii="Times New Roman" w:eastAsia="宋体" w:hAnsi="Times New Roman" w:cs="Times New Roman"/>
          <w:szCs w:val="20"/>
          <w14:ligatures w14:val="none"/>
        </w:rPr>
        <w:t>）</w:t>
      </w:r>
    </w:p>
    <w:p w14:paraId="0A95107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《建筑设计防火规范（</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年版）》（</w:t>
      </w:r>
      <w:r>
        <w:rPr>
          <w:rFonts w:ascii="Times New Roman" w:eastAsia="宋体" w:hAnsi="Times New Roman" w:cs="Times New Roman"/>
          <w:szCs w:val="20"/>
          <w14:ligatures w14:val="none"/>
        </w:rPr>
        <w:t>GB 50016-2014</w:t>
      </w:r>
      <w:r>
        <w:rPr>
          <w:rFonts w:ascii="Times New Roman" w:eastAsia="宋体" w:hAnsi="Times New Roman" w:cs="Times New Roman"/>
          <w:szCs w:val="20"/>
          <w14:ligatures w14:val="none"/>
        </w:rPr>
        <w:t>）</w:t>
      </w:r>
    </w:p>
    <w:p w14:paraId="13A59913"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《加油站作业安全规范》（</w:t>
      </w:r>
      <w:r>
        <w:rPr>
          <w:rFonts w:ascii="Times New Roman" w:eastAsia="宋体" w:hAnsi="Times New Roman" w:cs="Times New Roman"/>
          <w:szCs w:val="20"/>
          <w14:ligatures w14:val="none"/>
        </w:rPr>
        <w:t>AQ 3010-2022</w:t>
      </w:r>
      <w:r>
        <w:rPr>
          <w:rFonts w:ascii="Times New Roman" w:eastAsia="宋体" w:hAnsi="Times New Roman" w:cs="Times New Roman"/>
          <w:szCs w:val="20"/>
          <w14:ligatures w14:val="none"/>
        </w:rPr>
        <w:t>）</w:t>
      </w:r>
    </w:p>
    <w:p w14:paraId="52EE1A5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《汽车加油加气站消防安全管理》（</w:t>
      </w:r>
      <w:r>
        <w:rPr>
          <w:rFonts w:ascii="Times New Roman" w:eastAsia="宋体" w:hAnsi="Times New Roman" w:cs="Times New Roman"/>
          <w:szCs w:val="20"/>
          <w14:ligatures w14:val="none"/>
        </w:rPr>
        <w:t>XF/T 3004-2020</w:t>
      </w:r>
      <w:r>
        <w:rPr>
          <w:rFonts w:ascii="Times New Roman" w:eastAsia="宋体" w:hAnsi="Times New Roman" w:cs="Times New Roman"/>
          <w:szCs w:val="20"/>
          <w14:ligatures w14:val="none"/>
        </w:rPr>
        <w:t>）</w:t>
      </w:r>
    </w:p>
    <w:p w14:paraId="13752412"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《视频安防监控系统工程设计规范》（</w:t>
      </w:r>
      <w:r>
        <w:rPr>
          <w:rFonts w:ascii="Times New Roman" w:eastAsia="宋体" w:hAnsi="Times New Roman" w:cs="Times New Roman"/>
          <w:szCs w:val="20"/>
          <w14:ligatures w14:val="none"/>
        </w:rPr>
        <w:t>GB 50395-2007</w:t>
      </w:r>
      <w:r>
        <w:rPr>
          <w:rFonts w:ascii="Times New Roman" w:eastAsia="宋体" w:hAnsi="Times New Roman" w:cs="Times New Roman"/>
          <w:szCs w:val="20"/>
          <w14:ligatures w14:val="none"/>
        </w:rPr>
        <w:t>）</w:t>
      </w:r>
    </w:p>
    <w:p w14:paraId="0FF57D51"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《建筑物电子信息系统防雷技术规范》（</w:t>
      </w:r>
      <w:r>
        <w:rPr>
          <w:rFonts w:ascii="Times New Roman" w:eastAsia="宋体" w:hAnsi="Times New Roman" w:cs="Times New Roman"/>
          <w:szCs w:val="20"/>
          <w14:ligatures w14:val="none"/>
        </w:rPr>
        <w:t>GB 50343-2012</w:t>
      </w:r>
      <w:r>
        <w:rPr>
          <w:rFonts w:ascii="Times New Roman" w:eastAsia="宋体" w:hAnsi="Times New Roman" w:cs="Times New Roman"/>
          <w:szCs w:val="20"/>
          <w14:ligatures w14:val="none"/>
        </w:rPr>
        <w:t>）</w:t>
      </w:r>
    </w:p>
    <w:p w14:paraId="57D5376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《建筑物防雷设计规范》（</w:t>
      </w:r>
      <w:r>
        <w:rPr>
          <w:rFonts w:ascii="Times New Roman" w:eastAsia="宋体" w:hAnsi="Times New Roman" w:cs="Times New Roman"/>
          <w:szCs w:val="20"/>
          <w14:ligatures w14:val="none"/>
        </w:rPr>
        <w:t>GB 50057-2010</w:t>
      </w:r>
      <w:r>
        <w:rPr>
          <w:rFonts w:ascii="Times New Roman" w:eastAsia="宋体" w:hAnsi="Times New Roman" w:cs="Times New Roman"/>
          <w:szCs w:val="20"/>
          <w14:ligatures w14:val="none"/>
        </w:rPr>
        <w:t>）</w:t>
      </w:r>
    </w:p>
    <w:p w14:paraId="29BC8135"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《建筑照明设计标准》（</w:t>
      </w:r>
      <w:r>
        <w:rPr>
          <w:rFonts w:ascii="Times New Roman" w:eastAsia="宋体" w:hAnsi="Times New Roman" w:cs="Times New Roman" w:hint="eastAsia"/>
          <w:szCs w:val="20"/>
          <w14:ligatures w14:val="none"/>
        </w:rPr>
        <w:t>GB/T 50034-2024</w:t>
      </w:r>
      <w:r>
        <w:rPr>
          <w:rFonts w:ascii="Times New Roman" w:eastAsia="宋体" w:hAnsi="Times New Roman" w:cs="Times New Roman"/>
          <w:szCs w:val="20"/>
          <w14:ligatures w14:val="none"/>
        </w:rPr>
        <w:t>）</w:t>
      </w:r>
    </w:p>
    <w:p w14:paraId="3FB5869A"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《建筑灭火器配置设计规范》（</w:t>
      </w:r>
      <w:r>
        <w:rPr>
          <w:rFonts w:ascii="Times New Roman" w:eastAsia="宋体" w:hAnsi="Times New Roman" w:cs="Times New Roman"/>
          <w:szCs w:val="20"/>
          <w14:ligatures w14:val="none"/>
        </w:rPr>
        <w:t>GB 50140-2005</w:t>
      </w:r>
      <w:r>
        <w:rPr>
          <w:rFonts w:ascii="Times New Roman" w:eastAsia="宋体" w:hAnsi="Times New Roman" w:cs="Times New Roman"/>
          <w:szCs w:val="20"/>
          <w14:ligatures w14:val="none"/>
        </w:rPr>
        <w:t>）</w:t>
      </w:r>
    </w:p>
    <w:p w14:paraId="31F98C33"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《建筑抗震设计标准（</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年版）》（</w:t>
      </w:r>
      <w:r>
        <w:rPr>
          <w:rFonts w:ascii="Times New Roman" w:eastAsia="宋体" w:hAnsi="Times New Roman" w:cs="Times New Roman"/>
          <w:szCs w:val="20"/>
          <w14:ligatures w14:val="none"/>
        </w:rPr>
        <w:t>GB/T 50011-2010</w:t>
      </w:r>
      <w:r>
        <w:rPr>
          <w:rFonts w:ascii="Times New Roman" w:eastAsia="宋体" w:hAnsi="Times New Roman" w:cs="Times New Roman"/>
          <w:szCs w:val="20"/>
          <w14:ligatures w14:val="none"/>
        </w:rPr>
        <w:t>）</w:t>
      </w:r>
    </w:p>
    <w:p w14:paraId="4D845A97"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《消防设施通用规范》（</w:t>
      </w:r>
      <w:r>
        <w:rPr>
          <w:rFonts w:ascii="Times New Roman" w:eastAsia="宋体" w:hAnsi="Times New Roman" w:cs="Times New Roman"/>
          <w:szCs w:val="20"/>
          <w14:ligatures w14:val="none"/>
        </w:rPr>
        <w:t>GB 55036-2022</w:t>
      </w:r>
      <w:r>
        <w:rPr>
          <w:rFonts w:ascii="Times New Roman" w:eastAsia="宋体" w:hAnsi="Times New Roman" w:cs="Times New Roman"/>
          <w:szCs w:val="20"/>
          <w14:ligatures w14:val="none"/>
        </w:rPr>
        <w:t>）</w:t>
      </w:r>
    </w:p>
    <w:p w14:paraId="6994396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《消防应急照明和疏散指示系统》（</w:t>
      </w:r>
      <w:r>
        <w:rPr>
          <w:rFonts w:ascii="Times New Roman" w:eastAsia="宋体" w:hAnsi="Times New Roman" w:cs="Times New Roman"/>
          <w:szCs w:val="20"/>
          <w14:ligatures w14:val="none"/>
        </w:rPr>
        <w:t>GB 17945-2024</w:t>
      </w:r>
      <w:r>
        <w:rPr>
          <w:rFonts w:ascii="Times New Roman" w:eastAsia="宋体" w:hAnsi="Times New Roman" w:cs="Times New Roman"/>
          <w:szCs w:val="20"/>
          <w14:ligatures w14:val="none"/>
        </w:rPr>
        <w:t>）</w:t>
      </w:r>
    </w:p>
    <w:p w14:paraId="766C245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《危险化学品重大危险源辨识》（</w:t>
      </w:r>
      <w:r>
        <w:rPr>
          <w:rFonts w:ascii="Times New Roman" w:eastAsia="宋体" w:hAnsi="Times New Roman" w:cs="Times New Roman"/>
          <w:szCs w:val="20"/>
          <w14:ligatures w14:val="none"/>
        </w:rPr>
        <w:t>GB 18218-2018</w:t>
      </w:r>
      <w:r>
        <w:rPr>
          <w:rFonts w:ascii="Times New Roman" w:eastAsia="宋体" w:hAnsi="Times New Roman" w:cs="Times New Roman"/>
          <w:szCs w:val="20"/>
          <w14:ligatures w14:val="none"/>
        </w:rPr>
        <w:t>）</w:t>
      </w:r>
    </w:p>
    <w:p w14:paraId="2DBB600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《易燃易爆性商品储存养护技术条件》（</w:t>
      </w:r>
      <w:r>
        <w:rPr>
          <w:rFonts w:ascii="Times New Roman" w:eastAsia="宋体" w:hAnsi="Times New Roman" w:cs="Times New Roman"/>
          <w:szCs w:val="20"/>
          <w14:ligatures w14:val="none"/>
        </w:rPr>
        <w:t>GB 17914-2013</w:t>
      </w:r>
      <w:r>
        <w:rPr>
          <w:rFonts w:ascii="Times New Roman" w:eastAsia="宋体" w:hAnsi="Times New Roman" w:cs="Times New Roman"/>
          <w:szCs w:val="20"/>
          <w14:ligatures w14:val="none"/>
        </w:rPr>
        <w:t>）</w:t>
      </w:r>
    </w:p>
    <w:p w14:paraId="08606DA0"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《危险化学品仓库储存通则》（</w:t>
      </w:r>
      <w:r>
        <w:rPr>
          <w:rFonts w:ascii="Times New Roman" w:eastAsia="宋体" w:hAnsi="Times New Roman" w:cs="Times New Roman"/>
          <w:szCs w:val="20"/>
          <w14:ligatures w14:val="none"/>
        </w:rPr>
        <w:t>GB 15603-2022</w:t>
      </w:r>
      <w:r>
        <w:rPr>
          <w:rFonts w:ascii="Times New Roman" w:eastAsia="宋体" w:hAnsi="Times New Roman" w:cs="Times New Roman"/>
          <w:szCs w:val="20"/>
          <w14:ligatures w14:val="none"/>
        </w:rPr>
        <w:t>）</w:t>
      </w:r>
    </w:p>
    <w:p w14:paraId="765A4E9D"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《供配电系统设计规范》（</w:t>
      </w:r>
      <w:r>
        <w:rPr>
          <w:rFonts w:ascii="Times New Roman" w:eastAsia="宋体" w:hAnsi="Times New Roman" w:cs="Times New Roman"/>
          <w:szCs w:val="20"/>
          <w14:ligatures w14:val="none"/>
        </w:rPr>
        <w:t>GB 50052-2009</w:t>
      </w:r>
      <w:r>
        <w:rPr>
          <w:rFonts w:ascii="Times New Roman" w:eastAsia="宋体" w:hAnsi="Times New Roman" w:cs="Times New Roman"/>
          <w:szCs w:val="20"/>
          <w14:ligatures w14:val="none"/>
        </w:rPr>
        <w:t>）</w:t>
      </w:r>
    </w:p>
    <w:p w14:paraId="0186E5C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《低压配电设计规范》（</w:t>
      </w:r>
      <w:r>
        <w:rPr>
          <w:rFonts w:ascii="Times New Roman" w:eastAsia="宋体" w:hAnsi="Times New Roman" w:cs="Times New Roman"/>
          <w:szCs w:val="20"/>
          <w14:ligatures w14:val="none"/>
        </w:rPr>
        <w:t>GB 50054-2011</w:t>
      </w:r>
      <w:r>
        <w:rPr>
          <w:rFonts w:ascii="Times New Roman" w:eastAsia="宋体" w:hAnsi="Times New Roman" w:cs="Times New Roman"/>
          <w:szCs w:val="20"/>
          <w14:ligatures w14:val="none"/>
        </w:rPr>
        <w:t>）</w:t>
      </w:r>
    </w:p>
    <w:p w14:paraId="2F29F02A"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《防止静电事故通用</w:t>
      </w:r>
      <w:r>
        <w:rPr>
          <w:rFonts w:ascii="Times New Roman" w:eastAsia="宋体" w:hAnsi="Times New Roman" w:cs="Times New Roman" w:hint="eastAsia"/>
          <w:szCs w:val="20"/>
          <w14:ligatures w14:val="none"/>
        </w:rPr>
        <w:t>导则</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GB 12158-20</w:t>
      </w:r>
      <w:r>
        <w:rPr>
          <w:rFonts w:ascii="Times New Roman" w:eastAsia="宋体" w:hAnsi="Times New Roman" w:cs="Times New Roman" w:hint="eastAsia"/>
          <w:szCs w:val="20"/>
          <w14:ligatures w14:val="none"/>
        </w:rPr>
        <w:t>06</w:t>
      </w:r>
      <w:r>
        <w:rPr>
          <w:rFonts w:ascii="Times New Roman" w:eastAsia="宋体" w:hAnsi="Times New Roman" w:cs="Times New Roman"/>
          <w:szCs w:val="20"/>
          <w14:ligatures w14:val="none"/>
        </w:rPr>
        <w:t>）</w:t>
      </w:r>
    </w:p>
    <w:p w14:paraId="76EF522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《用电安全导则》（</w:t>
      </w:r>
      <w:r>
        <w:rPr>
          <w:rFonts w:ascii="Times New Roman" w:eastAsia="宋体" w:hAnsi="Times New Roman" w:cs="Times New Roman"/>
          <w:szCs w:val="20"/>
          <w14:ligatures w14:val="none"/>
        </w:rPr>
        <w:t>GB/T 13869-2017</w:t>
      </w:r>
      <w:r>
        <w:rPr>
          <w:rFonts w:ascii="Times New Roman" w:eastAsia="宋体" w:hAnsi="Times New Roman" w:cs="Times New Roman"/>
          <w:szCs w:val="20"/>
          <w14:ligatures w14:val="none"/>
        </w:rPr>
        <w:t>）</w:t>
      </w:r>
    </w:p>
    <w:p w14:paraId="5630624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《电气装置安装工程接地装置施工及验收规范》（</w:t>
      </w:r>
      <w:r>
        <w:rPr>
          <w:rFonts w:ascii="Times New Roman" w:eastAsia="宋体" w:hAnsi="Times New Roman" w:cs="Times New Roman"/>
          <w:szCs w:val="20"/>
          <w14:ligatures w14:val="none"/>
        </w:rPr>
        <w:t>GB 50169-2016</w:t>
      </w:r>
      <w:r>
        <w:rPr>
          <w:rFonts w:ascii="Times New Roman" w:eastAsia="宋体" w:hAnsi="Times New Roman" w:cs="Times New Roman"/>
          <w:szCs w:val="20"/>
          <w14:ligatures w14:val="none"/>
        </w:rPr>
        <w:t>）</w:t>
      </w:r>
    </w:p>
    <w:p w14:paraId="1937ED08"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《系统接地的型式及安全技术要求》（</w:t>
      </w:r>
      <w:r>
        <w:rPr>
          <w:rFonts w:ascii="Times New Roman" w:eastAsia="宋体" w:hAnsi="Times New Roman" w:cs="Times New Roman"/>
          <w:szCs w:val="20"/>
          <w14:ligatures w14:val="none"/>
        </w:rPr>
        <w:t>GB 14050-2008</w:t>
      </w:r>
      <w:r>
        <w:rPr>
          <w:rFonts w:ascii="Times New Roman" w:eastAsia="宋体" w:hAnsi="Times New Roman" w:cs="Times New Roman"/>
          <w:szCs w:val="20"/>
          <w14:ligatures w14:val="none"/>
        </w:rPr>
        <w:t>）</w:t>
      </w:r>
    </w:p>
    <w:p w14:paraId="118D0335"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《外壳防护等级（</w:t>
      </w:r>
      <w:r>
        <w:rPr>
          <w:rFonts w:ascii="Times New Roman" w:eastAsia="宋体" w:hAnsi="Times New Roman" w:cs="Times New Roman"/>
          <w:szCs w:val="20"/>
          <w14:ligatures w14:val="none"/>
        </w:rPr>
        <w:t>IP</w:t>
      </w:r>
      <w:r>
        <w:rPr>
          <w:rFonts w:ascii="Times New Roman" w:eastAsia="宋体" w:hAnsi="Times New Roman" w:cs="Times New Roman"/>
          <w:szCs w:val="20"/>
          <w14:ligatures w14:val="none"/>
        </w:rPr>
        <w:t>代码）》（</w:t>
      </w:r>
      <w:r>
        <w:rPr>
          <w:rFonts w:ascii="Times New Roman" w:eastAsia="宋体" w:hAnsi="Times New Roman" w:cs="Times New Roman"/>
          <w:szCs w:val="20"/>
          <w14:ligatures w14:val="none"/>
        </w:rPr>
        <w:t>GB/T 4208-2017</w:t>
      </w:r>
      <w:r>
        <w:rPr>
          <w:rFonts w:ascii="Times New Roman" w:eastAsia="宋体" w:hAnsi="Times New Roman" w:cs="Times New Roman"/>
          <w:szCs w:val="20"/>
          <w14:ligatures w14:val="none"/>
        </w:rPr>
        <w:t>）</w:t>
      </w:r>
    </w:p>
    <w:p w14:paraId="69C0BDAD"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《剩余电流动作保护装置安装和运行》（</w:t>
      </w:r>
      <w:r>
        <w:rPr>
          <w:rFonts w:ascii="Times New Roman" w:eastAsia="宋体" w:hAnsi="Times New Roman" w:cs="Times New Roman"/>
          <w:szCs w:val="20"/>
          <w14:ligatures w14:val="none"/>
        </w:rPr>
        <w:t>GB/T 13955-2017</w:t>
      </w:r>
      <w:r>
        <w:rPr>
          <w:rFonts w:ascii="Times New Roman" w:eastAsia="宋体" w:hAnsi="Times New Roman" w:cs="Times New Roman"/>
          <w:szCs w:val="20"/>
          <w14:ligatures w14:val="none"/>
        </w:rPr>
        <w:t>）</w:t>
      </w:r>
    </w:p>
    <w:p w14:paraId="2239833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《爆炸危险环境电力装置设计规范》（</w:t>
      </w:r>
      <w:r>
        <w:rPr>
          <w:rFonts w:ascii="Times New Roman" w:eastAsia="宋体" w:hAnsi="Times New Roman" w:cs="Times New Roman"/>
          <w:szCs w:val="20"/>
          <w14:ligatures w14:val="none"/>
        </w:rPr>
        <w:t>GB 50058-2014</w:t>
      </w:r>
      <w:r>
        <w:rPr>
          <w:rFonts w:ascii="Times New Roman" w:eastAsia="宋体" w:hAnsi="Times New Roman" w:cs="Times New Roman"/>
          <w:szCs w:val="20"/>
          <w14:ligatures w14:val="none"/>
        </w:rPr>
        <w:t>）</w:t>
      </w:r>
    </w:p>
    <w:p w14:paraId="136CC2D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《危险场所电气防爆安全规范》（</w:t>
      </w:r>
      <w:r>
        <w:rPr>
          <w:rFonts w:ascii="Times New Roman" w:eastAsia="宋体" w:hAnsi="Times New Roman" w:cs="Times New Roman"/>
          <w:szCs w:val="20"/>
          <w14:ligatures w14:val="none"/>
        </w:rPr>
        <w:t>AQ 3009-2007</w:t>
      </w:r>
      <w:r>
        <w:rPr>
          <w:rFonts w:ascii="Times New Roman" w:eastAsia="宋体" w:hAnsi="Times New Roman" w:cs="Times New Roman"/>
          <w:szCs w:val="20"/>
          <w14:ligatures w14:val="none"/>
        </w:rPr>
        <w:t>）</w:t>
      </w:r>
    </w:p>
    <w:p w14:paraId="4E7C238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《高处作业分级》（</w:t>
      </w:r>
      <w:r>
        <w:rPr>
          <w:rFonts w:ascii="Times New Roman" w:eastAsia="宋体" w:hAnsi="Times New Roman" w:cs="Times New Roman"/>
          <w:szCs w:val="20"/>
          <w14:ligatures w14:val="none"/>
        </w:rPr>
        <w:t>GB/T 3608-2008</w:t>
      </w:r>
      <w:r>
        <w:rPr>
          <w:rFonts w:ascii="Times New Roman" w:eastAsia="宋体" w:hAnsi="Times New Roman" w:cs="Times New Roman"/>
          <w:szCs w:val="20"/>
          <w14:ligatures w14:val="none"/>
        </w:rPr>
        <w:t>）</w:t>
      </w:r>
    </w:p>
    <w:p w14:paraId="0B6BAEF7"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《车用汽油》（</w:t>
      </w:r>
      <w:r>
        <w:rPr>
          <w:rFonts w:ascii="Times New Roman" w:eastAsia="宋体" w:hAnsi="Times New Roman" w:cs="Times New Roman"/>
          <w:szCs w:val="20"/>
          <w14:ligatures w14:val="none"/>
        </w:rPr>
        <w:t>GB 17930-2016</w:t>
      </w:r>
      <w:r>
        <w:rPr>
          <w:rFonts w:ascii="Times New Roman" w:eastAsia="宋体" w:hAnsi="Times New Roman" w:cs="Times New Roman"/>
          <w:szCs w:val="20"/>
          <w14:ligatures w14:val="none"/>
        </w:rPr>
        <w:t>）</w:t>
      </w:r>
    </w:p>
    <w:p w14:paraId="3D23E0B2"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《车用乙醇汽油（</w:t>
      </w:r>
      <w:r>
        <w:rPr>
          <w:rFonts w:ascii="Times New Roman" w:eastAsia="宋体" w:hAnsi="Times New Roman" w:cs="Times New Roman"/>
          <w:szCs w:val="20"/>
          <w14:ligatures w14:val="none"/>
        </w:rPr>
        <w:t>E10</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GB 18351-2017</w:t>
      </w:r>
      <w:r>
        <w:rPr>
          <w:rFonts w:ascii="Times New Roman" w:eastAsia="宋体" w:hAnsi="Times New Roman" w:cs="Times New Roman"/>
          <w:szCs w:val="20"/>
          <w14:ligatures w14:val="none"/>
        </w:rPr>
        <w:t>）</w:t>
      </w:r>
    </w:p>
    <w:p w14:paraId="246FD18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《车用柴油（国家标准第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号修改单）》（</w:t>
      </w:r>
      <w:r>
        <w:rPr>
          <w:rFonts w:ascii="Times New Roman" w:eastAsia="宋体" w:hAnsi="Times New Roman" w:cs="Times New Roman"/>
          <w:szCs w:val="20"/>
          <w14:ligatures w14:val="none"/>
        </w:rPr>
        <w:t>GB 19147-2016/XG1-2018</w:t>
      </w:r>
      <w:r>
        <w:rPr>
          <w:rFonts w:ascii="Times New Roman" w:eastAsia="宋体" w:hAnsi="Times New Roman" w:cs="Times New Roman"/>
          <w:szCs w:val="20"/>
          <w14:ligatures w14:val="none"/>
        </w:rPr>
        <w:t>）</w:t>
      </w:r>
    </w:p>
    <w:p w14:paraId="70C5D8B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《车用乙醇汽油储运设计规范》（</w:t>
      </w:r>
      <w:r>
        <w:rPr>
          <w:rFonts w:ascii="Times New Roman" w:eastAsia="宋体" w:hAnsi="Times New Roman" w:cs="Times New Roman"/>
          <w:szCs w:val="20"/>
          <w14:ligatures w14:val="none"/>
        </w:rPr>
        <w:t>GB/T 50610-2010</w:t>
      </w:r>
      <w:r>
        <w:rPr>
          <w:rFonts w:ascii="Times New Roman" w:eastAsia="宋体" w:hAnsi="Times New Roman" w:cs="Times New Roman"/>
          <w:szCs w:val="20"/>
          <w14:ligatures w14:val="none"/>
        </w:rPr>
        <w:t>）</w:t>
      </w:r>
    </w:p>
    <w:p w14:paraId="7118F3C5"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《加油站大气污染物排放标准》（</w:t>
      </w:r>
      <w:r>
        <w:rPr>
          <w:rFonts w:ascii="Times New Roman" w:eastAsia="宋体" w:hAnsi="Times New Roman" w:cs="Times New Roman"/>
          <w:szCs w:val="20"/>
          <w14:ligatures w14:val="none"/>
        </w:rPr>
        <w:t>GB 20952-2020</w:t>
      </w:r>
      <w:r>
        <w:rPr>
          <w:rFonts w:ascii="Times New Roman" w:eastAsia="宋体" w:hAnsi="Times New Roman" w:cs="Times New Roman"/>
          <w:szCs w:val="20"/>
          <w14:ligatures w14:val="none"/>
        </w:rPr>
        <w:t>）</w:t>
      </w:r>
    </w:p>
    <w:p w14:paraId="654CCB6B"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《加油站用埋地钢</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玻璃纤维增强塑料双层油罐工程技术规范》（</w:t>
      </w:r>
      <w:r>
        <w:rPr>
          <w:rFonts w:ascii="Times New Roman" w:eastAsia="宋体" w:hAnsi="Times New Roman" w:cs="Times New Roman"/>
          <w:szCs w:val="20"/>
          <w14:ligatures w14:val="none"/>
        </w:rPr>
        <w:t>SH/T 3178-2015</w:t>
      </w:r>
      <w:r>
        <w:rPr>
          <w:rFonts w:ascii="Times New Roman" w:eastAsia="宋体" w:hAnsi="Times New Roman" w:cs="Times New Roman"/>
          <w:szCs w:val="20"/>
          <w14:ligatures w14:val="none"/>
        </w:rPr>
        <w:t>）</w:t>
      </w:r>
    </w:p>
    <w:p w14:paraId="4E24B5A4"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《钢制常压储罐</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部分：储存对水有污染的易燃和不易燃液体的埋地卧式圆筒形单层和双层储罐》（</w:t>
      </w:r>
      <w:r>
        <w:rPr>
          <w:rFonts w:ascii="Times New Roman" w:eastAsia="宋体" w:hAnsi="Times New Roman" w:cs="Times New Roman"/>
          <w:szCs w:val="20"/>
          <w14:ligatures w14:val="none"/>
        </w:rPr>
        <w:t>AQ 3020-2008</w:t>
      </w:r>
      <w:r>
        <w:rPr>
          <w:rFonts w:ascii="Times New Roman" w:eastAsia="宋体" w:hAnsi="Times New Roman" w:cs="Times New Roman"/>
          <w:szCs w:val="20"/>
          <w14:ligatures w14:val="none"/>
        </w:rPr>
        <w:t>）</w:t>
      </w:r>
    </w:p>
    <w:p w14:paraId="71593263"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《燃油加油站防爆安全技术第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部分：燃油加油机防爆安全技术要求》（</w:t>
      </w:r>
      <w:r>
        <w:rPr>
          <w:rFonts w:ascii="Times New Roman" w:eastAsia="宋体" w:hAnsi="Times New Roman" w:cs="Times New Roman"/>
          <w:szCs w:val="20"/>
          <w14:ligatures w14:val="none"/>
        </w:rPr>
        <w:t>GB/T 22380.1-2017</w:t>
      </w:r>
      <w:r>
        <w:rPr>
          <w:rFonts w:ascii="Times New Roman" w:eastAsia="宋体" w:hAnsi="Times New Roman" w:cs="Times New Roman"/>
          <w:szCs w:val="20"/>
          <w14:ligatures w14:val="none"/>
        </w:rPr>
        <w:t>）</w:t>
      </w:r>
    </w:p>
    <w:p w14:paraId="05EEE9B1"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《燃油加油站防爆安全技术</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部分：剪切阀结构和性能的安全要求》（</w:t>
      </w:r>
      <w:r>
        <w:rPr>
          <w:rFonts w:ascii="Times New Roman" w:eastAsia="宋体" w:hAnsi="Times New Roman" w:cs="Times New Roman"/>
          <w:szCs w:val="20"/>
          <w14:ligatures w14:val="none"/>
        </w:rPr>
        <w:t>GB/T 22380.3-2019</w:t>
      </w:r>
      <w:r>
        <w:rPr>
          <w:rFonts w:ascii="Times New Roman" w:eastAsia="宋体" w:hAnsi="Times New Roman" w:cs="Times New Roman"/>
          <w:szCs w:val="20"/>
          <w14:ligatures w14:val="none"/>
        </w:rPr>
        <w:t>）</w:t>
      </w:r>
    </w:p>
    <w:p w14:paraId="3987EA2B"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《油气回收处理设施技术标准》（</w:t>
      </w:r>
      <w:r>
        <w:rPr>
          <w:rFonts w:ascii="Times New Roman" w:eastAsia="宋体" w:hAnsi="Times New Roman" w:cs="Times New Roman"/>
          <w:szCs w:val="20"/>
          <w14:ligatures w14:val="none"/>
        </w:rPr>
        <w:t>GB/T 50759-2022</w:t>
      </w:r>
      <w:r>
        <w:rPr>
          <w:rFonts w:ascii="Times New Roman" w:eastAsia="宋体" w:hAnsi="Times New Roman" w:cs="Times New Roman"/>
          <w:szCs w:val="20"/>
          <w14:ligatures w14:val="none"/>
        </w:rPr>
        <w:t>）</w:t>
      </w:r>
    </w:p>
    <w:p w14:paraId="2E2F364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《油气回收系统防爆技术要求》（</w:t>
      </w:r>
      <w:r>
        <w:rPr>
          <w:rFonts w:ascii="Times New Roman" w:eastAsia="宋体" w:hAnsi="Times New Roman" w:cs="Times New Roman"/>
          <w:szCs w:val="20"/>
          <w14:ligatures w14:val="none"/>
        </w:rPr>
        <w:t>GB/T 34661-2017</w:t>
      </w:r>
      <w:r>
        <w:rPr>
          <w:rFonts w:ascii="Times New Roman" w:eastAsia="宋体" w:hAnsi="Times New Roman" w:cs="Times New Roman"/>
          <w:szCs w:val="20"/>
          <w14:ligatures w14:val="none"/>
        </w:rPr>
        <w:t>）</w:t>
      </w:r>
    </w:p>
    <w:p w14:paraId="64434180"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《油气回收装置通用技术条件》（</w:t>
      </w:r>
      <w:r>
        <w:rPr>
          <w:rFonts w:ascii="Times New Roman" w:eastAsia="宋体" w:hAnsi="Times New Roman" w:cs="Times New Roman"/>
          <w:szCs w:val="20"/>
          <w14:ligatures w14:val="none"/>
        </w:rPr>
        <w:t>GB/T 35579-2017</w:t>
      </w:r>
      <w:r>
        <w:rPr>
          <w:rFonts w:ascii="Times New Roman" w:eastAsia="宋体" w:hAnsi="Times New Roman" w:cs="Times New Roman"/>
          <w:szCs w:val="20"/>
          <w14:ligatures w14:val="none"/>
        </w:rPr>
        <w:t>）</w:t>
      </w:r>
    </w:p>
    <w:p w14:paraId="0334AC50"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部分：通则》（</w:t>
      </w:r>
      <w:r>
        <w:rPr>
          <w:rFonts w:ascii="Times New Roman" w:eastAsia="宋体" w:hAnsi="Times New Roman" w:cs="Times New Roman"/>
          <w:szCs w:val="20"/>
          <w14:ligatures w14:val="none"/>
        </w:rPr>
        <w:t>GB/T 30040.1-2013</w:t>
      </w:r>
      <w:r>
        <w:rPr>
          <w:rFonts w:ascii="Times New Roman" w:eastAsia="宋体" w:hAnsi="Times New Roman" w:cs="Times New Roman"/>
          <w:szCs w:val="20"/>
          <w14:ligatures w14:val="none"/>
        </w:rPr>
        <w:t>）</w:t>
      </w:r>
    </w:p>
    <w:p w14:paraId="16C32041"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部分：压力和真空系统》（</w:t>
      </w:r>
      <w:r>
        <w:rPr>
          <w:rFonts w:ascii="Times New Roman" w:eastAsia="宋体" w:hAnsi="Times New Roman" w:cs="Times New Roman"/>
          <w:szCs w:val="20"/>
          <w14:ligatures w14:val="none"/>
        </w:rPr>
        <w:t>GB/T 30040.2-2013</w:t>
      </w:r>
      <w:r>
        <w:rPr>
          <w:rFonts w:ascii="Times New Roman" w:eastAsia="宋体" w:hAnsi="Times New Roman" w:cs="Times New Roman"/>
          <w:szCs w:val="20"/>
          <w14:ligatures w14:val="none"/>
        </w:rPr>
        <w:t>）</w:t>
      </w:r>
    </w:p>
    <w:p w14:paraId="56B91104"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部分：储罐的液体媒介系统》（</w:t>
      </w:r>
      <w:r>
        <w:rPr>
          <w:rFonts w:ascii="Times New Roman" w:eastAsia="宋体" w:hAnsi="Times New Roman" w:cs="Times New Roman"/>
          <w:szCs w:val="20"/>
          <w14:ligatures w14:val="none"/>
        </w:rPr>
        <w:t>GB/T 30040.3-2013</w:t>
      </w:r>
      <w:r>
        <w:rPr>
          <w:rFonts w:ascii="Times New Roman" w:eastAsia="宋体" w:hAnsi="Times New Roman" w:cs="Times New Roman"/>
          <w:szCs w:val="20"/>
          <w14:ligatures w14:val="none"/>
        </w:rPr>
        <w:t>）</w:t>
      </w:r>
    </w:p>
    <w:p w14:paraId="14CEA82A"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部分：应用于防渗漏设施或双层间隙的液体或蒸气传感器系统》（</w:t>
      </w:r>
      <w:r>
        <w:rPr>
          <w:rFonts w:ascii="Times New Roman" w:eastAsia="宋体" w:hAnsi="Times New Roman" w:cs="Times New Roman"/>
          <w:szCs w:val="20"/>
          <w14:ligatures w14:val="none"/>
        </w:rPr>
        <w:t>GB/T 30040.4-2013</w:t>
      </w:r>
      <w:r>
        <w:rPr>
          <w:rFonts w:ascii="Times New Roman" w:eastAsia="宋体" w:hAnsi="Times New Roman" w:cs="Times New Roman"/>
          <w:szCs w:val="20"/>
          <w14:ligatures w14:val="none"/>
        </w:rPr>
        <w:t>）</w:t>
      </w:r>
    </w:p>
    <w:p w14:paraId="5716015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部分：储罐液位仪测漏系统》（</w:t>
      </w:r>
      <w:r>
        <w:rPr>
          <w:rFonts w:ascii="Times New Roman" w:eastAsia="宋体" w:hAnsi="Times New Roman" w:cs="Times New Roman"/>
          <w:szCs w:val="20"/>
          <w14:ligatures w14:val="none"/>
        </w:rPr>
        <w:t>GB/T 30040.5-2013</w:t>
      </w:r>
      <w:r>
        <w:rPr>
          <w:rFonts w:ascii="Times New Roman" w:eastAsia="宋体" w:hAnsi="Times New Roman" w:cs="Times New Roman"/>
          <w:szCs w:val="20"/>
          <w14:ligatures w14:val="none"/>
        </w:rPr>
        <w:t>）</w:t>
      </w:r>
    </w:p>
    <w:p w14:paraId="023E354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部分：监测井用传感器显示系统》（</w:t>
      </w:r>
      <w:r>
        <w:rPr>
          <w:rFonts w:ascii="Times New Roman" w:eastAsia="宋体" w:hAnsi="Times New Roman" w:cs="Times New Roman"/>
          <w:szCs w:val="20"/>
          <w14:ligatures w14:val="none"/>
        </w:rPr>
        <w:t>GB/T 30040.6-2013</w:t>
      </w:r>
      <w:r>
        <w:rPr>
          <w:rFonts w:ascii="Times New Roman" w:eastAsia="宋体" w:hAnsi="Times New Roman" w:cs="Times New Roman"/>
          <w:szCs w:val="20"/>
          <w14:ligatures w14:val="none"/>
        </w:rPr>
        <w:t>）</w:t>
      </w:r>
    </w:p>
    <w:p w14:paraId="278EDA5B"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部分：双层间隙、防渗漏衬里及防渗漏外套的一般要求和试验方法》（</w:t>
      </w:r>
      <w:r>
        <w:rPr>
          <w:rFonts w:ascii="Times New Roman" w:eastAsia="宋体" w:hAnsi="Times New Roman" w:cs="Times New Roman"/>
          <w:szCs w:val="20"/>
          <w14:ligatures w14:val="none"/>
        </w:rPr>
        <w:t>GB/T 30040.7-2013</w:t>
      </w:r>
      <w:r>
        <w:rPr>
          <w:rFonts w:ascii="Times New Roman" w:eastAsia="宋体" w:hAnsi="Times New Roman" w:cs="Times New Roman"/>
          <w:szCs w:val="20"/>
          <w14:ligatures w14:val="none"/>
        </w:rPr>
        <w:t>）</w:t>
      </w:r>
    </w:p>
    <w:p w14:paraId="2E5BAEAD"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《企业职工伤亡事故分类》（</w:t>
      </w:r>
      <w:r>
        <w:rPr>
          <w:rFonts w:ascii="Times New Roman" w:eastAsia="宋体" w:hAnsi="Times New Roman" w:cs="Times New Roman"/>
          <w:szCs w:val="20"/>
          <w14:ligatures w14:val="none"/>
        </w:rPr>
        <w:t>GB 6441-1986</w:t>
      </w:r>
      <w:r>
        <w:rPr>
          <w:rFonts w:ascii="Times New Roman" w:eastAsia="宋体" w:hAnsi="Times New Roman" w:cs="Times New Roman"/>
          <w:szCs w:val="20"/>
          <w14:ligatures w14:val="none"/>
        </w:rPr>
        <w:t>）</w:t>
      </w:r>
    </w:p>
    <w:p w14:paraId="0E48F69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《生产过程危险和有害因素分类与代码》（</w:t>
      </w:r>
      <w:r>
        <w:rPr>
          <w:rFonts w:ascii="Times New Roman" w:eastAsia="宋体" w:hAnsi="Times New Roman" w:cs="Times New Roman"/>
          <w:szCs w:val="20"/>
          <w14:ligatures w14:val="none"/>
        </w:rPr>
        <w:t>GB/T 13861-2022</w:t>
      </w:r>
      <w:r>
        <w:rPr>
          <w:rFonts w:ascii="Times New Roman" w:eastAsia="宋体" w:hAnsi="Times New Roman" w:cs="Times New Roman"/>
          <w:szCs w:val="20"/>
          <w14:ligatures w14:val="none"/>
        </w:rPr>
        <w:t>）</w:t>
      </w:r>
    </w:p>
    <w:p w14:paraId="2029E81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《化学品分类和危险性公示通则》（</w:t>
      </w:r>
      <w:r>
        <w:rPr>
          <w:rFonts w:ascii="Times New Roman" w:eastAsia="宋体" w:hAnsi="Times New Roman" w:cs="Times New Roman"/>
          <w:szCs w:val="20"/>
          <w14:ligatures w14:val="none"/>
        </w:rPr>
        <w:t>GB 13690-2009</w:t>
      </w:r>
      <w:r>
        <w:rPr>
          <w:rFonts w:ascii="Times New Roman" w:eastAsia="宋体" w:hAnsi="Times New Roman" w:cs="Times New Roman"/>
          <w:szCs w:val="20"/>
          <w14:ligatures w14:val="none"/>
        </w:rPr>
        <w:t>）</w:t>
      </w:r>
    </w:p>
    <w:p w14:paraId="02B961E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《危险货物运输包装通用技术条件》（</w:t>
      </w:r>
      <w:r>
        <w:rPr>
          <w:rFonts w:ascii="Times New Roman" w:eastAsia="宋体" w:hAnsi="Times New Roman" w:cs="Times New Roman"/>
          <w:szCs w:val="20"/>
          <w14:ligatures w14:val="none"/>
        </w:rPr>
        <w:t>GB 12463-2009</w:t>
      </w:r>
      <w:r>
        <w:rPr>
          <w:rFonts w:ascii="Times New Roman" w:eastAsia="宋体" w:hAnsi="Times New Roman" w:cs="Times New Roman"/>
          <w:szCs w:val="20"/>
          <w14:ligatures w14:val="none"/>
        </w:rPr>
        <w:t>）</w:t>
      </w:r>
    </w:p>
    <w:p w14:paraId="1CEE4A9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《危险货物运输包装类别划分方法》（</w:t>
      </w:r>
      <w:r>
        <w:rPr>
          <w:rFonts w:ascii="Times New Roman" w:eastAsia="宋体" w:hAnsi="Times New Roman" w:cs="Times New Roman"/>
          <w:szCs w:val="20"/>
          <w14:ligatures w14:val="none"/>
        </w:rPr>
        <w:t>GB/T 15098-2008</w:t>
      </w:r>
      <w:r>
        <w:rPr>
          <w:rFonts w:ascii="Times New Roman" w:eastAsia="宋体" w:hAnsi="Times New Roman" w:cs="Times New Roman"/>
          <w:szCs w:val="20"/>
          <w14:ligatures w14:val="none"/>
        </w:rPr>
        <w:t>）</w:t>
      </w:r>
    </w:p>
    <w:p w14:paraId="7CB1457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《危险货物分类和品名编号》（</w:t>
      </w:r>
      <w:r>
        <w:rPr>
          <w:rFonts w:ascii="Times New Roman" w:eastAsia="宋体" w:hAnsi="Times New Roman" w:cs="Times New Roman"/>
          <w:szCs w:val="20"/>
          <w14:ligatures w14:val="none"/>
        </w:rPr>
        <w:t>GB 6944-</w:t>
      </w:r>
      <w:r>
        <w:rPr>
          <w:rFonts w:ascii="Times New Roman" w:eastAsia="宋体" w:hAnsi="Times New Roman" w:cs="Times New Roman" w:hint="eastAsia"/>
          <w:szCs w:val="20"/>
          <w14:ligatures w14:val="none"/>
        </w:rPr>
        <w:t>2025</w:t>
      </w:r>
      <w:r>
        <w:rPr>
          <w:rFonts w:ascii="Times New Roman" w:eastAsia="宋体" w:hAnsi="Times New Roman" w:cs="Times New Roman"/>
          <w:szCs w:val="20"/>
          <w14:ligatures w14:val="none"/>
        </w:rPr>
        <w:t>）</w:t>
      </w:r>
    </w:p>
    <w:p w14:paraId="37C40F8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《危险货物品名表》（</w:t>
      </w:r>
      <w:r>
        <w:rPr>
          <w:rFonts w:ascii="Times New Roman" w:eastAsia="宋体" w:hAnsi="Times New Roman" w:cs="Times New Roman"/>
          <w:szCs w:val="20"/>
          <w14:ligatures w14:val="none"/>
        </w:rPr>
        <w:t>GB 12268-20</w:t>
      </w:r>
      <w:r>
        <w:rPr>
          <w:rFonts w:ascii="Times New Roman" w:eastAsia="宋体" w:hAnsi="Times New Roman" w:cs="Times New Roman" w:hint="eastAsia"/>
          <w:szCs w:val="20"/>
          <w14:ligatures w14:val="none"/>
        </w:rPr>
        <w:t>25</w:t>
      </w:r>
      <w:r>
        <w:rPr>
          <w:rFonts w:ascii="Times New Roman" w:eastAsia="宋体" w:hAnsi="Times New Roman" w:cs="Times New Roman"/>
          <w:szCs w:val="20"/>
          <w14:ligatures w14:val="none"/>
        </w:rPr>
        <w:t>）</w:t>
      </w:r>
    </w:p>
    <w:p w14:paraId="77946137"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《安全色和安全标志</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部分：安全标志和安全标记设计原则》（</w:t>
      </w:r>
      <w:r>
        <w:rPr>
          <w:rFonts w:ascii="Times New Roman" w:eastAsia="宋体" w:hAnsi="Times New Roman" w:cs="Times New Roman"/>
          <w:szCs w:val="20"/>
          <w14:ligatures w14:val="none"/>
        </w:rPr>
        <w:t>GB/T 2893.1-2013</w:t>
      </w:r>
      <w:r>
        <w:rPr>
          <w:rFonts w:ascii="Times New Roman" w:eastAsia="宋体" w:hAnsi="Times New Roman" w:cs="Times New Roman"/>
          <w:szCs w:val="20"/>
          <w14:ligatures w14:val="none"/>
        </w:rPr>
        <w:t>）</w:t>
      </w:r>
    </w:p>
    <w:p w14:paraId="12627D82"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《安全色和安全标志</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部分：安全标志使用原则与要求》（</w:t>
      </w:r>
      <w:r>
        <w:rPr>
          <w:rFonts w:ascii="Times New Roman" w:eastAsia="宋体" w:hAnsi="Times New Roman" w:cs="Times New Roman"/>
          <w:szCs w:val="20"/>
          <w14:ligatures w14:val="none"/>
        </w:rPr>
        <w:t>GB/T 2893.5-2020</w:t>
      </w:r>
      <w:r>
        <w:rPr>
          <w:rFonts w:ascii="Times New Roman" w:eastAsia="宋体" w:hAnsi="Times New Roman" w:cs="Times New Roman"/>
          <w:szCs w:val="20"/>
          <w14:ligatures w14:val="none"/>
        </w:rPr>
        <w:t>）</w:t>
      </w:r>
    </w:p>
    <w:p w14:paraId="6775A7E2"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《消防安全标志第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部分：标志》（</w:t>
      </w:r>
      <w:r>
        <w:rPr>
          <w:rFonts w:ascii="Times New Roman" w:eastAsia="宋体" w:hAnsi="Times New Roman" w:cs="Times New Roman"/>
          <w:szCs w:val="20"/>
          <w14:ligatures w14:val="none"/>
        </w:rPr>
        <w:t>GB 13495.1-2015</w:t>
      </w:r>
      <w:r>
        <w:rPr>
          <w:rFonts w:ascii="Times New Roman" w:eastAsia="宋体" w:hAnsi="Times New Roman" w:cs="Times New Roman"/>
          <w:szCs w:val="20"/>
          <w14:ligatures w14:val="none"/>
        </w:rPr>
        <w:t>）</w:t>
      </w:r>
    </w:p>
    <w:p w14:paraId="27B68A21"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《职业性接触毒物危害程度分级》（</w:t>
      </w:r>
      <w:r>
        <w:rPr>
          <w:rFonts w:ascii="Times New Roman" w:eastAsia="宋体" w:hAnsi="Times New Roman" w:cs="Times New Roman"/>
          <w:szCs w:val="20"/>
          <w14:ligatures w14:val="none"/>
        </w:rPr>
        <w:t>GBZ 230-2010</w:t>
      </w:r>
      <w:r>
        <w:rPr>
          <w:rFonts w:ascii="Times New Roman" w:eastAsia="宋体" w:hAnsi="Times New Roman" w:cs="Times New Roman"/>
          <w:szCs w:val="20"/>
          <w14:ligatures w14:val="none"/>
        </w:rPr>
        <w:t>）</w:t>
      </w:r>
    </w:p>
    <w:p w14:paraId="20DDE596"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《工作场所有害因素职业接触限值第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部分化学有害因素》（</w:t>
      </w:r>
      <w:r>
        <w:rPr>
          <w:rFonts w:ascii="Times New Roman" w:eastAsia="宋体" w:hAnsi="Times New Roman" w:cs="Times New Roman"/>
          <w:szCs w:val="20"/>
          <w14:ligatures w14:val="none"/>
        </w:rPr>
        <w:t>GBZ 2.1-2019/XG1-2022</w:t>
      </w:r>
      <w:r>
        <w:rPr>
          <w:rFonts w:ascii="Times New Roman" w:eastAsia="宋体" w:hAnsi="Times New Roman" w:cs="Times New Roman"/>
          <w:szCs w:val="20"/>
          <w14:ligatures w14:val="none"/>
        </w:rPr>
        <w:t>）</w:t>
      </w:r>
    </w:p>
    <w:p w14:paraId="7BBD7DE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《工作场所有害因素职业接触限值第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部分物理因素》（</w:t>
      </w:r>
      <w:r>
        <w:rPr>
          <w:rFonts w:ascii="Times New Roman" w:eastAsia="宋体" w:hAnsi="Times New Roman" w:cs="Times New Roman"/>
          <w:szCs w:val="20"/>
          <w14:ligatures w14:val="none"/>
        </w:rPr>
        <w:t>GBZ 2.2-2007</w:t>
      </w:r>
      <w:r>
        <w:rPr>
          <w:rFonts w:ascii="Times New Roman" w:eastAsia="宋体" w:hAnsi="Times New Roman" w:cs="Times New Roman"/>
          <w:szCs w:val="20"/>
          <w14:ligatures w14:val="none"/>
        </w:rPr>
        <w:t>）</w:t>
      </w:r>
    </w:p>
    <w:p w14:paraId="2F944C5B"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《个体防护装备配备规范第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部分：总则》（</w:t>
      </w:r>
      <w:r>
        <w:rPr>
          <w:rFonts w:ascii="Times New Roman" w:eastAsia="宋体" w:hAnsi="Times New Roman" w:cs="Times New Roman"/>
          <w:szCs w:val="20"/>
          <w14:ligatures w14:val="none"/>
        </w:rPr>
        <w:t>GB 39800.1-2020</w:t>
      </w:r>
      <w:r>
        <w:rPr>
          <w:rFonts w:ascii="Times New Roman" w:eastAsia="宋体" w:hAnsi="Times New Roman" w:cs="Times New Roman"/>
          <w:szCs w:val="20"/>
          <w14:ligatures w14:val="none"/>
        </w:rPr>
        <w:t>）</w:t>
      </w:r>
    </w:p>
    <w:p w14:paraId="67420A82"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《个体防护装备配备规范第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部分：石油、化工、天然气》（</w:t>
      </w:r>
      <w:r>
        <w:rPr>
          <w:rFonts w:ascii="Times New Roman" w:eastAsia="宋体" w:hAnsi="Times New Roman" w:cs="Times New Roman"/>
          <w:szCs w:val="20"/>
          <w14:ligatures w14:val="none"/>
        </w:rPr>
        <w:t>GB 39800.2-2020</w:t>
      </w:r>
      <w:r>
        <w:rPr>
          <w:rFonts w:ascii="Times New Roman" w:eastAsia="宋体" w:hAnsi="Times New Roman" w:cs="Times New Roman"/>
          <w:szCs w:val="20"/>
          <w14:ligatures w14:val="none"/>
        </w:rPr>
        <w:t>）</w:t>
      </w:r>
    </w:p>
    <w:p w14:paraId="6B9A1A0E"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《生产经营单位生产安全事故应急预案编制导则》（</w:t>
      </w:r>
      <w:r>
        <w:rPr>
          <w:rFonts w:ascii="Times New Roman" w:eastAsia="宋体" w:hAnsi="Times New Roman" w:cs="Times New Roman"/>
          <w:szCs w:val="20"/>
          <w14:ligatures w14:val="none"/>
        </w:rPr>
        <w:t>GB/T 29639-2020</w:t>
      </w:r>
      <w:r>
        <w:rPr>
          <w:rFonts w:ascii="Times New Roman" w:eastAsia="宋体" w:hAnsi="Times New Roman" w:cs="Times New Roman"/>
          <w:szCs w:val="20"/>
          <w14:ligatures w14:val="none"/>
        </w:rPr>
        <w:t>）</w:t>
      </w:r>
    </w:p>
    <w:p w14:paraId="11E67C75"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《生产安全事故应急演练基本规范》（</w:t>
      </w:r>
      <w:r>
        <w:rPr>
          <w:rFonts w:ascii="Times New Roman" w:eastAsia="宋体" w:hAnsi="Times New Roman" w:cs="Times New Roman" w:hint="eastAsia"/>
          <w:szCs w:val="20"/>
          <w14:ligatures w14:val="none"/>
        </w:rPr>
        <w:t>YJ</w:t>
      </w:r>
      <w:r>
        <w:rPr>
          <w:rFonts w:ascii="Times New Roman" w:eastAsia="宋体" w:hAnsi="Times New Roman" w:cs="Times New Roman"/>
          <w:szCs w:val="20"/>
          <w14:ligatures w14:val="none"/>
        </w:rPr>
        <w:t>/T 9007-2019</w:t>
      </w:r>
      <w:r>
        <w:rPr>
          <w:rFonts w:ascii="Times New Roman" w:eastAsia="宋体" w:hAnsi="Times New Roman" w:cs="Times New Roman"/>
          <w:szCs w:val="20"/>
          <w14:ligatures w14:val="none"/>
        </w:rPr>
        <w:t>）</w:t>
      </w:r>
    </w:p>
    <w:p w14:paraId="5241413C"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《生产经营单位生产安全事故应急预案评估指南》（</w:t>
      </w:r>
      <w:r>
        <w:rPr>
          <w:rFonts w:ascii="Times New Roman" w:eastAsia="宋体" w:hAnsi="Times New Roman" w:cs="Times New Roman" w:hint="eastAsia"/>
          <w:szCs w:val="20"/>
          <w14:ligatures w14:val="none"/>
        </w:rPr>
        <w:t>YJ</w:t>
      </w:r>
      <w:r>
        <w:rPr>
          <w:rFonts w:ascii="Times New Roman" w:eastAsia="宋体" w:hAnsi="Times New Roman" w:cs="Times New Roman"/>
          <w:szCs w:val="20"/>
          <w14:ligatures w14:val="none"/>
        </w:rPr>
        <w:t>/T 9011-2019</w:t>
      </w:r>
      <w:r>
        <w:rPr>
          <w:rFonts w:ascii="Times New Roman" w:eastAsia="宋体" w:hAnsi="Times New Roman" w:cs="Times New Roman"/>
          <w:szCs w:val="20"/>
          <w14:ligatures w14:val="none"/>
        </w:rPr>
        <w:t>）</w:t>
      </w:r>
    </w:p>
    <w:p w14:paraId="2C70857F"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《危险化学品单位应急救援物资配备要求》（</w:t>
      </w:r>
      <w:r>
        <w:rPr>
          <w:rFonts w:ascii="Times New Roman" w:eastAsia="宋体" w:hAnsi="Times New Roman" w:cs="Times New Roman"/>
          <w:szCs w:val="20"/>
          <w14:ligatures w14:val="none"/>
        </w:rPr>
        <w:t>GB 30077-2023</w:t>
      </w:r>
      <w:r>
        <w:rPr>
          <w:rFonts w:ascii="Times New Roman" w:eastAsia="宋体" w:hAnsi="Times New Roman" w:cs="Times New Roman"/>
          <w:szCs w:val="20"/>
          <w14:ligatures w14:val="none"/>
        </w:rPr>
        <w:t>）</w:t>
      </w:r>
    </w:p>
    <w:p w14:paraId="73BE25C9" w14:textId="77777777" w:rsidR="00502148"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《危险化学品企业特殊作业安全规范》（</w:t>
      </w:r>
      <w:r>
        <w:rPr>
          <w:rFonts w:ascii="Times New Roman" w:eastAsia="宋体" w:hAnsi="Times New Roman" w:cs="Times New Roman"/>
          <w:szCs w:val="20"/>
          <w14:ligatures w14:val="none"/>
        </w:rPr>
        <w:t>GB 30871-2022</w:t>
      </w:r>
      <w:r>
        <w:rPr>
          <w:rFonts w:ascii="Times New Roman" w:eastAsia="宋体" w:hAnsi="Times New Roman" w:cs="Times New Roman"/>
          <w:szCs w:val="20"/>
          <w14:ligatures w14:val="none"/>
        </w:rPr>
        <w:t>）</w:t>
      </w:r>
    </w:p>
    <w:p w14:paraId="60BC8940" w14:textId="77777777" w:rsidR="00502148"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66" w:name="_Toc3378"/>
      <w:bookmarkStart w:id="167" w:name="_Toc12523"/>
      <w:bookmarkStart w:id="168" w:name="_Toc13911"/>
      <w:r>
        <w:rPr>
          <w:rFonts w:ascii="Times New Roman" w:eastAsia="楷体" w:hAnsi="Times New Roman" w:cs="Times New Roman"/>
          <w:b/>
          <w:bCs/>
          <w:sz w:val="32"/>
          <w:szCs w:val="32"/>
        </w:rPr>
        <w:t>F5.6</w:t>
      </w:r>
      <w:r>
        <w:rPr>
          <w:rFonts w:ascii="Times New Roman" w:eastAsia="楷体" w:hAnsi="Times New Roman" w:cs="Times New Roman"/>
          <w:b/>
          <w:bCs/>
          <w:sz w:val="32"/>
          <w:szCs w:val="32"/>
        </w:rPr>
        <w:t>参考资料</w:t>
      </w:r>
      <w:bookmarkEnd w:id="166"/>
      <w:bookmarkEnd w:id="167"/>
      <w:bookmarkEnd w:id="168"/>
    </w:p>
    <w:p w14:paraId="3BEA588E"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）《安全评价》（国家安全生产监督管理总局</w:t>
      </w:r>
      <w:r>
        <w:rPr>
          <w:rFonts w:ascii="Times New Roman" w:eastAsia="宋体" w:hAnsi="Times New Roman" w:cs="Times New Roman"/>
          <w:szCs w:val="20"/>
          <w14:ligatures w14:val="none"/>
        </w:rPr>
        <w:t xml:space="preserve"> 2005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p>
    <w:p w14:paraId="2854268A" w14:textId="0B81FDF3"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2</w:t>
      </w:r>
      <w:r>
        <w:rPr>
          <w:rFonts w:ascii="Times New Roman" w:eastAsia="宋体" w:hAnsi="Times New Roman" w:cs="Times New Roman"/>
          <w:szCs w:val="20"/>
          <w14:ligatures w14:val="none"/>
        </w:rPr>
        <w:t>）《中铁（辽宁）本桓高速公路有限公司五里甸子服务区</w:t>
      </w:r>
      <w:r>
        <w:rPr>
          <w:rFonts w:ascii="Times New Roman" w:eastAsia="宋体" w:hAnsi="Times New Roman" w:cs="Times New Roman" w:hint="eastAsia"/>
          <w:szCs w:val="20"/>
          <w14:ligatures w14:val="none"/>
        </w:rPr>
        <w:t>西</w:t>
      </w:r>
      <w:r>
        <w:rPr>
          <w:rFonts w:ascii="Times New Roman" w:eastAsia="宋体" w:hAnsi="Times New Roman" w:cs="Times New Roman"/>
          <w:szCs w:val="20"/>
          <w14:ligatures w14:val="none"/>
        </w:rPr>
        <w:t>侧加油站新建项目安全</w:t>
      </w:r>
      <w:r w:rsidR="00B1602E">
        <w:rPr>
          <w:rFonts w:ascii="Times New Roman" w:eastAsia="宋体" w:hAnsi="Times New Roman" w:cs="Times New Roman" w:hint="eastAsia"/>
          <w:szCs w:val="20"/>
          <w14:ligatures w14:val="none"/>
        </w:rPr>
        <w:t>条件</w:t>
      </w:r>
      <w:r>
        <w:rPr>
          <w:rFonts w:ascii="Times New Roman" w:eastAsia="宋体" w:hAnsi="Times New Roman" w:cs="Times New Roman"/>
          <w:szCs w:val="20"/>
          <w14:ligatures w14:val="none"/>
        </w:rPr>
        <w:t>评价报告》</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辽宁东安安全技术咨询服务有限公司</w:t>
      </w:r>
      <w:r>
        <w:rPr>
          <w:rFonts w:ascii="Times New Roman" w:eastAsia="宋体" w:hAnsi="Times New Roman" w:cs="Times New Roman" w:hint="eastAsia"/>
          <w:szCs w:val="20"/>
          <w14:ligatures w14:val="none"/>
        </w:rPr>
        <w:t>）</w:t>
      </w:r>
    </w:p>
    <w:p w14:paraId="3F5745A3" w14:textId="77777777" w:rsidR="00502148"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3</w:t>
      </w:r>
      <w:r>
        <w:rPr>
          <w:rFonts w:ascii="Times New Roman" w:eastAsia="宋体" w:hAnsi="Times New Roman" w:cs="Times New Roman"/>
          <w:szCs w:val="20"/>
          <w14:ligatures w14:val="none"/>
        </w:rPr>
        <w:t>）《</w:t>
      </w:r>
      <w:r>
        <w:rPr>
          <w:rFonts w:ascii="Times New Roman" w:eastAsia="宋体" w:hAnsi="Times New Roman" w:cs="Times New Roman"/>
          <w:szCs w:val="28"/>
          <w:lang w:val="zh-CN"/>
          <w14:ligatures w14:val="none"/>
        </w:rPr>
        <w:t>中铁（辽宁）本桓高速公路有限公司五里甸子服务区</w:t>
      </w:r>
      <w:r>
        <w:rPr>
          <w:rFonts w:ascii="Times New Roman" w:eastAsia="宋体" w:hAnsi="Times New Roman" w:cs="Times New Roman" w:hint="eastAsia"/>
          <w:szCs w:val="28"/>
          <w:lang w:val="zh-CN"/>
          <w14:ligatures w14:val="none"/>
        </w:rPr>
        <w:t>西</w:t>
      </w:r>
      <w:r>
        <w:rPr>
          <w:rFonts w:ascii="Times New Roman" w:eastAsia="宋体" w:hAnsi="Times New Roman" w:cs="Times New Roman"/>
          <w:szCs w:val="28"/>
          <w:lang w:val="zh-CN"/>
          <w14:ligatures w14:val="none"/>
        </w:rPr>
        <w:t>侧加油站新建项目安全设施设计专篇</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w:t>
      </w:r>
      <w:r>
        <w:rPr>
          <w:rFonts w:ascii="Times New Roman" w:eastAsia="宋体" w:hAnsi="Times New Roman" w:cs="Times New Roman"/>
          <w:szCs w:val="28"/>
          <w14:ligatures w14:val="none"/>
        </w:rPr>
        <w:t>中交城市能源研究设计院有限公司</w:t>
      </w:r>
      <w:r>
        <w:rPr>
          <w:rFonts w:ascii="Times New Roman" w:eastAsia="宋体" w:hAnsi="Times New Roman" w:cs="Times New Roman" w:hint="eastAsia"/>
          <w:szCs w:val="20"/>
          <w14:ligatures w14:val="none"/>
        </w:rPr>
        <w:t>）</w:t>
      </w:r>
    </w:p>
    <w:p w14:paraId="12175F53" w14:textId="77777777" w:rsidR="00502148" w:rsidRDefault="00502148">
      <w:pPr>
        <w:adjustRightInd/>
        <w:snapToGrid/>
        <w:spacing w:line="240" w:lineRule="auto"/>
        <w:ind w:firstLine="560"/>
        <w:rPr>
          <w:rFonts w:ascii="Times New Roman" w:eastAsia="宋体" w:hAnsi="Times New Roman" w:cs="Times New Roman"/>
          <w:szCs w:val="20"/>
          <w14:ligatures w14:val="none"/>
        </w:rPr>
        <w:sectPr w:rsidR="00502148">
          <w:pgSz w:w="11906" w:h="16838"/>
          <w:pgMar w:top="1701" w:right="1106" w:bottom="1134" w:left="1610" w:header="1191" w:footer="850" w:gutter="0"/>
          <w:cols w:space="720"/>
          <w:docGrid w:type="lines" w:linePitch="312"/>
        </w:sectPr>
      </w:pPr>
    </w:p>
    <w:p w14:paraId="25B0B637" w14:textId="77777777" w:rsidR="00502148" w:rsidRDefault="00000000">
      <w:pPr>
        <w:spacing w:beforeLines="150" w:before="571" w:afterLines="150" w:after="571"/>
        <w:ind w:firstLineChars="0" w:firstLine="0"/>
        <w:jc w:val="center"/>
        <w:outlineLvl w:val="0"/>
        <w:rPr>
          <w:rFonts w:ascii="Times New Roman" w:eastAsia="黑体" w:hAnsi="Times New Roman" w:cs="Times New Roman"/>
          <w:b/>
          <w:bCs/>
          <w:sz w:val="32"/>
          <w:szCs w:val="32"/>
        </w:rPr>
      </w:pPr>
      <w:bookmarkStart w:id="169" w:name="_Toc13889"/>
      <w:bookmarkStart w:id="170" w:name="_Toc24736"/>
      <w:bookmarkStart w:id="171" w:name="_Toc21026"/>
      <w:bookmarkStart w:id="172" w:name="_Toc11201"/>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6</w:t>
      </w:r>
      <w:r>
        <w:rPr>
          <w:rFonts w:ascii="Times New Roman" w:eastAsia="黑体" w:hAnsi="Times New Roman" w:cs="Times New Roman"/>
          <w:b/>
          <w:bCs/>
          <w:sz w:val="32"/>
          <w:szCs w:val="32"/>
        </w:rPr>
        <w:t>相关文件及附图目录</w:t>
      </w:r>
      <w:bookmarkEnd w:id="169"/>
      <w:bookmarkEnd w:id="170"/>
      <w:bookmarkEnd w:id="171"/>
      <w:bookmarkEnd w:id="172"/>
    </w:p>
    <w:p w14:paraId="3D5E3F2F"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营业执照</w:t>
      </w:r>
    </w:p>
    <w:p w14:paraId="63AAB494"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立项批复</w:t>
      </w:r>
    </w:p>
    <w:p w14:paraId="26DE8F0C"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国有建设用地交地确认书</w:t>
      </w:r>
    </w:p>
    <w:p w14:paraId="43228DCF"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特殊建设工程消防设计审查意见书</w:t>
      </w:r>
    </w:p>
    <w:p w14:paraId="1FA71EDC"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设计单位、施工单位资质证书</w:t>
      </w:r>
    </w:p>
    <w:p w14:paraId="69579D89"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危险化学品建设项目安全条件审查意见书</w:t>
      </w:r>
    </w:p>
    <w:p w14:paraId="614372C6"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危险化学品建设项目安全设施设计审查意见书</w:t>
      </w:r>
    </w:p>
    <w:p w14:paraId="7397063F"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主要负责人、安全管理人员任命文件</w:t>
      </w:r>
    </w:p>
    <w:p w14:paraId="03D78372"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主要负责人、安全管理人员安全资格证</w:t>
      </w:r>
    </w:p>
    <w:p w14:paraId="7DDA56E5" w14:textId="77777777" w:rsidR="009D38C1" w:rsidRPr="008F4914"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从业人员培训证明</w:t>
      </w:r>
    </w:p>
    <w:p w14:paraId="3C448F05"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双层罐、双层管道合格证</w:t>
      </w:r>
    </w:p>
    <w:p w14:paraId="2D2F8829"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雷电防护装置检测报告</w:t>
      </w:r>
    </w:p>
    <w:p w14:paraId="13876277" w14:textId="77777777" w:rsidR="009D38C1" w:rsidRDefault="009D38C1" w:rsidP="009D38C1">
      <w:pPr>
        <w:numPr>
          <w:ilvl w:val="0"/>
          <w:numId w:val="13"/>
        </w:numPr>
        <w:ind w:firstLine="560"/>
        <w:rPr>
          <w:rFonts w:ascii="Times New Roman" w:eastAsia="宋体" w:hAnsi="Times New Roman" w:cs="Times New Roman"/>
          <w:szCs w:val="20"/>
          <w14:ligatures w14:val="none"/>
        </w:rPr>
      </w:pPr>
      <w:r w:rsidRPr="008F4914">
        <w:rPr>
          <w:rFonts w:ascii="Times New Roman" w:eastAsia="宋体" w:hAnsi="Times New Roman" w:cs="Times New Roman"/>
          <w:szCs w:val="20"/>
          <w14:ligatures w14:val="none"/>
        </w:rPr>
        <w:t>安全生产职责、安全生产规章制度、安全操作规程清单</w:t>
      </w:r>
    </w:p>
    <w:p w14:paraId="4BD93357"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应急预案备案表</w:t>
      </w:r>
    </w:p>
    <w:p w14:paraId="66936EB7"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应急物资配备清单</w:t>
      </w:r>
    </w:p>
    <w:p w14:paraId="0B8D8326" w14:textId="1B963492" w:rsidR="00963BAD" w:rsidRDefault="00963BAD"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工程竣工验收表</w:t>
      </w:r>
    </w:p>
    <w:p w14:paraId="728DCB07" w14:textId="1DA61BE4" w:rsidR="00963BAD" w:rsidRPr="008F4914" w:rsidRDefault="005D7F87" w:rsidP="009D38C1">
      <w:pPr>
        <w:numPr>
          <w:ilvl w:val="0"/>
          <w:numId w:val="13"/>
        </w:numPr>
        <w:ind w:firstLine="560"/>
        <w:rPr>
          <w:rFonts w:ascii="Times New Roman" w:eastAsia="宋体" w:hAnsi="Times New Roman" w:cs="Times New Roman"/>
          <w:szCs w:val="20"/>
          <w14:ligatures w14:val="none"/>
        </w:rPr>
      </w:pPr>
      <w:r w:rsidRPr="005D7F87">
        <w:rPr>
          <w:rFonts w:ascii="Times New Roman" w:eastAsia="宋体" w:hAnsi="Times New Roman" w:cs="Times New Roman"/>
          <w:szCs w:val="20"/>
          <w14:ligatures w14:val="none"/>
        </w:rPr>
        <w:t>油罐、管线施工、检测记录</w:t>
      </w:r>
    </w:p>
    <w:p w14:paraId="67E4DE26"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总平面布置图</w:t>
      </w:r>
    </w:p>
    <w:p w14:paraId="522B3B62"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工艺流程图</w:t>
      </w:r>
    </w:p>
    <w:p w14:paraId="5F9207CD" w14:textId="77777777" w:rsidR="009D38C1" w:rsidRDefault="009D38C1" w:rsidP="009D38C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爆炸危险区域划分图</w:t>
      </w:r>
    </w:p>
    <w:p w14:paraId="241EE07F" w14:textId="77777777" w:rsidR="00502148" w:rsidRDefault="00502148">
      <w:pPr>
        <w:ind w:firstLine="560"/>
        <w:rPr>
          <w:rFonts w:ascii="Times New Roman" w:eastAsia="宋体" w:hAnsi="Times New Roman"/>
        </w:rPr>
      </w:pPr>
    </w:p>
    <w:sectPr w:rsidR="00502148">
      <w:pgSz w:w="11906" w:h="16838"/>
      <w:pgMar w:top="1418" w:right="1134" w:bottom="1134" w:left="1588" w:header="851" w:footer="992" w:gutter="0"/>
      <w:cols w:space="425"/>
      <w:docGrid w:type="line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12BD2" w14:textId="77777777" w:rsidR="001C718C" w:rsidRDefault="001C718C">
      <w:pPr>
        <w:spacing w:line="240" w:lineRule="auto"/>
        <w:ind w:firstLine="560"/>
      </w:pPr>
      <w:r>
        <w:separator/>
      </w:r>
    </w:p>
  </w:endnote>
  <w:endnote w:type="continuationSeparator" w:id="0">
    <w:p w14:paraId="5F2F081F" w14:textId="77777777" w:rsidR="001C718C" w:rsidRDefault="001C718C">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27AB3B" w14:textId="77777777" w:rsidR="00502148" w:rsidRDefault="00502148">
    <w:pPr>
      <w:pStyle w:val="af6"/>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A6AFF" w14:textId="77777777" w:rsidR="00502148" w:rsidRDefault="00502148">
    <w:pPr>
      <w:pStyle w:val="af6"/>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D6C2F" w14:textId="77777777" w:rsidR="00502148" w:rsidRDefault="00502148">
    <w:pPr>
      <w:pStyle w:val="af6"/>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B4DB6" w14:textId="77777777" w:rsidR="00502148" w:rsidRDefault="00000000">
    <w:pPr>
      <w:pStyle w:val="af6"/>
      <w:pBdr>
        <w:top w:val="single" w:sz="4" w:space="1" w:color="auto"/>
      </w:pBdr>
      <w:ind w:firstLineChars="0" w:firstLine="0"/>
      <w:rPr>
        <w:rFonts w:ascii="Times New Roman" w:eastAsia="楷体" w:hAnsi="Times New Roman" w:cs="Times New Roman"/>
        <w:sz w:val="21"/>
        <w:szCs w:val="21"/>
      </w:rPr>
    </w:pPr>
    <w:r>
      <w:rPr>
        <w:rFonts w:ascii="Times New Roman" w:eastAsia="楷体" w:hAnsi="Times New Roman" w:cs="Times New Roman"/>
        <w:noProof/>
        <w:sz w:val="21"/>
        <w:szCs w:val="21"/>
        <w14:ligatures w14:val="none"/>
      </w:rPr>
      <w:drawing>
        <wp:inline distT="0" distB="0" distL="114300" distR="114300" wp14:anchorId="1E9E1B27" wp14:editId="32845C71">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42122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Times New Roman" w:eastAsia="楷体" w:hAnsi="Times New Roman" w:cs="Times New Roman"/>
        <w:sz w:val="21"/>
        <w:szCs w:val="21"/>
      </w:rPr>
      <w:t>辽宁诺诚安全科技有限公司</w:t>
    </w:r>
    <w:r>
      <w:rPr>
        <w:rFonts w:ascii="Times New Roman" w:eastAsia="楷体" w:hAnsi="Times New Roman" w:cs="Times New Roman"/>
        <w:sz w:val="21"/>
        <w:szCs w:val="21"/>
      </w:rPr>
      <w:ptab w:relativeTo="margin" w:alignment="center" w:leader="none"/>
    </w:r>
    <w:r>
      <w:rPr>
        <w:rFonts w:ascii="Times New Roman" w:eastAsia="楷体" w:hAnsi="Times New Roman" w:cs="Times New Roman"/>
        <w:sz w:val="21"/>
        <w:szCs w:val="21"/>
      </w:rPr>
      <w:ptab w:relativeTo="margin" w:alignment="right" w:leader="none"/>
    </w:r>
    <w:r>
      <w:rPr>
        <w:rFonts w:ascii="Times New Roman" w:eastAsia="楷体" w:hAnsi="Times New Roman" w:cs="Times New Roman"/>
        <w:sz w:val="21"/>
        <w:szCs w:val="21"/>
      </w:rPr>
      <w:fldChar w:fldCharType="begin"/>
    </w:r>
    <w:r>
      <w:rPr>
        <w:rFonts w:ascii="Times New Roman" w:eastAsia="楷体" w:hAnsi="Times New Roman" w:cs="Times New Roman"/>
        <w:sz w:val="21"/>
        <w:szCs w:val="21"/>
      </w:rPr>
      <w:instrText>PAGE   \* MERGEFORMAT</w:instrText>
    </w:r>
    <w:r>
      <w:rPr>
        <w:rFonts w:ascii="Times New Roman" w:eastAsia="楷体" w:hAnsi="Times New Roman" w:cs="Times New Roman"/>
        <w:sz w:val="21"/>
        <w:szCs w:val="21"/>
      </w:rPr>
      <w:fldChar w:fldCharType="separate"/>
    </w:r>
    <w:r>
      <w:rPr>
        <w:rFonts w:ascii="Times New Roman" w:eastAsia="楷体" w:hAnsi="Times New Roman" w:cs="Times New Roman"/>
        <w:sz w:val="21"/>
        <w:szCs w:val="21"/>
        <w:lang w:val="zh-CN"/>
      </w:rPr>
      <w:t>1</w:t>
    </w:r>
    <w:r>
      <w:rPr>
        <w:rFonts w:ascii="Times New Roman" w:eastAsia="楷体" w:hAnsi="Times New Roman" w:cs="Times New Roman"/>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EA9FB1" w14:textId="77777777" w:rsidR="001C718C" w:rsidRDefault="001C718C">
      <w:pPr>
        <w:ind w:firstLine="560"/>
      </w:pPr>
      <w:r>
        <w:separator/>
      </w:r>
    </w:p>
  </w:footnote>
  <w:footnote w:type="continuationSeparator" w:id="0">
    <w:p w14:paraId="7905D90E" w14:textId="77777777" w:rsidR="001C718C" w:rsidRDefault="001C718C">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2D847" w14:textId="77777777" w:rsidR="00502148" w:rsidRDefault="00502148">
    <w:pPr>
      <w:pStyle w:val="af8"/>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30D1C" w14:textId="77777777" w:rsidR="00502148" w:rsidRDefault="00502148">
    <w:pPr>
      <w:pStyle w:val="af8"/>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D2A63" w14:textId="77777777" w:rsidR="00502148" w:rsidRDefault="00502148">
    <w:pPr>
      <w:pStyle w:val="af8"/>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1DFCA" w14:textId="77777777" w:rsidR="00502148" w:rsidRDefault="00000000">
    <w:pPr>
      <w:pStyle w:val="af8"/>
      <w:pBdr>
        <w:bottom w:val="single" w:sz="4" w:space="1" w:color="auto"/>
      </w:pBdr>
      <w:ind w:firstLineChars="0" w:firstLine="0"/>
      <w:rPr>
        <w:rFonts w:ascii="楷体" w:eastAsia="楷体" w:hAnsi="楷体" w:hint="eastAsia"/>
        <w:sz w:val="21"/>
        <w:szCs w:val="21"/>
      </w:rPr>
    </w:pPr>
    <w:r>
      <w:rPr>
        <w:rFonts w:ascii="楷体" w:eastAsia="楷体" w:hAnsi="楷体"/>
        <w:sz w:val="21"/>
        <w:szCs w:val="21"/>
      </w:rPr>
      <w:t>中铁（辽宁）本桓高速公路有限公司五里甸子服务区</w:t>
    </w:r>
    <w:r>
      <w:rPr>
        <w:rFonts w:ascii="楷体" w:eastAsia="楷体" w:hAnsi="楷体" w:hint="eastAsia"/>
        <w:sz w:val="21"/>
        <w:szCs w:val="21"/>
      </w:rPr>
      <w:t>西</w:t>
    </w:r>
    <w:r>
      <w:rPr>
        <w:rFonts w:ascii="楷体" w:eastAsia="楷体" w:hAnsi="楷体"/>
        <w:sz w:val="21"/>
        <w:szCs w:val="21"/>
      </w:rPr>
      <w:t>侧加油站新建项目</w:t>
    </w:r>
  </w:p>
  <w:p w14:paraId="2023557A" w14:textId="77777777" w:rsidR="00502148" w:rsidRDefault="00000000">
    <w:pPr>
      <w:pStyle w:val="af8"/>
      <w:pBdr>
        <w:bottom w:val="single" w:sz="4" w:space="1" w:color="auto"/>
      </w:pBdr>
      <w:ind w:firstLineChars="0" w:firstLine="0"/>
      <w:rPr>
        <w:rFonts w:ascii="楷体" w:eastAsia="楷体" w:hAnsi="楷体" w:hint="eastAsia"/>
        <w:sz w:val="21"/>
        <w:szCs w:val="21"/>
      </w:rPr>
    </w:pPr>
    <w:r>
      <w:rPr>
        <w:rFonts w:ascii="楷体" w:eastAsia="楷体" w:hAnsi="楷体"/>
        <w:sz w:val="21"/>
        <w:szCs w:val="21"/>
      </w:rPr>
      <w:t>安全设施竣工验收安全评价报</w:t>
    </w:r>
    <w:r>
      <w:rPr>
        <w:rFonts w:ascii="楷体" w:eastAsia="楷体" w:hAnsi="楷体" w:hint="eastAsia"/>
        <w:sz w:val="21"/>
        <w:szCs w:val="21"/>
      </w:rPr>
      <w:t>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64F318A"/>
    <w:multiLevelType w:val="singleLevel"/>
    <w:tmpl w:val="964F318A"/>
    <w:lvl w:ilvl="0">
      <w:start w:val="1"/>
      <w:numFmt w:val="decimal"/>
      <w:suff w:val="nothing"/>
      <w:lvlText w:val="（%1）"/>
      <w:lvlJc w:val="left"/>
    </w:lvl>
  </w:abstractNum>
  <w:abstractNum w:abstractNumId="1" w15:restartNumberingAfterBreak="0">
    <w:nsid w:val="ED390F9A"/>
    <w:multiLevelType w:val="singleLevel"/>
    <w:tmpl w:val="ED390F9A"/>
    <w:lvl w:ilvl="0">
      <w:start w:val="1"/>
      <w:numFmt w:val="decimal"/>
      <w:suff w:val="nothing"/>
      <w:lvlText w:val="（%1）"/>
      <w:lvlJc w:val="left"/>
    </w:lvl>
  </w:abstractNum>
  <w:abstractNum w:abstractNumId="2" w15:restartNumberingAfterBreak="0">
    <w:nsid w:val="F3136BFA"/>
    <w:multiLevelType w:val="singleLevel"/>
    <w:tmpl w:val="F3136BFA"/>
    <w:lvl w:ilvl="0">
      <w:start w:val="1"/>
      <w:numFmt w:val="decimal"/>
      <w:suff w:val="nothing"/>
      <w:lvlText w:val="%1"/>
      <w:lvlJc w:val="left"/>
      <w:pPr>
        <w:tabs>
          <w:tab w:val="left" w:pos="0"/>
        </w:tabs>
        <w:ind w:left="454" w:hanging="454"/>
      </w:pPr>
      <w:rPr>
        <w:rFonts w:hint="default"/>
      </w:rPr>
    </w:lvl>
  </w:abstractNum>
  <w:abstractNum w:abstractNumId="3" w15:restartNumberingAfterBreak="0">
    <w:nsid w:val="083B617F"/>
    <w:multiLevelType w:val="multilevel"/>
    <w:tmpl w:val="083B617F"/>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15:restartNumberingAfterBreak="0">
    <w:nsid w:val="0AEB9E36"/>
    <w:multiLevelType w:val="singleLevel"/>
    <w:tmpl w:val="0AEB9E36"/>
    <w:lvl w:ilvl="0">
      <w:start w:val="1"/>
      <w:numFmt w:val="decimal"/>
      <w:suff w:val="nothing"/>
      <w:lvlText w:val="（%1）"/>
      <w:lvlJc w:val="left"/>
    </w:lvl>
  </w:abstractNum>
  <w:abstractNum w:abstractNumId="5" w15:restartNumberingAfterBreak="0">
    <w:nsid w:val="1150624F"/>
    <w:multiLevelType w:val="multilevel"/>
    <w:tmpl w:val="1150624F"/>
    <w:lvl w:ilvl="0">
      <w:start w:val="1"/>
      <w:numFmt w:val="decimal"/>
      <w:suff w:val="nothing"/>
      <w:lvlText w:val="%1"/>
      <w:lvlJc w:val="left"/>
      <w:pPr>
        <w:ind w:left="440" w:hanging="44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6" w15:restartNumberingAfterBreak="0">
    <w:nsid w:val="293751EF"/>
    <w:multiLevelType w:val="multilevel"/>
    <w:tmpl w:val="293751EF"/>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7" w15:restartNumberingAfterBreak="0">
    <w:nsid w:val="34304144"/>
    <w:multiLevelType w:val="multilevel"/>
    <w:tmpl w:val="34304144"/>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15:restartNumberingAfterBreak="0">
    <w:nsid w:val="3A8D7FE9"/>
    <w:multiLevelType w:val="multilevel"/>
    <w:tmpl w:val="3A8D7FE9"/>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9" w15:restartNumberingAfterBreak="0">
    <w:nsid w:val="47F2F6A2"/>
    <w:multiLevelType w:val="singleLevel"/>
    <w:tmpl w:val="47F2F6A2"/>
    <w:lvl w:ilvl="0">
      <w:start w:val="1"/>
      <w:numFmt w:val="decimal"/>
      <w:suff w:val="nothing"/>
      <w:lvlText w:val="%1."/>
      <w:lvlJc w:val="left"/>
      <w:pPr>
        <w:ind w:left="454" w:hanging="454"/>
      </w:pPr>
      <w:rPr>
        <w:rFonts w:hint="default"/>
      </w:rPr>
    </w:lvl>
  </w:abstractNum>
  <w:abstractNum w:abstractNumId="10" w15:restartNumberingAfterBreak="0">
    <w:nsid w:val="4D8E144C"/>
    <w:multiLevelType w:val="multilevel"/>
    <w:tmpl w:val="4D8E144C"/>
    <w:lvl w:ilvl="0">
      <w:start w:val="1"/>
      <w:numFmt w:val="decimal"/>
      <w:suff w:val="nothing"/>
      <w:lvlText w:val="（%1）"/>
      <w:lvlJc w:val="left"/>
      <w:pPr>
        <w:ind w:left="44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1" w15:restartNumberingAfterBreak="0">
    <w:nsid w:val="613B62C2"/>
    <w:multiLevelType w:val="multilevel"/>
    <w:tmpl w:val="613B62C2"/>
    <w:lvl w:ilvl="0">
      <w:start w:val="1"/>
      <w:numFmt w:val="decimal"/>
      <w:suff w:val="nothing"/>
      <w:lvlText w:val="%1"/>
      <w:lvlJc w:val="left"/>
      <w:pPr>
        <w:ind w:left="420" w:hanging="420"/>
      </w:pPr>
      <w:rPr>
        <w:rFonts w:ascii="Times New Roman" w:hAnsi="Times New Roman" w:hint="default"/>
        <w:sz w:val="21"/>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15:restartNumberingAfterBreak="0">
    <w:nsid w:val="6C6368F3"/>
    <w:multiLevelType w:val="multilevel"/>
    <w:tmpl w:val="6C6368F3"/>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num w:numId="1" w16cid:durableId="46611809">
    <w:abstractNumId w:val="5"/>
  </w:num>
  <w:num w:numId="2" w16cid:durableId="1661347343">
    <w:abstractNumId w:val="11"/>
  </w:num>
  <w:num w:numId="3" w16cid:durableId="1446196727">
    <w:abstractNumId w:val="7"/>
  </w:num>
  <w:num w:numId="4" w16cid:durableId="206181087">
    <w:abstractNumId w:val="2"/>
  </w:num>
  <w:num w:numId="5" w16cid:durableId="644818931">
    <w:abstractNumId w:val="9"/>
  </w:num>
  <w:num w:numId="6" w16cid:durableId="1514758362">
    <w:abstractNumId w:val="6"/>
  </w:num>
  <w:num w:numId="7" w16cid:durableId="1500342775">
    <w:abstractNumId w:val="3"/>
  </w:num>
  <w:num w:numId="8" w16cid:durableId="271938393">
    <w:abstractNumId w:val="10"/>
  </w:num>
  <w:num w:numId="9" w16cid:durableId="1949314589">
    <w:abstractNumId w:val="0"/>
  </w:num>
  <w:num w:numId="10" w16cid:durableId="417018554">
    <w:abstractNumId w:val="8"/>
  </w:num>
  <w:num w:numId="11" w16cid:durableId="597831568">
    <w:abstractNumId w:val="12"/>
  </w:num>
  <w:num w:numId="12" w16cid:durableId="1837258376">
    <w:abstractNumId w:val="1"/>
  </w:num>
  <w:num w:numId="13" w16cid:durableId="2005551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40"/>
  <w:drawingGridVerticalSpacing w:val="381"/>
  <w:displayHorizontalDrawingGridEvery w:val="0"/>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6A1A"/>
    <w:rsid w:val="000157C7"/>
    <w:rsid w:val="00023234"/>
    <w:rsid w:val="00034B89"/>
    <w:rsid w:val="000355A1"/>
    <w:rsid w:val="00045A1F"/>
    <w:rsid w:val="000510B1"/>
    <w:rsid w:val="00051E1A"/>
    <w:rsid w:val="00053299"/>
    <w:rsid w:val="000604CA"/>
    <w:rsid w:val="00062060"/>
    <w:rsid w:val="000628E4"/>
    <w:rsid w:val="00062972"/>
    <w:rsid w:val="000645D7"/>
    <w:rsid w:val="00070ED8"/>
    <w:rsid w:val="0007278A"/>
    <w:rsid w:val="00075190"/>
    <w:rsid w:val="000766EA"/>
    <w:rsid w:val="00083284"/>
    <w:rsid w:val="00084EDF"/>
    <w:rsid w:val="00087346"/>
    <w:rsid w:val="00087FB8"/>
    <w:rsid w:val="00091C72"/>
    <w:rsid w:val="000A177A"/>
    <w:rsid w:val="000A394E"/>
    <w:rsid w:val="000A4C13"/>
    <w:rsid w:val="000A5BEB"/>
    <w:rsid w:val="000B0A7D"/>
    <w:rsid w:val="000B6B71"/>
    <w:rsid w:val="000C7058"/>
    <w:rsid w:val="000D10C7"/>
    <w:rsid w:val="000D79D7"/>
    <w:rsid w:val="000D7C7C"/>
    <w:rsid w:val="000E2F1F"/>
    <w:rsid w:val="000E323D"/>
    <w:rsid w:val="000E6D9E"/>
    <w:rsid w:val="000E7AAC"/>
    <w:rsid w:val="000F4E8F"/>
    <w:rsid w:val="000F7AE9"/>
    <w:rsid w:val="00106A06"/>
    <w:rsid w:val="00107A08"/>
    <w:rsid w:val="00112BA4"/>
    <w:rsid w:val="00112F40"/>
    <w:rsid w:val="0011748C"/>
    <w:rsid w:val="00117F06"/>
    <w:rsid w:val="001219A1"/>
    <w:rsid w:val="001240BA"/>
    <w:rsid w:val="001266D2"/>
    <w:rsid w:val="00126AA3"/>
    <w:rsid w:val="00130CB2"/>
    <w:rsid w:val="00136BD9"/>
    <w:rsid w:val="001404ED"/>
    <w:rsid w:val="0014164B"/>
    <w:rsid w:val="001445BA"/>
    <w:rsid w:val="00144A65"/>
    <w:rsid w:val="001451B3"/>
    <w:rsid w:val="00146458"/>
    <w:rsid w:val="001470B2"/>
    <w:rsid w:val="00147870"/>
    <w:rsid w:val="001530A7"/>
    <w:rsid w:val="00160EC2"/>
    <w:rsid w:val="001630FD"/>
    <w:rsid w:val="0016407E"/>
    <w:rsid w:val="001644D3"/>
    <w:rsid w:val="00166B09"/>
    <w:rsid w:val="00166FAC"/>
    <w:rsid w:val="00167F00"/>
    <w:rsid w:val="00170617"/>
    <w:rsid w:val="001708F2"/>
    <w:rsid w:val="00174CD7"/>
    <w:rsid w:val="00177E9C"/>
    <w:rsid w:val="0018043E"/>
    <w:rsid w:val="00183765"/>
    <w:rsid w:val="00192678"/>
    <w:rsid w:val="0019674A"/>
    <w:rsid w:val="0019748A"/>
    <w:rsid w:val="001A16CB"/>
    <w:rsid w:val="001A1AA9"/>
    <w:rsid w:val="001A45DB"/>
    <w:rsid w:val="001A7151"/>
    <w:rsid w:val="001A747F"/>
    <w:rsid w:val="001C05A5"/>
    <w:rsid w:val="001C718C"/>
    <w:rsid w:val="001C7EFE"/>
    <w:rsid w:val="001D0EE4"/>
    <w:rsid w:val="001D79F0"/>
    <w:rsid w:val="001E4BD5"/>
    <w:rsid w:val="001E7543"/>
    <w:rsid w:val="001F1914"/>
    <w:rsid w:val="001F79D4"/>
    <w:rsid w:val="00200BFA"/>
    <w:rsid w:val="00203815"/>
    <w:rsid w:val="00207FF7"/>
    <w:rsid w:val="00222AB4"/>
    <w:rsid w:val="00223EAB"/>
    <w:rsid w:val="002249DC"/>
    <w:rsid w:val="00225AD6"/>
    <w:rsid w:val="00232983"/>
    <w:rsid w:val="00234A35"/>
    <w:rsid w:val="00236EAB"/>
    <w:rsid w:val="00240E88"/>
    <w:rsid w:val="00256849"/>
    <w:rsid w:val="00256890"/>
    <w:rsid w:val="002569F3"/>
    <w:rsid w:val="002649DA"/>
    <w:rsid w:val="00271363"/>
    <w:rsid w:val="00271397"/>
    <w:rsid w:val="002738A1"/>
    <w:rsid w:val="00275E6E"/>
    <w:rsid w:val="002849F5"/>
    <w:rsid w:val="002868B8"/>
    <w:rsid w:val="00292E1E"/>
    <w:rsid w:val="00297425"/>
    <w:rsid w:val="002A2961"/>
    <w:rsid w:val="002A2ED6"/>
    <w:rsid w:val="002A368F"/>
    <w:rsid w:val="002A3FFD"/>
    <w:rsid w:val="002A6B3E"/>
    <w:rsid w:val="002C13A0"/>
    <w:rsid w:val="002E0748"/>
    <w:rsid w:val="002E252D"/>
    <w:rsid w:val="002E2823"/>
    <w:rsid w:val="002E3D7F"/>
    <w:rsid w:val="002F3B4A"/>
    <w:rsid w:val="002F66D9"/>
    <w:rsid w:val="003031CF"/>
    <w:rsid w:val="00310B0B"/>
    <w:rsid w:val="00311B55"/>
    <w:rsid w:val="00311C7E"/>
    <w:rsid w:val="00315B0E"/>
    <w:rsid w:val="00316A27"/>
    <w:rsid w:val="00316E1B"/>
    <w:rsid w:val="00317EBA"/>
    <w:rsid w:val="00320BC4"/>
    <w:rsid w:val="00321178"/>
    <w:rsid w:val="003230CC"/>
    <w:rsid w:val="00325EFA"/>
    <w:rsid w:val="00334725"/>
    <w:rsid w:val="00340301"/>
    <w:rsid w:val="003452F4"/>
    <w:rsid w:val="00345D11"/>
    <w:rsid w:val="00346868"/>
    <w:rsid w:val="00350DB3"/>
    <w:rsid w:val="00351F8A"/>
    <w:rsid w:val="00354B9D"/>
    <w:rsid w:val="00356D18"/>
    <w:rsid w:val="003647D7"/>
    <w:rsid w:val="00372304"/>
    <w:rsid w:val="00372F67"/>
    <w:rsid w:val="0037446D"/>
    <w:rsid w:val="00375235"/>
    <w:rsid w:val="00383985"/>
    <w:rsid w:val="00390F05"/>
    <w:rsid w:val="00391BA3"/>
    <w:rsid w:val="0039353A"/>
    <w:rsid w:val="003952E0"/>
    <w:rsid w:val="003A22FA"/>
    <w:rsid w:val="003A2DF0"/>
    <w:rsid w:val="003A43E7"/>
    <w:rsid w:val="003A646D"/>
    <w:rsid w:val="003A7C58"/>
    <w:rsid w:val="003B314E"/>
    <w:rsid w:val="003B35EB"/>
    <w:rsid w:val="003B5575"/>
    <w:rsid w:val="003B606C"/>
    <w:rsid w:val="003B7362"/>
    <w:rsid w:val="003B76EA"/>
    <w:rsid w:val="003D4C5C"/>
    <w:rsid w:val="003E2F4B"/>
    <w:rsid w:val="003E6920"/>
    <w:rsid w:val="003F2789"/>
    <w:rsid w:val="003F2BFB"/>
    <w:rsid w:val="003F325E"/>
    <w:rsid w:val="003F39EC"/>
    <w:rsid w:val="003F4BD6"/>
    <w:rsid w:val="003F5892"/>
    <w:rsid w:val="00407A93"/>
    <w:rsid w:val="00407B2D"/>
    <w:rsid w:val="004148EA"/>
    <w:rsid w:val="004166FD"/>
    <w:rsid w:val="00423D5B"/>
    <w:rsid w:val="0042465E"/>
    <w:rsid w:val="00431F95"/>
    <w:rsid w:val="004346B3"/>
    <w:rsid w:val="00435458"/>
    <w:rsid w:val="00435874"/>
    <w:rsid w:val="00435C50"/>
    <w:rsid w:val="00442F45"/>
    <w:rsid w:val="0044332D"/>
    <w:rsid w:val="00453B89"/>
    <w:rsid w:val="004560A7"/>
    <w:rsid w:val="0046087F"/>
    <w:rsid w:val="00461337"/>
    <w:rsid w:val="00466F5B"/>
    <w:rsid w:val="004730BF"/>
    <w:rsid w:val="0047368E"/>
    <w:rsid w:val="0048236B"/>
    <w:rsid w:val="00486C46"/>
    <w:rsid w:val="00496AB4"/>
    <w:rsid w:val="004A1F33"/>
    <w:rsid w:val="004A2E1E"/>
    <w:rsid w:val="004B0CE7"/>
    <w:rsid w:val="004B5292"/>
    <w:rsid w:val="004C3FCD"/>
    <w:rsid w:val="004C64DD"/>
    <w:rsid w:val="004D13EA"/>
    <w:rsid w:val="004E0D12"/>
    <w:rsid w:val="004E23A3"/>
    <w:rsid w:val="004E7A66"/>
    <w:rsid w:val="004F4127"/>
    <w:rsid w:val="004F4923"/>
    <w:rsid w:val="004F73C2"/>
    <w:rsid w:val="004F7FD0"/>
    <w:rsid w:val="00502148"/>
    <w:rsid w:val="00506B9F"/>
    <w:rsid w:val="0051182E"/>
    <w:rsid w:val="00516FDA"/>
    <w:rsid w:val="00527AB5"/>
    <w:rsid w:val="005314FE"/>
    <w:rsid w:val="00535EDF"/>
    <w:rsid w:val="0054024D"/>
    <w:rsid w:val="005409D5"/>
    <w:rsid w:val="00543908"/>
    <w:rsid w:val="00543FC3"/>
    <w:rsid w:val="005507C3"/>
    <w:rsid w:val="00576EBF"/>
    <w:rsid w:val="005808EC"/>
    <w:rsid w:val="00581065"/>
    <w:rsid w:val="00582E4E"/>
    <w:rsid w:val="00583A56"/>
    <w:rsid w:val="00583DC9"/>
    <w:rsid w:val="00587DD8"/>
    <w:rsid w:val="00594A99"/>
    <w:rsid w:val="005A1204"/>
    <w:rsid w:val="005A567C"/>
    <w:rsid w:val="005B0A75"/>
    <w:rsid w:val="005B2B3A"/>
    <w:rsid w:val="005C23CA"/>
    <w:rsid w:val="005C3B9B"/>
    <w:rsid w:val="005C79BC"/>
    <w:rsid w:val="005D06F8"/>
    <w:rsid w:val="005D7F87"/>
    <w:rsid w:val="005E3443"/>
    <w:rsid w:val="005E6FE2"/>
    <w:rsid w:val="005F08B1"/>
    <w:rsid w:val="005F37E5"/>
    <w:rsid w:val="005F54E8"/>
    <w:rsid w:val="005F6ECA"/>
    <w:rsid w:val="00602287"/>
    <w:rsid w:val="006032D4"/>
    <w:rsid w:val="0061233B"/>
    <w:rsid w:val="00615716"/>
    <w:rsid w:val="00616CCD"/>
    <w:rsid w:val="0062754D"/>
    <w:rsid w:val="006345CC"/>
    <w:rsid w:val="006363A7"/>
    <w:rsid w:val="006436E4"/>
    <w:rsid w:val="00644852"/>
    <w:rsid w:val="00653591"/>
    <w:rsid w:val="00655423"/>
    <w:rsid w:val="006559AC"/>
    <w:rsid w:val="00656435"/>
    <w:rsid w:val="006619E4"/>
    <w:rsid w:val="00661BBD"/>
    <w:rsid w:val="00665D6B"/>
    <w:rsid w:val="006679A8"/>
    <w:rsid w:val="00671333"/>
    <w:rsid w:val="0067624C"/>
    <w:rsid w:val="006766A8"/>
    <w:rsid w:val="00680B73"/>
    <w:rsid w:val="00682FC9"/>
    <w:rsid w:val="0068579D"/>
    <w:rsid w:val="00691A9E"/>
    <w:rsid w:val="006930E4"/>
    <w:rsid w:val="00695931"/>
    <w:rsid w:val="006A2301"/>
    <w:rsid w:val="006A7BC6"/>
    <w:rsid w:val="006B2DC3"/>
    <w:rsid w:val="006C1530"/>
    <w:rsid w:val="006C1AB1"/>
    <w:rsid w:val="006C24A7"/>
    <w:rsid w:val="006C42A7"/>
    <w:rsid w:val="006C61AA"/>
    <w:rsid w:val="006C7C8A"/>
    <w:rsid w:val="006C7DC1"/>
    <w:rsid w:val="006D7427"/>
    <w:rsid w:val="006E1100"/>
    <w:rsid w:val="006E5873"/>
    <w:rsid w:val="006F26AC"/>
    <w:rsid w:val="006F366C"/>
    <w:rsid w:val="006F5000"/>
    <w:rsid w:val="006F6E4A"/>
    <w:rsid w:val="006F6F94"/>
    <w:rsid w:val="00707BD5"/>
    <w:rsid w:val="0071055A"/>
    <w:rsid w:val="00711FB7"/>
    <w:rsid w:val="007126F5"/>
    <w:rsid w:val="007128EF"/>
    <w:rsid w:val="00726CBE"/>
    <w:rsid w:val="007355F5"/>
    <w:rsid w:val="0073610C"/>
    <w:rsid w:val="0074016D"/>
    <w:rsid w:val="007456D3"/>
    <w:rsid w:val="00753F74"/>
    <w:rsid w:val="00757C16"/>
    <w:rsid w:val="00761D0C"/>
    <w:rsid w:val="007620E5"/>
    <w:rsid w:val="00771135"/>
    <w:rsid w:val="00771BBF"/>
    <w:rsid w:val="00773138"/>
    <w:rsid w:val="007739ED"/>
    <w:rsid w:val="00775E47"/>
    <w:rsid w:val="00786FA7"/>
    <w:rsid w:val="00790B2F"/>
    <w:rsid w:val="007910B0"/>
    <w:rsid w:val="00796FD9"/>
    <w:rsid w:val="007A230C"/>
    <w:rsid w:val="007A6015"/>
    <w:rsid w:val="007A73AC"/>
    <w:rsid w:val="007B2C5D"/>
    <w:rsid w:val="007B45E1"/>
    <w:rsid w:val="007C0138"/>
    <w:rsid w:val="007C116C"/>
    <w:rsid w:val="007C457C"/>
    <w:rsid w:val="007C7C90"/>
    <w:rsid w:val="007D3090"/>
    <w:rsid w:val="007D7F6F"/>
    <w:rsid w:val="007E1FFB"/>
    <w:rsid w:val="007E6109"/>
    <w:rsid w:val="008039E0"/>
    <w:rsid w:val="008050EC"/>
    <w:rsid w:val="008065EE"/>
    <w:rsid w:val="00810968"/>
    <w:rsid w:val="008177F2"/>
    <w:rsid w:val="00817A96"/>
    <w:rsid w:val="00822EF7"/>
    <w:rsid w:val="0082631A"/>
    <w:rsid w:val="00831BCC"/>
    <w:rsid w:val="008412BD"/>
    <w:rsid w:val="0084180D"/>
    <w:rsid w:val="008420D6"/>
    <w:rsid w:val="0084785B"/>
    <w:rsid w:val="00855B0E"/>
    <w:rsid w:val="00863D8F"/>
    <w:rsid w:val="00876BA7"/>
    <w:rsid w:val="00877FD9"/>
    <w:rsid w:val="00885B19"/>
    <w:rsid w:val="00886380"/>
    <w:rsid w:val="00896520"/>
    <w:rsid w:val="00897997"/>
    <w:rsid w:val="008A104D"/>
    <w:rsid w:val="008A2511"/>
    <w:rsid w:val="008B5273"/>
    <w:rsid w:val="008B6054"/>
    <w:rsid w:val="008C1211"/>
    <w:rsid w:val="008C15AC"/>
    <w:rsid w:val="008C6105"/>
    <w:rsid w:val="008D3C36"/>
    <w:rsid w:val="008D410D"/>
    <w:rsid w:val="008D5CF1"/>
    <w:rsid w:val="008D5F06"/>
    <w:rsid w:val="008D64CB"/>
    <w:rsid w:val="008D6E34"/>
    <w:rsid w:val="008E5C21"/>
    <w:rsid w:val="008F0D98"/>
    <w:rsid w:val="008F10FF"/>
    <w:rsid w:val="008F116B"/>
    <w:rsid w:val="008F2662"/>
    <w:rsid w:val="008F50D8"/>
    <w:rsid w:val="008F6808"/>
    <w:rsid w:val="009011D8"/>
    <w:rsid w:val="009058CC"/>
    <w:rsid w:val="00906A33"/>
    <w:rsid w:val="00907F09"/>
    <w:rsid w:val="00912979"/>
    <w:rsid w:val="00917789"/>
    <w:rsid w:val="00921840"/>
    <w:rsid w:val="009219E2"/>
    <w:rsid w:val="00931503"/>
    <w:rsid w:val="00933275"/>
    <w:rsid w:val="00940F91"/>
    <w:rsid w:val="009426F5"/>
    <w:rsid w:val="00943AD3"/>
    <w:rsid w:val="00945F06"/>
    <w:rsid w:val="009470D4"/>
    <w:rsid w:val="009548A8"/>
    <w:rsid w:val="00957814"/>
    <w:rsid w:val="0095789B"/>
    <w:rsid w:val="009625F8"/>
    <w:rsid w:val="00963BAD"/>
    <w:rsid w:val="0096462A"/>
    <w:rsid w:val="00964795"/>
    <w:rsid w:val="009804A7"/>
    <w:rsid w:val="00992314"/>
    <w:rsid w:val="00992FEC"/>
    <w:rsid w:val="009935A7"/>
    <w:rsid w:val="009947EA"/>
    <w:rsid w:val="00996264"/>
    <w:rsid w:val="009A2446"/>
    <w:rsid w:val="009A26B7"/>
    <w:rsid w:val="009A5D7D"/>
    <w:rsid w:val="009C2960"/>
    <w:rsid w:val="009D2FC7"/>
    <w:rsid w:val="009D38C1"/>
    <w:rsid w:val="009D45AB"/>
    <w:rsid w:val="009D651D"/>
    <w:rsid w:val="009D76F4"/>
    <w:rsid w:val="009E0D2F"/>
    <w:rsid w:val="009F4EF9"/>
    <w:rsid w:val="009F6389"/>
    <w:rsid w:val="009F6E26"/>
    <w:rsid w:val="00A04235"/>
    <w:rsid w:val="00A13B58"/>
    <w:rsid w:val="00A33C94"/>
    <w:rsid w:val="00A34EB1"/>
    <w:rsid w:val="00A367D0"/>
    <w:rsid w:val="00A367F5"/>
    <w:rsid w:val="00A37B2B"/>
    <w:rsid w:val="00A40D46"/>
    <w:rsid w:val="00A5563E"/>
    <w:rsid w:val="00A5753F"/>
    <w:rsid w:val="00A57816"/>
    <w:rsid w:val="00A637F2"/>
    <w:rsid w:val="00A66D34"/>
    <w:rsid w:val="00A66FFA"/>
    <w:rsid w:val="00A6768A"/>
    <w:rsid w:val="00A7003A"/>
    <w:rsid w:val="00A73451"/>
    <w:rsid w:val="00A80C39"/>
    <w:rsid w:val="00A83A0C"/>
    <w:rsid w:val="00A86563"/>
    <w:rsid w:val="00A92871"/>
    <w:rsid w:val="00A962DC"/>
    <w:rsid w:val="00A96AD0"/>
    <w:rsid w:val="00A97896"/>
    <w:rsid w:val="00AA7977"/>
    <w:rsid w:val="00AB39E0"/>
    <w:rsid w:val="00AC18C0"/>
    <w:rsid w:val="00AC26C9"/>
    <w:rsid w:val="00AC28B0"/>
    <w:rsid w:val="00AC50A6"/>
    <w:rsid w:val="00AC5BA6"/>
    <w:rsid w:val="00AD15F0"/>
    <w:rsid w:val="00AE1EAF"/>
    <w:rsid w:val="00AF02BA"/>
    <w:rsid w:val="00AF417B"/>
    <w:rsid w:val="00AF49AE"/>
    <w:rsid w:val="00AF6CF6"/>
    <w:rsid w:val="00AF70EF"/>
    <w:rsid w:val="00B056C4"/>
    <w:rsid w:val="00B10EE7"/>
    <w:rsid w:val="00B15D16"/>
    <w:rsid w:val="00B15F18"/>
    <w:rsid w:val="00B1602E"/>
    <w:rsid w:val="00B1715A"/>
    <w:rsid w:val="00B27EEF"/>
    <w:rsid w:val="00B300CF"/>
    <w:rsid w:val="00B339CD"/>
    <w:rsid w:val="00B364E1"/>
    <w:rsid w:val="00B42B00"/>
    <w:rsid w:val="00B5313D"/>
    <w:rsid w:val="00B571DE"/>
    <w:rsid w:val="00B65A27"/>
    <w:rsid w:val="00B66E1F"/>
    <w:rsid w:val="00B72689"/>
    <w:rsid w:val="00B83672"/>
    <w:rsid w:val="00B836F3"/>
    <w:rsid w:val="00B85D29"/>
    <w:rsid w:val="00B95C17"/>
    <w:rsid w:val="00BA31EF"/>
    <w:rsid w:val="00BB17A3"/>
    <w:rsid w:val="00BB2977"/>
    <w:rsid w:val="00BB59AD"/>
    <w:rsid w:val="00BB7DA1"/>
    <w:rsid w:val="00BC1150"/>
    <w:rsid w:val="00BC265F"/>
    <w:rsid w:val="00BC330A"/>
    <w:rsid w:val="00BC52E7"/>
    <w:rsid w:val="00BD00A5"/>
    <w:rsid w:val="00BD00C5"/>
    <w:rsid w:val="00BD08B8"/>
    <w:rsid w:val="00BD6003"/>
    <w:rsid w:val="00BE2C27"/>
    <w:rsid w:val="00BF0A00"/>
    <w:rsid w:val="00BF59D2"/>
    <w:rsid w:val="00C042FF"/>
    <w:rsid w:val="00C062E1"/>
    <w:rsid w:val="00C07162"/>
    <w:rsid w:val="00C10692"/>
    <w:rsid w:val="00C10D7C"/>
    <w:rsid w:val="00C11503"/>
    <w:rsid w:val="00C12527"/>
    <w:rsid w:val="00C16003"/>
    <w:rsid w:val="00C171BA"/>
    <w:rsid w:val="00C238B6"/>
    <w:rsid w:val="00C33654"/>
    <w:rsid w:val="00C347E0"/>
    <w:rsid w:val="00C3492A"/>
    <w:rsid w:val="00C375B2"/>
    <w:rsid w:val="00C401A2"/>
    <w:rsid w:val="00C415B0"/>
    <w:rsid w:val="00C46E6C"/>
    <w:rsid w:val="00C475AC"/>
    <w:rsid w:val="00C579D6"/>
    <w:rsid w:val="00C66086"/>
    <w:rsid w:val="00C7219C"/>
    <w:rsid w:val="00C7279E"/>
    <w:rsid w:val="00C75EEF"/>
    <w:rsid w:val="00C76107"/>
    <w:rsid w:val="00C80D11"/>
    <w:rsid w:val="00C854E5"/>
    <w:rsid w:val="00C90092"/>
    <w:rsid w:val="00C91EE9"/>
    <w:rsid w:val="00CA219F"/>
    <w:rsid w:val="00CA31DE"/>
    <w:rsid w:val="00CA7993"/>
    <w:rsid w:val="00CB419A"/>
    <w:rsid w:val="00CB6E10"/>
    <w:rsid w:val="00CC40EC"/>
    <w:rsid w:val="00CC45E2"/>
    <w:rsid w:val="00CD2135"/>
    <w:rsid w:val="00CD4036"/>
    <w:rsid w:val="00CD5C8F"/>
    <w:rsid w:val="00CE3F44"/>
    <w:rsid w:val="00CE4C52"/>
    <w:rsid w:val="00CF1CB1"/>
    <w:rsid w:val="00CF279D"/>
    <w:rsid w:val="00CF2F25"/>
    <w:rsid w:val="00CF443D"/>
    <w:rsid w:val="00D01390"/>
    <w:rsid w:val="00D018E3"/>
    <w:rsid w:val="00D01C85"/>
    <w:rsid w:val="00D0286D"/>
    <w:rsid w:val="00D060BD"/>
    <w:rsid w:val="00D10256"/>
    <w:rsid w:val="00D14BA3"/>
    <w:rsid w:val="00D207EE"/>
    <w:rsid w:val="00D20FD1"/>
    <w:rsid w:val="00D21ABC"/>
    <w:rsid w:val="00D238CB"/>
    <w:rsid w:val="00D27705"/>
    <w:rsid w:val="00D35E4F"/>
    <w:rsid w:val="00D3715A"/>
    <w:rsid w:val="00D41A4B"/>
    <w:rsid w:val="00D43AE9"/>
    <w:rsid w:val="00D45F9A"/>
    <w:rsid w:val="00D52756"/>
    <w:rsid w:val="00D54932"/>
    <w:rsid w:val="00D55EDF"/>
    <w:rsid w:val="00D57DFA"/>
    <w:rsid w:val="00D62BAC"/>
    <w:rsid w:val="00D72B75"/>
    <w:rsid w:val="00D87D84"/>
    <w:rsid w:val="00DA0597"/>
    <w:rsid w:val="00DA1B90"/>
    <w:rsid w:val="00DA2F71"/>
    <w:rsid w:val="00DA3DCB"/>
    <w:rsid w:val="00DB1217"/>
    <w:rsid w:val="00DB4573"/>
    <w:rsid w:val="00DB5415"/>
    <w:rsid w:val="00DC2ABF"/>
    <w:rsid w:val="00DC550C"/>
    <w:rsid w:val="00DE7535"/>
    <w:rsid w:val="00DE77F4"/>
    <w:rsid w:val="00DF641D"/>
    <w:rsid w:val="00E00B9F"/>
    <w:rsid w:val="00E04A31"/>
    <w:rsid w:val="00E04C64"/>
    <w:rsid w:val="00E06B02"/>
    <w:rsid w:val="00E1149D"/>
    <w:rsid w:val="00E12BB2"/>
    <w:rsid w:val="00E13077"/>
    <w:rsid w:val="00E15EAB"/>
    <w:rsid w:val="00E16225"/>
    <w:rsid w:val="00E16DAD"/>
    <w:rsid w:val="00E24ED4"/>
    <w:rsid w:val="00E250C9"/>
    <w:rsid w:val="00E25155"/>
    <w:rsid w:val="00E35EF5"/>
    <w:rsid w:val="00E4729B"/>
    <w:rsid w:val="00E5028A"/>
    <w:rsid w:val="00E530F1"/>
    <w:rsid w:val="00E55EAF"/>
    <w:rsid w:val="00E57B9A"/>
    <w:rsid w:val="00E64249"/>
    <w:rsid w:val="00E70836"/>
    <w:rsid w:val="00E75D19"/>
    <w:rsid w:val="00E76816"/>
    <w:rsid w:val="00E77CD7"/>
    <w:rsid w:val="00E908DC"/>
    <w:rsid w:val="00E91BD0"/>
    <w:rsid w:val="00E95AD4"/>
    <w:rsid w:val="00EA14A7"/>
    <w:rsid w:val="00EA455D"/>
    <w:rsid w:val="00EB2979"/>
    <w:rsid w:val="00EB2ABC"/>
    <w:rsid w:val="00EB4492"/>
    <w:rsid w:val="00EB4BBE"/>
    <w:rsid w:val="00EB60A9"/>
    <w:rsid w:val="00EB68EB"/>
    <w:rsid w:val="00EC6B44"/>
    <w:rsid w:val="00ED4C74"/>
    <w:rsid w:val="00ED5CA2"/>
    <w:rsid w:val="00EE3820"/>
    <w:rsid w:val="00EE53F5"/>
    <w:rsid w:val="00EF128E"/>
    <w:rsid w:val="00F11E9E"/>
    <w:rsid w:val="00F15998"/>
    <w:rsid w:val="00F15B2C"/>
    <w:rsid w:val="00F23717"/>
    <w:rsid w:val="00F26218"/>
    <w:rsid w:val="00F266A4"/>
    <w:rsid w:val="00F43FE5"/>
    <w:rsid w:val="00F518A6"/>
    <w:rsid w:val="00F51EF6"/>
    <w:rsid w:val="00F53E2E"/>
    <w:rsid w:val="00F56A1A"/>
    <w:rsid w:val="00F6589A"/>
    <w:rsid w:val="00F70362"/>
    <w:rsid w:val="00F7568D"/>
    <w:rsid w:val="00F77D69"/>
    <w:rsid w:val="00F84ADD"/>
    <w:rsid w:val="00F862E7"/>
    <w:rsid w:val="00F91BFA"/>
    <w:rsid w:val="00FA0963"/>
    <w:rsid w:val="00FA184A"/>
    <w:rsid w:val="00FA2B98"/>
    <w:rsid w:val="00FC4834"/>
    <w:rsid w:val="00FC7080"/>
    <w:rsid w:val="042610D7"/>
    <w:rsid w:val="336C2A69"/>
    <w:rsid w:val="4830498C"/>
    <w:rsid w:val="486A0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0E866228"/>
  <w15:docId w15:val="{E1DC19D2-328C-4789-A05A-E72627037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qFormat="1"/>
    <w:lsdException w:name="toc 5" w:uiPriority="39"/>
    <w:lsdException w:name="toc 6" w:uiPriority="39"/>
    <w:lsdException w:name="toc 7" w:uiPriority="39" w:qFormat="1"/>
    <w:lsdException w:name="toc 8" w:uiPriority="39" w:qFormat="1"/>
    <w:lsdException w:name="toc 9" w:uiPriority="39"/>
    <w:lsdException w:name="Normal Indent" w:qFormat="1"/>
    <w:lsdException w:name="footnote text" w:semiHidden="1" w:unhideWhenUsed="1"/>
    <w:lsdException w:name="annotation text"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uiPriority="0" w:qFormat="1"/>
    <w:lsdException w:name="Body Text First Indent 2" w:uiPriority="0" w:qFormat="1"/>
    <w:lsdException w:name="Note Heading" w:uiPriority="0"/>
    <w:lsdException w:name="Body Text 2" w:uiPriority="0"/>
    <w:lsdException w:name="Body Text 3" w:semiHidden="1" w:unhideWhenUsed="1"/>
    <w:lsdException w:name="Body Text Indent 2" w:uiPriority="0"/>
    <w:lsdException w:name="Body Text Indent 3" w:uiPriority="0"/>
    <w:lsdException w:name="Block Text" w:uiPriority="0"/>
    <w:lsdException w:name="Hyperlink" w:qFormat="1"/>
    <w:lsdException w:name="FollowedHyperlink" w:uiPriority="0"/>
    <w:lsdException w:name="Strong" w:uiPriority="0" w:qFormat="1"/>
    <w:lsdException w:name="Emphasis" w:uiPriority="0" w:qFormat="1"/>
    <w:lsdException w:name="Document Map" w:uiPriority="0"/>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djustRightInd w:val="0"/>
      <w:snapToGrid w:val="0"/>
      <w:spacing w:line="360" w:lineRule="auto"/>
      <w:ind w:firstLineChars="200" w:firstLine="200"/>
      <w:jc w:val="both"/>
    </w:pPr>
    <w:rPr>
      <w:rFonts w:eastAsia="Times New Roman"/>
      <w:kern w:val="2"/>
      <w:sz w:val="28"/>
      <w:szCs w:val="24"/>
      <w14:ligatures w14:val="standardContextual"/>
    </w:rPr>
  </w:style>
  <w:style w:type="paragraph" w:styleId="1">
    <w:name w:val="heading 1"/>
    <w:basedOn w:val="a"/>
    <w:next w:val="a"/>
    <w:link w:val="10"/>
    <w:qFormat/>
    <w:pPr>
      <w:keepNext/>
      <w:keepLines/>
      <w:adjustRightInd/>
      <w:snapToGrid/>
      <w:spacing w:beforeLines="50" w:before="50" w:after="10" w:line="240" w:lineRule="auto"/>
      <w:ind w:firstLineChars="0" w:firstLine="0"/>
      <w:jc w:val="center"/>
      <w:outlineLvl w:val="0"/>
    </w:pPr>
    <w:rPr>
      <w:rFonts w:ascii="Times New Roman" w:eastAsia="黑体" w:hAnsi="Times New Roman" w:cs="Times New Roman"/>
      <w:kern w:val="44"/>
      <w:sz w:val="32"/>
      <w:szCs w:val="20"/>
      <w14:ligatures w14:val="none"/>
    </w:rPr>
  </w:style>
  <w:style w:type="paragraph" w:styleId="2">
    <w:name w:val="heading 2"/>
    <w:basedOn w:val="a"/>
    <w:next w:val="a"/>
    <w:link w:val="20"/>
    <w:qFormat/>
    <w:pPr>
      <w:keepNext/>
      <w:adjustRightInd/>
      <w:snapToGrid/>
      <w:spacing w:beforeLines="50" w:before="50" w:afterLines="50" w:after="50" w:line="240" w:lineRule="auto"/>
      <w:ind w:firstLineChars="0" w:firstLine="0"/>
      <w:jc w:val="center"/>
      <w:outlineLvl w:val="1"/>
    </w:pPr>
    <w:rPr>
      <w:rFonts w:ascii="Times New Roman" w:eastAsia="楷体_GB2312" w:hAnsi="Times New Roman" w:cs="Times New Roman"/>
      <w:color w:val="000000"/>
      <w:sz w:val="32"/>
      <w:szCs w:val="20"/>
      <w14:ligatures w14:val="none"/>
    </w:rPr>
  </w:style>
  <w:style w:type="paragraph" w:styleId="3">
    <w:name w:val="heading 3"/>
    <w:basedOn w:val="a"/>
    <w:next w:val="a"/>
    <w:link w:val="30"/>
    <w:qFormat/>
    <w:pPr>
      <w:keepNext/>
      <w:keepLines/>
      <w:adjustRightInd/>
      <w:snapToGrid/>
      <w:spacing w:beforeLines="20" w:before="20" w:afterLines="20" w:after="20" w:line="240" w:lineRule="auto"/>
      <w:ind w:firstLine="560"/>
      <w:jc w:val="left"/>
      <w:outlineLvl w:val="2"/>
    </w:pPr>
    <w:rPr>
      <w:rFonts w:ascii="Times New Roman" w:eastAsia="黑体" w:hAnsi="Times New Roman" w:cs="Times New Roman"/>
      <w:kern w:val="0"/>
      <w:szCs w:val="20"/>
      <w14:ligatures w14:val="none"/>
    </w:rPr>
  </w:style>
  <w:style w:type="paragraph" w:styleId="4">
    <w:name w:val="heading 4"/>
    <w:basedOn w:val="a"/>
    <w:next w:val="a"/>
    <w:link w:val="40"/>
    <w:qFormat/>
    <w:pPr>
      <w:keepNext/>
      <w:adjustRightInd/>
      <w:snapToGrid/>
      <w:spacing w:beforeLines="50" w:before="50" w:afterLines="50" w:after="50" w:line="240" w:lineRule="auto"/>
      <w:ind w:firstLine="560"/>
      <w:jc w:val="left"/>
      <w:outlineLvl w:val="3"/>
    </w:pPr>
    <w:rPr>
      <w:rFonts w:ascii="Times New Roman" w:eastAsia="宋体" w:hAnsi="Times New Roman" w:cs="Times New Roman"/>
      <w:kern w:val="0"/>
      <w:szCs w:val="20"/>
      <w14:ligatures w14:val="none"/>
    </w:rPr>
  </w:style>
  <w:style w:type="paragraph" w:styleId="5">
    <w:name w:val="heading 5"/>
    <w:basedOn w:val="a"/>
    <w:next w:val="a"/>
    <w:link w:val="50"/>
    <w:qFormat/>
    <w:pPr>
      <w:keepNext/>
      <w:adjustRightInd/>
      <w:snapToGrid/>
      <w:spacing w:line="240" w:lineRule="auto"/>
      <w:ind w:firstLine="720"/>
      <w:jc w:val="center"/>
      <w:outlineLvl w:val="4"/>
    </w:pPr>
    <w:rPr>
      <w:rFonts w:ascii="Times New Roman" w:eastAsia="宋体" w:hAnsi="Times New Roman" w:cs="Times New Roman"/>
      <w:color w:val="000000"/>
      <w:szCs w:val="2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qFormat/>
    <w:pPr>
      <w:adjustRightInd/>
      <w:snapToGrid/>
      <w:spacing w:line="240" w:lineRule="auto"/>
      <w:ind w:leftChars="1200" w:left="2520" w:firstLineChars="0" w:firstLine="0"/>
    </w:pPr>
    <w:rPr>
      <w:rFonts w:ascii="Times New Roman" w:eastAsia="宋体" w:hAnsi="Times New Roman" w:cs="Times New Roman"/>
      <w:sz w:val="21"/>
      <w14:ligatures w14:val="none"/>
    </w:rPr>
  </w:style>
  <w:style w:type="paragraph" w:styleId="a3">
    <w:name w:val="Note Heading"/>
    <w:basedOn w:val="a"/>
    <w:next w:val="a"/>
    <w:link w:val="a4"/>
    <w:pPr>
      <w:adjustRightInd/>
      <w:snapToGrid/>
      <w:spacing w:line="240" w:lineRule="auto"/>
      <w:ind w:firstLineChars="0" w:firstLine="0"/>
      <w:jc w:val="center"/>
    </w:pPr>
    <w:rPr>
      <w:rFonts w:ascii="宋体" w:eastAsia="宋体" w:hAnsi="Times New Roman" w:cs="Times New Roman"/>
      <w:sz w:val="21"/>
      <w:szCs w:val="20"/>
      <w14:ligatures w14:val="none"/>
    </w:rPr>
  </w:style>
  <w:style w:type="paragraph" w:styleId="a5">
    <w:name w:val="Normal Indent"/>
    <w:basedOn w:val="a"/>
    <w:next w:val="a"/>
    <w:link w:val="a6"/>
    <w:uiPriority w:val="99"/>
    <w:qFormat/>
    <w:pPr>
      <w:spacing w:line="240" w:lineRule="auto"/>
      <w:ind w:firstLine="420"/>
    </w:pPr>
    <w:rPr>
      <w:rFonts w:ascii="Times New Roman" w:eastAsia="宋体" w:hAnsi="Times New Roman" w:cs="Times New Roman"/>
      <w:szCs w:val="20"/>
      <w14:ligatures w14:val="none"/>
    </w:rPr>
  </w:style>
  <w:style w:type="paragraph" w:styleId="a7">
    <w:name w:val="Document Map"/>
    <w:basedOn w:val="a"/>
    <w:link w:val="a8"/>
    <w:pPr>
      <w:adjustRightInd/>
      <w:snapToGrid/>
      <w:spacing w:line="240" w:lineRule="auto"/>
      <w:ind w:firstLine="720"/>
    </w:pPr>
    <w:rPr>
      <w:rFonts w:ascii="宋体" w:eastAsia="宋体" w:hAnsi="Times New Roman" w:cs="Times New Roman"/>
      <w:sz w:val="18"/>
      <w:szCs w:val="18"/>
      <w14:ligatures w14:val="none"/>
    </w:rPr>
  </w:style>
  <w:style w:type="paragraph" w:styleId="a9">
    <w:name w:val="annotation text"/>
    <w:basedOn w:val="a"/>
    <w:link w:val="aa"/>
    <w:qFormat/>
    <w:pPr>
      <w:adjustRightInd/>
      <w:snapToGrid/>
      <w:spacing w:line="240" w:lineRule="auto"/>
      <w:ind w:firstLine="720"/>
      <w:jc w:val="left"/>
    </w:pPr>
    <w:rPr>
      <w:rFonts w:ascii="Times New Roman" w:eastAsia="宋体" w:hAnsi="Times New Roman" w:cs="Times New Roman"/>
      <w:szCs w:val="20"/>
      <w14:ligatures w14:val="none"/>
    </w:rPr>
  </w:style>
  <w:style w:type="paragraph" w:styleId="ab">
    <w:name w:val="Body Text"/>
    <w:basedOn w:val="a"/>
    <w:next w:val="TOC1"/>
    <w:link w:val="ac"/>
    <w:qFormat/>
    <w:pPr>
      <w:adjustRightInd/>
      <w:snapToGrid/>
      <w:spacing w:line="240" w:lineRule="auto"/>
      <w:ind w:firstLine="720"/>
    </w:pPr>
    <w:rPr>
      <w:rFonts w:ascii="Times New Roman" w:eastAsia="宋体" w:hAnsi="Times New Roman" w:cs="Times New Roman"/>
      <w:kern w:val="0"/>
      <w:szCs w:val="20"/>
      <w14:ligatures w14:val="none"/>
    </w:rPr>
  </w:style>
  <w:style w:type="paragraph" w:styleId="TOC1">
    <w:name w:val="toc 1"/>
    <w:basedOn w:val="a"/>
    <w:next w:val="a"/>
    <w:uiPriority w:val="39"/>
    <w:pPr>
      <w:adjustRightInd/>
      <w:snapToGrid/>
      <w:spacing w:line="240" w:lineRule="auto"/>
      <w:ind w:firstLineChars="0" w:firstLine="0"/>
      <w:jc w:val="left"/>
    </w:pPr>
    <w:rPr>
      <w:rFonts w:ascii="Times New Roman" w:eastAsia="宋体" w:hAnsi="Times New Roman" w:cs="Times New Roman"/>
      <w:b/>
      <w:szCs w:val="20"/>
      <w14:ligatures w14:val="none"/>
    </w:rPr>
  </w:style>
  <w:style w:type="paragraph" w:styleId="ad">
    <w:name w:val="Body Text Indent"/>
    <w:basedOn w:val="a"/>
    <w:link w:val="ae"/>
    <w:pPr>
      <w:adjustRightInd/>
      <w:snapToGrid/>
      <w:spacing w:beforeLines="50" w:before="156" w:afterLines="50" w:after="156" w:line="240" w:lineRule="auto"/>
      <w:ind w:firstLineChars="0" w:firstLine="0"/>
      <w:jc w:val="center"/>
    </w:pPr>
    <w:rPr>
      <w:rFonts w:ascii="Times New Roman" w:eastAsia="宋体" w:hAnsi="Times New Roman" w:cs="Times New Roman"/>
      <w:b/>
      <w:bCs/>
      <w:kern w:val="0"/>
      <w:sz w:val="21"/>
      <w:szCs w:val="21"/>
      <w14:ligatures w14:val="none"/>
    </w:rPr>
  </w:style>
  <w:style w:type="paragraph" w:styleId="af">
    <w:name w:val="Block Text"/>
    <w:basedOn w:val="a"/>
    <w:pPr>
      <w:adjustRightInd/>
      <w:snapToGrid/>
      <w:spacing w:before="120" w:after="120" w:line="240" w:lineRule="auto"/>
      <w:ind w:leftChars="-50" w:left="-50" w:rightChars="-50" w:right="-50" w:firstLineChars="0" w:firstLine="0"/>
    </w:pPr>
    <w:rPr>
      <w:rFonts w:ascii="宋体" w:eastAsia="宋体" w:hAnsi="宋体" w:cs="Times New Roman" w:hint="eastAsia"/>
      <w:sz w:val="21"/>
      <w:szCs w:val="20"/>
      <w14:ligatures w14:val="none"/>
    </w:rPr>
  </w:style>
  <w:style w:type="paragraph" w:styleId="TOC5">
    <w:name w:val="toc 5"/>
    <w:basedOn w:val="a"/>
    <w:next w:val="a"/>
    <w:uiPriority w:val="39"/>
    <w:pPr>
      <w:adjustRightInd/>
      <w:snapToGrid/>
      <w:spacing w:line="240" w:lineRule="auto"/>
      <w:ind w:leftChars="800" w:left="1680" w:firstLineChars="0" w:firstLine="0"/>
    </w:pPr>
    <w:rPr>
      <w:rFonts w:ascii="Times New Roman" w:eastAsia="宋体" w:hAnsi="Times New Roman" w:cs="Times New Roman"/>
      <w:sz w:val="21"/>
      <w14:ligatures w14:val="none"/>
    </w:rPr>
  </w:style>
  <w:style w:type="paragraph" w:styleId="TOC3">
    <w:name w:val="toc 3"/>
    <w:basedOn w:val="a"/>
    <w:next w:val="a"/>
    <w:uiPriority w:val="39"/>
    <w:pPr>
      <w:adjustRightInd/>
      <w:snapToGrid/>
      <w:spacing w:line="240" w:lineRule="auto"/>
    </w:pPr>
    <w:rPr>
      <w:rFonts w:ascii="宋体" w:eastAsia="黑体" w:hAnsi="宋体" w:cs="Times New Roman"/>
      <w:sz w:val="24"/>
      <w:szCs w:val="20"/>
      <w14:ligatures w14:val="none"/>
    </w:rPr>
  </w:style>
  <w:style w:type="paragraph" w:styleId="af0">
    <w:name w:val="Plain Text"/>
    <w:basedOn w:val="a"/>
    <w:link w:val="af1"/>
    <w:pPr>
      <w:adjustRightInd/>
      <w:snapToGrid/>
      <w:spacing w:line="240" w:lineRule="auto"/>
      <w:ind w:firstLineChars="0" w:firstLine="0"/>
      <w:jc w:val="center"/>
    </w:pPr>
    <w:rPr>
      <w:rFonts w:ascii="Times New Roman" w:eastAsia="宋体" w:hAnsi="Times New Roman" w:cs="Times New Roman"/>
      <w:sz w:val="21"/>
      <w:szCs w:val="21"/>
      <w14:ligatures w14:val="none"/>
    </w:rPr>
  </w:style>
  <w:style w:type="paragraph" w:styleId="TOC8">
    <w:name w:val="toc 8"/>
    <w:basedOn w:val="a"/>
    <w:next w:val="a"/>
    <w:uiPriority w:val="39"/>
    <w:qFormat/>
    <w:pPr>
      <w:adjustRightInd/>
      <w:snapToGrid/>
      <w:spacing w:line="240" w:lineRule="auto"/>
      <w:ind w:leftChars="1400" w:left="2940" w:firstLineChars="0" w:firstLine="0"/>
    </w:pPr>
    <w:rPr>
      <w:rFonts w:ascii="Times New Roman" w:eastAsia="宋体" w:hAnsi="Times New Roman" w:cs="Times New Roman"/>
      <w:sz w:val="21"/>
      <w14:ligatures w14:val="none"/>
    </w:rPr>
  </w:style>
  <w:style w:type="paragraph" w:styleId="af2">
    <w:name w:val="Date"/>
    <w:basedOn w:val="a"/>
    <w:next w:val="a"/>
    <w:link w:val="af3"/>
    <w:qFormat/>
    <w:pPr>
      <w:adjustRightInd/>
      <w:snapToGrid/>
      <w:spacing w:line="240" w:lineRule="auto"/>
      <w:ind w:leftChars="2500" w:left="100" w:firstLine="720"/>
    </w:pPr>
    <w:rPr>
      <w:rFonts w:ascii="宋体" w:eastAsia="宋体" w:hAnsi="宋体" w:cs="Times New Roman"/>
      <w:szCs w:val="20"/>
      <w14:ligatures w14:val="none"/>
    </w:rPr>
  </w:style>
  <w:style w:type="paragraph" w:styleId="21">
    <w:name w:val="Body Text Indent 2"/>
    <w:basedOn w:val="a"/>
    <w:next w:val="a"/>
    <w:link w:val="22"/>
    <w:pPr>
      <w:adjustRightInd/>
      <w:snapToGrid/>
      <w:spacing w:after="120" w:line="480" w:lineRule="auto"/>
      <w:ind w:leftChars="200" w:left="420" w:firstLine="720"/>
    </w:pPr>
    <w:rPr>
      <w:rFonts w:ascii="Times New Roman" w:eastAsia="宋体" w:hAnsi="Times New Roman" w:cs="Times New Roman"/>
      <w:szCs w:val="20"/>
      <w14:ligatures w14:val="none"/>
    </w:rPr>
  </w:style>
  <w:style w:type="paragraph" w:styleId="af4">
    <w:name w:val="Balloon Text"/>
    <w:basedOn w:val="a"/>
    <w:link w:val="af5"/>
    <w:qFormat/>
    <w:pPr>
      <w:adjustRightInd/>
      <w:snapToGrid/>
      <w:spacing w:line="240" w:lineRule="auto"/>
      <w:ind w:firstLine="720"/>
    </w:pPr>
    <w:rPr>
      <w:rFonts w:ascii="Times New Roman" w:eastAsia="宋体" w:hAnsi="Times New Roman" w:cs="Times New Roman"/>
      <w:sz w:val="18"/>
      <w:szCs w:val="20"/>
      <w14:ligatures w14:val="none"/>
    </w:rPr>
  </w:style>
  <w:style w:type="paragraph" w:styleId="af6">
    <w:name w:val="footer"/>
    <w:basedOn w:val="a"/>
    <w:link w:val="af7"/>
    <w:unhideWhenUsed/>
    <w:qFormat/>
    <w:pPr>
      <w:tabs>
        <w:tab w:val="center" w:pos="4153"/>
        <w:tab w:val="right" w:pos="8306"/>
      </w:tabs>
      <w:spacing w:line="240" w:lineRule="auto"/>
    </w:pPr>
    <w:rPr>
      <w:sz w:val="18"/>
      <w:szCs w:val="18"/>
    </w:rPr>
  </w:style>
  <w:style w:type="paragraph" w:styleId="af8">
    <w:name w:val="header"/>
    <w:basedOn w:val="a"/>
    <w:link w:val="af9"/>
    <w:unhideWhenUsed/>
    <w:qFormat/>
    <w:pPr>
      <w:tabs>
        <w:tab w:val="center" w:pos="4153"/>
        <w:tab w:val="right" w:pos="8306"/>
      </w:tabs>
      <w:spacing w:line="240" w:lineRule="auto"/>
      <w:jc w:val="center"/>
    </w:pPr>
    <w:rPr>
      <w:sz w:val="18"/>
      <w:szCs w:val="18"/>
    </w:rPr>
  </w:style>
  <w:style w:type="paragraph" w:styleId="TOC4">
    <w:name w:val="toc 4"/>
    <w:basedOn w:val="a"/>
    <w:next w:val="a"/>
    <w:uiPriority w:val="39"/>
    <w:qFormat/>
    <w:pPr>
      <w:adjustRightInd/>
      <w:snapToGrid/>
      <w:spacing w:line="240" w:lineRule="auto"/>
      <w:ind w:left="630" w:firstLine="720"/>
      <w:jc w:val="left"/>
    </w:pPr>
    <w:rPr>
      <w:rFonts w:ascii="Times New Roman" w:eastAsia="宋体" w:hAnsi="Times New Roman" w:cs="Times New Roman"/>
      <w:sz w:val="24"/>
      <w:szCs w:val="20"/>
      <w14:ligatures w14:val="none"/>
    </w:rPr>
  </w:style>
  <w:style w:type="paragraph" w:styleId="afa">
    <w:name w:val="List"/>
    <w:basedOn w:val="a"/>
    <w:next w:val="a"/>
    <w:pPr>
      <w:adjustRightInd/>
      <w:snapToGrid/>
      <w:spacing w:line="240" w:lineRule="auto"/>
      <w:ind w:left="200" w:hanging="200"/>
    </w:pPr>
    <w:rPr>
      <w:rFonts w:ascii="Times New Roman" w:eastAsia="宋体" w:hAnsi="Times New Roman" w:cs="Times New Roman"/>
      <w:szCs w:val="20"/>
      <w14:ligatures w14:val="none"/>
    </w:rPr>
  </w:style>
  <w:style w:type="paragraph" w:styleId="TOC6">
    <w:name w:val="toc 6"/>
    <w:basedOn w:val="a"/>
    <w:next w:val="a"/>
    <w:uiPriority w:val="39"/>
    <w:pPr>
      <w:adjustRightInd/>
      <w:snapToGrid/>
      <w:spacing w:line="240" w:lineRule="auto"/>
      <w:ind w:leftChars="1000" w:left="2100" w:firstLineChars="0" w:firstLine="0"/>
    </w:pPr>
    <w:rPr>
      <w:rFonts w:ascii="Times New Roman" w:eastAsia="宋体" w:hAnsi="Times New Roman" w:cs="Times New Roman"/>
      <w:sz w:val="21"/>
      <w14:ligatures w14:val="none"/>
    </w:rPr>
  </w:style>
  <w:style w:type="paragraph" w:styleId="31">
    <w:name w:val="Body Text Indent 3"/>
    <w:basedOn w:val="a"/>
    <w:link w:val="32"/>
    <w:pPr>
      <w:adjustRightInd/>
      <w:snapToGrid/>
      <w:spacing w:after="120" w:line="240" w:lineRule="auto"/>
      <w:ind w:leftChars="200" w:left="420" w:firstLine="720"/>
    </w:pPr>
    <w:rPr>
      <w:rFonts w:ascii="Times New Roman" w:eastAsia="宋体" w:hAnsi="Times New Roman" w:cs="Times New Roman"/>
      <w:sz w:val="16"/>
      <w:szCs w:val="16"/>
      <w14:ligatures w14:val="none"/>
    </w:rPr>
  </w:style>
  <w:style w:type="paragraph" w:styleId="TOC2">
    <w:name w:val="toc 2"/>
    <w:basedOn w:val="a"/>
    <w:next w:val="a"/>
    <w:uiPriority w:val="39"/>
    <w:pPr>
      <w:adjustRightInd/>
      <w:snapToGrid/>
      <w:spacing w:line="240" w:lineRule="auto"/>
      <w:ind w:firstLineChars="100" w:firstLine="360"/>
    </w:pPr>
    <w:rPr>
      <w:rFonts w:ascii="Times New Roman" w:eastAsia="宋体" w:hAnsi="Times New Roman" w:cs="Times New Roman"/>
      <w:szCs w:val="20"/>
      <w14:ligatures w14:val="none"/>
    </w:rPr>
  </w:style>
  <w:style w:type="paragraph" w:styleId="TOC9">
    <w:name w:val="toc 9"/>
    <w:basedOn w:val="a"/>
    <w:next w:val="a"/>
    <w:uiPriority w:val="39"/>
    <w:pPr>
      <w:adjustRightInd/>
      <w:snapToGrid/>
      <w:spacing w:line="240" w:lineRule="auto"/>
      <w:ind w:leftChars="1600" w:left="3360" w:firstLineChars="0" w:firstLine="0"/>
    </w:pPr>
    <w:rPr>
      <w:rFonts w:ascii="Times New Roman" w:eastAsia="宋体" w:hAnsi="Times New Roman" w:cs="Times New Roman"/>
      <w:sz w:val="21"/>
      <w14:ligatures w14:val="none"/>
    </w:rPr>
  </w:style>
  <w:style w:type="paragraph" w:styleId="23">
    <w:name w:val="Body Text 2"/>
    <w:basedOn w:val="a"/>
    <w:link w:val="24"/>
    <w:pPr>
      <w:adjustRightInd/>
      <w:snapToGrid/>
      <w:ind w:firstLineChars="0" w:firstLine="0"/>
    </w:pPr>
    <w:rPr>
      <w:rFonts w:ascii="宋体" w:eastAsia="宋体" w:hAnsi="宋体" w:cs="Times New Roman"/>
      <w:color w:val="000000"/>
      <w:spacing w:val="16"/>
      <w:szCs w:val="28"/>
      <w14:ligatures w14:val="none"/>
    </w:rPr>
  </w:style>
  <w:style w:type="paragraph" w:styleId="HTML">
    <w:name w:val="HTML Preformatted"/>
    <w:basedOn w:val="a"/>
    <w:link w:val="HTML0"/>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Chars="0" w:firstLine="0"/>
      <w:jc w:val="left"/>
    </w:pPr>
    <w:rPr>
      <w:rFonts w:ascii="宋体" w:eastAsia="宋体" w:hAnsi="宋体" w:cs="宋体"/>
      <w:kern w:val="0"/>
      <w:sz w:val="24"/>
      <w14:ligatures w14:val="none"/>
    </w:rPr>
  </w:style>
  <w:style w:type="paragraph" w:styleId="afb">
    <w:name w:val="Normal (Web)"/>
    <w:basedOn w:val="a"/>
    <w:qFormat/>
    <w:pPr>
      <w:widowControl/>
      <w:adjustRightInd/>
      <w:snapToGrid/>
      <w:spacing w:before="100" w:beforeAutospacing="1" w:after="100" w:afterAutospacing="1" w:line="240" w:lineRule="auto"/>
      <w:ind w:firstLineChars="0" w:firstLine="0"/>
      <w:jc w:val="left"/>
    </w:pPr>
    <w:rPr>
      <w:rFonts w:ascii="宋体" w:eastAsia="宋体" w:hAnsi="宋体" w:cs="Times New Roman"/>
      <w:kern w:val="0"/>
      <w:sz w:val="24"/>
      <w14:ligatures w14:val="none"/>
    </w:rPr>
  </w:style>
  <w:style w:type="paragraph" w:styleId="afc">
    <w:name w:val="annotation subject"/>
    <w:basedOn w:val="a9"/>
    <w:next w:val="a9"/>
    <w:link w:val="afd"/>
    <w:rPr>
      <w:b/>
    </w:rPr>
  </w:style>
  <w:style w:type="paragraph" w:styleId="afe">
    <w:name w:val="Body Text First Indent"/>
    <w:basedOn w:val="ab"/>
    <w:link w:val="aff"/>
    <w:qFormat/>
    <w:pPr>
      <w:spacing w:after="120"/>
      <w:ind w:firstLineChars="100" w:firstLine="420"/>
    </w:pPr>
    <w:rPr>
      <w:sz w:val="21"/>
      <w:szCs w:val="24"/>
    </w:rPr>
  </w:style>
  <w:style w:type="paragraph" w:styleId="25">
    <w:name w:val="Body Text First Indent 2"/>
    <w:basedOn w:val="a"/>
    <w:next w:val="ab"/>
    <w:link w:val="26"/>
    <w:qFormat/>
    <w:pPr>
      <w:adjustRightInd/>
      <w:snapToGrid/>
      <w:spacing w:after="120" w:line="240" w:lineRule="auto"/>
      <w:ind w:leftChars="200" w:left="420" w:firstLineChars="0" w:firstLine="420"/>
    </w:pPr>
    <w:rPr>
      <w:rFonts w:ascii="Times New Roman" w:eastAsia="宋体" w:hAnsi="Times New Roman" w:cs="Times New Roman"/>
      <w:sz w:val="21"/>
      <w14:ligatures w14:val="none"/>
    </w:rPr>
  </w:style>
  <w:style w:type="table" w:styleId="aff0">
    <w:name w:val="Table Grid"/>
    <w:basedOn w:val="a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1">
    <w:name w:val="Strong"/>
    <w:qFormat/>
    <w:rPr>
      <w:b/>
    </w:rPr>
  </w:style>
  <w:style w:type="character" w:styleId="aff2">
    <w:name w:val="page number"/>
    <w:qFormat/>
  </w:style>
  <w:style w:type="character" w:styleId="aff3">
    <w:name w:val="FollowedHyperlink"/>
    <w:rPr>
      <w:color w:val="800080"/>
      <w:u w:val="single"/>
    </w:rPr>
  </w:style>
  <w:style w:type="character" w:styleId="aff4">
    <w:name w:val="Emphasis"/>
    <w:qFormat/>
    <w:rPr>
      <w:color w:val="CC0000"/>
    </w:rPr>
  </w:style>
  <w:style w:type="character" w:styleId="aff5">
    <w:name w:val="Hyperlink"/>
    <w:uiPriority w:val="99"/>
    <w:qFormat/>
    <w:rPr>
      <w:color w:val="0033CC"/>
      <w:u w:val="single"/>
    </w:rPr>
  </w:style>
  <w:style w:type="character" w:styleId="aff6">
    <w:name w:val="annotation reference"/>
    <w:rPr>
      <w:sz w:val="21"/>
    </w:rPr>
  </w:style>
  <w:style w:type="character" w:customStyle="1" w:styleId="af9">
    <w:name w:val="页眉 字符"/>
    <w:basedOn w:val="a0"/>
    <w:link w:val="af8"/>
    <w:qFormat/>
    <w:rPr>
      <w:sz w:val="18"/>
      <w:szCs w:val="18"/>
    </w:rPr>
  </w:style>
  <w:style w:type="character" w:customStyle="1" w:styleId="af7">
    <w:name w:val="页脚 字符"/>
    <w:basedOn w:val="a0"/>
    <w:link w:val="af6"/>
    <w:qFormat/>
    <w:rPr>
      <w:sz w:val="18"/>
      <w:szCs w:val="18"/>
    </w:rPr>
  </w:style>
  <w:style w:type="paragraph" w:customStyle="1" w:styleId="aff7">
    <w:name w:val="画图"/>
    <w:basedOn w:val="a"/>
    <w:link w:val="aff8"/>
    <w:qFormat/>
    <w:pPr>
      <w:spacing w:line="240" w:lineRule="auto"/>
      <w:ind w:firstLineChars="0" w:firstLine="0"/>
      <w:jc w:val="center"/>
    </w:pPr>
    <w:rPr>
      <w:rFonts w:ascii="Times New Roman" w:eastAsia="宋体" w:hAnsi="Times New Roman" w:cs="Times New Roman"/>
      <w:sz w:val="21"/>
      <w:szCs w:val="28"/>
    </w:rPr>
  </w:style>
  <w:style w:type="character" w:customStyle="1" w:styleId="aff8">
    <w:name w:val="画图 字符"/>
    <w:basedOn w:val="a0"/>
    <w:link w:val="aff7"/>
    <w:rPr>
      <w:rFonts w:ascii="Times New Roman" w:eastAsia="宋体" w:hAnsi="Times New Roman" w:cs="Times New Roman"/>
      <w:sz w:val="21"/>
      <w:szCs w:val="28"/>
    </w:rPr>
  </w:style>
  <w:style w:type="paragraph" w:customStyle="1" w:styleId="aff9">
    <w:name w:val="画图样式"/>
    <w:basedOn w:val="a"/>
    <w:link w:val="affa"/>
    <w:qFormat/>
    <w:pPr>
      <w:spacing w:line="240" w:lineRule="auto"/>
      <w:ind w:firstLineChars="0" w:firstLine="0"/>
      <w:jc w:val="center"/>
    </w:pPr>
    <w:rPr>
      <w:rFonts w:ascii="Times New Roman" w:eastAsia="宋体" w:hAnsi="Times New Roman"/>
      <w:sz w:val="21"/>
    </w:rPr>
  </w:style>
  <w:style w:type="character" w:customStyle="1" w:styleId="affa">
    <w:name w:val="画图样式 字符"/>
    <w:basedOn w:val="a0"/>
    <w:link w:val="aff9"/>
    <w:rPr>
      <w:rFonts w:ascii="Times New Roman" w:eastAsia="宋体" w:hAnsi="Times New Roman"/>
      <w:sz w:val="21"/>
    </w:rPr>
  </w:style>
  <w:style w:type="paragraph" w:styleId="affb">
    <w:name w:val="List Paragraph"/>
    <w:basedOn w:val="a"/>
    <w:qFormat/>
    <w:pPr>
      <w:ind w:firstLine="420"/>
    </w:pPr>
  </w:style>
  <w:style w:type="character" w:customStyle="1" w:styleId="10">
    <w:name w:val="标题 1 字符"/>
    <w:basedOn w:val="a0"/>
    <w:link w:val="1"/>
    <w:rPr>
      <w:rFonts w:ascii="Times New Roman" w:eastAsia="黑体" w:hAnsi="Times New Roman" w:cs="Times New Roman"/>
      <w:kern w:val="44"/>
      <w:sz w:val="32"/>
      <w:szCs w:val="20"/>
      <w14:ligatures w14:val="none"/>
    </w:rPr>
  </w:style>
  <w:style w:type="character" w:customStyle="1" w:styleId="20">
    <w:name w:val="标题 2 字符"/>
    <w:basedOn w:val="a0"/>
    <w:link w:val="2"/>
    <w:qFormat/>
    <w:rPr>
      <w:rFonts w:ascii="Times New Roman" w:eastAsia="楷体_GB2312" w:hAnsi="Times New Roman" w:cs="Times New Roman"/>
      <w:color w:val="000000"/>
      <w:sz w:val="32"/>
      <w:szCs w:val="20"/>
      <w14:ligatures w14:val="none"/>
    </w:rPr>
  </w:style>
  <w:style w:type="character" w:customStyle="1" w:styleId="30">
    <w:name w:val="标题 3 字符"/>
    <w:basedOn w:val="a0"/>
    <w:link w:val="3"/>
    <w:rPr>
      <w:rFonts w:ascii="Times New Roman" w:eastAsia="黑体" w:hAnsi="Times New Roman" w:cs="Times New Roman"/>
      <w:kern w:val="0"/>
      <w:sz w:val="28"/>
      <w:szCs w:val="20"/>
      <w14:ligatures w14:val="none"/>
    </w:rPr>
  </w:style>
  <w:style w:type="character" w:customStyle="1" w:styleId="40">
    <w:name w:val="标题 4 字符"/>
    <w:basedOn w:val="a0"/>
    <w:link w:val="4"/>
    <w:rPr>
      <w:rFonts w:ascii="Times New Roman" w:eastAsia="宋体" w:hAnsi="Times New Roman" w:cs="Times New Roman"/>
      <w:kern w:val="0"/>
      <w:sz w:val="28"/>
      <w:szCs w:val="20"/>
      <w14:ligatures w14:val="none"/>
    </w:rPr>
  </w:style>
  <w:style w:type="character" w:customStyle="1" w:styleId="50">
    <w:name w:val="标题 5 字符"/>
    <w:basedOn w:val="a0"/>
    <w:link w:val="5"/>
    <w:rPr>
      <w:rFonts w:ascii="Times New Roman" w:eastAsia="宋体" w:hAnsi="Times New Roman" w:cs="Times New Roman"/>
      <w:color w:val="000000"/>
      <w:sz w:val="28"/>
      <w:szCs w:val="20"/>
      <w14:ligatures w14:val="none"/>
    </w:rPr>
  </w:style>
  <w:style w:type="paragraph" w:customStyle="1" w:styleId="210">
    <w:name w:val="正文首行缩进 21"/>
    <w:qFormat/>
    <w:pPr>
      <w:widowControl w:val="0"/>
      <w:autoSpaceDE w:val="0"/>
      <w:autoSpaceDN w:val="0"/>
      <w:spacing w:after="120"/>
      <w:ind w:leftChars="200" w:left="420" w:firstLineChars="200" w:firstLine="420"/>
    </w:pPr>
    <w:rPr>
      <w:rFonts w:ascii="Times New Roman" w:eastAsia="宋体" w:hAnsi="Times New Roman" w:cs="宋体"/>
      <w:sz w:val="21"/>
      <w:szCs w:val="24"/>
      <w:lang w:val="zh-CN" w:bidi="zh-CN"/>
    </w:rPr>
  </w:style>
  <w:style w:type="character" w:customStyle="1" w:styleId="a8">
    <w:name w:val="文档结构图 字符"/>
    <w:basedOn w:val="a0"/>
    <w:link w:val="a7"/>
    <w:rPr>
      <w:rFonts w:ascii="宋体" w:eastAsia="宋体" w:hAnsi="Times New Roman" w:cs="Times New Roman"/>
      <w:sz w:val="18"/>
      <w:szCs w:val="18"/>
      <w14:ligatures w14:val="none"/>
    </w:rPr>
  </w:style>
  <w:style w:type="character" w:customStyle="1" w:styleId="aa">
    <w:name w:val="批注文字 字符"/>
    <w:basedOn w:val="a0"/>
    <w:link w:val="a9"/>
    <w:rPr>
      <w:rFonts w:ascii="Times New Roman" w:eastAsia="宋体" w:hAnsi="Times New Roman" w:cs="Times New Roman"/>
      <w:sz w:val="28"/>
      <w:szCs w:val="20"/>
      <w14:ligatures w14:val="none"/>
    </w:rPr>
  </w:style>
  <w:style w:type="character" w:customStyle="1" w:styleId="ac">
    <w:name w:val="正文文本 字符"/>
    <w:basedOn w:val="a0"/>
    <w:link w:val="ab"/>
    <w:rPr>
      <w:rFonts w:ascii="Times New Roman" w:eastAsia="宋体" w:hAnsi="Times New Roman" w:cs="Times New Roman"/>
      <w:kern w:val="0"/>
      <w:sz w:val="28"/>
      <w:szCs w:val="20"/>
      <w14:ligatures w14:val="none"/>
    </w:rPr>
  </w:style>
  <w:style w:type="character" w:customStyle="1" w:styleId="ae">
    <w:name w:val="正文文本缩进 字符"/>
    <w:basedOn w:val="a0"/>
    <w:link w:val="ad"/>
    <w:qFormat/>
    <w:rPr>
      <w:rFonts w:ascii="Times New Roman" w:eastAsia="宋体" w:hAnsi="Times New Roman" w:cs="Times New Roman"/>
      <w:b/>
      <w:bCs/>
      <w:kern w:val="0"/>
      <w:sz w:val="21"/>
      <w:szCs w:val="21"/>
      <w14:ligatures w14:val="none"/>
    </w:rPr>
  </w:style>
  <w:style w:type="character" w:customStyle="1" w:styleId="af1">
    <w:name w:val="纯文本 字符"/>
    <w:basedOn w:val="a0"/>
    <w:link w:val="af0"/>
    <w:rPr>
      <w:rFonts w:ascii="Times New Roman" w:eastAsia="宋体" w:hAnsi="Times New Roman" w:cs="Times New Roman"/>
      <w:sz w:val="21"/>
      <w:szCs w:val="21"/>
      <w14:ligatures w14:val="none"/>
    </w:rPr>
  </w:style>
  <w:style w:type="character" w:customStyle="1" w:styleId="af3">
    <w:name w:val="日期 字符"/>
    <w:basedOn w:val="a0"/>
    <w:link w:val="af2"/>
    <w:rPr>
      <w:rFonts w:ascii="宋体" w:eastAsia="宋体" w:hAnsi="宋体" w:cs="Times New Roman"/>
      <w:sz w:val="28"/>
      <w:szCs w:val="20"/>
      <w14:ligatures w14:val="none"/>
    </w:rPr>
  </w:style>
  <w:style w:type="character" w:customStyle="1" w:styleId="22">
    <w:name w:val="正文文本缩进 2 字符"/>
    <w:basedOn w:val="a0"/>
    <w:link w:val="21"/>
    <w:rPr>
      <w:rFonts w:ascii="Times New Roman" w:eastAsia="宋体" w:hAnsi="Times New Roman" w:cs="Times New Roman"/>
      <w:sz w:val="28"/>
      <w:szCs w:val="20"/>
      <w14:ligatures w14:val="none"/>
    </w:rPr>
  </w:style>
  <w:style w:type="character" w:customStyle="1" w:styleId="af5">
    <w:name w:val="批注框文本 字符"/>
    <w:basedOn w:val="a0"/>
    <w:link w:val="af4"/>
    <w:rPr>
      <w:rFonts w:ascii="Times New Roman" w:eastAsia="宋体" w:hAnsi="Times New Roman" w:cs="Times New Roman"/>
      <w:sz w:val="18"/>
      <w:szCs w:val="20"/>
      <w14:ligatures w14:val="none"/>
    </w:rPr>
  </w:style>
  <w:style w:type="character" w:customStyle="1" w:styleId="32">
    <w:name w:val="正文文本缩进 3 字符"/>
    <w:basedOn w:val="a0"/>
    <w:link w:val="31"/>
    <w:rPr>
      <w:rFonts w:ascii="Times New Roman" w:eastAsia="宋体" w:hAnsi="Times New Roman" w:cs="Times New Roman"/>
      <w:sz w:val="16"/>
      <w:szCs w:val="16"/>
      <w14:ligatures w14:val="none"/>
    </w:rPr>
  </w:style>
  <w:style w:type="character" w:customStyle="1" w:styleId="afd">
    <w:name w:val="批注主题 字符"/>
    <w:basedOn w:val="aa"/>
    <w:link w:val="afc"/>
    <w:rPr>
      <w:rFonts w:ascii="Times New Roman" w:eastAsia="宋体" w:hAnsi="Times New Roman" w:cs="Times New Roman"/>
      <w:b/>
      <w:sz w:val="28"/>
      <w:szCs w:val="20"/>
      <w14:ligatures w14:val="none"/>
    </w:rPr>
  </w:style>
  <w:style w:type="character" w:customStyle="1" w:styleId="aff">
    <w:name w:val="正文文本首行缩进 字符"/>
    <w:basedOn w:val="ac"/>
    <w:link w:val="afe"/>
    <w:rPr>
      <w:rFonts w:ascii="Times New Roman" w:eastAsia="宋体" w:hAnsi="Times New Roman" w:cs="Times New Roman"/>
      <w:kern w:val="0"/>
      <w:sz w:val="21"/>
      <w:szCs w:val="20"/>
      <w14:ligatures w14:val="none"/>
    </w:rPr>
  </w:style>
  <w:style w:type="character" w:customStyle="1" w:styleId="100">
    <w:name w:val="10"/>
    <w:rPr>
      <w:rFonts w:ascii="Times New Roman" w:hAnsi="Times New Roman" w:cs="Times New Roman" w:hint="default"/>
    </w:rPr>
  </w:style>
  <w:style w:type="character" w:customStyle="1" w:styleId="CharCharCharCharChar">
    <w:name w:val="样式 Char Char Char Char + 宋体 四号 Char"/>
    <w:link w:val="CharCharCharChar"/>
    <w:rPr>
      <w:rFonts w:ascii="宋体" w:hAnsi="宋体"/>
      <w:sz w:val="28"/>
    </w:rPr>
  </w:style>
  <w:style w:type="paragraph" w:customStyle="1" w:styleId="CharCharCharChar">
    <w:name w:val="样式 Char Char Char Char + 宋体 四号"/>
    <w:basedOn w:val="a"/>
    <w:link w:val="CharCharCharCharChar"/>
    <w:pPr>
      <w:widowControl/>
      <w:adjustRightInd/>
      <w:snapToGrid/>
      <w:spacing w:line="240" w:lineRule="auto"/>
      <w:jc w:val="left"/>
    </w:pPr>
    <w:rPr>
      <w:rFonts w:ascii="宋体" w:eastAsiaTheme="minorEastAsia" w:hAnsi="宋体"/>
    </w:rPr>
  </w:style>
  <w:style w:type="character" w:customStyle="1" w:styleId="CharChar">
    <w:name w:val="正文 Char Char"/>
    <w:link w:val="27"/>
    <w:rPr>
      <w:rFonts w:ascii="宋体" w:hAnsi="宋体"/>
      <w:sz w:val="28"/>
    </w:rPr>
  </w:style>
  <w:style w:type="paragraph" w:customStyle="1" w:styleId="27">
    <w:name w:val="正文2"/>
    <w:basedOn w:val="a"/>
    <w:link w:val="CharChar"/>
    <w:pPr>
      <w:adjustRightInd/>
      <w:snapToGrid/>
    </w:pPr>
    <w:rPr>
      <w:rFonts w:ascii="宋体" w:eastAsiaTheme="minorEastAsia" w:hAnsi="宋体"/>
    </w:rPr>
  </w:style>
  <w:style w:type="character" w:customStyle="1" w:styleId="headline-content2">
    <w:name w:val="headline-content2"/>
  </w:style>
  <w:style w:type="character" w:customStyle="1" w:styleId="ca-1">
    <w:name w:val="ca-1"/>
  </w:style>
  <w:style w:type="character" w:customStyle="1" w:styleId="text">
    <w:name w:val="text"/>
    <w:qFormat/>
  </w:style>
  <w:style w:type="character" w:customStyle="1" w:styleId="zw1">
    <w:name w:val="zw1"/>
    <w:rPr>
      <w:rFonts w:ascii="宋体" w:eastAsia="宋体" w:hAnsi="宋体" w:hint="eastAsia"/>
      <w:sz w:val="22"/>
      <w:szCs w:val="22"/>
    </w:rPr>
  </w:style>
  <w:style w:type="character" w:customStyle="1" w:styleId="px14">
    <w:name w:val="px14"/>
  </w:style>
  <w:style w:type="character" w:customStyle="1" w:styleId="unnamed113">
    <w:name w:val="unnamed113"/>
    <w:rPr>
      <w:sz w:val="18"/>
      <w:szCs w:val="18"/>
      <w:u w:val="none"/>
    </w:rPr>
  </w:style>
  <w:style w:type="character" w:customStyle="1" w:styleId="apple-converted-space">
    <w:name w:val="apple-converted-space"/>
  </w:style>
  <w:style w:type="character" w:customStyle="1" w:styleId="h2Char">
    <w:name w:val="h2 Char"/>
    <w:rPr>
      <w:rFonts w:ascii="Arial" w:eastAsia="黑体" w:hAnsi="Arial"/>
      <w:b/>
      <w:kern w:val="2"/>
      <w:sz w:val="32"/>
      <w:lang w:val="en-US" w:eastAsia="zh-CN"/>
    </w:rPr>
  </w:style>
  <w:style w:type="character" w:customStyle="1" w:styleId="IPEChar1">
    <w:name w:val="IPE_正文 Char1"/>
    <w:link w:val="IPE"/>
    <w:rPr>
      <w:sz w:val="24"/>
    </w:rPr>
  </w:style>
  <w:style w:type="paragraph" w:customStyle="1" w:styleId="IPE">
    <w:name w:val="IPE_正文"/>
    <w:link w:val="IPEChar1"/>
    <w:pPr>
      <w:widowControl w:val="0"/>
      <w:spacing w:line="480" w:lineRule="exact"/>
      <w:ind w:firstLineChars="200" w:firstLine="200"/>
      <w:jc w:val="both"/>
      <w:textAlignment w:val="bottom"/>
    </w:pPr>
    <w:rPr>
      <w:kern w:val="2"/>
      <w:sz w:val="24"/>
      <w:szCs w:val="24"/>
      <w14:ligatures w14:val="standardContextual"/>
    </w:rPr>
  </w:style>
  <w:style w:type="paragraph" w:customStyle="1" w:styleId="reader-word-layerreader-word-s1-7">
    <w:name w:val="reader-word-layer reader-word-s1-7"/>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11">
    <w:name w:val="样式1"/>
    <w:basedOn w:val="a"/>
    <w:pPr>
      <w:shd w:val="clear" w:color="auto" w:fill="FFFFFF"/>
      <w:autoSpaceDE w:val="0"/>
      <w:autoSpaceDN w:val="0"/>
      <w:snapToGrid/>
      <w:spacing w:line="240" w:lineRule="auto"/>
      <w:ind w:firstLineChars="0" w:firstLine="0"/>
      <w:jc w:val="center"/>
    </w:pPr>
    <w:rPr>
      <w:rFonts w:ascii="Times New Roman" w:eastAsia="宋体" w:hAnsi="Times New Roman" w:cs="Times New Roman"/>
      <w:color w:val="000000"/>
      <w:position w:val="-6"/>
      <w:sz w:val="21"/>
      <w:szCs w:val="20"/>
      <w14:ligatures w14:val="none"/>
    </w:rPr>
  </w:style>
  <w:style w:type="paragraph" w:customStyle="1" w:styleId="unnamed112">
    <w:name w:val="unnamed112"/>
    <w:basedOn w:val="a"/>
    <w:pPr>
      <w:widowControl/>
      <w:adjustRightInd/>
      <w:snapToGrid/>
      <w:spacing w:before="100" w:beforeAutospacing="1" w:after="100" w:afterAutospacing="1" w:line="375" w:lineRule="atLeast"/>
      <w:ind w:firstLineChars="0" w:firstLine="0"/>
      <w:jc w:val="left"/>
    </w:pPr>
    <w:rPr>
      <w:rFonts w:ascii="宋体" w:eastAsia="宋体" w:hAnsi="宋体" w:cs="宋体"/>
      <w:color w:val="000000"/>
      <w:kern w:val="0"/>
      <w:sz w:val="18"/>
      <w:szCs w:val="18"/>
      <w14:ligatures w14:val="none"/>
    </w:rPr>
  </w:style>
  <w:style w:type="paragraph" w:customStyle="1" w:styleId="xl26">
    <w:name w:val="xl26"/>
    <w:basedOn w:val="a"/>
    <w:pPr>
      <w:widowControl/>
      <w:pBdr>
        <w:bottom w:val="single" w:sz="4" w:space="0" w:color="auto"/>
        <w:right w:val="single" w:sz="4" w:space="0" w:color="auto"/>
      </w:pBdr>
      <w:adjustRightInd/>
      <w:snapToGrid/>
      <w:spacing w:before="100" w:beforeAutospacing="1" w:after="100" w:afterAutospacing="1" w:line="240" w:lineRule="auto"/>
      <w:ind w:firstLine="720"/>
      <w:jc w:val="center"/>
      <w:textAlignment w:val="top"/>
    </w:pPr>
    <w:rPr>
      <w:rFonts w:ascii="宋体" w:eastAsia="宋体" w:hAnsi="宋体" w:cs="Times New Roman"/>
      <w:kern w:val="0"/>
      <w:szCs w:val="21"/>
      <w14:ligatures w14:val="none"/>
    </w:rPr>
  </w:style>
  <w:style w:type="paragraph" w:customStyle="1" w:styleId="CharCharCharChar0">
    <w:name w:val="Char Char Char Char"/>
    <w:basedOn w:val="a"/>
    <w:pPr>
      <w:widowControl/>
      <w:adjustRightInd/>
      <w:snapToGrid/>
      <w:spacing w:after="160" w:line="240" w:lineRule="exact"/>
      <w:ind w:firstLineChars="0" w:firstLine="0"/>
      <w:jc w:val="left"/>
    </w:pPr>
    <w:rPr>
      <w:rFonts w:ascii="Times New Roman" w:eastAsia="宋体" w:hAnsi="Times New Roman" w:cs="Times New Roman"/>
      <w:sz w:val="21"/>
      <w:szCs w:val="20"/>
      <w14:ligatures w14:val="none"/>
    </w:rPr>
  </w:style>
  <w:style w:type="paragraph" w:customStyle="1" w:styleId="reader-word-layerreader-word-s1-10reader-word-s1-11">
    <w:name w:val="reader-word-layer reader-word-s1-10 reader-word-s1-11"/>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p0">
    <w:name w:val="p0"/>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c">
    <w:name w:val="一级条标题"/>
    <w:next w:val="affd"/>
    <w:pPr>
      <w:ind w:left="840"/>
      <w:outlineLvl w:val="2"/>
    </w:pPr>
    <w:rPr>
      <w:rFonts w:ascii="Times New Roman" w:eastAsia="黑体" w:hAnsi="Times New Roman" w:cs="Times New Roman"/>
      <w:sz w:val="21"/>
    </w:rPr>
  </w:style>
  <w:style w:type="paragraph" w:customStyle="1" w:styleId="affd">
    <w:name w:val="段"/>
    <w:qFormat/>
    <w:pPr>
      <w:autoSpaceDE w:val="0"/>
      <w:autoSpaceDN w:val="0"/>
      <w:ind w:left="525"/>
      <w:jc w:val="both"/>
    </w:pPr>
    <w:rPr>
      <w:rFonts w:ascii="宋体" w:eastAsia="宋体" w:hAnsi="Times New Roman" w:cs="Times New Roman"/>
      <w:sz w:val="21"/>
    </w:rPr>
  </w:style>
  <w:style w:type="paragraph" w:customStyle="1" w:styleId="reader-word-layerreader-word-s1-17">
    <w:name w:val="reader-word-layer reader-word-s1-17"/>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reader-word-layerreader-word-s1-20">
    <w:name w:val="reader-word-layer reader-word-s1-20"/>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e">
    <w:name w:val="表格内"/>
    <w:basedOn w:val="a"/>
    <w:qFormat/>
    <w:pPr>
      <w:adjustRightInd/>
      <w:snapToGrid/>
      <w:spacing w:line="360" w:lineRule="exact"/>
      <w:ind w:firstLineChars="0" w:firstLine="0"/>
      <w:jc w:val="center"/>
    </w:pPr>
    <w:rPr>
      <w:rFonts w:ascii="Times New Roman" w:hAnsi="Times New Roman" w:cs="Times New Roman"/>
      <w:sz w:val="21"/>
      <w:szCs w:val="21"/>
      <w14:ligatures w14:val="none"/>
    </w:rPr>
  </w:style>
  <w:style w:type="paragraph" w:customStyle="1" w:styleId="reader-word-layerreader-word-s1-9">
    <w:name w:val="reader-word-layer reader-word-s1-9"/>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
    <w:name w:val="报告书表格"/>
    <w:basedOn w:val="a"/>
    <w:pPr>
      <w:snapToGrid/>
      <w:spacing w:before="60" w:after="60" w:line="240" w:lineRule="atLeast"/>
      <w:ind w:firstLineChars="0" w:firstLine="0"/>
      <w:jc w:val="center"/>
      <w:textAlignment w:val="baseline"/>
    </w:pPr>
    <w:rPr>
      <w:rFonts w:ascii="Times New Roman" w:eastAsia="宋体" w:hAnsi="Times New Roman" w:cs="Times New Roman"/>
      <w:kern w:val="0"/>
      <w:sz w:val="21"/>
      <w:szCs w:val="20"/>
      <w14:ligatures w14:val="none"/>
    </w:rPr>
  </w:style>
  <w:style w:type="paragraph" w:customStyle="1" w:styleId="afff0">
    <w:name w:val="表格图标"/>
    <w:basedOn w:val="a"/>
    <w:qFormat/>
    <w:pPr>
      <w:adjustRightInd/>
      <w:snapToGrid/>
      <w:spacing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style31">
    <w:name w:val="style31"/>
    <w:basedOn w:val="a"/>
    <w:pPr>
      <w:widowControl/>
      <w:adjustRightInd/>
      <w:snapToGrid/>
      <w:spacing w:before="100" w:beforeAutospacing="1" w:after="100" w:afterAutospacing="1" w:line="240" w:lineRule="auto"/>
      <w:ind w:firstLine="720"/>
      <w:jc w:val="left"/>
    </w:pPr>
    <w:rPr>
      <w:rFonts w:ascii="宋体" w:eastAsia="宋体" w:hAnsi="宋体" w:cs="宋体"/>
      <w:kern w:val="0"/>
      <w:sz w:val="24"/>
      <w:szCs w:val="20"/>
      <w14:ligatures w14:val="none"/>
    </w:rPr>
  </w:style>
  <w:style w:type="paragraph" w:customStyle="1" w:styleId="110">
    <w:name w:val="正文样式11"/>
    <w:basedOn w:val="a"/>
    <w:pPr>
      <w:adjustRightInd/>
      <w:snapToGrid/>
      <w:ind w:firstLine="560"/>
    </w:pPr>
    <w:rPr>
      <w:rFonts w:ascii="宋体" w:eastAsia="宋体" w:hAnsi="宋体" w:cs="Arial"/>
      <w:bCs/>
      <w:color w:val="000000"/>
      <w:szCs w:val="28"/>
      <w14:ligatures w14:val="none"/>
    </w:rPr>
  </w:style>
  <w:style w:type="paragraph" w:customStyle="1" w:styleId="reader-word-layerreader-word-s1-6">
    <w:name w:val="reader-word-layer reader-word-s1-6"/>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1">
    <w:name w:val="章标题"/>
    <w:next w:val="affd"/>
    <w:pPr>
      <w:spacing w:beforeLines="50" w:before="156" w:afterLines="50" w:after="156"/>
      <w:jc w:val="both"/>
      <w:outlineLvl w:val="1"/>
    </w:pPr>
    <w:rPr>
      <w:rFonts w:ascii="黑体" w:eastAsia="黑体" w:hAnsi="Times New Roman" w:cs="Times New Roman"/>
      <w:sz w:val="21"/>
    </w:rPr>
  </w:style>
  <w:style w:type="paragraph" w:customStyle="1" w:styleId="afff2">
    <w:name w:val="表格文字"/>
    <w:basedOn w:val="ad"/>
    <w:pPr>
      <w:spacing w:before="50" w:afterLines="100" w:after="100"/>
    </w:pPr>
    <w:rPr>
      <w:b w:val="0"/>
    </w:rPr>
  </w:style>
  <w:style w:type="paragraph" w:customStyle="1" w:styleId="zw">
    <w:name w:val="zw"/>
    <w:basedOn w:val="a"/>
    <w:pPr>
      <w:widowControl/>
      <w:adjustRightInd/>
      <w:snapToGrid/>
      <w:spacing w:before="100" w:beforeAutospacing="1" w:after="100" w:afterAutospacing="1" w:line="440" w:lineRule="atLeast"/>
      <w:ind w:firstLineChars="0" w:firstLine="0"/>
      <w:jc w:val="left"/>
    </w:pPr>
    <w:rPr>
      <w:rFonts w:ascii="宋体" w:eastAsia="宋体" w:hAnsi="宋体" w:cs="宋体"/>
      <w:kern w:val="0"/>
      <w:sz w:val="22"/>
      <w:szCs w:val="22"/>
      <w14:ligatures w14:val="none"/>
    </w:rPr>
  </w:style>
  <w:style w:type="paragraph" w:customStyle="1" w:styleId="afff3">
    <w:name w:val="目次、标准名称标题"/>
    <w:basedOn w:val="a"/>
    <w:next w:val="affd"/>
    <w:pPr>
      <w:widowControl/>
      <w:shd w:val="clear" w:color="FFFFFF" w:fill="FFFFFF"/>
      <w:adjustRightInd/>
      <w:snapToGrid/>
      <w:spacing w:before="640" w:after="560" w:line="460" w:lineRule="exact"/>
      <w:ind w:firstLineChars="0" w:firstLine="0"/>
      <w:jc w:val="center"/>
      <w:outlineLvl w:val="0"/>
    </w:pPr>
    <w:rPr>
      <w:rFonts w:ascii="黑体" w:eastAsia="黑体" w:hAnsi="Times New Roman" w:cs="Times New Roman"/>
      <w:kern w:val="0"/>
      <w:sz w:val="32"/>
      <w:szCs w:val="20"/>
      <w14:ligatures w14:val="none"/>
    </w:rPr>
  </w:style>
  <w:style w:type="paragraph" w:customStyle="1" w:styleId="320">
    <w:name w:val="样式 标题 3 + 首行缩进:  2 字符"/>
    <w:basedOn w:val="3"/>
    <w:qFormat/>
    <w:pPr>
      <w:ind w:firstLineChars="0" w:firstLine="0"/>
    </w:pPr>
    <w:rPr>
      <w:b/>
    </w:rPr>
  </w:style>
  <w:style w:type="paragraph" w:customStyle="1" w:styleId="28">
    <w:name w:val="正文　2"/>
    <w:basedOn w:val="afff4"/>
  </w:style>
  <w:style w:type="paragraph" w:customStyle="1" w:styleId="afff4">
    <w:name w:val="样式 宋体 黑色"/>
    <w:basedOn w:val="a"/>
    <w:pPr>
      <w:adjustRightInd/>
      <w:snapToGrid/>
      <w:spacing w:line="240" w:lineRule="auto"/>
      <w:ind w:firstLineChars="0" w:firstLine="0"/>
    </w:pPr>
    <w:rPr>
      <w:rFonts w:ascii="宋体" w:eastAsia="宋体" w:hAnsi="宋体" w:cs="Times New Roman"/>
      <w:color w:val="000000"/>
      <w:sz w:val="21"/>
      <w:szCs w:val="20"/>
      <w14:ligatures w14:val="none"/>
    </w:rPr>
  </w:style>
  <w:style w:type="paragraph" w:customStyle="1" w:styleId="afff5">
    <w:name w:val="方框"/>
    <w:basedOn w:val="a"/>
    <w:pPr>
      <w:widowControl/>
      <w:adjustRightInd/>
      <w:snapToGrid/>
      <w:spacing w:line="240" w:lineRule="atLeast"/>
      <w:ind w:firstLine="720"/>
    </w:pPr>
    <w:rPr>
      <w:rFonts w:ascii="宋体" w:eastAsia="宋体" w:hAnsi="Times New Roman" w:cs="Times New Roman"/>
      <w:kern w:val="0"/>
      <w:sz w:val="24"/>
      <w:szCs w:val="20"/>
      <w14:ligatures w14:val="none"/>
    </w:rPr>
  </w:style>
  <w:style w:type="paragraph" w:customStyle="1" w:styleId="12">
    <w:name w:val="样式 标题 1 + 加粗 居中"/>
    <w:basedOn w:val="1"/>
    <w:pPr>
      <w:spacing w:after="240" w:line="440" w:lineRule="exact"/>
      <w:jc w:val="left"/>
    </w:pPr>
    <w:rPr>
      <w:rFonts w:ascii="宋体" w:eastAsia="宋体" w:hAnsi="宋体"/>
    </w:rPr>
  </w:style>
  <w:style w:type="paragraph" w:customStyle="1" w:styleId="13">
    <w:name w:val="标题1"/>
    <w:basedOn w:val="a"/>
    <w:pPr>
      <w:widowControl/>
      <w:adjustRightInd/>
      <w:snapToGrid/>
      <w:spacing w:line="285" w:lineRule="atLeast"/>
      <w:ind w:right="150" w:firstLineChars="0" w:firstLine="0"/>
      <w:jc w:val="left"/>
    </w:pPr>
    <w:rPr>
      <w:rFonts w:ascii="宋体" w:eastAsia="宋体" w:hAnsi="宋体" w:cs="宋体"/>
      <w:b/>
      <w:bCs/>
      <w:color w:val="FF6600"/>
      <w:kern w:val="0"/>
      <w:sz w:val="21"/>
      <w:szCs w:val="21"/>
      <w14:ligatures w14:val="none"/>
    </w:rPr>
  </w:style>
  <w:style w:type="paragraph" w:customStyle="1" w:styleId="reader-word-layerreader-word-s1-10">
    <w:name w:val="reader-word-layer reader-word-s1-10"/>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6">
    <w:name w:val="表头、图名"/>
    <w:basedOn w:val="a"/>
    <w:next w:val="a"/>
    <w:qFormat/>
    <w:pPr>
      <w:adjustRightInd/>
      <w:snapToGrid/>
      <w:spacing w:beforeLines="50" w:before="50"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Char">
    <w:name w:val="Char"/>
    <w:basedOn w:val="a"/>
    <w:qFormat/>
    <w:pPr>
      <w:adjustRightInd/>
      <w:snapToGrid/>
      <w:spacing w:line="240" w:lineRule="auto"/>
      <w:ind w:firstLine="720"/>
    </w:pPr>
    <w:rPr>
      <w:rFonts w:ascii="Times New Roman" w:eastAsia="宋体" w:hAnsi="Times New Roman" w:cs="Times New Roman"/>
      <w:szCs w:val="20"/>
      <w14:ligatures w14:val="none"/>
    </w:rPr>
  </w:style>
  <w:style w:type="paragraph" w:customStyle="1" w:styleId="reader-word-layerreader-word-s46-15">
    <w:name w:val="reader-word-layer reader-word-s46-15"/>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Default">
    <w:name w:val="Default"/>
    <w:qFormat/>
    <w:pPr>
      <w:widowControl w:val="0"/>
      <w:autoSpaceDE w:val="0"/>
      <w:autoSpaceDN w:val="0"/>
      <w:adjustRightInd w:val="0"/>
    </w:pPr>
    <w:rPr>
      <w:rFonts w:ascii="仿宋_GB2312" w:eastAsia="仿宋_GB2312" w:hAnsi="Times New Roman" w:cs="仿宋_GB2312"/>
      <w:color w:val="000000"/>
      <w:sz w:val="24"/>
      <w:szCs w:val="24"/>
    </w:rPr>
  </w:style>
  <w:style w:type="paragraph" w:customStyle="1" w:styleId="29">
    <w:name w:val="样式 标题 2 + 黑体 三号"/>
    <w:basedOn w:val="2"/>
    <w:rPr>
      <w:rFonts w:ascii="黑体" w:hAnsi="黑体"/>
      <w:b/>
    </w:rPr>
  </w:style>
  <w:style w:type="paragraph" w:customStyle="1" w:styleId="reader-word-layerreader-word-s46-7">
    <w:name w:val="reader-word-layer reader-word-s46-7"/>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CharCharCharCharCharCharChar">
    <w:name w:val="Char Char Char Char Char Char Char"/>
    <w:basedOn w:val="a"/>
    <w:pPr>
      <w:widowControl/>
      <w:adjustRightInd/>
      <w:snapToGrid/>
      <w:spacing w:after="160" w:line="240" w:lineRule="exact"/>
      <w:ind w:firstLineChars="0" w:firstLine="0"/>
      <w:jc w:val="left"/>
    </w:pPr>
    <w:rPr>
      <w:rFonts w:ascii="Arial" w:hAnsi="Arial" w:cs="Verdana"/>
      <w:b/>
      <w:kern w:val="0"/>
      <w:sz w:val="24"/>
      <w:lang w:eastAsia="en-US"/>
      <w14:ligatures w14:val="none"/>
    </w:rPr>
  </w:style>
  <w:style w:type="paragraph" w:customStyle="1" w:styleId="33">
    <w:name w:val="样式3"/>
    <w:basedOn w:val="4"/>
    <w:rPr>
      <w:rFonts w:ascii="黑体"/>
      <w:b/>
    </w:rPr>
  </w:style>
  <w:style w:type="paragraph" w:customStyle="1" w:styleId="Char1">
    <w:name w:val="Char1"/>
    <w:basedOn w:val="a"/>
    <w:next w:val="1"/>
    <w:pPr>
      <w:adjustRightInd/>
      <w:snapToGrid/>
      <w:spacing w:line="240" w:lineRule="auto"/>
      <w:ind w:firstLineChars="0" w:firstLine="0"/>
    </w:pPr>
    <w:rPr>
      <w:rFonts w:ascii="Times New Roman" w:eastAsia="宋体" w:hAnsi="Times New Roman" w:cs="Times New Roman"/>
      <w:sz w:val="44"/>
      <w14:ligatures w14:val="none"/>
    </w:rPr>
  </w:style>
  <w:style w:type="paragraph" w:customStyle="1" w:styleId="afff7">
    <w:name w:val="实施日期"/>
    <w:basedOn w:val="a"/>
    <w:qFormat/>
    <w:pPr>
      <w:widowControl/>
      <w:adjustRightInd/>
      <w:snapToGrid/>
      <w:spacing w:line="240" w:lineRule="auto"/>
      <w:ind w:firstLineChars="0" w:firstLine="0"/>
      <w:jc w:val="right"/>
    </w:pPr>
    <w:rPr>
      <w:rFonts w:ascii="Times New Roman" w:eastAsia="黑体" w:hAnsi="Times New Roman" w:cs="Times New Roman"/>
      <w:kern w:val="0"/>
      <w:szCs w:val="20"/>
      <w14:ligatures w14:val="none"/>
    </w:rPr>
  </w:style>
  <w:style w:type="paragraph" w:customStyle="1" w:styleId="reader-word-layerreader-word-s1-21">
    <w:name w:val="reader-word-layer reader-word-s1-21"/>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character" w:customStyle="1" w:styleId="font21">
    <w:name w:val="font21"/>
    <w:rPr>
      <w:rFonts w:ascii="宋体" w:eastAsia="宋体" w:hAnsi="宋体" w:cs="宋体" w:hint="eastAsia"/>
      <w:color w:val="000000"/>
      <w:sz w:val="28"/>
      <w:szCs w:val="28"/>
      <w:u w:val="none"/>
    </w:rPr>
  </w:style>
  <w:style w:type="paragraph" w:customStyle="1" w:styleId="afff8">
    <w:name w:val="表格内容样式"/>
    <w:qFormat/>
    <w:pPr>
      <w:widowControl w:val="0"/>
      <w:tabs>
        <w:tab w:val="left" w:pos="540"/>
      </w:tabs>
      <w:spacing w:line="360" w:lineRule="auto"/>
      <w:jc w:val="center"/>
    </w:pPr>
    <w:rPr>
      <w:rFonts w:ascii="Times New Roman" w:eastAsia="宋体" w:hAnsi="Times New Roman" w:cs="Times New Roman"/>
      <w:kern w:val="2"/>
      <w:sz w:val="21"/>
      <w:szCs w:val="21"/>
    </w:rPr>
  </w:style>
  <w:style w:type="paragraph" w:customStyle="1" w:styleId="afff9">
    <w:name w:val="表格内容"/>
    <w:next w:val="ab"/>
    <w:qFormat/>
    <w:pPr>
      <w:widowControl w:val="0"/>
      <w:spacing w:line="340" w:lineRule="exact"/>
      <w:jc w:val="center"/>
    </w:pPr>
    <w:rPr>
      <w:rFonts w:ascii="Times New Roman" w:eastAsia="宋体" w:hAnsi="Times New Roman" w:cs="Times New Roman"/>
      <w:bCs/>
      <w:kern w:val="44"/>
      <w:sz w:val="21"/>
      <w:szCs w:val="21"/>
    </w:rPr>
  </w:style>
  <w:style w:type="paragraph" w:customStyle="1" w:styleId="WPSOffice1">
    <w:name w:val="WPSOffice手动目录 1"/>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paragraph" w:customStyle="1" w:styleId="2222">
    <w:name w:val="样式 样式 正文22 + 首行缩进:  2 字符 + 首行缩进:  2 字符"/>
    <w:basedOn w:val="222"/>
    <w:qFormat/>
    <w:rPr>
      <w:rFonts w:hAnsi="Times New Roman"/>
    </w:rPr>
  </w:style>
  <w:style w:type="paragraph" w:customStyle="1" w:styleId="222">
    <w:name w:val="样式 正文22 + 首行缩进:  2 字符"/>
    <w:basedOn w:val="220"/>
    <w:link w:val="222CharChar"/>
    <w:qFormat/>
    <w:rPr>
      <w:rFonts w:ascii="宋体" w:cs="宋体"/>
    </w:rPr>
  </w:style>
  <w:style w:type="paragraph" w:customStyle="1" w:styleId="220">
    <w:name w:val="正文22"/>
    <w:link w:val="22CharChar"/>
    <w:qFormat/>
    <w:pPr>
      <w:widowControl w:val="0"/>
      <w:adjustRightInd w:val="0"/>
      <w:snapToGrid w:val="0"/>
      <w:spacing w:line="360" w:lineRule="auto"/>
      <w:ind w:firstLineChars="200" w:firstLine="560"/>
    </w:pPr>
    <w:rPr>
      <w:rFonts w:ascii="Times New Roman" w:eastAsia="宋体" w:hAnsi="宋体" w:cs="Times New Roman"/>
      <w:kern w:val="28"/>
      <w:sz w:val="28"/>
      <w:szCs w:val="28"/>
    </w:rPr>
  </w:style>
  <w:style w:type="paragraph" w:customStyle="1" w:styleId="229">
    <w:name w:val="样式 正文22 + 首行缩进:  9 字符"/>
    <w:basedOn w:val="220"/>
    <w:next w:val="a5"/>
    <w:pPr>
      <w:ind w:firstLineChars="900" w:firstLine="2520"/>
    </w:pPr>
    <w:rPr>
      <w:rFonts w:ascii="黑体" w:eastAsia="黑体" w:cs="宋体"/>
      <w:kern w:val="21"/>
      <w:szCs w:val="20"/>
    </w:rPr>
  </w:style>
  <w:style w:type="character" w:customStyle="1" w:styleId="14">
    <w:name w:val="未处理的提及1"/>
    <w:basedOn w:val="a0"/>
    <w:uiPriority w:val="99"/>
    <w:unhideWhenUsed/>
    <w:rPr>
      <w:color w:val="605E5C"/>
      <w:shd w:val="clear" w:color="auto" w:fill="E1DFDD"/>
    </w:rPr>
  </w:style>
  <w:style w:type="character" w:customStyle="1" w:styleId="a6">
    <w:name w:val="正文缩进 字符"/>
    <w:link w:val="a5"/>
    <w:uiPriority w:val="99"/>
    <w:qFormat/>
    <w:rPr>
      <w:rFonts w:ascii="Times New Roman" w:eastAsia="宋体" w:hAnsi="Times New Roman" w:cs="Times New Roman"/>
      <w:sz w:val="28"/>
      <w:szCs w:val="20"/>
      <w14:ligatures w14:val="none"/>
    </w:rPr>
  </w:style>
  <w:style w:type="character" w:customStyle="1" w:styleId="a4">
    <w:name w:val="注释标题 字符"/>
    <w:basedOn w:val="a0"/>
    <w:link w:val="a3"/>
    <w:rPr>
      <w:rFonts w:ascii="宋体" w:eastAsia="宋体" w:hAnsi="Times New Roman" w:cs="Times New Roman"/>
      <w:sz w:val="21"/>
      <w:szCs w:val="20"/>
      <w14:ligatures w14:val="none"/>
    </w:rPr>
  </w:style>
  <w:style w:type="character" w:customStyle="1" w:styleId="24">
    <w:name w:val="正文文本 2 字符"/>
    <w:basedOn w:val="a0"/>
    <w:link w:val="23"/>
    <w:rPr>
      <w:rFonts w:ascii="宋体" w:eastAsia="宋体" w:hAnsi="宋体" w:cs="Times New Roman"/>
      <w:color w:val="000000"/>
      <w:spacing w:val="16"/>
      <w:sz w:val="28"/>
      <w:szCs w:val="28"/>
      <w14:ligatures w14:val="none"/>
    </w:rPr>
  </w:style>
  <w:style w:type="character" w:customStyle="1" w:styleId="HTML0">
    <w:name w:val="HTML 预设格式 字符"/>
    <w:basedOn w:val="a0"/>
    <w:link w:val="HTML"/>
    <w:rPr>
      <w:rFonts w:ascii="宋体" w:eastAsia="宋体" w:hAnsi="宋体" w:cs="宋体"/>
      <w:kern w:val="0"/>
      <w:sz w:val="24"/>
      <w14:ligatures w14:val="none"/>
    </w:rPr>
  </w:style>
  <w:style w:type="character" w:customStyle="1" w:styleId="26">
    <w:name w:val="正文文本首行缩进 2 字符"/>
    <w:basedOn w:val="ae"/>
    <w:link w:val="25"/>
    <w:rPr>
      <w:rFonts w:ascii="Times New Roman" w:eastAsia="宋体" w:hAnsi="Times New Roman" w:cs="Times New Roman"/>
      <w:b w:val="0"/>
      <w:bCs w:val="0"/>
      <w:kern w:val="0"/>
      <w:sz w:val="21"/>
      <w:szCs w:val="21"/>
      <w14:ligatures w14:val="none"/>
    </w:rPr>
  </w:style>
  <w:style w:type="character" w:customStyle="1" w:styleId="afffa">
    <w:name w:val="第一条"/>
  </w:style>
  <w:style w:type="character" w:customStyle="1" w:styleId="CharChar1">
    <w:name w:val="Char Char1"/>
    <w:rPr>
      <w:kern w:val="2"/>
      <w:sz w:val="18"/>
      <w:szCs w:val="18"/>
    </w:rPr>
  </w:style>
  <w:style w:type="character" w:customStyle="1" w:styleId="df">
    <w:name w:val="df"/>
  </w:style>
  <w:style w:type="character" w:customStyle="1" w:styleId="newscda1">
    <w:name w:val="news_c_da1"/>
    <w:qFormat/>
    <w:rPr>
      <w:rFonts w:ascii="ˎ̥" w:hAnsi="ˎ̥" w:hint="default"/>
      <w:b/>
      <w:bCs/>
      <w:color w:val="000000"/>
      <w:sz w:val="24"/>
      <w:szCs w:val="24"/>
    </w:rPr>
  </w:style>
  <w:style w:type="character" w:customStyle="1" w:styleId="zhenwen141">
    <w:name w:val="zhenwen141"/>
    <w:rPr>
      <w:rFonts w:ascii="ˎ̥" w:hAnsi="ˎ̥" w:hint="default"/>
      <w:sz w:val="21"/>
      <w:szCs w:val="21"/>
    </w:rPr>
  </w:style>
  <w:style w:type="character" w:customStyle="1" w:styleId="style11">
    <w:name w:val="style11"/>
    <w:rPr>
      <w:rFonts w:ascii="Arial" w:hAnsi="Arial" w:cs="Arial" w:hint="default"/>
    </w:rPr>
  </w:style>
  <w:style w:type="character" w:customStyle="1" w:styleId="15">
    <w:name w:val="正文1"/>
    <w:rPr>
      <w:rFonts w:ascii="宋体" w:eastAsia="宋体" w:hAnsi="宋体" w:hint="eastAsia"/>
      <w:sz w:val="20"/>
      <w:szCs w:val="20"/>
    </w:rPr>
  </w:style>
  <w:style w:type="character" w:customStyle="1" w:styleId="CharCharChar">
    <w:name w:val="Char Char Char"/>
    <w:rPr>
      <w:rFonts w:ascii="宋体" w:hAnsi="Courier New" w:cs="Courier New"/>
      <w:color w:val="000000"/>
      <w:kern w:val="2"/>
      <w:sz w:val="21"/>
      <w:szCs w:val="21"/>
    </w:rPr>
  </w:style>
  <w:style w:type="character" w:customStyle="1" w:styleId="detail">
    <w:name w:val="detail"/>
  </w:style>
  <w:style w:type="character" w:customStyle="1" w:styleId="article1">
    <w:name w:val="article1"/>
    <w:rPr>
      <w:b/>
      <w:bCs/>
      <w:smallCaps/>
      <w:color w:val="FF0000"/>
      <w:sz w:val="48"/>
      <w:szCs w:val="48"/>
    </w:rPr>
  </w:style>
  <w:style w:type="paragraph" w:customStyle="1" w:styleId="TOC10">
    <w:name w:val="TOC 标题1"/>
    <w:basedOn w:val="1"/>
    <w:next w:val="a"/>
    <w:uiPriority w:val="39"/>
    <w:qFormat/>
    <w:pPr>
      <w:widowControl/>
      <w:spacing w:beforeLines="0" w:before="480" w:after="0" w:line="276" w:lineRule="auto"/>
      <w:jc w:val="left"/>
      <w:outlineLvl w:val="9"/>
    </w:pPr>
    <w:rPr>
      <w:rFonts w:ascii="Cambria" w:eastAsia="宋体" w:hAnsi="Cambria"/>
      <w:b/>
      <w:bCs/>
      <w:color w:val="365F91"/>
      <w:kern w:val="0"/>
      <w:sz w:val="28"/>
      <w:szCs w:val="28"/>
    </w:rPr>
  </w:style>
  <w:style w:type="paragraph" w:customStyle="1" w:styleId="CharCharCharCharCharCharChar1">
    <w:name w:val="Char Char Char Char Char Char Char1"/>
    <w:basedOn w:val="a"/>
    <w:pPr>
      <w:adjustRightInd/>
      <w:snapToGrid/>
    </w:pPr>
    <w:rPr>
      <w:rFonts w:ascii="Times New Roman" w:eastAsia="宋体" w:hAnsi="Times New Roman" w:cs="Times New Roman"/>
      <w:sz w:val="21"/>
      <w14:ligatures w14:val="none"/>
    </w:rPr>
  </w:style>
  <w:style w:type="paragraph" w:customStyle="1" w:styleId="unnamed5">
    <w:name w:val="unnamed5"/>
    <w:basedOn w:val="a"/>
    <w:pPr>
      <w:widowControl/>
      <w:adjustRightInd/>
      <w:snapToGrid/>
      <w:spacing w:before="100" w:beforeAutospacing="1" w:after="100" w:afterAutospacing="1" w:line="300" w:lineRule="atLeast"/>
      <w:ind w:firstLineChars="0" w:firstLine="0"/>
      <w:jc w:val="left"/>
    </w:pPr>
    <w:rPr>
      <w:rFonts w:ascii="ˎ̥" w:eastAsia="宋体" w:hAnsi="ˎ̥" w:cs="宋体"/>
      <w:b/>
      <w:bCs/>
      <w:color w:val="000066"/>
      <w:kern w:val="0"/>
      <w:sz w:val="21"/>
      <w:szCs w:val="21"/>
      <w14:ligatures w14:val="none"/>
    </w:rPr>
  </w:style>
  <w:style w:type="paragraph" w:customStyle="1" w:styleId="CharCharCharChar1">
    <w:name w:val="Char Char Char Char1"/>
    <w:basedOn w:val="a"/>
    <w:qFormat/>
    <w:pPr>
      <w:widowControl/>
      <w:snapToGrid/>
      <w:spacing w:after="160" w:line="240" w:lineRule="exact"/>
      <w:ind w:firstLineChars="0" w:firstLine="0"/>
      <w:jc w:val="left"/>
      <w:textAlignment w:val="baseline"/>
    </w:pPr>
    <w:rPr>
      <w:rFonts w:ascii="Arial" w:hAnsi="Arial" w:cs="Verdana"/>
      <w:b/>
      <w:kern w:val="0"/>
      <w:sz w:val="24"/>
      <w:lang w:eastAsia="en-US"/>
      <w14:ligatures w14:val="none"/>
    </w:rPr>
  </w:style>
  <w:style w:type="paragraph" w:customStyle="1" w:styleId="34">
    <w:name w:val="标题3"/>
    <w:basedOn w:val="3"/>
    <w:pPr>
      <w:adjustRightInd w:val="0"/>
      <w:snapToGrid w:val="0"/>
      <w:spacing w:beforeLines="0" w:before="0" w:afterLines="0" w:after="0" w:line="360" w:lineRule="auto"/>
      <w:ind w:firstLineChars="0" w:firstLine="0"/>
      <w:jc w:val="both"/>
    </w:pPr>
    <w:rPr>
      <w:rFonts w:ascii="宋体" w:eastAsia="宋体" w:hAnsi="宋体"/>
      <w:bCs/>
      <w:color w:val="000000"/>
      <w:kern w:val="2"/>
      <w:szCs w:val="28"/>
    </w:rPr>
  </w:style>
  <w:style w:type="paragraph" w:customStyle="1" w:styleId="unnamed4">
    <w:name w:val="unnamed4"/>
    <w:basedOn w:val="a"/>
    <w:pPr>
      <w:widowControl/>
      <w:adjustRightInd/>
      <w:snapToGrid/>
      <w:spacing w:before="100" w:beforeAutospacing="1" w:after="100" w:afterAutospacing="1" w:line="390" w:lineRule="atLeast"/>
      <w:ind w:firstLineChars="0" w:firstLine="0"/>
      <w:jc w:val="left"/>
    </w:pPr>
    <w:rPr>
      <w:rFonts w:ascii="ˎ̥" w:eastAsia="宋体" w:hAnsi="ˎ̥" w:cs="宋体"/>
      <w:b/>
      <w:bCs/>
      <w:caps/>
      <w:color w:val="FF0000"/>
      <w:kern w:val="0"/>
      <w:sz w:val="27"/>
      <w:szCs w:val="27"/>
      <w14:ligatures w14:val="none"/>
    </w:rPr>
  </w:style>
  <w:style w:type="paragraph" w:customStyle="1" w:styleId="2a">
    <w:name w:val="样式2"/>
    <w:basedOn w:val="ad"/>
    <w:pPr>
      <w:spacing w:beforeLines="0" w:before="0" w:afterLines="0" w:after="0"/>
      <w:jc w:val="both"/>
    </w:pPr>
    <w:rPr>
      <w:rFonts w:ascii="宋体" w:hAnsi="宋体"/>
      <w:b w:val="0"/>
      <w:bCs w:val="0"/>
      <w:color w:val="000000"/>
      <w:kern w:val="2"/>
    </w:rPr>
  </w:style>
  <w:style w:type="paragraph" w:customStyle="1" w:styleId="16">
    <w:name w:val="正文样式1"/>
    <w:basedOn w:val="a"/>
    <w:pPr>
      <w:snapToGrid/>
      <w:ind w:firstLineChars="0" w:firstLine="482"/>
      <w:textAlignment w:val="baseline"/>
    </w:pPr>
    <w:rPr>
      <w:rFonts w:ascii="Times New Roman" w:eastAsia="宋体" w:hAnsi="Times New Roman" w:cs="Times New Roman"/>
      <w:kern w:val="0"/>
      <w:sz w:val="24"/>
      <w:szCs w:val="20"/>
      <w14:ligatures w14:val="none"/>
    </w:rPr>
  </w:style>
  <w:style w:type="paragraph" w:customStyle="1" w:styleId="35">
    <w:name w:val="3级标题"/>
    <w:pPr>
      <w:spacing w:line="560" w:lineRule="exact"/>
      <w:ind w:firstLineChars="200" w:firstLine="624"/>
      <w:jc w:val="both"/>
    </w:pPr>
    <w:rPr>
      <w:rFonts w:ascii="黑体" w:eastAsia="黑体" w:hAnsi="宋体" w:cs="Times New Roman"/>
      <w:bCs/>
      <w:color w:val="000000"/>
      <w:spacing w:val="16"/>
      <w:kern w:val="2"/>
      <w:sz w:val="28"/>
      <w:szCs w:val="28"/>
      <w:lang w:bidi="en-US"/>
    </w:rPr>
  </w:style>
  <w:style w:type="character" w:customStyle="1" w:styleId="22CharChar">
    <w:name w:val="正文22 Char Char"/>
    <w:link w:val="220"/>
    <w:qFormat/>
    <w:rPr>
      <w:rFonts w:ascii="Times New Roman" w:eastAsia="宋体" w:hAnsi="宋体" w:cs="Times New Roman"/>
      <w:kern w:val="28"/>
      <w:sz w:val="28"/>
      <w:szCs w:val="28"/>
      <w14:ligatures w14:val="none"/>
    </w:rPr>
  </w:style>
  <w:style w:type="character" w:customStyle="1" w:styleId="222CharChar">
    <w:name w:val="样式 正文22 + 首行缩进:  2 字符 Char Char"/>
    <w:link w:val="222"/>
    <w:qFormat/>
    <w:rPr>
      <w:rFonts w:ascii="宋体" w:eastAsia="宋体" w:hAnsi="宋体" w:cs="宋体"/>
      <w:kern w:val="28"/>
      <w:sz w:val="28"/>
      <w:szCs w:val="28"/>
      <w14:ligatures w14:val="none"/>
    </w:rPr>
  </w:style>
  <w:style w:type="paragraph" w:customStyle="1" w:styleId="BodyText1I2">
    <w:name w:val="BodyText1I2"/>
    <w:basedOn w:val="a"/>
    <w:qFormat/>
    <w:pPr>
      <w:adjustRightInd/>
      <w:snapToGrid/>
      <w:spacing w:after="120"/>
      <w:ind w:leftChars="200" w:left="420" w:firstLine="420"/>
      <w:textAlignment w:val="baseline"/>
    </w:pPr>
    <w:rPr>
      <w:rFonts w:ascii="Calibri" w:eastAsia="宋体" w:hAnsi="Calibri" w:cs="Times New Roman"/>
      <w:sz w:val="21"/>
      <w14:ligatures w14:val="none"/>
    </w:rPr>
  </w:style>
  <w:style w:type="character" w:customStyle="1" w:styleId="150">
    <w:name w:val="15"/>
    <w:rPr>
      <w:rFonts w:ascii="宋体" w:eastAsia="宋体" w:hAnsi="宋体" w:cs="Arial Unicode MS" w:hint="eastAsia"/>
      <w:bCs/>
      <w:color w:val="000000"/>
      <w:kern w:val="2"/>
      <w:sz w:val="24"/>
      <w:szCs w:val="24"/>
    </w:rPr>
  </w:style>
  <w:style w:type="paragraph" w:customStyle="1" w:styleId="153">
    <w:name w:val="样式 宋体 居中 行距: 1.5 倍行距3"/>
    <w:basedOn w:val="a"/>
    <w:pPr>
      <w:adjustRightInd/>
      <w:snapToGrid/>
      <w:ind w:firstLineChars="0" w:firstLine="0"/>
      <w:jc w:val="center"/>
    </w:pPr>
    <w:rPr>
      <w:rFonts w:ascii="Times New Roman" w:eastAsia="宋体" w:hAnsi="Times New Roman" w:cs="宋体"/>
      <w:sz w:val="21"/>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1F156BF-CDC4-48FB-85A9-D78F1C56FC4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123</Pages>
  <Words>13007</Words>
  <Characters>74144</Characters>
  <Application>Microsoft Office Word</Application>
  <DocSecurity>0</DocSecurity>
  <Lines>617</Lines>
  <Paragraphs>173</Paragraphs>
  <ScaleCrop>false</ScaleCrop>
  <Company/>
  <LinksUpToDate>false</LinksUpToDate>
  <CharactersWithSpaces>86978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10</cp:revision>
  <cp:lastPrinted>2025-10-29T02:21:00Z</cp:lastPrinted>
  <dcterms:created xsi:type="dcterms:W3CDTF">2025-09-21T03:06:00Z</dcterms:created>
  <dcterms:modified xsi:type="dcterms:W3CDTF">2025-11-26T04:16:00Z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eyJoZGlkIjoiZmMwMTRhOGI2M2Y0MTA3MDg0NDFlNDA3MjI5ZDllNGYiLCJ1c2VySWQiOiIxMTc3MDAyODE0In0=</vt:lpwstr>
  </property>
  <property fmtid="{D5CDD505-2E9C-101B-9397-08002B2CF9AE}" pid="3" name="KSOProductBuildVer">
    <vt:lpwstr>2052-12.1.0.22529</vt:lpwstr>
  </property>
  <property fmtid="{D5CDD505-2E9C-101B-9397-08002B2CF9AE}" pid="4" name="ICV">
    <vt:lpwstr>E8D37DD4A37249BCB7B05F17DE31A563_13</vt:lpwstr>
  </property>
</Properties>
</file>