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B68D35">
      <w:pPr>
        <w:tabs>
          <w:tab w:val="left" w:pos="210"/>
        </w:tabs>
        <w:spacing w:before="468" w:beforeLines="150" w:after="468" w:afterLines="150"/>
        <w:ind w:firstLine="0" w:firstLineChars="0"/>
        <w:jc w:val="center"/>
        <w:outlineLvl w:val="0"/>
        <w:rPr>
          <w:rFonts w:ascii="黑体" w:hAnsi="Times New Roman" w:eastAsia="黑体" w:cs="黑体"/>
          <w:b/>
          <w:sz w:val="32"/>
          <w:szCs w:val="32"/>
          <w:highlight w:val="none"/>
          <w:lang w:bidi="ar"/>
          <w14:ligatures w14:val="none"/>
        </w:rPr>
      </w:pPr>
      <w:bookmarkStart w:id="0" w:name="_Toc187164219"/>
      <w:bookmarkStart w:id="1" w:name="_Toc187309979"/>
      <w:bookmarkStart w:id="2" w:name="_Toc186786435"/>
      <w:r>
        <w:rPr>
          <w:rFonts w:hint="eastAsia" w:ascii="黑体" w:hAnsi="Times New Roman" w:eastAsia="黑体" w:cs="黑体"/>
          <w:b/>
          <w:sz w:val="32"/>
          <w:szCs w:val="32"/>
          <w:highlight w:val="none"/>
          <w:lang w:bidi="ar"/>
          <w14:ligatures w14:val="none"/>
        </w:rPr>
        <w:t>前  言</w:t>
      </w:r>
      <w:bookmarkEnd w:id="0"/>
      <w:bookmarkEnd w:id="1"/>
      <w:bookmarkEnd w:id="2"/>
    </w:p>
    <w:p w14:paraId="566B7604">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中铁（辽宁）本桓高速公路有限公司成立于2022年07月27日，注册地址为辽宁省本溪市明山区解放北路129-1号，</w:t>
      </w:r>
      <w:r>
        <w:rPr>
          <w:rFonts w:hint="eastAsia" w:ascii="Times New Roman" w:hAnsi="Times New Roman" w:eastAsia="宋体" w:cs="宋体"/>
          <w:szCs w:val="28"/>
          <w:highlight w:val="none"/>
          <w:lang w:bidi="ar"/>
          <w14:ligatures w14:val="none"/>
        </w:rPr>
        <w:t>注册资本金为人民币52.74亿元</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bidi="ar"/>
          <w14:ligatures w14:val="none"/>
        </w:rPr>
        <w:t>其中政府方出资代表辽宁省交通建设投资集团有限责任公司持有公司股权比例为49%；中国中铁股份有限公司联合体持有公司股权比例为51%。</w:t>
      </w:r>
      <w:r>
        <w:rPr>
          <w:rFonts w:ascii="Times New Roman" w:hAnsi="Times New Roman" w:eastAsia="宋体" w:cs="宋体"/>
          <w:szCs w:val="28"/>
          <w:highlight w:val="none"/>
          <w:lang w:bidi="ar"/>
          <w14:ligatures w14:val="none"/>
        </w:rPr>
        <w:t>法定代表人为</w:t>
      </w:r>
      <w:r>
        <w:rPr>
          <w:rFonts w:hint="eastAsia" w:ascii="Times New Roman" w:hAnsi="Times New Roman" w:eastAsia="宋体" w:cs="宋体"/>
          <w:szCs w:val="28"/>
          <w:highlight w:val="none"/>
          <w:lang w:bidi="ar"/>
          <w14:ligatures w14:val="none"/>
        </w:rPr>
        <w:t>刘宗华，</w:t>
      </w:r>
      <w:r>
        <w:rPr>
          <w:rFonts w:ascii="Times New Roman" w:hAnsi="Times New Roman" w:eastAsia="宋体" w:cs="宋体"/>
          <w:szCs w:val="28"/>
          <w:highlight w:val="none"/>
          <w:lang w:bidi="ar"/>
          <w14:ligatures w14:val="none"/>
        </w:rPr>
        <w:t>类型为有限责任公司。</w:t>
      </w:r>
      <w:r>
        <w:rPr>
          <w:rFonts w:hint="eastAsia" w:ascii="Times New Roman" w:hAnsi="Times New Roman" w:eastAsia="宋体" w:cs="宋体"/>
          <w:szCs w:val="28"/>
          <w:highlight w:val="none"/>
          <w:lang w:bidi="ar"/>
          <w14:ligatures w14:val="none"/>
        </w:rPr>
        <w:t>主要从事</w:t>
      </w:r>
      <w:r>
        <w:rPr>
          <w:rFonts w:ascii="Times New Roman" w:hAnsi="Times New Roman" w:eastAsia="宋体" w:cs="宋体"/>
          <w:szCs w:val="28"/>
          <w:highlight w:val="none"/>
          <w:lang w:bidi="ar"/>
          <w14:ligatures w14:val="none"/>
        </w:rPr>
        <w:t>公路管理与养护，餐饮服务（不产生油烟、异味、废气），住宿服务</w:t>
      </w:r>
      <w:r>
        <w:rPr>
          <w:rFonts w:hint="eastAsia" w:ascii="Times New Roman" w:hAnsi="Times New Roman" w:eastAsia="宋体" w:cs="宋体"/>
          <w:szCs w:val="28"/>
          <w:highlight w:val="none"/>
          <w:lang w:bidi="ar"/>
          <w14:ligatures w14:val="none"/>
        </w:rPr>
        <w:t>等业务。</w:t>
      </w:r>
    </w:p>
    <w:p w14:paraId="6FA55C8C">
      <w:pPr>
        <w:ind w:firstLine="560"/>
        <w:rPr>
          <w:rFonts w:hint="eastAsia"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本溪至集安高速公路本溪至桓仁（辽吉界）段是国高网规划（2013-2030）的本溪至集安高速公路（G9111）中的一段，由中铁（辽宁）本桓高速公路有限公司投资建设，中铁（辽宁）本桓高速公路有限公司八里甸子服务区北侧加油站新建项目（以下简称八里甸子服务区北侧加油站）位于该段高速公路本桓主线上，桓仁至本溪方向八里甸子服务区内，桓仁满族自治县境内。</w:t>
      </w:r>
    </w:p>
    <w:p w14:paraId="36307AF3">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中铁（辽宁）本桓高速公路有限公司（中铁（辽宁）本桓高速公路有限公司隶属于辽宁省交通建设投资集团有限责任公司）</w:t>
      </w:r>
      <w:r>
        <w:rPr>
          <w:rFonts w:hint="eastAsia" w:ascii="Times New Roman" w:hAnsi="Times New Roman" w:eastAsia="宋体" w:cs="宋体"/>
          <w:szCs w:val="28"/>
          <w:highlight w:val="none"/>
          <w:lang w:bidi="ar"/>
          <w14:ligatures w14:val="none"/>
        </w:rPr>
        <w:t>于</w:t>
      </w:r>
      <w:r>
        <w:rPr>
          <w:rFonts w:ascii="Times New Roman" w:hAnsi="Times New Roman" w:eastAsia="宋体" w:cs="宋体"/>
          <w:szCs w:val="28"/>
          <w:highlight w:val="none"/>
          <w:lang w:bidi="ar"/>
          <w14:ligatures w14:val="none"/>
        </w:rPr>
        <w:t>202</w:t>
      </w:r>
      <w:r>
        <w:rPr>
          <w:rFonts w:hint="eastAsia" w:ascii="Times New Roman" w:hAnsi="Times New Roman" w:eastAsia="宋体" w:cs="宋体"/>
          <w:szCs w:val="28"/>
          <w:highlight w:val="none"/>
          <w:lang w:bidi="ar"/>
          <w14:ligatures w14:val="none"/>
        </w:rPr>
        <w:t>1</w:t>
      </w:r>
      <w:r>
        <w:rPr>
          <w:rFonts w:ascii="Times New Roman" w:hAnsi="Times New Roman" w:eastAsia="宋体" w:cs="宋体"/>
          <w:szCs w:val="28"/>
          <w:highlight w:val="none"/>
          <w:lang w:bidi="ar"/>
          <w14:ligatures w14:val="none"/>
        </w:rPr>
        <w:t>年</w:t>
      </w:r>
      <w:r>
        <w:rPr>
          <w:rFonts w:hint="eastAsia" w:ascii="Times New Roman" w:hAnsi="Times New Roman" w:eastAsia="宋体" w:cs="宋体"/>
          <w:szCs w:val="28"/>
          <w:highlight w:val="none"/>
          <w:lang w:bidi="ar"/>
          <w14:ligatures w14:val="none"/>
        </w:rPr>
        <w:t>10</w:t>
      </w:r>
      <w:r>
        <w:rPr>
          <w:rFonts w:ascii="Times New Roman" w:hAnsi="Times New Roman" w:eastAsia="宋体" w:cs="宋体"/>
          <w:szCs w:val="28"/>
          <w:highlight w:val="none"/>
          <w:lang w:bidi="ar"/>
          <w14:ligatures w14:val="none"/>
        </w:rPr>
        <w:t>月</w:t>
      </w:r>
      <w:r>
        <w:rPr>
          <w:rFonts w:hint="eastAsia" w:ascii="Times New Roman" w:hAnsi="Times New Roman" w:eastAsia="宋体" w:cs="宋体"/>
          <w:szCs w:val="28"/>
          <w:highlight w:val="none"/>
          <w:lang w:bidi="ar"/>
          <w14:ligatures w14:val="none"/>
        </w:rPr>
        <w:t>29</w:t>
      </w:r>
      <w:r>
        <w:rPr>
          <w:rFonts w:ascii="Times New Roman" w:hAnsi="Times New Roman" w:eastAsia="宋体" w:cs="宋体"/>
          <w:szCs w:val="28"/>
          <w:highlight w:val="none"/>
          <w:lang w:bidi="ar"/>
          <w14:ligatures w14:val="none"/>
        </w:rPr>
        <w:t>日</w:t>
      </w:r>
      <w:r>
        <w:rPr>
          <w:rFonts w:hint="eastAsia" w:ascii="Times New Roman" w:hAnsi="Times New Roman" w:eastAsia="宋体" w:cs="宋体"/>
          <w:szCs w:val="28"/>
          <w:highlight w:val="none"/>
          <w:lang w:bidi="ar"/>
          <w14:ligatures w14:val="none"/>
        </w:rPr>
        <w:t>取得</w:t>
      </w:r>
      <w:r>
        <w:rPr>
          <w:rFonts w:ascii="Times New Roman" w:hAnsi="Times New Roman" w:eastAsia="宋体" w:cs="宋体"/>
          <w:szCs w:val="28"/>
          <w:highlight w:val="none"/>
          <w:lang w:bidi="ar"/>
          <w14:ligatures w14:val="none"/>
        </w:rPr>
        <w:t>辽宁省发展和改革委员会</w:t>
      </w:r>
      <w:r>
        <w:rPr>
          <w:rFonts w:hint="eastAsia" w:ascii="Times New Roman" w:hAnsi="Times New Roman" w:eastAsia="宋体" w:cs="宋体"/>
          <w:szCs w:val="28"/>
          <w:highlight w:val="none"/>
          <w:lang w:bidi="ar"/>
          <w14:ligatures w14:val="none"/>
        </w:rPr>
        <w:t>核发的《</w:t>
      </w:r>
      <w:r>
        <w:rPr>
          <w:rFonts w:ascii="Times New Roman" w:hAnsi="Times New Roman" w:eastAsia="宋体" w:cs="宋体"/>
          <w:szCs w:val="28"/>
          <w:highlight w:val="none"/>
          <w:lang w:bidi="ar"/>
          <w14:ligatures w14:val="none"/>
        </w:rPr>
        <w:t>省发展改革委关于本溪至集安高速公路本溪至桓仁</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辽吉界</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段工程可行性研究报告的批复</w:t>
      </w:r>
      <w:r>
        <w:rPr>
          <w:rFonts w:hint="eastAsia" w:ascii="Times New Roman" w:hAnsi="Times New Roman" w:eastAsia="宋体" w:cs="宋体"/>
          <w:szCs w:val="28"/>
          <w:highlight w:val="none"/>
          <w:lang w:bidi="ar"/>
          <w14:ligatures w14:val="none"/>
        </w:rPr>
        <w:t>》（辽发改交通[2021]425号）；</w:t>
      </w:r>
      <w:r>
        <w:rPr>
          <w:rFonts w:ascii="Times New Roman" w:hAnsi="Times New Roman" w:eastAsia="宋体" w:cs="宋体"/>
          <w:szCs w:val="28"/>
          <w:highlight w:val="none"/>
          <w:lang w:bidi="ar"/>
          <w14:ligatures w14:val="none"/>
        </w:rPr>
        <w:t>于2024年4月10日取得本溪市商务局</w:t>
      </w:r>
      <w:r>
        <w:rPr>
          <w:rFonts w:hint="eastAsia" w:ascii="Times New Roman" w:hAnsi="Times New Roman" w:eastAsia="宋体" w:cs="宋体"/>
          <w:szCs w:val="28"/>
          <w:highlight w:val="none"/>
          <w:lang w:bidi="ar"/>
          <w14:ligatures w14:val="none"/>
        </w:rPr>
        <w:t>核</w:t>
      </w:r>
      <w:r>
        <w:rPr>
          <w:rFonts w:ascii="Times New Roman" w:hAnsi="Times New Roman" w:eastAsia="宋体" w:cs="宋体"/>
          <w:szCs w:val="28"/>
          <w:highlight w:val="none"/>
          <w:lang w:bidi="ar"/>
          <w14:ligatures w14:val="none"/>
        </w:rPr>
        <w:t>发的《</w:t>
      </w:r>
      <w:r>
        <w:rPr>
          <w:rFonts w:hint="eastAsia" w:ascii="Times New Roman" w:hAnsi="Times New Roman" w:eastAsia="宋体" w:cs="宋体"/>
          <w:szCs w:val="28"/>
          <w:highlight w:val="none"/>
          <w:lang w:bidi="ar"/>
          <w14:ligatures w14:val="none"/>
        </w:rPr>
        <w:t>市商务局关于同意在本溪至集安高速公路本溪至桓仁（辽吉界）段八里甸子服务区（南侧、北侧）五里甸子服务区（东侧、西侧）规划新建4座加油站的批复</w:t>
      </w:r>
      <w:r>
        <w:rPr>
          <w:rFonts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本商审批函[2024]3号</w:t>
      </w:r>
      <w:r>
        <w:rPr>
          <w:rFonts w:hint="eastAsia" w:ascii="Times New Roman" w:hAnsi="Times New Roman" w:eastAsia="宋体" w:cs="宋体"/>
          <w:szCs w:val="28"/>
          <w:highlight w:val="none"/>
          <w:lang w:bidi="ar"/>
          <w14:ligatures w14:val="none"/>
        </w:rPr>
        <w:t>）。建设内容：</w:t>
      </w:r>
      <w:r>
        <w:rPr>
          <w:rFonts w:ascii="Times New Roman" w:hAnsi="Times New Roman" w:eastAsia="宋体" w:cs="宋体"/>
          <w:szCs w:val="28"/>
          <w:highlight w:val="none"/>
          <w:lang w:bidi="ar"/>
          <w14:ligatures w14:val="none"/>
        </w:rPr>
        <w:t>在本溪至集安高速公路本溪至桓仁（辽吉界）段</w:t>
      </w:r>
      <w:r>
        <w:rPr>
          <w:rFonts w:hint="eastAsia" w:ascii="Times New Roman" w:hAnsi="Times New Roman" w:eastAsia="宋体" w:cs="宋体"/>
          <w:szCs w:val="28"/>
          <w:highlight w:val="none"/>
          <w:lang w:eastAsia="zh-CN" w:bidi="ar"/>
          <w14:ligatures w14:val="none"/>
        </w:rPr>
        <w:t>八里甸子</w:t>
      </w:r>
      <w:r>
        <w:rPr>
          <w:rFonts w:ascii="Times New Roman" w:hAnsi="Times New Roman" w:eastAsia="宋体" w:cs="宋体"/>
          <w:szCs w:val="28"/>
          <w:highlight w:val="none"/>
          <w:lang w:bidi="ar"/>
          <w14:ligatures w14:val="none"/>
        </w:rPr>
        <w:t>服务区</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w:t>
      </w:r>
      <w:r>
        <w:rPr>
          <w:rFonts w:hint="eastAsia" w:ascii="Times New Roman" w:hAnsi="Times New Roman" w:eastAsia="宋体" w:cs="宋体"/>
          <w:szCs w:val="28"/>
          <w:highlight w:val="none"/>
          <w:lang w:bidi="ar"/>
          <w14:ligatures w14:val="none"/>
        </w:rPr>
        <w:t>建设1</w:t>
      </w:r>
      <w:r>
        <w:rPr>
          <w:rFonts w:ascii="Times New Roman" w:hAnsi="Times New Roman" w:eastAsia="宋体" w:cs="宋体"/>
          <w:szCs w:val="28"/>
          <w:highlight w:val="none"/>
          <w:lang w:bidi="ar"/>
          <w14:ligatures w14:val="none"/>
        </w:rPr>
        <w:t>座加油站</w:t>
      </w:r>
      <w:r>
        <w:rPr>
          <w:rFonts w:hint="eastAsia" w:ascii="Times New Roman" w:hAnsi="Times New Roman" w:eastAsia="宋体" w:cs="宋体"/>
          <w:szCs w:val="28"/>
          <w:highlight w:val="none"/>
          <w:lang w:bidi="ar"/>
          <w14:ligatures w14:val="none"/>
        </w:rPr>
        <w:t>。企业依法履行“三同时”，并</w:t>
      </w:r>
      <w:r>
        <w:rPr>
          <w:rFonts w:ascii="Times New Roman" w:hAnsi="Times New Roman" w:eastAsia="宋体" w:cs="宋体"/>
          <w:szCs w:val="28"/>
          <w:highlight w:val="none"/>
          <w:lang w:bidi="ar"/>
          <w14:ligatures w14:val="none"/>
        </w:rPr>
        <w:t>于2024年</w:t>
      </w:r>
      <w:r>
        <w:rPr>
          <w:rFonts w:hint="eastAsia" w:ascii="Times New Roman" w:hAnsi="Times New Roman" w:eastAsia="宋体" w:cs="宋体"/>
          <w:szCs w:val="28"/>
          <w:highlight w:val="none"/>
          <w:lang w:bidi="ar"/>
          <w14:ligatures w14:val="none"/>
        </w:rPr>
        <w:t>10</w:t>
      </w:r>
      <w:r>
        <w:rPr>
          <w:rFonts w:ascii="Times New Roman" w:hAnsi="Times New Roman" w:eastAsia="宋体" w:cs="宋体"/>
          <w:szCs w:val="28"/>
          <w:highlight w:val="none"/>
          <w:lang w:bidi="ar"/>
          <w14:ligatures w14:val="none"/>
        </w:rPr>
        <w:t>月</w:t>
      </w:r>
      <w:r>
        <w:rPr>
          <w:rFonts w:hint="eastAsia" w:ascii="Times New Roman" w:hAnsi="Times New Roman" w:eastAsia="宋体" w:cs="宋体"/>
          <w:szCs w:val="28"/>
          <w:highlight w:val="none"/>
          <w:lang w:bidi="ar"/>
          <w14:ligatures w14:val="none"/>
        </w:rPr>
        <w:t>31</w:t>
      </w:r>
      <w:r>
        <w:rPr>
          <w:rFonts w:ascii="Times New Roman" w:hAnsi="Times New Roman" w:eastAsia="宋体" w:cs="宋体"/>
          <w:szCs w:val="28"/>
          <w:highlight w:val="none"/>
          <w:lang w:bidi="ar"/>
          <w14:ligatures w14:val="none"/>
        </w:rPr>
        <w:t>日</w:t>
      </w:r>
      <w:r>
        <w:rPr>
          <w:rFonts w:hint="eastAsia" w:ascii="Times New Roman" w:hAnsi="Times New Roman" w:eastAsia="宋体" w:cs="宋体"/>
          <w:szCs w:val="28"/>
          <w:highlight w:val="none"/>
          <w:lang w:bidi="ar"/>
          <w14:ligatures w14:val="none"/>
        </w:rPr>
        <w:t>先后取得了</w:t>
      </w:r>
      <w:r>
        <w:rPr>
          <w:rFonts w:ascii="Times New Roman" w:hAnsi="Times New Roman" w:eastAsia="宋体" w:cs="宋体"/>
          <w:szCs w:val="28"/>
          <w:highlight w:val="none"/>
          <w:lang w:bidi="ar"/>
          <w14:ligatures w14:val="none"/>
        </w:rPr>
        <w:t>由</w:t>
      </w:r>
      <w:r>
        <w:rPr>
          <w:rFonts w:hint="eastAsia" w:ascii="Times New Roman" w:hAnsi="Times New Roman" w:eastAsia="宋体" w:cs="宋体"/>
          <w:szCs w:val="28"/>
          <w:highlight w:val="none"/>
          <w:lang w:bidi="ar"/>
          <w14:ligatures w14:val="none"/>
        </w:rPr>
        <w:t>本溪</w:t>
      </w:r>
      <w:r>
        <w:rPr>
          <w:rFonts w:ascii="Times New Roman" w:hAnsi="Times New Roman" w:eastAsia="宋体" w:cs="宋体"/>
          <w:szCs w:val="28"/>
          <w:highlight w:val="none"/>
          <w:lang w:bidi="ar"/>
          <w14:ligatures w14:val="none"/>
        </w:rPr>
        <w:t>市应急管理局核发的《危险化学品建设项目安全条件审查意见书》（</w:t>
      </w:r>
      <w:r>
        <w:rPr>
          <w:rFonts w:hint="eastAsia" w:ascii="Times New Roman" w:hAnsi="Times New Roman" w:eastAsia="宋体" w:cs="宋体"/>
          <w:szCs w:val="28"/>
          <w:highlight w:val="none"/>
          <w:lang w:bidi="ar"/>
          <w14:ligatures w14:val="none"/>
        </w:rPr>
        <w:t>本</w:t>
      </w:r>
      <w:r>
        <w:rPr>
          <w:rFonts w:ascii="Times New Roman" w:hAnsi="Times New Roman" w:eastAsia="宋体" w:cs="宋体"/>
          <w:szCs w:val="28"/>
          <w:highlight w:val="none"/>
          <w:lang w:bidi="ar"/>
          <w14:ligatures w14:val="none"/>
        </w:rPr>
        <w:t>危化项目安条审字[2024]</w:t>
      </w:r>
      <w:r>
        <w:rPr>
          <w:rFonts w:hint="eastAsia" w:ascii="Times New Roman" w:hAnsi="Times New Roman" w:eastAsia="宋体" w:cs="宋体"/>
          <w:szCs w:val="28"/>
          <w:highlight w:val="none"/>
          <w:lang w:val="en-US" w:eastAsia="zh-CN" w:bidi="ar"/>
          <w14:ligatures w14:val="none"/>
        </w:rPr>
        <w:t>1</w:t>
      </w:r>
      <w:r>
        <w:rPr>
          <w:rFonts w:ascii="Times New Roman" w:hAnsi="Times New Roman" w:eastAsia="宋体" w:cs="宋体"/>
          <w:szCs w:val="28"/>
          <w:highlight w:val="none"/>
          <w:lang w:bidi="ar"/>
          <w14:ligatures w14:val="none"/>
        </w:rPr>
        <w:t>号）和《危险化学品建设项目安全设施设计审查意见书》（</w:t>
      </w:r>
      <w:r>
        <w:rPr>
          <w:rFonts w:hint="eastAsia" w:ascii="Times New Roman" w:hAnsi="Times New Roman" w:eastAsia="宋体" w:cs="宋体"/>
          <w:szCs w:val="28"/>
          <w:highlight w:val="none"/>
          <w:lang w:bidi="ar"/>
          <w14:ligatures w14:val="none"/>
        </w:rPr>
        <w:t>本</w:t>
      </w:r>
      <w:r>
        <w:rPr>
          <w:rFonts w:ascii="Times New Roman" w:hAnsi="Times New Roman" w:eastAsia="宋体" w:cs="宋体"/>
          <w:szCs w:val="28"/>
          <w:highlight w:val="none"/>
          <w:lang w:bidi="ar"/>
          <w14:ligatures w14:val="none"/>
        </w:rPr>
        <w:t>危化项目安设审字[2024]</w:t>
      </w:r>
      <w:r>
        <w:rPr>
          <w:rFonts w:hint="eastAsia" w:ascii="Times New Roman" w:hAnsi="Times New Roman" w:eastAsia="宋体" w:cs="宋体"/>
          <w:szCs w:val="28"/>
          <w:highlight w:val="none"/>
          <w:lang w:val="en-US" w:eastAsia="zh-CN" w:bidi="ar"/>
          <w14:ligatures w14:val="none"/>
        </w:rPr>
        <w:t>2</w:t>
      </w:r>
      <w:r>
        <w:rPr>
          <w:rFonts w:ascii="Times New Roman" w:hAnsi="Times New Roman" w:eastAsia="宋体" w:cs="宋体"/>
          <w:szCs w:val="28"/>
          <w:highlight w:val="none"/>
          <w:lang w:bidi="ar"/>
          <w14:ligatures w14:val="none"/>
        </w:rPr>
        <w:t>号）</w:t>
      </w:r>
      <w:r>
        <w:rPr>
          <w:rFonts w:hint="eastAsia" w:ascii="Times New Roman" w:hAnsi="Times New Roman" w:eastAsia="宋体" w:cs="宋体"/>
          <w:szCs w:val="28"/>
          <w:highlight w:val="none"/>
          <w:lang w:bidi="ar"/>
          <w14:ligatures w14:val="none"/>
        </w:rPr>
        <w:t>。</w:t>
      </w:r>
    </w:p>
    <w:p w14:paraId="1427B276">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该站新建6座SF储罐，其中2座30m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车用乙醇汽油储罐，即车用乙醇汽油储罐总容积为60m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；4座30m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柴油储罐，即柴油储罐总容积为120m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，根据《汽车加油加气加氢站技术标准》（GB 50156-2021）第3.0.9条规定，该加油站油罐容积为120m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（柴油罐容积折半计入），故该站为二级加油站。</w:t>
      </w:r>
    </w:p>
    <w:p w14:paraId="3B7D3967">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根据</w:t>
      </w:r>
      <w:r>
        <w:rPr>
          <w:rFonts w:ascii="Times New Roman" w:hAnsi="Times New Roman" w:eastAsia="宋体" w:cs="宋体"/>
          <w:szCs w:val="28"/>
          <w:highlight w:val="none"/>
          <w:lang w:bidi="ar"/>
          <w14:ligatures w14:val="none"/>
        </w:rPr>
        <w:t>《危险化学品目录（2022年调整版）》（应急管理部等10部门公告[2022]第8号）</w:t>
      </w:r>
      <w:r>
        <w:rPr>
          <w:rFonts w:hint="eastAsia" w:ascii="Times New Roman" w:hAnsi="Times New Roman" w:eastAsia="宋体" w:cs="宋体"/>
          <w:szCs w:val="28"/>
          <w:highlight w:val="none"/>
          <w:lang w:bidi="ar"/>
          <w14:ligatures w14:val="none"/>
        </w:rPr>
        <w:t>及《关于调整危险化学品目录（2015版）的公告》（中华人民共和国应急管理部等十部门公告2022年第8号，2023年01月01日实施），该站涉及的车用乙醇汽油、柴油均属于危险化学品。因此，该项目属于危险化学品新建项目。</w:t>
      </w:r>
    </w:p>
    <w:p w14:paraId="3A215AFF">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根据《中华人民共和国安全生产法》（中华人民共和国主席令[2021]第八十八号）的规定，生产经营单位新建、改建、扩建工程项目的安全设施必须与主体工程同时设计、同时施工、同时投入生产和使用。《危险化学品建设项目安全监督管理办法（2015年修订）》（国家安全生产监督管理总局令第45号）第二十五条的规定，建设项目试生产期间，建设单位应当委托有相应资质的安全评价机构对建设项目及其安全设施试生产（使用）情况进行安全验收评价，且不得委托在可行性研究阶段进行安全评价的同一安全评价机构，为此，</w:t>
      </w:r>
      <w:r>
        <w:rPr>
          <w:rFonts w:ascii="Times New Roman" w:hAnsi="Times New Roman" w:eastAsia="宋体" w:cs="宋体"/>
          <w:szCs w:val="28"/>
          <w:highlight w:val="none"/>
          <w:lang w:bidi="ar"/>
          <w14:ligatures w14:val="none"/>
        </w:rPr>
        <w:t>中铁（辽宁）本桓高速公路有限公司</w:t>
      </w:r>
      <w:r>
        <w:rPr>
          <w:rFonts w:hint="eastAsia" w:ascii="Times New Roman" w:hAnsi="Times New Roman" w:eastAsia="宋体" w:cs="宋体"/>
          <w:szCs w:val="28"/>
          <w:highlight w:val="none"/>
          <w:lang w:bidi="ar"/>
          <w14:ligatures w14:val="none"/>
        </w:rPr>
        <w:t>委托具有相应安全评价资质的辽宁诺诚安全科技有限公司对其</w:t>
      </w:r>
      <w:r>
        <w:rPr>
          <w:rFonts w:hint="eastAsia" w:ascii="Times New Roman" w:hAnsi="Times New Roman" w:eastAsia="宋体" w:cs="宋体"/>
          <w:szCs w:val="28"/>
          <w:highlight w:val="none"/>
          <w:lang w:eastAsia="zh-CN" w:bidi="ar"/>
          <w14:ligatures w14:val="none"/>
        </w:rPr>
        <w:t>八里甸子</w:t>
      </w:r>
      <w:r>
        <w:rPr>
          <w:rFonts w:ascii="Times New Roman" w:hAnsi="Times New Roman" w:eastAsia="宋体" w:cs="宋体"/>
          <w:szCs w:val="28"/>
          <w:highlight w:val="none"/>
          <w:lang w:bidi="ar"/>
          <w14:ligatures w14:val="none"/>
        </w:rPr>
        <w:t>服务区</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侧加油站新建项目</w:t>
      </w:r>
      <w:r>
        <w:rPr>
          <w:rFonts w:hint="eastAsia" w:ascii="Times New Roman" w:hAnsi="Times New Roman" w:eastAsia="宋体" w:cs="宋体"/>
          <w:szCs w:val="28"/>
          <w:highlight w:val="none"/>
          <w:lang w:bidi="ar"/>
          <w14:ligatures w14:val="none"/>
        </w:rPr>
        <w:t>进行安全设施竣工验收安全评价。</w:t>
      </w:r>
    </w:p>
    <w:p w14:paraId="10E16DAB">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根据《安全评价通则》（AQ 8001-2007）、《安全验收评价导则》（AQ 8003-2007）和《危险化学品建设项目安全评价细则（试行）》（安监总危化[2007]255号）的要求编制完成了《</w:t>
      </w:r>
      <w:r>
        <w:rPr>
          <w:rFonts w:ascii="Times New Roman" w:hAnsi="Times New Roman" w:eastAsia="宋体" w:cs="宋体"/>
          <w:szCs w:val="28"/>
          <w:highlight w:val="none"/>
          <w:lang w:bidi="ar"/>
          <w14:ligatures w14:val="none"/>
        </w:rPr>
        <w:t>中铁（辽宁）本桓高速公路有限公司</w:t>
      </w:r>
      <w:r>
        <w:rPr>
          <w:rFonts w:hint="eastAsia" w:ascii="Times New Roman" w:hAnsi="Times New Roman" w:eastAsia="宋体" w:cs="宋体"/>
          <w:szCs w:val="28"/>
          <w:highlight w:val="none"/>
          <w:lang w:eastAsia="zh-CN" w:bidi="ar"/>
          <w14:ligatures w14:val="none"/>
        </w:rPr>
        <w:t>八里甸子</w:t>
      </w:r>
      <w:r>
        <w:rPr>
          <w:rFonts w:ascii="Times New Roman" w:hAnsi="Times New Roman" w:eastAsia="宋体" w:cs="宋体"/>
          <w:szCs w:val="28"/>
          <w:highlight w:val="none"/>
          <w:lang w:bidi="ar"/>
          <w14:ligatures w14:val="none"/>
        </w:rPr>
        <w:t>服务区</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侧加油站新建项目</w:t>
      </w:r>
      <w:r>
        <w:rPr>
          <w:rFonts w:hint="eastAsia" w:ascii="Times New Roman" w:hAnsi="Times New Roman" w:eastAsia="宋体" w:cs="宋体"/>
          <w:szCs w:val="28"/>
          <w:highlight w:val="none"/>
          <w:lang w:bidi="ar"/>
          <w14:ligatures w14:val="none"/>
        </w:rPr>
        <w:t>安全设施竣工验收安全评价报告》。</w:t>
      </w:r>
    </w:p>
    <w:p w14:paraId="23166F11">
      <w:pPr>
        <w:ind w:firstLine="560"/>
        <w:rPr>
          <w:rFonts w:ascii="Times New Roman" w:hAnsi="Times New Roman" w:eastAsia="宋体" w:cs="宋体"/>
          <w:szCs w:val="28"/>
          <w:highlight w:val="none"/>
          <w:lang w:bidi="ar"/>
          <w14:ligatures w14:val="none"/>
        </w:rPr>
        <w:sectPr>
          <w:headerReference r:id="rId7" w:type="first"/>
          <w:footerReference r:id="rId10" w:type="first"/>
          <w:headerReference r:id="rId5" w:type="default"/>
          <w:footerReference r:id="rId8" w:type="default"/>
          <w:headerReference r:id="rId6" w:type="even"/>
          <w:footerReference r:id="rId9" w:type="even"/>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Times New Roman" w:hAnsi="Times New Roman" w:eastAsia="宋体" w:cs="宋体"/>
          <w:szCs w:val="28"/>
          <w:highlight w:val="none"/>
          <w:lang w:bidi="ar"/>
          <w14:ligatures w14:val="none"/>
        </w:rPr>
        <w:t>在现场勘验、资料收集以及报告编制过程中，得到了</w:t>
      </w:r>
      <w:r>
        <w:rPr>
          <w:rFonts w:ascii="Times New Roman" w:hAnsi="Times New Roman" w:eastAsia="宋体" w:cs="宋体"/>
          <w:szCs w:val="28"/>
          <w:highlight w:val="none"/>
          <w:lang w:bidi="ar"/>
          <w14:ligatures w14:val="none"/>
        </w:rPr>
        <w:t>中铁（辽宁）本桓高速公路有限公司</w:t>
      </w:r>
      <w:r>
        <w:rPr>
          <w:rFonts w:hint="eastAsia" w:ascii="Times New Roman" w:hAnsi="Times New Roman" w:eastAsia="宋体" w:cs="宋体"/>
          <w:szCs w:val="28"/>
          <w:highlight w:val="none"/>
          <w:lang w:bidi="ar"/>
          <w14:ligatures w14:val="none"/>
        </w:rPr>
        <w:t>领导的大力支持和帮助，在此致以衷心的感谢！</w:t>
      </w:r>
    </w:p>
    <w:p w14:paraId="5E4A0E8D">
      <w:pPr>
        <w:tabs>
          <w:tab w:val="left" w:pos="210"/>
        </w:tabs>
        <w:spacing w:before="468" w:beforeLines="150" w:after="468" w:afterLines="150"/>
        <w:ind w:firstLine="0" w:firstLineChars="0"/>
        <w:jc w:val="center"/>
        <w:outlineLvl w:val="0"/>
        <w:rPr>
          <w:rFonts w:ascii="黑体" w:hAnsi="Times New Roman" w:eastAsia="黑体" w:cs="黑体"/>
          <w:b/>
          <w:sz w:val="32"/>
          <w:szCs w:val="32"/>
          <w:highlight w:val="none"/>
          <w:lang w:bidi="ar"/>
          <w14:ligatures w14:val="none"/>
        </w:rPr>
      </w:pPr>
      <w:bookmarkStart w:id="3" w:name="_Toc187164220"/>
      <w:bookmarkStart w:id="4" w:name="_Toc187309980"/>
      <w:r>
        <w:rPr>
          <w:rFonts w:hint="eastAsia" w:ascii="黑体" w:hAnsi="Times New Roman" w:eastAsia="黑体" w:cs="黑体"/>
          <w:b/>
          <w:sz w:val="32"/>
          <w:szCs w:val="32"/>
          <w:highlight w:val="none"/>
          <w:lang w:bidi="ar"/>
          <w14:ligatures w14:val="none"/>
        </w:rPr>
        <w:t>目  录</w:t>
      </w:r>
      <w:bookmarkEnd w:id="3"/>
      <w:bookmarkEnd w:id="4"/>
    </w:p>
    <w:p w14:paraId="56A97DE5">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rFonts w:eastAsia="黑体" w:cs="宋体"/>
          <w:szCs w:val="28"/>
          <w:highlight w:val="none"/>
          <w:lang w:bidi="ar"/>
        </w:rPr>
        <w:fldChar w:fldCharType="begin"/>
      </w:r>
      <w:r>
        <w:rPr>
          <w:rFonts w:eastAsia="黑体" w:cs="宋体"/>
          <w:szCs w:val="28"/>
          <w:highlight w:val="none"/>
          <w:lang w:bidi="ar"/>
        </w:rPr>
        <w:instrText xml:space="preserve"> TOC \o "1-2" \h \z \u </w:instrText>
      </w:r>
      <w:r>
        <w:rPr>
          <w:rFonts w:eastAsia="黑体" w:cs="宋体"/>
          <w:szCs w:val="28"/>
          <w:highlight w:val="none"/>
          <w:lang w:bidi="ar"/>
        </w:rPr>
        <w:fldChar w:fldCharType="separate"/>
      </w:r>
      <w:r>
        <w:rPr>
          <w:highlight w:val="none"/>
        </w:rPr>
        <w:fldChar w:fldCharType="begin"/>
      </w:r>
      <w:r>
        <w:rPr>
          <w:highlight w:val="none"/>
        </w:rPr>
        <w:instrText xml:space="preserve"> HYPERLINK \l "_Toc187309981" </w:instrText>
      </w:r>
      <w:r>
        <w:rPr>
          <w:highlight w:val="none"/>
        </w:rPr>
        <w:fldChar w:fldCharType="separate"/>
      </w:r>
      <w:r>
        <w:rPr>
          <w:rStyle w:val="38"/>
          <w:rFonts w:hint="eastAsia" w:eastAsia="黑体" w:cs="宋体"/>
          <w:bCs/>
          <w:highlight w:val="none"/>
          <w:lang w:bidi="ar"/>
        </w:rPr>
        <w:t>1安全评价工作经过</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_Toc187309981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w:t>
      </w:r>
      <w:r>
        <w:rPr>
          <w:rFonts w:hint="eastAsia" w:eastAsia="黑体"/>
          <w:highlight w:val="none"/>
        </w:rPr>
        <w:fldChar w:fldCharType="end"/>
      </w:r>
      <w:r>
        <w:rPr>
          <w:rFonts w:hint="eastAsia" w:eastAsia="黑体"/>
          <w:highlight w:val="none"/>
        </w:rPr>
        <w:fldChar w:fldCharType="end"/>
      </w:r>
    </w:p>
    <w:p w14:paraId="3F4F97ED">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"_Toc187309982" </w:instrText>
      </w:r>
      <w:r>
        <w:rPr>
          <w:highlight w:val="none"/>
        </w:rPr>
        <w:fldChar w:fldCharType="separate"/>
      </w:r>
      <w:r>
        <w:rPr>
          <w:rStyle w:val="38"/>
          <w:rFonts w:hint="eastAsia" w:eastAsia="黑体" w:cs="宋体"/>
          <w:highlight w:val="none"/>
          <w:lang w:bidi="ar"/>
        </w:rPr>
        <w:t>1.1前期准备情况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_Toc187309982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w:t>
      </w:r>
      <w:r>
        <w:rPr>
          <w:rFonts w:hint="eastAsia" w:eastAsia="黑体"/>
          <w:highlight w:val="none"/>
        </w:rPr>
        <w:fldChar w:fldCharType="end"/>
      </w:r>
      <w:r>
        <w:rPr>
          <w:rFonts w:hint="eastAsia" w:eastAsia="黑体"/>
          <w:highlight w:val="none"/>
        </w:rPr>
        <w:fldChar w:fldCharType="end"/>
      </w:r>
    </w:p>
    <w:p w14:paraId="6B8441DA">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"_Toc187309983" </w:instrText>
      </w:r>
      <w:r>
        <w:rPr>
          <w:highlight w:val="none"/>
        </w:rPr>
        <w:fldChar w:fldCharType="separate"/>
      </w:r>
      <w:r>
        <w:rPr>
          <w:rStyle w:val="38"/>
          <w:rFonts w:hint="eastAsia" w:eastAsia="黑体" w:cs="宋体"/>
          <w:highlight w:val="none"/>
          <w:lang w:bidi="ar"/>
        </w:rPr>
        <w:t>1.2评价目的</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_Toc187309983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w:t>
      </w:r>
      <w:r>
        <w:rPr>
          <w:rFonts w:hint="eastAsia" w:eastAsia="黑体"/>
          <w:highlight w:val="none"/>
        </w:rPr>
        <w:fldChar w:fldCharType="end"/>
      </w:r>
      <w:r>
        <w:rPr>
          <w:rFonts w:hint="eastAsia" w:eastAsia="黑体"/>
          <w:highlight w:val="none"/>
        </w:rPr>
        <w:fldChar w:fldCharType="end"/>
      </w:r>
    </w:p>
    <w:p w14:paraId="4BDF3178">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"_Toc187309984" </w:instrText>
      </w:r>
      <w:r>
        <w:rPr>
          <w:highlight w:val="none"/>
        </w:rPr>
        <w:fldChar w:fldCharType="separate"/>
      </w:r>
      <w:r>
        <w:rPr>
          <w:rStyle w:val="38"/>
          <w:rFonts w:hint="eastAsia" w:eastAsia="黑体" w:cs="宋体"/>
          <w:highlight w:val="none"/>
          <w:lang w:bidi="ar"/>
        </w:rPr>
        <w:t>1.3对象及范围</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_Toc187309984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w:t>
      </w:r>
      <w:r>
        <w:rPr>
          <w:rFonts w:hint="eastAsia" w:eastAsia="黑体"/>
          <w:highlight w:val="none"/>
        </w:rPr>
        <w:fldChar w:fldCharType="end"/>
      </w:r>
      <w:r>
        <w:rPr>
          <w:rFonts w:hint="eastAsia" w:eastAsia="黑体"/>
          <w:highlight w:val="none"/>
        </w:rPr>
        <w:fldChar w:fldCharType="end"/>
      </w:r>
    </w:p>
    <w:p w14:paraId="4C79AA60">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"_Toc187309985" </w:instrText>
      </w:r>
      <w:r>
        <w:rPr>
          <w:highlight w:val="none"/>
        </w:rPr>
        <w:fldChar w:fldCharType="separate"/>
      </w:r>
      <w:r>
        <w:rPr>
          <w:rStyle w:val="38"/>
          <w:rFonts w:hint="eastAsia" w:eastAsia="黑体" w:cs="宋体"/>
          <w:highlight w:val="none"/>
          <w:lang w:bidi="ar"/>
        </w:rPr>
        <w:t>1.4工作经过和程序</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_Toc187309985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w:t>
      </w:r>
      <w:r>
        <w:rPr>
          <w:rFonts w:hint="eastAsia" w:eastAsia="黑体"/>
          <w:highlight w:val="none"/>
        </w:rPr>
        <w:fldChar w:fldCharType="end"/>
      </w:r>
      <w:r>
        <w:rPr>
          <w:rFonts w:hint="eastAsia" w:eastAsia="黑体"/>
          <w:highlight w:val="none"/>
        </w:rPr>
        <w:fldChar w:fldCharType="end"/>
      </w:r>
    </w:p>
    <w:p w14:paraId="728A0049">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"_Toc187309986" </w:instrText>
      </w:r>
      <w:r>
        <w:rPr>
          <w:highlight w:val="none"/>
        </w:rPr>
        <w:fldChar w:fldCharType="separate"/>
      </w:r>
      <w:r>
        <w:rPr>
          <w:rStyle w:val="38"/>
          <w:rFonts w:hint="eastAsia" w:eastAsia="黑体" w:cs="宋体"/>
          <w:bCs/>
          <w:highlight w:val="none"/>
          <w:lang w:bidi="ar"/>
        </w:rPr>
        <w:t>2建设项目概况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_Toc187309986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3</w:t>
      </w:r>
      <w:r>
        <w:rPr>
          <w:rFonts w:hint="eastAsia" w:eastAsia="黑体"/>
          <w:highlight w:val="none"/>
        </w:rPr>
        <w:fldChar w:fldCharType="end"/>
      </w:r>
      <w:r>
        <w:rPr>
          <w:rFonts w:hint="eastAsia" w:eastAsia="黑体"/>
          <w:highlight w:val="none"/>
        </w:rPr>
        <w:fldChar w:fldCharType="end"/>
      </w:r>
    </w:p>
    <w:p w14:paraId="3339E170">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"_Toc187309987" </w:instrText>
      </w:r>
      <w:r>
        <w:rPr>
          <w:highlight w:val="none"/>
        </w:rPr>
        <w:fldChar w:fldCharType="separate"/>
      </w:r>
      <w:r>
        <w:rPr>
          <w:rStyle w:val="38"/>
          <w:rFonts w:hint="eastAsia" w:eastAsia="黑体" w:cs="宋体"/>
          <w:highlight w:val="none"/>
          <w:lang w:bidi="ar"/>
        </w:rPr>
        <w:t>2.1建设单位简介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_Toc187309987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3</w:t>
      </w:r>
      <w:r>
        <w:rPr>
          <w:rFonts w:hint="eastAsia" w:eastAsia="黑体"/>
          <w:highlight w:val="none"/>
        </w:rPr>
        <w:fldChar w:fldCharType="end"/>
      </w:r>
      <w:r>
        <w:rPr>
          <w:rFonts w:hint="eastAsia" w:eastAsia="黑体"/>
          <w:highlight w:val="none"/>
        </w:rPr>
        <w:fldChar w:fldCharType="end"/>
      </w:r>
    </w:p>
    <w:p w14:paraId="4E8A5556">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"_Toc187309988" </w:instrText>
      </w:r>
      <w:r>
        <w:rPr>
          <w:highlight w:val="none"/>
        </w:rPr>
        <w:fldChar w:fldCharType="separate"/>
      </w:r>
      <w:r>
        <w:rPr>
          <w:rStyle w:val="38"/>
          <w:rFonts w:hint="eastAsia" w:eastAsia="黑体" w:cs="宋体"/>
          <w:highlight w:val="none"/>
          <w:lang w:bidi="ar"/>
        </w:rPr>
        <w:t>2.2建设项目简介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_Toc187309988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3</w:t>
      </w:r>
      <w:r>
        <w:rPr>
          <w:rFonts w:hint="eastAsia" w:eastAsia="黑体"/>
          <w:highlight w:val="none"/>
        </w:rPr>
        <w:fldChar w:fldCharType="end"/>
      </w:r>
      <w:r>
        <w:rPr>
          <w:rFonts w:hint="eastAsia" w:eastAsia="黑体"/>
          <w:highlight w:val="none"/>
        </w:rPr>
        <w:fldChar w:fldCharType="end"/>
      </w:r>
    </w:p>
    <w:p w14:paraId="2BF8A14E">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"_Toc187309989" </w:instrText>
      </w:r>
      <w:r>
        <w:rPr>
          <w:highlight w:val="none"/>
        </w:rPr>
        <w:fldChar w:fldCharType="separate"/>
      </w:r>
      <w:r>
        <w:rPr>
          <w:rStyle w:val="38"/>
          <w:rFonts w:hint="eastAsia" w:eastAsia="黑体" w:cs="宋体"/>
          <w:highlight w:val="none"/>
          <w:lang w:bidi="ar"/>
        </w:rPr>
        <w:t>2.3采用的主要技术、工艺和同类项目水平对比情况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_Toc187309989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w:t>
      </w:r>
      <w:r>
        <w:rPr>
          <w:rFonts w:hint="eastAsia" w:eastAsia="黑体"/>
          <w:highlight w:val="none"/>
        </w:rPr>
        <w:fldChar w:fldCharType="end"/>
      </w:r>
      <w:r>
        <w:rPr>
          <w:rFonts w:hint="eastAsia" w:eastAsia="黑体"/>
          <w:highlight w:val="none"/>
        </w:rPr>
        <w:fldChar w:fldCharType="end"/>
      </w:r>
    </w:p>
    <w:p w14:paraId="7C50F7BD">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"_Toc187309990" </w:instrText>
      </w:r>
      <w:r>
        <w:rPr>
          <w:highlight w:val="none"/>
        </w:rPr>
        <w:fldChar w:fldCharType="separate"/>
      </w:r>
      <w:r>
        <w:rPr>
          <w:rStyle w:val="38"/>
          <w:rFonts w:hint="eastAsia" w:eastAsia="黑体" w:cs="宋体"/>
          <w:highlight w:val="none"/>
          <w:lang w:bidi="ar"/>
        </w:rPr>
        <w:t>2.4建设项目的地理位置、用地面积和储存规模</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_Toc187309990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7</w:t>
      </w:r>
      <w:r>
        <w:rPr>
          <w:rFonts w:hint="eastAsia" w:eastAsia="黑体"/>
          <w:highlight w:val="none"/>
        </w:rPr>
        <w:fldChar w:fldCharType="end"/>
      </w:r>
      <w:r>
        <w:rPr>
          <w:rFonts w:hint="eastAsia" w:eastAsia="黑体"/>
          <w:highlight w:val="none"/>
        </w:rPr>
        <w:fldChar w:fldCharType="end"/>
      </w:r>
    </w:p>
    <w:p w14:paraId="493CF5A9">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"_Toc187309991" </w:instrText>
      </w:r>
      <w:r>
        <w:rPr>
          <w:highlight w:val="none"/>
        </w:rPr>
        <w:fldChar w:fldCharType="separate"/>
      </w:r>
      <w:r>
        <w:rPr>
          <w:rStyle w:val="38"/>
          <w:rFonts w:hint="eastAsia" w:eastAsia="黑体" w:cs="宋体"/>
          <w:highlight w:val="none"/>
          <w:lang w:bidi="ar"/>
        </w:rPr>
        <w:t>2.5涉及的主要原辅材料、产品品种名称、数量，储存</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_Toc187309991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8</w:t>
      </w:r>
      <w:r>
        <w:rPr>
          <w:rFonts w:hint="eastAsia" w:eastAsia="黑体"/>
          <w:highlight w:val="none"/>
        </w:rPr>
        <w:fldChar w:fldCharType="end"/>
      </w:r>
      <w:r>
        <w:rPr>
          <w:rFonts w:hint="eastAsia" w:eastAsia="黑体"/>
          <w:highlight w:val="none"/>
        </w:rPr>
        <w:fldChar w:fldCharType="end"/>
      </w:r>
    </w:p>
    <w:p w14:paraId="42A932BB">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"_Toc187309992" </w:instrText>
      </w:r>
      <w:r>
        <w:rPr>
          <w:highlight w:val="none"/>
        </w:rPr>
        <w:fldChar w:fldCharType="separate"/>
      </w:r>
      <w:r>
        <w:rPr>
          <w:rStyle w:val="38"/>
          <w:rFonts w:hint="eastAsia" w:eastAsia="黑体" w:cs="宋体"/>
          <w:highlight w:val="none"/>
          <w:lang w:bidi="ar"/>
        </w:rPr>
        <w:t>2.6工艺流程和主要装置和设施的布局及其上下游生产装置的关系</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_Toc187309992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9</w:t>
      </w:r>
      <w:r>
        <w:rPr>
          <w:rFonts w:hint="eastAsia" w:eastAsia="黑体"/>
          <w:highlight w:val="none"/>
        </w:rPr>
        <w:fldChar w:fldCharType="end"/>
      </w:r>
      <w:r>
        <w:rPr>
          <w:rFonts w:hint="eastAsia" w:eastAsia="黑体"/>
          <w:highlight w:val="none"/>
        </w:rPr>
        <w:fldChar w:fldCharType="end"/>
      </w:r>
    </w:p>
    <w:p w14:paraId="700BFDB5">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"_Toc187309993" </w:instrText>
      </w:r>
      <w:r>
        <w:rPr>
          <w:highlight w:val="none"/>
        </w:rPr>
        <w:fldChar w:fldCharType="separate"/>
      </w:r>
      <w:r>
        <w:rPr>
          <w:rStyle w:val="38"/>
          <w:rFonts w:hint="eastAsia" w:eastAsia="黑体" w:cs="宋体"/>
          <w:highlight w:val="none"/>
          <w:lang w:bidi="ar"/>
        </w:rPr>
        <w:t>2.7配套和辅助工程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_Toc187309993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14</w:t>
      </w:r>
      <w:r>
        <w:rPr>
          <w:rFonts w:hint="eastAsia" w:eastAsia="黑体"/>
          <w:highlight w:val="none"/>
        </w:rPr>
        <w:fldChar w:fldCharType="end"/>
      </w:r>
      <w:r>
        <w:rPr>
          <w:rFonts w:hint="eastAsia" w:eastAsia="黑体"/>
          <w:highlight w:val="none"/>
        </w:rPr>
        <w:fldChar w:fldCharType="end"/>
      </w:r>
    </w:p>
    <w:p w14:paraId="1710F76D">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"_Toc187309994" </w:instrText>
      </w:r>
      <w:r>
        <w:rPr>
          <w:highlight w:val="none"/>
        </w:rPr>
        <w:fldChar w:fldCharType="separate"/>
      </w:r>
      <w:r>
        <w:rPr>
          <w:rStyle w:val="38"/>
          <w:rFonts w:hint="eastAsia" w:eastAsia="黑体" w:cs="宋体"/>
          <w:highlight w:val="none"/>
          <w:lang w:bidi="ar"/>
        </w:rPr>
        <w:t>2.8主要装置（设备）和设施</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_Toc187309994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18</w:t>
      </w:r>
      <w:r>
        <w:rPr>
          <w:rFonts w:hint="eastAsia" w:eastAsia="黑体"/>
          <w:highlight w:val="none"/>
        </w:rPr>
        <w:fldChar w:fldCharType="end"/>
      </w:r>
      <w:r>
        <w:rPr>
          <w:rFonts w:hint="eastAsia" w:eastAsia="黑体"/>
          <w:highlight w:val="none"/>
        </w:rPr>
        <w:fldChar w:fldCharType="end"/>
      </w:r>
    </w:p>
    <w:p w14:paraId="00F0CF04">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"_Toc187309995" </w:instrText>
      </w:r>
      <w:r>
        <w:rPr>
          <w:highlight w:val="none"/>
        </w:rPr>
        <w:fldChar w:fldCharType="separate"/>
      </w:r>
      <w:r>
        <w:rPr>
          <w:rStyle w:val="38"/>
          <w:rFonts w:hint="eastAsia" w:eastAsia="黑体" w:cs="宋体"/>
          <w:highlight w:val="none"/>
          <w:lang w:bidi="ar"/>
        </w:rPr>
        <w:t>2.9劳动定员</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_Toc187309995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19</w:t>
      </w:r>
      <w:r>
        <w:rPr>
          <w:rFonts w:hint="eastAsia" w:eastAsia="黑体"/>
          <w:highlight w:val="none"/>
        </w:rPr>
        <w:fldChar w:fldCharType="end"/>
      </w:r>
      <w:r>
        <w:rPr>
          <w:rFonts w:hint="eastAsia" w:eastAsia="黑体"/>
          <w:highlight w:val="none"/>
        </w:rPr>
        <w:fldChar w:fldCharType="end"/>
      </w:r>
    </w:p>
    <w:p w14:paraId="31428BB2">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"_Toc187309996" </w:instrText>
      </w:r>
      <w:r>
        <w:rPr>
          <w:highlight w:val="none"/>
        </w:rPr>
        <w:fldChar w:fldCharType="separate"/>
      </w:r>
      <w:r>
        <w:rPr>
          <w:rStyle w:val="38"/>
          <w:rFonts w:hint="eastAsia" w:eastAsia="黑体" w:cs="宋体"/>
          <w:bCs/>
          <w:highlight w:val="none"/>
          <w:lang w:bidi="ar"/>
        </w:rPr>
        <w:t>3危险、有害因素和固有的危险、有害程度</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_Toc187309996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20</w:t>
      </w:r>
      <w:r>
        <w:rPr>
          <w:rFonts w:hint="eastAsia" w:eastAsia="黑体"/>
          <w:highlight w:val="none"/>
        </w:rPr>
        <w:fldChar w:fldCharType="end"/>
      </w:r>
      <w:r>
        <w:rPr>
          <w:rFonts w:hint="eastAsia" w:eastAsia="黑体"/>
          <w:highlight w:val="none"/>
        </w:rPr>
        <w:fldChar w:fldCharType="end"/>
      </w:r>
    </w:p>
    <w:p w14:paraId="60F5EAD4">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"_Toc187309997" </w:instrText>
      </w:r>
      <w:r>
        <w:rPr>
          <w:highlight w:val="none"/>
        </w:rPr>
        <w:fldChar w:fldCharType="separate"/>
      </w:r>
      <w:r>
        <w:rPr>
          <w:rStyle w:val="38"/>
          <w:rFonts w:hint="eastAsia" w:eastAsia="黑体" w:cs="宋体"/>
          <w:highlight w:val="none"/>
          <w:lang w:bidi="ar"/>
        </w:rPr>
        <w:t>3.1物料的危险、有害因素分析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_Toc187309997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20</w:t>
      </w:r>
      <w:r>
        <w:rPr>
          <w:rFonts w:hint="eastAsia" w:eastAsia="黑体"/>
          <w:highlight w:val="none"/>
        </w:rPr>
        <w:fldChar w:fldCharType="end"/>
      </w:r>
      <w:r>
        <w:rPr>
          <w:rFonts w:hint="eastAsia" w:eastAsia="黑体"/>
          <w:highlight w:val="none"/>
        </w:rPr>
        <w:fldChar w:fldCharType="end"/>
      </w:r>
    </w:p>
    <w:p w14:paraId="553EB113">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"_Toc187309998" </w:instrText>
      </w:r>
      <w:r>
        <w:rPr>
          <w:highlight w:val="none"/>
        </w:rPr>
        <w:fldChar w:fldCharType="separate"/>
      </w:r>
      <w:r>
        <w:rPr>
          <w:rStyle w:val="38"/>
          <w:rFonts w:hint="eastAsia" w:eastAsia="黑体" w:cs="宋体"/>
          <w:highlight w:val="none"/>
          <w:lang w:bidi="ar"/>
        </w:rPr>
        <w:t>3.2储存、经营过程中的危险、有害因素分析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_Toc187309998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22</w:t>
      </w:r>
      <w:r>
        <w:rPr>
          <w:rFonts w:hint="eastAsia" w:eastAsia="黑体"/>
          <w:highlight w:val="none"/>
        </w:rPr>
        <w:fldChar w:fldCharType="end"/>
      </w:r>
      <w:r>
        <w:rPr>
          <w:rFonts w:hint="eastAsia" w:eastAsia="黑体"/>
          <w:highlight w:val="none"/>
        </w:rPr>
        <w:fldChar w:fldCharType="end"/>
      </w:r>
    </w:p>
    <w:p w14:paraId="611C1731">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"_Toc187309999" </w:instrText>
      </w:r>
      <w:r>
        <w:rPr>
          <w:highlight w:val="none"/>
        </w:rPr>
        <w:fldChar w:fldCharType="separate"/>
      </w:r>
      <w:r>
        <w:rPr>
          <w:rStyle w:val="38"/>
          <w:rFonts w:hint="eastAsia" w:eastAsia="黑体" w:cs="宋体"/>
          <w:highlight w:val="none"/>
          <w:lang w:bidi="ar"/>
        </w:rPr>
        <w:t>3.3“两重点、一重大”情况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_Toc187309999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22</w:t>
      </w:r>
      <w:r>
        <w:rPr>
          <w:rFonts w:hint="eastAsia" w:eastAsia="黑体"/>
          <w:highlight w:val="none"/>
        </w:rPr>
        <w:fldChar w:fldCharType="end"/>
      </w:r>
      <w:r>
        <w:rPr>
          <w:rFonts w:hint="eastAsia" w:eastAsia="黑体"/>
          <w:highlight w:val="none"/>
        </w:rPr>
        <w:fldChar w:fldCharType="end"/>
      </w:r>
    </w:p>
    <w:p w14:paraId="0DB2A538">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"_Toc187310000" </w:instrText>
      </w:r>
      <w:r>
        <w:rPr>
          <w:highlight w:val="none"/>
        </w:rPr>
        <w:fldChar w:fldCharType="separate"/>
      </w:r>
      <w:r>
        <w:rPr>
          <w:rStyle w:val="38"/>
          <w:rFonts w:hint="eastAsia" w:eastAsia="黑体" w:cs="宋体"/>
          <w:bCs/>
          <w:highlight w:val="none"/>
          <w:lang w:bidi="ar"/>
        </w:rPr>
        <w:t>4评价单元的划分与评价方法的选择</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_Toc187310000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24</w:t>
      </w:r>
      <w:r>
        <w:rPr>
          <w:rFonts w:hint="eastAsia" w:eastAsia="黑体"/>
          <w:highlight w:val="none"/>
        </w:rPr>
        <w:fldChar w:fldCharType="end"/>
      </w:r>
      <w:r>
        <w:rPr>
          <w:rFonts w:hint="eastAsia" w:eastAsia="黑体"/>
          <w:highlight w:val="none"/>
        </w:rPr>
        <w:fldChar w:fldCharType="end"/>
      </w:r>
    </w:p>
    <w:p w14:paraId="197916D5">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"_Toc187310001" </w:instrText>
      </w:r>
      <w:r>
        <w:rPr>
          <w:highlight w:val="none"/>
        </w:rPr>
        <w:fldChar w:fldCharType="separate"/>
      </w:r>
      <w:r>
        <w:rPr>
          <w:rStyle w:val="38"/>
          <w:rFonts w:hint="eastAsia" w:eastAsia="黑体" w:cs="宋体"/>
          <w:highlight w:val="none"/>
          <w:lang w:bidi="ar"/>
        </w:rPr>
        <w:t>4.1评价单元的划分</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_Toc187310001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24</w:t>
      </w:r>
      <w:r>
        <w:rPr>
          <w:rFonts w:hint="eastAsia" w:eastAsia="黑体"/>
          <w:highlight w:val="none"/>
        </w:rPr>
        <w:fldChar w:fldCharType="end"/>
      </w:r>
      <w:r>
        <w:rPr>
          <w:rFonts w:hint="eastAsia" w:eastAsia="黑体"/>
          <w:highlight w:val="none"/>
        </w:rPr>
        <w:fldChar w:fldCharType="end"/>
      </w:r>
    </w:p>
    <w:p w14:paraId="556DB9C7">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"_Toc187310002" </w:instrText>
      </w:r>
      <w:r>
        <w:rPr>
          <w:highlight w:val="none"/>
        </w:rPr>
        <w:fldChar w:fldCharType="separate"/>
      </w:r>
      <w:r>
        <w:rPr>
          <w:rStyle w:val="38"/>
          <w:rFonts w:hint="eastAsia" w:eastAsia="黑体" w:cs="宋体"/>
          <w:highlight w:val="none"/>
          <w:lang w:bidi="ar"/>
        </w:rPr>
        <w:t>4.2安全评价方法的选择</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_Toc187310002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24</w:t>
      </w:r>
      <w:r>
        <w:rPr>
          <w:rFonts w:hint="eastAsia" w:eastAsia="黑体"/>
          <w:highlight w:val="none"/>
        </w:rPr>
        <w:fldChar w:fldCharType="end"/>
      </w:r>
      <w:r>
        <w:rPr>
          <w:rFonts w:hint="eastAsia" w:eastAsia="黑体"/>
          <w:highlight w:val="none"/>
        </w:rPr>
        <w:fldChar w:fldCharType="end"/>
      </w:r>
    </w:p>
    <w:p w14:paraId="6D7CDD4F">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"_Toc187310003" </w:instrText>
      </w:r>
      <w:r>
        <w:rPr>
          <w:highlight w:val="none"/>
        </w:rPr>
        <w:fldChar w:fldCharType="separate"/>
      </w:r>
      <w:r>
        <w:rPr>
          <w:rStyle w:val="38"/>
          <w:rFonts w:hint="eastAsia" w:eastAsia="黑体" w:cs="宋体"/>
          <w:bCs/>
          <w:highlight w:val="none"/>
          <w:lang w:bidi="ar"/>
        </w:rPr>
        <w:t>5定性、定量分析危险、有害程度的结果</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_Toc187310003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26</w:t>
      </w:r>
      <w:r>
        <w:rPr>
          <w:rFonts w:hint="eastAsia" w:eastAsia="黑体"/>
          <w:highlight w:val="none"/>
        </w:rPr>
        <w:fldChar w:fldCharType="end"/>
      </w:r>
      <w:r>
        <w:rPr>
          <w:rFonts w:hint="eastAsia" w:eastAsia="黑体"/>
          <w:highlight w:val="none"/>
        </w:rPr>
        <w:fldChar w:fldCharType="end"/>
      </w:r>
    </w:p>
    <w:p w14:paraId="6A430D9E">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"_Toc187310004" </w:instrText>
      </w:r>
      <w:r>
        <w:rPr>
          <w:highlight w:val="none"/>
        </w:rPr>
        <w:fldChar w:fldCharType="separate"/>
      </w:r>
      <w:r>
        <w:rPr>
          <w:rStyle w:val="38"/>
          <w:rFonts w:hint="eastAsia" w:eastAsia="黑体" w:cs="宋体"/>
          <w:highlight w:val="none"/>
          <w:lang w:bidi="ar"/>
        </w:rPr>
        <w:t>5.1固有危险程度的分析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_Toc187310004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26</w:t>
      </w:r>
      <w:r>
        <w:rPr>
          <w:rFonts w:hint="eastAsia" w:eastAsia="黑体"/>
          <w:highlight w:val="none"/>
        </w:rPr>
        <w:fldChar w:fldCharType="end"/>
      </w:r>
      <w:r>
        <w:rPr>
          <w:rFonts w:hint="eastAsia" w:eastAsia="黑体"/>
          <w:highlight w:val="none"/>
        </w:rPr>
        <w:fldChar w:fldCharType="end"/>
      </w:r>
    </w:p>
    <w:p w14:paraId="296E5239">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"_Toc187310005" </w:instrText>
      </w:r>
      <w:r>
        <w:rPr>
          <w:highlight w:val="none"/>
        </w:rPr>
        <w:fldChar w:fldCharType="separate"/>
      </w:r>
      <w:r>
        <w:rPr>
          <w:rStyle w:val="38"/>
          <w:rFonts w:hint="eastAsia" w:eastAsia="黑体" w:cs="宋体"/>
          <w:highlight w:val="none"/>
          <w:lang w:bidi="ar"/>
        </w:rPr>
        <w:t>5.2风险程度的分析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_Toc187310005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28</w:t>
      </w:r>
      <w:r>
        <w:rPr>
          <w:rFonts w:hint="eastAsia" w:eastAsia="黑体"/>
          <w:highlight w:val="none"/>
        </w:rPr>
        <w:fldChar w:fldCharType="end"/>
      </w:r>
      <w:r>
        <w:rPr>
          <w:rFonts w:hint="eastAsia" w:eastAsia="黑体"/>
          <w:highlight w:val="none"/>
        </w:rPr>
        <w:fldChar w:fldCharType="end"/>
      </w:r>
    </w:p>
    <w:p w14:paraId="085516CC">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"_Toc187310006" </w:instrText>
      </w:r>
      <w:r>
        <w:rPr>
          <w:highlight w:val="none"/>
        </w:rPr>
        <w:fldChar w:fldCharType="separate"/>
      </w:r>
      <w:r>
        <w:rPr>
          <w:rStyle w:val="38"/>
          <w:rFonts w:hint="eastAsia" w:eastAsia="黑体"/>
          <w:bCs/>
          <w:highlight w:val="none"/>
        </w:rPr>
        <w:t>6建设项目的安全条件</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_Toc187310006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30</w:t>
      </w:r>
      <w:r>
        <w:rPr>
          <w:rFonts w:hint="eastAsia" w:eastAsia="黑体"/>
          <w:highlight w:val="none"/>
        </w:rPr>
        <w:fldChar w:fldCharType="end"/>
      </w:r>
      <w:r>
        <w:rPr>
          <w:rFonts w:hint="eastAsia" w:eastAsia="黑体"/>
          <w:highlight w:val="none"/>
        </w:rPr>
        <w:fldChar w:fldCharType="end"/>
      </w:r>
    </w:p>
    <w:p w14:paraId="43584B87">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"_Toc187310007" </w:instrText>
      </w:r>
      <w:r>
        <w:rPr>
          <w:highlight w:val="none"/>
        </w:rPr>
        <w:fldChar w:fldCharType="separate"/>
      </w:r>
      <w:r>
        <w:rPr>
          <w:rStyle w:val="38"/>
          <w:rFonts w:hint="eastAsia" w:eastAsia="黑体"/>
          <w:highlight w:val="none"/>
        </w:rPr>
        <w:t>6.1建设项目的外部情况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_Toc187310007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30</w:t>
      </w:r>
      <w:r>
        <w:rPr>
          <w:rFonts w:hint="eastAsia" w:eastAsia="黑体"/>
          <w:highlight w:val="none"/>
        </w:rPr>
        <w:fldChar w:fldCharType="end"/>
      </w:r>
      <w:r>
        <w:rPr>
          <w:rFonts w:hint="eastAsia" w:eastAsia="黑体"/>
          <w:highlight w:val="none"/>
        </w:rPr>
        <w:fldChar w:fldCharType="end"/>
      </w:r>
    </w:p>
    <w:p w14:paraId="2D565575">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"_Toc187310008" </w:instrText>
      </w:r>
      <w:r>
        <w:rPr>
          <w:highlight w:val="none"/>
        </w:rPr>
        <w:fldChar w:fldCharType="separate"/>
      </w:r>
      <w:r>
        <w:rPr>
          <w:rStyle w:val="38"/>
          <w:rFonts w:hint="eastAsia" w:eastAsia="黑体"/>
          <w:highlight w:val="none"/>
        </w:rPr>
        <w:t>6.2建设项目的安全条件</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_Toc187310008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31</w:t>
      </w:r>
      <w:r>
        <w:rPr>
          <w:rFonts w:hint="eastAsia" w:eastAsia="黑体"/>
          <w:highlight w:val="none"/>
        </w:rPr>
        <w:fldChar w:fldCharType="end"/>
      </w:r>
      <w:r>
        <w:rPr>
          <w:rFonts w:hint="eastAsia" w:eastAsia="黑体"/>
          <w:highlight w:val="none"/>
        </w:rPr>
        <w:fldChar w:fldCharType="end"/>
      </w:r>
    </w:p>
    <w:p w14:paraId="6419340E">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"_Toc187310009" </w:instrText>
      </w:r>
      <w:r>
        <w:rPr>
          <w:highlight w:val="none"/>
        </w:rPr>
        <w:fldChar w:fldCharType="separate"/>
      </w:r>
      <w:r>
        <w:rPr>
          <w:rStyle w:val="38"/>
          <w:rFonts w:hint="eastAsia" w:eastAsia="黑体"/>
          <w:highlight w:val="none"/>
        </w:rPr>
        <w:t>6.3建设项目的安全生产条件分析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_Toc187310009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33</w:t>
      </w:r>
      <w:r>
        <w:rPr>
          <w:rFonts w:hint="eastAsia" w:eastAsia="黑体"/>
          <w:highlight w:val="none"/>
        </w:rPr>
        <w:fldChar w:fldCharType="end"/>
      </w:r>
      <w:r>
        <w:rPr>
          <w:rFonts w:hint="eastAsia" w:eastAsia="黑体"/>
          <w:highlight w:val="none"/>
        </w:rPr>
        <w:fldChar w:fldCharType="end"/>
      </w:r>
    </w:p>
    <w:p w14:paraId="35EEF306">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"_Toc187310010" </w:instrText>
      </w:r>
      <w:r>
        <w:rPr>
          <w:highlight w:val="none"/>
        </w:rPr>
        <w:fldChar w:fldCharType="separate"/>
      </w:r>
      <w:r>
        <w:rPr>
          <w:rStyle w:val="38"/>
          <w:rFonts w:hint="eastAsia" w:eastAsia="黑体"/>
          <w:highlight w:val="none"/>
        </w:rPr>
        <w:t>6.4事故案例分析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_Toc187310010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50</w:t>
      </w:r>
      <w:r>
        <w:rPr>
          <w:rFonts w:hint="eastAsia" w:eastAsia="黑体"/>
          <w:highlight w:val="none"/>
        </w:rPr>
        <w:fldChar w:fldCharType="end"/>
      </w:r>
      <w:r>
        <w:rPr>
          <w:rFonts w:hint="eastAsia" w:eastAsia="黑体"/>
          <w:highlight w:val="none"/>
        </w:rPr>
        <w:fldChar w:fldCharType="end"/>
      </w:r>
    </w:p>
    <w:p w14:paraId="2AEE0346">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"_Toc187310011" </w:instrText>
      </w:r>
      <w:r>
        <w:rPr>
          <w:highlight w:val="none"/>
        </w:rPr>
        <w:fldChar w:fldCharType="separate"/>
      </w:r>
      <w:r>
        <w:rPr>
          <w:rStyle w:val="38"/>
          <w:rFonts w:hint="eastAsia" w:eastAsia="黑体"/>
          <w:bCs/>
          <w:highlight w:val="none"/>
        </w:rPr>
        <w:t>7安全设施的施工、检验、检测和调试情况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_Toc187310011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54</w:t>
      </w:r>
      <w:r>
        <w:rPr>
          <w:rFonts w:hint="eastAsia" w:eastAsia="黑体"/>
          <w:highlight w:val="none"/>
        </w:rPr>
        <w:fldChar w:fldCharType="end"/>
      </w:r>
      <w:r>
        <w:rPr>
          <w:rFonts w:hint="eastAsia" w:eastAsia="黑体"/>
          <w:highlight w:val="none"/>
        </w:rPr>
        <w:fldChar w:fldCharType="end"/>
      </w:r>
    </w:p>
    <w:p w14:paraId="080062F5">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"_Toc187310012" </w:instrText>
      </w:r>
      <w:r>
        <w:rPr>
          <w:highlight w:val="none"/>
        </w:rPr>
        <w:fldChar w:fldCharType="separate"/>
      </w:r>
      <w:r>
        <w:rPr>
          <w:rStyle w:val="38"/>
          <w:rFonts w:hint="eastAsia" w:eastAsia="黑体"/>
          <w:highlight w:val="none"/>
        </w:rPr>
        <w:t>7.1安全设施的施工质量情况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_Toc187310012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54</w:t>
      </w:r>
      <w:r>
        <w:rPr>
          <w:rFonts w:hint="eastAsia" w:eastAsia="黑体"/>
          <w:highlight w:val="none"/>
        </w:rPr>
        <w:fldChar w:fldCharType="end"/>
      </w:r>
      <w:r>
        <w:rPr>
          <w:rFonts w:hint="eastAsia" w:eastAsia="黑体"/>
          <w:highlight w:val="none"/>
        </w:rPr>
        <w:fldChar w:fldCharType="end"/>
      </w:r>
    </w:p>
    <w:p w14:paraId="11E11245">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"_Toc187310013" </w:instrText>
      </w:r>
      <w:r>
        <w:rPr>
          <w:highlight w:val="none"/>
        </w:rPr>
        <w:fldChar w:fldCharType="separate"/>
      </w:r>
      <w:r>
        <w:rPr>
          <w:rStyle w:val="38"/>
          <w:rFonts w:hint="eastAsia" w:eastAsia="黑体"/>
          <w:highlight w:val="none"/>
        </w:rPr>
        <w:t>7.2安全设施在施工前后的检验、检测情况及有效性情况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_Toc187310013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54</w:t>
      </w:r>
      <w:r>
        <w:rPr>
          <w:rFonts w:hint="eastAsia" w:eastAsia="黑体"/>
          <w:highlight w:val="none"/>
        </w:rPr>
        <w:fldChar w:fldCharType="end"/>
      </w:r>
      <w:r>
        <w:rPr>
          <w:rFonts w:hint="eastAsia" w:eastAsia="黑体"/>
          <w:highlight w:val="none"/>
        </w:rPr>
        <w:fldChar w:fldCharType="end"/>
      </w:r>
    </w:p>
    <w:p w14:paraId="02869C90">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"_Toc187310014" </w:instrText>
      </w:r>
      <w:r>
        <w:rPr>
          <w:highlight w:val="none"/>
        </w:rPr>
        <w:fldChar w:fldCharType="separate"/>
      </w:r>
      <w:r>
        <w:rPr>
          <w:rStyle w:val="38"/>
          <w:rFonts w:hint="eastAsia" w:eastAsia="黑体"/>
          <w:highlight w:val="none"/>
        </w:rPr>
        <w:t>7.3安全设施试生产（使用）前的调试情况</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_Toc187310014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55</w:t>
      </w:r>
      <w:r>
        <w:rPr>
          <w:rFonts w:hint="eastAsia" w:eastAsia="黑体"/>
          <w:highlight w:val="none"/>
        </w:rPr>
        <w:fldChar w:fldCharType="end"/>
      </w:r>
      <w:r>
        <w:rPr>
          <w:rFonts w:hint="eastAsia" w:eastAsia="黑体"/>
          <w:highlight w:val="none"/>
        </w:rPr>
        <w:fldChar w:fldCharType="end"/>
      </w:r>
    </w:p>
    <w:p w14:paraId="0130FC56">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"_Toc187310015" </w:instrText>
      </w:r>
      <w:r>
        <w:rPr>
          <w:highlight w:val="none"/>
        </w:rPr>
        <w:fldChar w:fldCharType="separate"/>
      </w:r>
      <w:r>
        <w:rPr>
          <w:rStyle w:val="38"/>
          <w:rFonts w:hint="eastAsia" w:eastAsia="黑体"/>
          <w:bCs/>
          <w:highlight w:val="none"/>
        </w:rPr>
        <w:t>8结论和建议</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_Toc187310015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56</w:t>
      </w:r>
      <w:r>
        <w:rPr>
          <w:rFonts w:hint="eastAsia" w:eastAsia="黑体"/>
          <w:highlight w:val="none"/>
        </w:rPr>
        <w:fldChar w:fldCharType="end"/>
      </w:r>
      <w:r>
        <w:rPr>
          <w:rFonts w:hint="eastAsia" w:eastAsia="黑体"/>
          <w:highlight w:val="none"/>
        </w:rPr>
        <w:fldChar w:fldCharType="end"/>
      </w:r>
    </w:p>
    <w:p w14:paraId="4F4D0F50">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"_Toc187310016" </w:instrText>
      </w:r>
      <w:r>
        <w:rPr>
          <w:highlight w:val="none"/>
        </w:rPr>
        <w:fldChar w:fldCharType="separate"/>
      </w:r>
      <w:r>
        <w:rPr>
          <w:rStyle w:val="38"/>
          <w:rFonts w:hint="eastAsia" w:eastAsia="黑体"/>
          <w:highlight w:val="none"/>
        </w:rPr>
        <w:t>8.1结论</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_Toc187310016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56</w:t>
      </w:r>
      <w:r>
        <w:rPr>
          <w:rFonts w:hint="eastAsia" w:eastAsia="黑体"/>
          <w:highlight w:val="none"/>
        </w:rPr>
        <w:fldChar w:fldCharType="end"/>
      </w:r>
      <w:r>
        <w:rPr>
          <w:rFonts w:hint="eastAsia" w:eastAsia="黑体"/>
          <w:highlight w:val="none"/>
        </w:rPr>
        <w:fldChar w:fldCharType="end"/>
      </w:r>
    </w:p>
    <w:p w14:paraId="5A515702">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"_Toc187310017" </w:instrText>
      </w:r>
      <w:r>
        <w:rPr>
          <w:highlight w:val="none"/>
        </w:rPr>
        <w:fldChar w:fldCharType="separate"/>
      </w:r>
      <w:r>
        <w:rPr>
          <w:rStyle w:val="38"/>
          <w:rFonts w:hint="eastAsia" w:eastAsia="黑体"/>
          <w:highlight w:val="none"/>
        </w:rPr>
        <w:t>8.2对建设项目的建议</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_Toc187310017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57</w:t>
      </w:r>
      <w:r>
        <w:rPr>
          <w:rFonts w:hint="eastAsia" w:eastAsia="黑体"/>
          <w:highlight w:val="none"/>
        </w:rPr>
        <w:fldChar w:fldCharType="end"/>
      </w:r>
      <w:r>
        <w:rPr>
          <w:rFonts w:hint="eastAsia" w:eastAsia="黑体"/>
          <w:highlight w:val="none"/>
        </w:rPr>
        <w:fldChar w:fldCharType="end"/>
      </w:r>
    </w:p>
    <w:p w14:paraId="7D83C47C">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"_Toc187310018" </w:instrText>
      </w:r>
      <w:r>
        <w:rPr>
          <w:highlight w:val="none"/>
        </w:rPr>
        <w:fldChar w:fldCharType="separate"/>
      </w:r>
      <w:r>
        <w:rPr>
          <w:rStyle w:val="38"/>
          <w:rFonts w:hint="eastAsia" w:eastAsia="黑体"/>
          <w:highlight w:val="none"/>
        </w:rPr>
        <w:t>8.3建设项目竣工验收安全评价总结论</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_Toc187310018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60</w:t>
      </w:r>
      <w:r>
        <w:rPr>
          <w:rFonts w:hint="eastAsia" w:eastAsia="黑体"/>
          <w:highlight w:val="none"/>
        </w:rPr>
        <w:fldChar w:fldCharType="end"/>
      </w:r>
      <w:r>
        <w:rPr>
          <w:rFonts w:hint="eastAsia" w:eastAsia="黑体"/>
          <w:highlight w:val="none"/>
        </w:rPr>
        <w:fldChar w:fldCharType="end"/>
      </w:r>
    </w:p>
    <w:p w14:paraId="4315C44E">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"_Toc187310019" </w:instrText>
      </w:r>
      <w:r>
        <w:rPr>
          <w:highlight w:val="none"/>
        </w:rPr>
        <w:fldChar w:fldCharType="separate"/>
      </w:r>
      <w:r>
        <w:rPr>
          <w:rStyle w:val="38"/>
          <w:rFonts w:hint="eastAsia" w:eastAsia="黑体"/>
          <w:bCs/>
          <w:highlight w:val="none"/>
        </w:rPr>
        <w:t>9与建设单位交换意见</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_Toc187310019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61</w:t>
      </w:r>
      <w:r>
        <w:rPr>
          <w:rFonts w:hint="eastAsia" w:eastAsia="黑体"/>
          <w:highlight w:val="none"/>
        </w:rPr>
        <w:fldChar w:fldCharType="end"/>
      </w:r>
      <w:r>
        <w:rPr>
          <w:rFonts w:hint="eastAsia" w:eastAsia="黑体"/>
          <w:highlight w:val="none"/>
        </w:rPr>
        <w:fldChar w:fldCharType="end"/>
      </w:r>
    </w:p>
    <w:p w14:paraId="3518B689">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"_Toc187310020" </w:instrText>
      </w:r>
      <w:r>
        <w:rPr>
          <w:highlight w:val="none"/>
        </w:rPr>
        <w:fldChar w:fldCharType="separate"/>
      </w:r>
      <w:r>
        <w:rPr>
          <w:rStyle w:val="38"/>
          <w:rFonts w:hint="eastAsia" w:eastAsia="黑体"/>
          <w:bCs/>
          <w:highlight w:val="none"/>
        </w:rPr>
        <w:t>附件1平面布置图等图表</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_Toc187310020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62</w:t>
      </w:r>
      <w:r>
        <w:rPr>
          <w:rFonts w:hint="eastAsia" w:eastAsia="黑体"/>
          <w:highlight w:val="none"/>
        </w:rPr>
        <w:fldChar w:fldCharType="end"/>
      </w:r>
      <w:r>
        <w:rPr>
          <w:rFonts w:hint="eastAsia" w:eastAsia="黑体"/>
          <w:highlight w:val="none"/>
        </w:rPr>
        <w:fldChar w:fldCharType="end"/>
      </w:r>
    </w:p>
    <w:p w14:paraId="101F6337">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"_Toc187310021" </w:instrText>
      </w:r>
      <w:r>
        <w:rPr>
          <w:highlight w:val="none"/>
        </w:rPr>
        <w:fldChar w:fldCharType="separate"/>
      </w:r>
      <w:r>
        <w:rPr>
          <w:rStyle w:val="38"/>
          <w:rFonts w:hint="eastAsia" w:eastAsia="黑体"/>
          <w:highlight w:val="none"/>
        </w:rPr>
        <w:t>F1.1周边环境及总平面布置示意图</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_Toc187310021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62</w:t>
      </w:r>
      <w:r>
        <w:rPr>
          <w:rFonts w:hint="eastAsia" w:eastAsia="黑体"/>
          <w:highlight w:val="none"/>
        </w:rPr>
        <w:fldChar w:fldCharType="end"/>
      </w:r>
      <w:r>
        <w:rPr>
          <w:rFonts w:hint="eastAsia" w:eastAsia="黑体"/>
          <w:highlight w:val="none"/>
        </w:rPr>
        <w:fldChar w:fldCharType="end"/>
      </w:r>
    </w:p>
    <w:p w14:paraId="1F2DE65C">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"_Toc187310022" </w:instrText>
      </w:r>
      <w:r>
        <w:rPr>
          <w:highlight w:val="none"/>
        </w:rPr>
        <w:fldChar w:fldCharType="separate"/>
      </w:r>
      <w:r>
        <w:rPr>
          <w:rStyle w:val="38"/>
          <w:rFonts w:hint="eastAsia" w:eastAsia="黑体"/>
          <w:highlight w:val="none"/>
        </w:rPr>
        <w:t>F1.2工艺流程图</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_Toc187310022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62</w:t>
      </w:r>
      <w:r>
        <w:rPr>
          <w:rFonts w:hint="eastAsia" w:eastAsia="黑体"/>
          <w:highlight w:val="none"/>
        </w:rPr>
        <w:fldChar w:fldCharType="end"/>
      </w:r>
      <w:r>
        <w:rPr>
          <w:rFonts w:hint="eastAsia" w:eastAsia="黑体"/>
          <w:highlight w:val="none"/>
        </w:rPr>
        <w:fldChar w:fldCharType="end"/>
      </w:r>
    </w:p>
    <w:p w14:paraId="3EEB25CC">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"_Toc187310023" </w:instrText>
      </w:r>
      <w:r>
        <w:rPr>
          <w:highlight w:val="none"/>
        </w:rPr>
        <w:fldChar w:fldCharType="separate"/>
      </w:r>
      <w:r>
        <w:rPr>
          <w:rStyle w:val="38"/>
          <w:rFonts w:hint="eastAsia" w:eastAsia="黑体"/>
          <w:highlight w:val="none"/>
        </w:rPr>
        <w:t>F1.3爆炸危险区域划分图</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_Toc187310023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62</w:t>
      </w:r>
      <w:r>
        <w:rPr>
          <w:rFonts w:hint="eastAsia" w:eastAsia="黑体"/>
          <w:highlight w:val="none"/>
        </w:rPr>
        <w:fldChar w:fldCharType="end"/>
      </w:r>
      <w:r>
        <w:rPr>
          <w:rFonts w:hint="eastAsia" w:eastAsia="黑体"/>
          <w:highlight w:val="none"/>
        </w:rPr>
        <w:fldChar w:fldCharType="end"/>
      </w:r>
    </w:p>
    <w:p w14:paraId="5E15DCCC">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"_Toc187310024" </w:instrText>
      </w:r>
      <w:r>
        <w:rPr>
          <w:highlight w:val="none"/>
        </w:rPr>
        <w:fldChar w:fldCharType="separate"/>
      </w:r>
      <w:r>
        <w:rPr>
          <w:rStyle w:val="38"/>
          <w:rFonts w:hint="eastAsia" w:eastAsia="黑体"/>
          <w:bCs/>
          <w:highlight w:val="none"/>
        </w:rPr>
        <w:t>附件2选用的安全评价方法简介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_Toc187310024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63</w:t>
      </w:r>
      <w:r>
        <w:rPr>
          <w:rFonts w:hint="eastAsia" w:eastAsia="黑体"/>
          <w:highlight w:val="none"/>
        </w:rPr>
        <w:fldChar w:fldCharType="end"/>
      </w:r>
      <w:r>
        <w:rPr>
          <w:rFonts w:hint="eastAsia" w:eastAsia="黑体"/>
          <w:highlight w:val="none"/>
        </w:rPr>
        <w:fldChar w:fldCharType="end"/>
      </w:r>
    </w:p>
    <w:p w14:paraId="07C46836">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"_Toc187310025" </w:instrText>
      </w:r>
      <w:r>
        <w:rPr>
          <w:highlight w:val="none"/>
        </w:rPr>
        <w:fldChar w:fldCharType="separate"/>
      </w:r>
      <w:r>
        <w:rPr>
          <w:rStyle w:val="38"/>
          <w:rFonts w:hint="eastAsia" w:eastAsia="黑体"/>
          <w:highlight w:val="none"/>
        </w:rPr>
        <w:t>F2.1重大危险源辨识</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_Toc187310025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63</w:t>
      </w:r>
      <w:r>
        <w:rPr>
          <w:rFonts w:hint="eastAsia" w:eastAsia="黑体"/>
          <w:highlight w:val="none"/>
        </w:rPr>
        <w:fldChar w:fldCharType="end"/>
      </w:r>
      <w:r>
        <w:rPr>
          <w:rFonts w:hint="eastAsia" w:eastAsia="黑体"/>
          <w:highlight w:val="none"/>
        </w:rPr>
        <w:fldChar w:fldCharType="end"/>
      </w:r>
    </w:p>
    <w:p w14:paraId="14DE9AE3">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"_Toc187310026" </w:instrText>
      </w:r>
      <w:r>
        <w:rPr>
          <w:highlight w:val="none"/>
        </w:rPr>
        <w:fldChar w:fldCharType="separate"/>
      </w:r>
      <w:r>
        <w:rPr>
          <w:rStyle w:val="38"/>
          <w:rFonts w:hint="eastAsia" w:eastAsia="黑体"/>
          <w:highlight w:val="none"/>
        </w:rPr>
        <w:t>F2.2安全检查表法</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_Toc187310026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64</w:t>
      </w:r>
      <w:r>
        <w:rPr>
          <w:rFonts w:hint="eastAsia" w:eastAsia="黑体"/>
          <w:highlight w:val="none"/>
        </w:rPr>
        <w:fldChar w:fldCharType="end"/>
      </w:r>
      <w:r>
        <w:rPr>
          <w:rFonts w:hint="eastAsia" w:eastAsia="黑体"/>
          <w:highlight w:val="none"/>
        </w:rPr>
        <w:fldChar w:fldCharType="end"/>
      </w:r>
    </w:p>
    <w:p w14:paraId="3AE8C3F1">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"_Toc187310027" </w:instrText>
      </w:r>
      <w:r>
        <w:rPr>
          <w:highlight w:val="none"/>
        </w:rPr>
        <w:fldChar w:fldCharType="separate"/>
      </w:r>
      <w:r>
        <w:rPr>
          <w:rStyle w:val="38"/>
          <w:rFonts w:hint="eastAsia" w:eastAsia="黑体"/>
          <w:highlight w:val="none"/>
        </w:rPr>
        <w:t>F2.3作业条件危险性分析法</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_Toc187310027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65</w:t>
      </w:r>
      <w:r>
        <w:rPr>
          <w:rFonts w:hint="eastAsia" w:eastAsia="黑体"/>
          <w:highlight w:val="none"/>
        </w:rPr>
        <w:fldChar w:fldCharType="end"/>
      </w:r>
      <w:r>
        <w:rPr>
          <w:rFonts w:hint="eastAsia" w:eastAsia="黑体"/>
          <w:highlight w:val="none"/>
        </w:rPr>
        <w:fldChar w:fldCharType="end"/>
      </w:r>
    </w:p>
    <w:p w14:paraId="0EB1C75A">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"_Toc187310028" </w:instrText>
      </w:r>
      <w:r>
        <w:rPr>
          <w:highlight w:val="none"/>
        </w:rPr>
        <w:fldChar w:fldCharType="separate"/>
      </w:r>
      <w:r>
        <w:rPr>
          <w:rStyle w:val="38"/>
          <w:rFonts w:hint="eastAsia" w:eastAsia="黑体"/>
          <w:highlight w:val="none"/>
        </w:rPr>
        <w:t>F2.4TNT当量计算</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_Toc187310028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67</w:t>
      </w:r>
      <w:r>
        <w:rPr>
          <w:rFonts w:hint="eastAsia" w:eastAsia="黑体"/>
          <w:highlight w:val="none"/>
        </w:rPr>
        <w:fldChar w:fldCharType="end"/>
      </w:r>
      <w:r>
        <w:rPr>
          <w:rFonts w:hint="eastAsia" w:eastAsia="黑体"/>
          <w:highlight w:val="none"/>
        </w:rPr>
        <w:fldChar w:fldCharType="end"/>
      </w:r>
    </w:p>
    <w:p w14:paraId="55397028">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"_Toc187310029" </w:instrText>
      </w:r>
      <w:r>
        <w:rPr>
          <w:highlight w:val="none"/>
        </w:rPr>
        <w:fldChar w:fldCharType="separate"/>
      </w:r>
      <w:r>
        <w:rPr>
          <w:rStyle w:val="38"/>
          <w:rFonts w:hint="eastAsia" w:eastAsia="黑体"/>
          <w:bCs/>
          <w:highlight w:val="none"/>
        </w:rPr>
        <w:t>附件3危险有害因素分析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_Toc187310029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69</w:t>
      </w:r>
      <w:r>
        <w:rPr>
          <w:rFonts w:hint="eastAsia" w:eastAsia="黑体"/>
          <w:highlight w:val="none"/>
        </w:rPr>
        <w:fldChar w:fldCharType="end"/>
      </w:r>
      <w:r>
        <w:rPr>
          <w:rFonts w:hint="eastAsia" w:eastAsia="黑体"/>
          <w:highlight w:val="none"/>
        </w:rPr>
        <w:fldChar w:fldCharType="end"/>
      </w:r>
    </w:p>
    <w:p w14:paraId="17908BAB">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"_Toc187310030" </w:instrText>
      </w:r>
      <w:r>
        <w:rPr>
          <w:highlight w:val="none"/>
        </w:rPr>
        <w:fldChar w:fldCharType="separate"/>
      </w:r>
      <w:r>
        <w:rPr>
          <w:rStyle w:val="38"/>
          <w:rFonts w:hint="eastAsia" w:eastAsia="黑体"/>
          <w:highlight w:val="none"/>
        </w:rPr>
        <w:t>F3.1危险化学品的理化性能指标与危险特性</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_Toc187310030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69</w:t>
      </w:r>
      <w:r>
        <w:rPr>
          <w:rFonts w:hint="eastAsia" w:eastAsia="黑体"/>
          <w:highlight w:val="none"/>
        </w:rPr>
        <w:fldChar w:fldCharType="end"/>
      </w:r>
      <w:r>
        <w:rPr>
          <w:rFonts w:hint="eastAsia" w:eastAsia="黑体"/>
          <w:highlight w:val="none"/>
        </w:rPr>
        <w:fldChar w:fldCharType="end"/>
      </w:r>
    </w:p>
    <w:p w14:paraId="1F4AF07F">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"_Toc187310031" </w:instrText>
      </w:r>
      <w:r>
        <w:rPr>
          <w:highlight w:val="none"/>
        </w:rPr>
        <w:fldChar w:fldCharType="separate"/>
      </w:r>
      <w:r>
        <w:rPr>
          <w:rStyle w:val="38"/>
          <w:rFonts w:hint="eastAsia" w:eastAsia="黑体"/>
          <w:highlight w:val="none"/>
        </w:rPr>
        <w:t>F3.2火灾、爆炸、中毒和窒息事故分析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_Toc187310031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72</w:t>
      </w:r>
      <w:r>
        <w:rPr>
          <w:rFonts w:hint="eastAsia" w:eastAsia="黑体"/>
          <w:highlight w:val="none"/>
        </w:rPr>
        <w:fldChar w:fldCharType="end"/>
      </w:r>
      <w:r>
        <w:rPr>
          <w:rFonts w:hint="eastAsia" w:eastAsia="黑体"/>
          <w:highlight w:val="none"/>
        </w:rPr>
        <w:fldChar w:fldCharType="end"/>
      </w:r>
    </w:p>
    <w:p w14:paraId="18F8F5A8">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"_Toc187310032" </w:instrText>
      </w:r>
      <w:r>
        <w:rPr>
          <w:highlight w:val="none"/>
        </w:rPr>
        <w:fldChar w:fldCharType="separate"/>
      </w:r>
      <w:r>
        <w:rPr>
          <w:rStyle w:val="38"/>
          <w:rFonts w:hint="eastAsia" w:eastAsia="黑体"/>
          <w:highlight w:val="none"/>
        </w:rPr>
        <w:t>F3.3可能造成作业人员伤亡的其它危险、有害因素分析</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_Toc187310032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75</w:t>
      </w:r>
      <w:r>
        <w:rPr>
          <w:rFonts w:hint="eastAsia" w:eastAsia="黑体"/>
          <w:highlight w:val="none"/>
        </w:rPr>
        <w:fldChar w:fldCharType="end"/>
      </w:r>
      <w:r>
        <w:rPr>
          <w:rFonts w:hint="eastAsia" w:eastAsia="黑体"/>
          <w:highlight w:val="none"/>
        </w:rPr>
        <w:fldChar w:fldCharType="end"/>
      </w:r>
    </w:p>
    <w:p w14:paraId="21F4E661">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"_Toc187310033" </w:instrText>
      </w:r>
      <w:r>
        <w:rPr>
          <w:highlight w:val="none"/>
        </w:rPr>
        <w:fldChar w:fldCharType="separate"/>
      </w:r>
      <w:r>
        <w:rPr>
          <w:rStyle w:val="38"/>
          <w:rFonts w:hint="eastAsia" w:eastAsia="黑体"/>
          <w:highlight w:val="none"/>
        </w:rPr>
        <w:t>F3.4重大危险源辨识</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_Toc187310033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78</w:t>
      </w:r>
      <w:r>
        <w:rPr>
          <w:rFonts w:hint="eastAsia" w:eastAsia="黑体"/>
          <w:highlight w:val="none"/>
        </w:rPr>
        <w:fldChar w:fldCharType="end"/>
      </w:r>
      <w:r>
        <w:rPr>
          <w:rFonts w:hint="eastAsia" w:eastAsia="黑体"/>
          <w:highlight w:val="none"/>
        </w:rPr>
        <w:fldChar w:fldCharType="end"/>
      </w:r>
    </w:p>
    <w:p w14:paraId="4B36E17E">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"_Toc187310034" </w:instrText>
      </w:r>
      <w:r>
        <w:rPr>
          <w:highlight w:val="none"/>
        </w:rPr>
        <w:fldChar w:fldCharType="separate"/>
      </w:r>
      <w:r>
        <w:rPr>
          <w:rStyle w:val="38"/>
          <w:rFonts w:hint="eastAsia" w:eastAsia="黑体"/>
          <w:bCs/>
          <w:highlight w:val="none"/>
        </w:rPr>
        <w:t>附件4定性、定量分析危险、有害程度的过程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_Toc187310034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80</w:t>
      </w:r>
      <w:r>
        <w:rPr>
          <w:rFonts w:hint="eastAsia" w:eastAsia="黑体"/>
          <w:highlight w:val="none"/>
        </w:rPr>
        <w:fldChar w:fldCharType="end"/>
      </w:r>
      <w:r>
        <w:rPr>
          <w:rFonts w:hint="eastAsia" w:eastAsia="黑体"/>
          <w:highlight w:val="none"/>
        </w:rPr>
        <w:fldChar w:fldCharType="end"/>
      </w:r>
    </w:p>
    <w:p w14:paraId="137578D7">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"_Toc187310035" </w:instrText>
      </w:r>
      <w:r>
        <w:rPr>
          <w:highlight w:val="none"/>
        </w:rPr>
        <w:fldChar w:fldCharType="separate"/>
      </w:r>
      <w:r>
        <w:rPr>
          <w:rStyle w:val="38"/>
          <w:rFonts w:hint="eastAsia" w:eastAsia="黑体"/>
          <w:highlight w:val="none"/>
        </w:rPr>
        <w:t>F4.1安全检查表法定性评价过程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_Toc187310035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80</w:t>
      </w:r>
      <w:r>
        <w:rPr>
          <w:rFonts w:hint="eastAsia" w:eastAsia="黑体"/>
          <w:highlight w:val="none"/>
        </w:rPr>
        <w:fldChar w:fldCharType="end"/>
      </w:r>
      <w:r>
        <w:rPr>
          <w:rFonts w:hint="eastAsia" w:eastAsia="黑体"/>
          <w:highlight w:val="none"/>
        </w:rPr>
        <w:fldChar w:fldCharType="end"/>
      </w:r>
    </w:p>
    <w:p w14:paraId="1CA99052">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"_Toc187310036" </w:instrText>
      </w:r>
      <w:r>
        <w:rPr>
          <w:highlight w:val="none"/>
        </w:rPr>
        <w:fldChar w:fldCharType="separate"/>
      </w:r>
      <w:r>
        <w:rPr>
          <w:rStyle w:val="38"/>
          <w:rFonts w:hint="eastAsia" w:eastAsia="黑体"/>
          <w:highlight w:val="none"/>
        </w:rPr>
        <w:t>F4.2作业条件危险性分析法定性评价过程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_Toc187310036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102</w:t>
      </w:r>
      <w:r>
        <w:rPr>
          <w:rFonts w:hint="eastAsia" w:eastAsia="黑体"/>
          <w:highlight w:val="none"/>
        </w:rPr>
        <w:fldChar w:fldCharType="end"/>
      </w:r>
      <w:r>
        <w:rPr>
          <w:rFonts w:hint="eastAsia" w:eastAsia="黑体"/>
          <w:highlight w:val="none"/>
        </w:rPr>
        <w:fldChar w:fldCharType="end"/>
      </w:r>
    </w:p>
    <w:p w14:paraId="301266D1">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"_Toc187310037" </w:instrText>
      </w:r>
      <w:r>
        <w:rPr>
          <w:highlight w:val="none"/>
        </w:rPr>
        <w:fldChar w:fldCharType="separate"/>
      </w:r>
      <w:r>
        <w:rPr>
          <w:rStyle w:val="38"/>
          <w:rFonts w:hint="eastAsia" w:eastAsia="黑体"/>
          <w:highlight w:val="none"/>
        </w:rPr>
        <w:t>F4.3定量分析具有可燃性化学品的固有风险程度</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_Toc187310037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104</w:t>
      </w:r>
      <w:r>
        <w:rPr>
          <w:rFonts w:hint="eastAsia" w:eastAsia="黑体"/>
          <w:highlight w:val="none"/>
        </w:rPr>
        <w:fldChar w:fldCharType="end"/>
      </w:r>
      <w:r>
        <w:rPr>
          <w:rFonts w:hint="eastAsia" w:eastAsia="黑体"/>
          <w:highlight w:val="none"/>
        </w:rPr>
        <w:fldChar w:fldCharType="end"/>
      </w:r>
    </w:p>
    <w:p w14:paraId="4CFF2F46">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"_Toc187310038" </w:instrText>
      </w:r>
      <w:r>
        <w:rPr>
          <w:highlight w:val="none"/>
        </w:rPr>
        <w:fldChar w:fldCharType="separate"/>
      </w:r>
      <w:r>
        <w:rPr>
          <w:rStyle w:val="38"/>
          <w:rFonts w:hint="eastAsia" w:eastAsia="黑体"/>
          <w:bCs/>
          <w:highlight w:val="none"/>
        </w:rPr>
        <w:t>附件5安全评价依据</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_Toc187310038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106</w:t>
      </w:r>
      <w:r>
        <w:rPr>
          <w:rFonts w:hint="eastAsia" w:eastAsia="黑体"/>
          <w:highlight w:val="none"/>
        </w:rPr>
        <w:fldChar w:fldCharType="end"/>
      </w:r>
      <w:r>
        <w:rPr>
          <w:rFonts w:hint="eastAsia" w:eastAsia="黑体"/>
          <w:highlight w:val="none"/>
        </w:rPr>
        <w:fldChar w:fldCharType="end"/>
      </w:r>
    </w:p>
    <w:p w14:paraId="74C577FA">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"_Toc187310039" </w:instrText>
      </w:r>
      <w:r>
        <w:rPr>
          <w:highlight w:val="none"/>
        </w:rPr>
        <w:fldChar w:fldCharType="separate"/>
      </w:r>
      <w:r>
        <w:rPr>
          <w:rStyle w:val="38"/>
          <w:rFonts w:hint="eastAsia" w:eastAsia="黑体"/>
          <w:highlight w:val="none"/>
        </w:rPr>
        <w:t>F5.1法律</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_Toc187310039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106</w:t>
      </w:r>
      <w:r>
        <w:rPr>
          <w:rFonts w:hint="eastAsia" w:eastAsia="黑体"/>
          <w:highlight w:val="none"/>
        </w:rPr>
        <w:fldChar w:fldCharType="end"/>
      </w:r>
      <w:r>
        <w:rPr>
          <w:rFonts w:hint="eastAsia" w:eastAsia="黑体"/>
          <w:highlight w:val="none"/>
        </w:rPr>
        <w:fldChar w:fldCharType="end"/>
      </w:r>
    </w:p>
    <w:p w14:paraId="5698B312">
      <w:pPr>
        <w:pStyle w:val="27"/>
        <w:tabs>
          <w:tab w:val="right" w:leader="dot" w:pos="9174"/>
        </w:tabs>
        <w:adjustRightInd w:val="0"/>
        <w:snapToGrid w:val="0"/>
        <w:spacing w:line="360" w:lineRule="auto"/>
        <w:ind w:firstLine="280"/>
        <w:rPr>
          <w:rFonts w:hint="default" w:eastAsia="黑体" w:cstheme="minorBidi"/>
          <w:szCs w:val="22"/>
          <w:highlight w:val="none"/>
          <w:lang w:val="en-US" w:eastAsia="zh-CN"/>
          <w14:ligatures w14:val="standardContextual"/>
        </w:rPr>
      </w:pPr>
      <w:r>
        <w:rPr>
          <w:highlight w:val="none"/>
        </w:rPr>
        <w:fldChar w:fldCharType="begin"/>
      </w:r>
      <w:r>
        <w:rPr>
          <w:highlight w:val="none"/>
        </w:rPr>
        <w:instrText xml:space="preserve"> HYPERLINK \l "_Toc187310040" </w:instrText>
      </w:r>
      <w:r>
        <w:rPr>
          <w:highlight w:val="none"/>
        </w:rPr>
        <w:fldChar w:fldCharType="separate"/>
      </w:r>
      <w:r>
        <w:rPr>
          <w:rStyle w:val="38"/>
          <w:rFonts w:hint="eastAsia" w:eastAsia="黑体"/>
          <w:highlight w:val="none"/>
        </w:rPr>
        <w:t>F5.2法规</w:t>
      </w:r>
      <w:r>
        <w:rPr>
          <w:rFonts w:hint="eastAsia" w:eastAsia="黑体"/>
          <w:highlight w:val="none"/>
        </w:rPr>
        <w:tab/>
      </w:r>
      <w:r>
        <w:rPr>
          <w:rFonts w:hint="eastAsia" w:eastAsia="黑体"/>
          <w:highlight w:val="none"/>
          <w:lang w:val="en-US" w:eastAsia="zh-CN"/>
        </w:rPr>
        <w:t>1</w:t>
      </w:r>
      <w:r>
        <w:rPr>
          <w:rFonts w:hint="eastAsia" w:eastAsia="黑体"/>
          <w:highlight w:val="none"/>
        </w:rPr>
        <w:fldChar w:fldCharType="end"/>
      </w:r>
      <w:r>
        <w:rPr>
          <w:rFonts w:hint="eastAsia" w:eastAsia="黑体"/>
          <w:highlight w:val="none"/>
          <w:lang w:val="en-US" w:eastAsia="zh-CN"/>
        </w:rPr>
        <w:t>03</w:t>
      </w:r>
    </w:p>
    <w:p w14:paraId="3B1AA01E">
      <w:pPr>
        <w:pStyle w:val="27"/>
        <w:tabs>
          <w:tab w:val="right" w:leader="dot" w:pos="9174"/>
        </w:tabs>
        <w:adjustRightInd w:val="0"/>
        <w:snapToGrid w:val="0"/>
        <w:spacing w:line="360" w:lineRule="auto"/>
        <w:ind w:firstLine="280"/>
        <w:rPr>
          <w:rFonts w:hint="default" w:eastAsia="黑体" w:cstheme="minorBidi"/>
          <w:szCs w:val="22"/>
          <w:highlight w:val="none"/>
          <w:lang w:val="en-US" w:eastAsia="zh-CN"/>
          <w14:ligatures w14:val="standardContextual"/>
        </w:rPr>
      </w:pPr>
      <w:r>
        <w:rPr>
          <w:highlight w:val="none"/>
        </w:rPr>
        <w:fldChar w:fldCharType="begin"/>
      </w:r>
      <w:r>
        <w:rPr>
          <w:highlight w:val="none"/>
        </w:rPr>
        <w:instrText xml:space="preserve"> HYPERLINK \l "_Toc187310041" </w:instrText>
      </w:r>
      <w:r>
        <w:rPr>
          <w:highlight w:val="none"/>
        </w:rPr>
        <w:fldChar w:fldCharType="separate"/>
      </w:r>
      <w:r>
        <w:rPr>
          <w:rStyle w:val="38"/>
          <w:rFonts w:hint="eastAsia" w:eastAsia="黑体"/>
          <w:highlight w:val="none"/>
        </w:rPr>
        <w:t>F5.3规章和文件</w:t>
      </w:r>
      <w:r>
        <w:rPr>
          <w:rFonts w:hint="eastAsia" w:eastAsia="黑体"/>
          <w:highlight w:val="none"/>
        </w:rPr>
        <w:tab/>
      </w:r>
      <w:r>
        <w:rPr>
          <w:rFonts w:hint="eastAsia" w:eastAsia="黑体"/>
          <w:highlight w:val="none"/>
          <w:lang w:val="en-US" w:eastAsia="zh-CN"/>
        </w:rPr>
        <w:t>1</w:t>
      </w:r>
      <w:r>
        <w:rPr>
          <w:rFonts w:hint="eastAsia" w:eastAsia="黑体"/>
          <w:highlight w:val="none"/>
        </w:rPr>
        <w:fldChar w:fldCharType="end"/>
      </w:r>
      <w:r>
        <w:rPr>
          <w:rFonts w:hint="eastAsia" w:eastAsia="黑体"/>
          <w:highlight w:val="none"/>
          <w:lang w:val="en-US" w:eastAsia="zh-CN"/>
        </w:rPr>
        <w:t>04</w:t>
      </w:r>
    </w:p>
    <w:p w14:paraId="077D6BEE">
      <w:pPr>
        <w:pStyle w:val="27"/>
        <w:tabs>
          <w:tab w:val="right" w:leader="dot" w:pos="9174"/>
        </w:tabs>
        <w:adjustRightInd w:val="0"/>
        <w:snapToGrid w:val="0"/>
        <w:spacing w:line="360" w:lineRule="auto"/>
        <w:ind w:firstLine="280"/>
        <w:rPr>
          <w:rFonts w:hint="default" w:eastAsia="黑体" w:cstheme="minorBidi"/>
          <w:szCs w:val="22"/>
          <w:highlight w:val="none"/>
          <w:lang w:val="en-US" w:eastAsia="zh-CN"/>
          <w14:ligatures w14:val="standardContextual"/>
        </w:rPr>
      </w:pPr>
      <w:r>
        <w:rPr>
          <w:highlight w:val="none"/>
        </w:rPr>
        <w:fldChar w:fldCharType="begin"/>
      </w:r>
      <w:r>
        <w:rPr>
          <w:highlight w:val="none"/>
        </w:rPr>
        <w:instrText xml:space="preserve"> HYPERLINK \l "_Toc187310042" </w:instrText>
      </w:r>
      <w:r>
        <w:rPr>
          <w:highlight w:val="none"/>
        </w:rPr>
        <w:fldChar w:fldCharType="separate"/>
      </w:r>
      <w:r>
        <w:rPr>
          <w:rStyle w:val="38"/>
          <w:rFonts w:hint="eastAsia" w:eastAsia="黑体"/>
          <w:highlight w:val="none"/>
        </w:rPr>
        <w:t>F5.4地方法规、规章和文件</w:t>
      </w:r>
      <w:r>
        <w:rPr>
          <w:rFonts w:hint="eastAsia" w:eastAsia="黑体"/>
          <w:highlight w:val="none"/>
        </w:rPr>
        <w:tab/>
      </w:r>
      <w:r>
        <w:rPr>
          <w:rFonts w:hint="eastAsia" w:eastAsia="黑体"/>
          <w:highlight w:val="none"/>
          <w:lang w:val="en-US" w:eastAsia="zh-CN"/>
        </w:rPr>
        <w:t>1</w:t>
      </w:r>
      <w:r>
        <w:rPr>
          <w:rFonts w:hint="eastAsia" w:eastAsia="黑体"/>
          <w:highlight w:val="none"/>
        </w:rPr>
        <w:fldChar w:fldCharType="end"/>
      </w:r>
      <w:r>
        <w:rPr>
          <w:rFonts w:hint="eastAsia" w:eastAsia="黑体"/>
          <w:highlight w:val="none"/>
          <w:lang w:val="en-US" w:eastAsia="zh-CN"/>
        </w:rPr>
        <w:t>07</w:t>
      </w:r>
    </w:p>
    <w:p w14:paraId="71A23272">
      <w:pPr>
        <w:pStyle w:val="27"/>
        <w:tabs>
          <w:tab w:val="right" w:leader="dot" w:pos="9174"/>
        </w:tabs>
        <w:adjustRightInd w:val="0"/>
        <w:snapToGrid w:val="0"/>
        <w:spacing w:line="360" w:lineRule="auto"/>
        <w:ind w:firstLine="280"/>
        <w:rPr>
          <w:rFonts w:hint="default" w:eastAsia="黑体" w:cstheme="minorBidi"/>
          <w:szCs w:val="22"/>
          <w:highlight w:val="none"/>
          <w:lang w:val="en-US" w:eastAsia="zh-CN"/>
          <w14:ligatures w14:val="standardContextual"/>
        </w:rPr>
      </w:pPr>
      <w:r>
        <w:rPr>
          <w:highlight w:val="none"/>
        </w:rPr>
        <w:fldChar w:fldCharType="begin"/>
      </w:r>
      <w:r>
        <w:rPr>
          <w:highlight w:val="none"/>
        </w:rPr>
        <w:instrText xml:space="preserve"> HYPERLINK \l "_Toc187310043" </w:instrText>
      </w:r>
      <w:r>
        <w:rPr>
          <w:highlight w:val="none"/>
        </w:rPr>
        <w:fldChar w:fldCharType="separate"/>
      </w:r>
      <w:r>
        <w:rPr>
          <w:rStyle w:val="38"/>
          <w:rFonts w:hint="eastAsia" w:eastAsia="黑体"/>
          <w:highlight w:val="none"/>
        </w:rPr>
        <w:t>F5.5国家及行业标准、规范</w:t>
      </w:r>
      <w:r>
        <w:rPr>
          <w:rFonts w:hint="eastAsia" w:eastAsia="黑体"/>
          <w:highlight w:val="none"/>
        </w:rPr>
        <w:tab/>
      </w:r>
      <w:r>
        <w:rPr>
          <w:rFonts w:hint="eastAsia" w:eastAsia="黑体"/>
          <w:highlight w:val="none"/>
          <w:lang w:val="en-US" w:eastAsia="zh-CN"/>
        </w:rPr>
        <w:t>1</w:t>
      </w:r>
      <w:r>
        <w:rPr>
          <w:rFonts w:hint="eastAsia" w:eastAsia="黑体"/>
          <w:highlight w:val="none"/>
        </w:rPr>
        <w:fldChar w:fldCharType="end"/>
      </w:r>
      <w:r>
        <w:rPr>
          <w:rFonts w:hint="eastAsia" w:eastAsia="黑体"/>
          <w:highlight w:val="none"/>
          <w:lang w:val="en-US" w:eastAsia="zh-CN"/>
        </w:rPr>
        <w:t>08</w:t>
      </w:r>
    </w:p>
    <w:p w14:paraId="767626F6">
      <w:pPr>
        <w:pStyle w:val="27"/>
        <w:tabs>
          <w:tab w:val="right" w:leader="dot" w:pos="9174"/>
        </w:tabs>
        <w:adjustRightInd w:val="0"/>
        <w:snapToGrid w:val="0"/>
        <w:spacing w:line="360" w:lineRule="auto"/>
        <w:ind w:firstLine="280"/>
        <w:rPr>
          <w:rFonts w:eastAsia="黑体" w:cstheme="minorBidi"/>
          <w:szCs w:val="22"/>
          <w:highlight w:val="none"/>
          <w14:ligatures w14:val="standardContextual"/>
        </w:rPr>
      </w:pPr>
      <w:r>
        <w:rPr>
          <w:highlight w:val="none"/>
        </w:rPr>
        <w:fldChar w:fldCharType="begin"/>
      </w:r>
      <w:r>
        <w:rPr>
          <w:highlight w:val="none"/>
        </w:rPr>
        <w:instrText xml:space="preserve"> HYPERLINK \l "_Toc187310044" </w:instrText>
      </w:r>
      <w:r>
        <w:rPr>
          <w:highlight w:val="none"/>
        </w:rPr>
        <w:fldChar w:fldCharType="separate"/>
      </w:r>
      <w:r>
        <w:rPr>
          <w:rStyle w:val="38"/>
          <w:rFonts w:hint="eastAsia" w:eastAsia="黑体"/>
          <w:highlight w:val="none"/>
        </w:rPr>
        <w:t>F5.6参考资料</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_Toc187310044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114</w:t>
      </w:r>
      <w:r>
        <w:rPr>
          <w:rFonts w:hint="eastAsia" w:eastAsia="黑体"/>
          <w:highlight w:val="none"/>
        </w:rPr>
        <w:fldChar w:fldCharType="end"/>
      </w:r>
      <w:r>
        <w:rPr>
          <w:rFonts w:hint="eastAsia" w:eastAsia="黑体"/>
          <w:highlight w:val="none"/>
        </w:rPr>
        <w:fldChar w:fldCharType="end"/>
      </w:r>
    </w:p>
    <w:p w14:paraId="2DC1ACC5">
      <w:pPr>
        <w:pStyle w:val="12"/>
        <w:tabs>
          <w:tab w:val="right" w:leader="dot" w:pos="9174"/>
        </w:tabs>
        <w:adjustRightInd w:val="0"/>
        <w:snapToGrid w:val="0"/>
        <w:spacing w:line="360" w:lineRule="auto"/>
        <w:rPr>
          <w:rFonts w:eastAsia="黑体" w:cstheme="minorBidi"/>
          <w:b w:val="0"/>
          <w:szCs w:val="22"/>
          <w:highlight w:val="none"/>
          <w14:ligatures w14:val="standardContextual"/>
        </w:rPr>
      </w:pPr>
      <w:r>
        <w:rPr>
          <w:highlight w:val="none"/>
        </w:rPr>
        <w:fldChar w:fldCharType="begin"/>
      </w:r>
      <w:r>
        <w:rPr>
          <w:highlight w:val="none"/>
        </w:rPr>
        <w:instrText xml:space="preserve"> HYPERLINK \l "_Toc187310045" </w:instrText>
      </w:r>
      <w:r>
        <w:rPr>
          <w:highlight w:val="none"/>
        </w:rPr>
        <w:fldChar w:fldCharType="separate"/>
      </w:r>
      <w:r>
        <w:rPr>
          <w:rStyle w:val="38"/>
          <w:rFonts w:hint="eastAsia" w:eastAsia="黑体"/>
          <w:bCs/>
          <w:highlight w:val="none"/>
        </w:rPr>
        <w:t>附件6相关文件及附图目录</w:t>
      </w:r>
      <w:r>
        <w:rPr>
          <w:rFonts w:hint="eastAsia" w:eastAsia="黑体"/>
          <w:highlight w:val="none"/>
        </w:rPr>
        <w:tab/>
      </w:r>
      <w:r>
        <w:rPr>
          <w:rFonts w:hint="eastAsia" w:eastAsia="黑体"/>
          <w:highlight w:val="none"/>
        </w:rPr>
        <w:fldChar w:fldCharType="begin"/>
      </w:r>
      <w:r>
        <w:rPr>
          <w:rFonts w:hint="eastAsia" w:eastAsia="黑体"/>
          <w:highlight w:val="none"/>
        </w:rPr>
        <w:instrText xml:space="preserve"> </w:instrText>
      </w:r>
      <w:r>
        <w:rPr>
          <w:rFonts w:eastAsia="黑体"/>
          <w:highlight w:val="none"/>
        </w:rPr>
        <w:instrText xml:space="preserve">PAGEREF _Toc187310045 \h</w:instrText>
      </w:r>
      <w:r>
        <w:rPr>
          <w:rFonts w:hint="eastAsia" w:eastAsia="黑体"/>
          <w:highlight w:val="none"/>
        </w:rPr>
        <w:instrText xml:space="preserve"> </w:instrText>
      </w:r>
      <w:r>
        <w:rPr>
          <w:rFonts w:hint="eastAsia" w:eastAsia="黑体"/>
          <w:highlight w:val="none"/>
        </w:rPr>
        <w:fldChar w:fldCharType="separate"/>
      </w:r>
      <w:r>
        <w:rPr>
          <w:rFonts w:eastAsia="黑体"/>
          <w:highlight w:val="none"/>
        </w:rPr>
        <w:t>115</w:t>
      </w:r>
      <w:r>
        <w:rPr>
          <w:rFonts w:hint="eastAsia" w:eastAsia="黑体"/>
          <w:highlight w:val="none"/>
        </w:rPr>
        <w:fldChar w:fldCharType="end"/>
      </w:r>
      <w:r>
        <w:rPr>
          <w:rFonts w:hint="eastAsia" w:eastAsia="黑体"/>
          <w:highlight w:val="none"/>
        </w:rPr>
        <w:fldChar w:fldCharType="end"/>
      </w:r>
    </w:p>
    <w:p w14:paraId="6CA3A466">
      <w:pPr>
        <w:ind w:firstLine="560"/>
        <w:rPr>
          <w:rFonts w:ascii="Times New Roman" w:hAnsi="Times New Roman" w:eastAsia="黑体" w:cs="宋体"/>
          <w:szCs w:val="28"/>
          <w:highlight w:val="none"/>
          <w:lang w:bidi="ar"/>
          <w14:ligatures w14:val="none"/>
        </w:rPr>
      </w:pPr>
      <w:r>
        <w:rPr>
          <w:rFonts w:ascii="Times New Roman" w:hAnsi="Times New Roman" w:eastAsia="黑体" w:cs="宋体"/>
          <w:szCs w:val="28"/>
          <w:highlight w:val="none"/>
          <w:lang w:bidi="ar"/>
          <w14:ligatures w14:val="none"/>
        </w:rPr>
        <w:fldChar w:fldCharType="end"/>
      </w:r>
      <w:r>
        <w:rPr>
          <w:rFonts w:ascii="Times New Roman" w:hAnsi="Times New Roman" w:eastAsia="黑体" w:cs="宋体"/>
          <w:szCs w:val="28"/>
          <w:highlight w:val="none"/>
          <w:lang w:bidi="ar"/>
          <w14:ligatures w14:val="none"/>
        </w:rPr>
        <w:br w:type="page"/>
      </w:r>
    </w:p>
    <w:p w14:paraId="115883D5">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br w:type="page"/>
      </w:r>
    </w:p>
    <w:p w14:paraId="4FB37396">
      <w:pPr>
        <w:ind w:firstLine="560"/>
        <w:rPr>
          <w:rFonts w:ascii="Times New Roman" w:hAnsi="Times New Roman" w:eastAsia="宋体" w:cs="宋体"/>
          <w:szCs w:val="28"/>
          <w:highlight w:val="none"/>
          <w:lang w:bidi="ar"/>
          <w14:ligatures w14:val="none"/>
        </w:rPr>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 w:linePitch="312" w:charSpace="0"/>
        </w:sectPr>
      </w:pPr>
    </w:p>
    <w:p w14:paraId="48E6DEBE">
      <w:pPr>
        <w:pStyle w:val="2"/>
        <w:spacing w:line="360" w:lineRule="auto"/>
        <w:ind w:firstLine="0" w:firstLineChars="0"/>
        <w:jc w:val="center"/>
        <w:rPr>
          <w:sz w:val="32"/>
          <w:szCs w:val="32"/>
          <w:highlight w:val="none"/>
        </w:rPr>
      </w:pPr>
      <w:r>
        <w:rPr>
          <w:rFonts w:hint="eastAsia"/>
          <w:sz w:val="32"/>
          <w:szCs w:val="32"/>
          <w:highlight w:val="none"/>
        </w:rPr>
        <w:t>术语和定义</w:t>
      </w:r>
    </w:p>
    <w:p w14:paraId="5BFBEBAC">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（1）化学品</w:t>
      </w:r>
    </w:p>
    <w:p w14:paraId="6A8D1EB7">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指各种化学元素、由元素组成的化合物及其混合物，包括天然的或者人造的。</w:t>
      </w:r>
    </w:p>
    <w:p w14:paraId="42E04EA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（2）危险化学品</w:t>
      </w:r>
    </w:p>
    <w:p w14:paraId="32359C3B">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指具有爆炸、燃烧、助燃、毒害、腐蚀等性质且对接触的人员、设施、环境可能造成伤害或者损害的化学品。</w:t>
      </w:r>
    </w:p>
    <w:p w14:paraId="4DB7552E">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（3）新建项目</w:t>
      </w:r>
    </w:p>
    <w:p w14:paraId="0D4BA612">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2A2ECAA5">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（4）改建项目</w:t>
      </w:r>
    </w:p>
    <w:p w14:paraId="6020E811">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6973C2FE">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（5）扩建项目</w:t>
      </w:r>
    </w:p>
    <w:p w14:paraId="190C7CEB">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指企业（单位）拟建与现有伴有危险化学品产生的化学品或者危险化学品品种相同且生产、储存装置（设施）相对独立的建设项目。</w:t>
      </w:r>
    </w:p>
    <w:p w14:paraId="0F20F367">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（6）安全设施</w:t>
      </w:r>
    </w:p>
    <w:p w14:paraId="7E267A7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指企业（单位）在生产经营活动中将危险因素、有害因素控制在安全范围内以及预防、减少、消除危害所配备的装置（设备）和采取的措施。</w:t>
      </w:r>
    </w:p>
    <w:p w14:paraId="25348B4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（7）作业场所</w:t>
      </w:r>
    </w:p>
    <w:p w14:paraId="6BD02C95">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指可能使从业人员接触危险化学品的任何作业活动场所，包括从事危险化学品的生产、操作、处置、储存、搬运、运输、废弃危险化学品的处置或者处理等场所。</w:t>
      </w:r>
    </w:p>
    <w:p w14:paraId="2C4B51C2">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（8）安全评价单元</w:t>
      </w:r>
    </w:p>
    <w:p w14:paraId="51C0107C">
      <w:pPr>
        <w:ind w:firstLine="560"/>
        <w:rPr>
          <w:rFonts w:ascii="Times New Roman" w:hAnsi="Times New Roman" w:eastAsia="宋体" w:cs="宋体"/>
          <w:szCs w:val="28"/>
          <w:highlight w:val="none"/>
          <w:lang w:bidi="ar"/>
          <w14:ligatures w14:val="none"/>
        </w:rPr>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Times New Roman" w:hAnsi="Times New Roman" w:eastAsia="宋体" w:cs="宋体"/>
          <w:szCs w:val="28"/>
          <w:highlight w:val="none"/>
          <w:lang w:bidi="ar"/>
          <w14:ligatures w14:val="none"/>
        </w:rPr>
        <w:t>根据建设项目安全评价的需要，将建设项目划分为一些相对独立部分，其中每个相对独立部分称为评价单元。</w:t>
      </w:r>
    </w:p>
    <w:p w14:paraId="690DDA1A">
      <w:pPr>
        <w:spacing w:before="468" w:beforeLines="150" w:after="468" w:afterLines="150"/>
        <w:ind w:firstLine="0" w:firstLineChars="0"/>
        <w:jc w:val="center"/>
        <w:outlineLvl w:val="0"/>
        <w:rPr>
          <w:rFonts w:ascii="Times New Roman" w:hAnsi="Times New Roman" w:eastAsia="黑体" w:cs="宋体"/>
          <w:b/>
          <w:bCs/>
          <w:sz w:val="32"/>
          <w:szCs w:val="28"/>
          <w:highlight w:val="none"/>
          <w:lang w:bidi="ar"/>
          <w14:ligatures w14:val="none"/>
        </w:rPr>
      </w:pPr>
      <w:bookmarkStart w:id="5" w:name="_Toc187309981"/>
      <w:r>
        <w:rPr>
          <w:rFonts w:hint="eastAsia" w:ascii="Times New Roman" w:hAnsi="Times New Roman" w:eastAsia="黑体" w:cs="宋体"/>
          <w:b/>
          <w:bCs/>
          <w:sz w:val="32"/>
          <w:szCs w:val="28"/>
          <w:highlight w:val="none"/>
          <w:lang w:bidi="ar"/>
          <w14:ligatures w14:val="none"/>
        </w:rPr>
        <w:t>1安全评价工作经过</w:t>
      </w:r>
      <w:bookmarkEnd w:id="5"/>
    </w:p>
    <w:p w14:paraId="53750836">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6" w:name="_Toc187309982"/>
      <w:r>
        <w:rPr>
          <w:rFonts w:hint="eastAsia" w:ascii="Times New Roman" w:hAnsi="Times New Roman" w:eastAsia="楷体" w:cs="宋体"/>
          <w:b/>
          <w:bCs/>
          <w:sz w:val="32"/>
          <w:szCs w:val="28"/>
          <w:highlight w:val="none"/>
          <w:lang w:bidi="ar"/>
          <w14:ligatures w14:val="none"/>
        </w:rPr>
        <w:t>1.1前期准备情况</w:t>
      </w:r>
      <w:bookmarkEnd w:id="6"/>
    </w:p>
    <w:p w14:paraId="4BC8E79E">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我公司在接到</w:t>
      </w:r>
      <w:r>
        <w:rPr>
          <w:rFonts w:ascii="Times New Roman" w:hAnsi="Times New Roman" w:eastAsia="宋体" w:cs="宋体"/>
          <w:szCs w:val="28"/>
          <w:highlight w:val="none"/>
          <w:lang w:bidi="ar"/>
          <w14:ligatures w14:val="none"/>
        </w:rPr>
        <w:t>中铁（辽宁）本桓高速公路有限公司</w:t>
      </w:r>
      <w:r>
        <w:rPr>
          <w:rFonts w:hint="eastAsia" w:ascii="Times New Roman" w:hAnsi="Times New Roman" w:eastAsia="宋体" w:cs="宋体"/>
          <w:szCs w:val="28"/>
          <w:highlight w:val="none"/>
          <w:lang w:bidi="ar"/>
          <w14:ligatures w14:val="none"/>
        </w:rPr>
        <w:t>的委托后，随即组成了安全评价项目组，到建设单位现场进行勘察，与建设单位共同协商确定安全评价对象和范围。在充分调查研究验收评价对象和范围相关情况后，收集、整理安全评价所需要的各种文件、资料和数据，为做好安全评价工作进行了较为充分的前期准备。</w:t>
      </w:r>
    </w:p>
    <w:p w14:paraId="756A76BB">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7" w:name="_Toc187309983"/>
      <w:r>
        <w:rPr>
          <w:rFonts w:hint="eastAsia" w:ascii="Times New Roman" w:hAnsi="Times New Roman" w:eastAsia="楷体" w:cs="宋体"/>
          <w:b/>
          <w:bCs/>
          <w:sz w:val="32"/>
          <w:szCs w:val="28"/>
          <w:highlight w:val="none"/>
          <w:lang w:bidi="ar"/>
          <w14:ligatures w14:val="none"/>
        </w:rPr>
        <w:t>1.2评价目的</w:t>
      </w:r>
      <w:bookmarkEnd w:id="7"/>
    </w:p>
    <w:p w14:paraId="1059D81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在建设项目竣工后正式生产运行前，通过检查建设项目安全设施与主体工程同时设计、同时施工、同时投入生产和使用的情况，检查安全生产管理措施到位情况，检查安全生产规章制度健全情况，检查事故应急预案建立情况，确定建设项目满足安全生产法律法规、标准、规范要求的符合性，为应急管理部门实施行政许可和日常监管提供技术支撑，亦可作为企业强化安全管理，编制和完善安全管理规章制度，制定事故应急预案和安全防范措施，实现安全生产提供技术支持。</w:t>
      </w:r>
    </w:p>
    <w:p w14:paraId="61C3195B">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8" w:name="_Toc187309984"/>
      <w:r>
        <w:rPr>
          <w:rFonts w:hint="eastAsia" w:ascii="Times New Roman" w:hAnsi="Times New Roman" w:eastAsia="楷体" w:cs="宋体"/>
          <w:b/>
          <w:bCs/>
          <w:sz w:val="32"/>
          <w:szCs w:val="28"/>
          <w:highlight w:val="none"/>
          <w:lang w:bidi="ar"/>
          <w14:ligatures w14:val="none"/>
        </w:rPr>
        <w:t>1.3对象及范围</w:t>
      </w:r>
      <w:bookmarkEnd w:id="8"/>
    </w:p>
    <w:p w14:paraId="14B0AAB4">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本次评价的对象为</w:t>
      </w:r>
      <w:r>
        <w:rPr>
          <w:rFonts w:ascii="Times New Roman" w:hAnsi="Times New Roman" w:eastAsia="宋体" w:cs="宋体"/>
          <w:szCs w:val="28"/>
          <w:highlight w:val="none"/>
          <w:lang w:bidi="ar"/>
          <w14:ligatures w14:val="none"/>
        </w:rPr>
        <w:t>中铁（辽宁）本桓高速公路有限公司</w:t>
      </w:r>
      <w:r>
        <w:rPr>
          <w:rFonts w:hint="eastAsia" w:ascii="Times New Roman" w:hAnsi="Times New Roman" w:eastAsia="宋体" w:cs="宋体"/>
          <w:szCs w:val="28"/>
          <w:highlight w:val="none"/>
          <w:lang w:eastAsia="zh-CN" w:bidi="ar"/>
          <w14:ligatures w14:val="none"/>
        </w:rPr>
        <w:t>八里甸子</w:t>
      </w:r>
      <w:r>
        <w:rPr>
          <w:rFonts w:ascii="Times New Roman" w:hAnsi="Times New Roman" w:eastAsia="宋体" w:cs="宋体"/>
          <w:szCs w:val="28"/>
          <w:highlight w:val="none"/>
          <w:lang w:bidi="ar"/>
          <w14:ligatures w14:val="none"/>
        </w:rPr>
        <w:t>服务区</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侧加油站新建项目</w:t>
      </w:r>
      <w:r>
        <w:rPr>
          <w:rFonts w:hint="eastAsia" w:ascii="Times New Roman" w:hAnsi="Times New Roman" w:eastAsia="宋体" w:cs="宋体"/>
          <w:szCs w:val="28"/>
          <w:highlight w:val="none"/>
          <w:lang w:bidi="ar"/>
          <w14:ligatures w14:val="none"/>
        </w:rPr>
        <w:t>。本次评价的范围包括：</w:t>
      </w:r>
      <w:r>
        <w:rPr>
          <w:rFonts w:ascii="Times New Roman" w:hAnsi="Times New Roman" w:eastAsia="宋体" w:cs="宋体"/>
          <w:szCs w:val="28"/>
          <w:highlight w:val="none"/>
          <w:lang w:bidi="ar"/>
          <w14:ligatures w14:val="none"/>
        </w:rPr>
        <w:t>中铁（辽宁）本桓高速公路有限公司</w:t>
      </w:r>
      <w:r>
        <w:rPr>
          <w:rFonts w:hint="eastAsia" w:ascii="Times New Roman" w:hAnsi="Times New Roman" w:eastAsia="宋体" w:cs="宋体"/>
          <w:szCs w:val="28"/>
          <w:highlight w:val="none"/>
          <w:lang w:eastAsia="zh-CN" w:bidi="ar"/>
          <w14:ligatures w14:val="none"/>
        </w:rPr>
        <w:t>八里甸子</w:t>
      </w:r>
      <w:r>
        <w:rPr>
          <w:rFonts w:ascii="Times New Roman" w:hAnsi="Times New Roman" w:eastAsia="宋体" w:cs="宋体"/>
          <w:szCs w:val="28"/>
          <w:highlight w:val="none"/>
          <w:lang w:bidi="ar"/>
          <w14:ligatures w14:val="none"/>
        </w:rPr>
        <w:t>服务区</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侧加油站新建项目</w:t>
      </w:r>
      <w:r>
        <w:rPr>
          <w:rFonts w:hint="eastAsia" w:ascii="Times New Roman" w:hAnsi="Times New Roman" w:eastAsia="宋体" w:cs="宋体"/>
          <w:szCs w:val="28"/>
          <w:highlight w:val="none"/>
          <w:lang w:bidi="ar"/>
          <w14:ligatures w14:val="none"/>
        </w:rPr>
        <w:t>所涉及的选址及总平面布置、加油工艺设备、设施、与之配套的公辅工程以及安全管理等。</w:t>
      </w:r>
    </w:p>
    <w:p w14:paraId="58916B6B">
      <w:pPr>
        <w:keepNext/>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9" w:name="_Toc187309985"/>
      <w:r>
        <w:rPr>
          <w:rFonts w:hint="eastAsia" w:ascii="Times New Roman" w:hAnsi="Times New Roman" w:eastAsia="楷体" w:cs="宋体"/>
          <w:b/>
          <w:bCs/>
          <w:sz w:val="32"/>
          <w:szCs w:val="28"/>
          <w:highlight w:val="none"/>
          <w:lang w:bidi="ar"/>
          <w14:ligatures w14:val="none"/>
        </w:rPr>
        <w:t>1.4工作经过和程序</w:t>
      </w:r>
      <w:bookmarkEnd w:id="9"/>
    </w:p>
    <w:p w14:paraId="5DD2D245">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安全设施竣工验收安全评价程序包括：前期准备；安全评价；与建设单位交换意见；编制安全验收评价报告。</w:t>
      </w:r>
    </w:p>
    <w:p w14:paraId="07AF8BA6">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本次安全验收评价的程序，如图1.4-1所示：</w:t>
      </w:r>
    </w:p>
    <w:p w14:paraId="6208207C">
      <w:pPr>
        <w:pStyle w:val="42"/>
        <w:ind w:firstLine="420"/>
        <w:rPr>
          <w:rFonts w:cs="宋体"/>
          <w:highlight w:val="none"/>
          <w:lang w:bidi="ar"/>
        </w:rPr>
      </w:pPr>
      <w:r>
        <w:rPr>
          <w:highlight w:val="none"/>
        </w:rPr>
        <mc:AlternateContent>
          <mc:Choice Requires="wpc">
            <w:drawing>
              <wp:inline distT="0" distB="0" distL="114300" distR="114300">
                <wp:extent cx="5076825" cy="6238875"/>
                <wp:effectExtent l="0" t="0" r="0" b="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AC4B943">
                              <w:pPr>
                                <w:pStyle w:val="42"/>
                              </w:pPr>
                              <w:r>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C0087C">
                              <w:pPr>
                                <w:pStyle w:val="42"/>
                              </w:pPr>
                              <w:r>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C52BE1">
                              <w:pPr>
                                <w:pStyle w:val="42"/>
                              </w:pPr>
                              <w:r>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5083EA4">
                              <w:pPr>
                                <w:pStyle w:val="42"/>
                              </w:pPr>
                              <w:r>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244747B">
                              <w:pPr>
                                <w:pStyle w:val="42"/>
                              </w:pPr>
                              <w:r>
                                <w:rPr>
                                  <w:rFonts w:hint="eastAsia"/>
                                </w:rPr>
                                <w:t>定性、定量分析危险、有害程度</w:t>
                              </w:r>
                            </w:p>
                            <w:p w14:paraId="073571D9">
                              <w:pPr>
                                <w:ind w:firstLine="560"/>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B670E53">
                              <w:pPr>
                                <w:pStyle w:val="42"/>
                              </w:pPr>
                              <w:r>
                                <w:rPr>
                                  <w:rFonts w:hint="eastAsia"/>
                                </w:rPr>
                                <w:t>分析安全条件和安全生产条件</w:t>
                              </w:r>
                            </w:p>
                            <w:p w14:paraId="5B9D489D">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2F4636B">
                              <w:pPr>
                                <w:pStyle w:val="42"/>
                              </w:pPr>
                              <w:r>
                                <w:rPr>
                                  <w:rFonts w:hint="eastAsia"/>
                                </w:rPr>
                                <w:t>提出安全对策与建议</w:t>
                              </w:r>
                            </w:p>
                            <w:p w14:paraId="1496CC4D">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08ED058">
                              <w:pPr>
                                <w:pStyle w:val="42"/>
                              </w:pPr>
                              <w:r>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636EFA">
                              <w:pPr>
                                <w:pStyle w:val="42"/>
                              </w:pPr>
                              <w:r>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166FC7">
                              <w:pPr>
                                <w:pStyle w:val="42"/>
                              </w:pPr>
                              <w:r>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AB917E2">
                              <w:pPr>
                                <w:pStyle w:val="42"/>
                              </w:pPr>
                              <w:r>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A72763C">
                              <w:pPr>
                                <w:pStyle w:val="42"/>
                              </w:pPr>
                              <w:r>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352B56">
                              <w:pPr>
                                <w:pStyle w:val="42"/>
                              </w:pPr>
                              <w:r>
                                <w:rPr>
                                  <w:rFonts w:hint="eastAsia"/>
                                </w:rPr>
                                <w:t>整理、归纳安全评价结论</w:t>
                              </w:r>
                            </w:p>
                            <w:p w14:paraId="71CC8597">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id="画布 451" o:spid="_x0000_s1026" o:spt="203" style="height:491.25pt;width:399.75pt;" coordsize="5076825,6238875" editas="canvas" o:gfxdata="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">
                <o:lock v:ext="edit" aspectratio="f"/>
                <v:shape id="画布 451" o:spid="_x0000_s1026" style="position:absolute;left:0;top:0;height:6238875;width:5076825;" filled="f" stroked="f" coordsize="21600,21600" o:gfxdata="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">
                  <v:fill on="f" focussize="0,0"/>
                  <v:stroke on="f"/>
                  <v:imagedata o:title=""/>
                  <o:lock v:ext="edit" aspectratio="t"/>
                </v:shape>
                <v:rect id="矩形 453" o:spid="_x0000_s1026" o:spt="1" style="position:absolute;left:343237;top:332719;height:295991;width:1256103;"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CXgMVdUAAAAFAQAADwAAAAAAAAABACAAAAAi&#10;AAAAZHJzL2Rvd25yZXYueG1sUEsBAhQAFAAAAAgAh07iQBwKw14NAgAANQQAAA4AAAAAAAAAAQAg&#10;AAAAJAEAAGRycy9lMm9Eb2MueG1sUEsFBgAAAAAGAAYAWQEAAKMFAAAAAA==&#10;">
                  <v:fill on="t" focussize="0,0"/>
                  <v:stroke color="#000000" joinstyle="miter"/>
                  <v:imagedata o:title=""/>
                  <o:lock v:ext="edit" aspectratio="f"/>
                  <v:textbox>
                    <w:txbxContent>
                      <w:p w14:paraId="0AC4B943">
                        <w:pPr>
                          <w:pStyle w:val="42"/>
                        </w:pPr>
                        <w:r>
                          <w:rPr>
                            <w:rFonts w:hint="eastAsia"/>
                          </w:rPr>
                          <w:t>前期准备</w:t>
                        </w:r>
                      </w:p>
                    </w:txbxContent>
                  </v:textbox>
                </v:rect>
                <v:rect id="矩形 454" o:spid="_x0000_s1026" o:spt="1" style="position:absolute;left:2514397;top:1125917;height:297449;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Al4DFXVAAAABQEAAA8AAAAAAAAAAQAgAAAA&#10;IgAAAGRycy9kb3ducmV2LnhtbFBLAQIUABQAAAAIAIdO4kB4cNxdDgIAADcEAAAOAAAAAAAAAAEA&#10;IAAAACQBAABkcnMvZTJvRG9jLnhtbFBLBQYAAAAABgAGAFkBAACkBQAAAAA=&#10;">
                  <v:fill on="t" focussize="0,0"/>
                  <v:stroke color="#000000" joinstyle="miter"/>
                  <v:imagedata o:title=""/>
                  <o:lock v:ext="edit" aspectratio="f"/>
                  <v:textbox>
                    <w:txbxContent>
                      <w:p w14:paraId="0DC0087C">
                        <w:pPr>
                          <w:pStyle w:val="42"/>
                        </w:pPr>
                        <w:r>
                          <w:rPr>
                            <w:rFonts w:hint="eastAsia"/>
                          </w:rPr>
                          <w:t>辨识危险、有害因素</w:t>
                        </w:r>
                      </w:p>
                    </w:txbxContent>
                  </v:textbox>
                </v:rect>
                <v:rect id="矩形 455" o:spid="_x0000_s1026" o:spt="1" style="position:absolute;left:2514397;top:1720086;height:296720;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JeAxV1QAAAAUBAAAPAAAAAAAAAAEAIAAA&#10;ACIAAABkcnMvZG93bnJldi54bWxQSwECFAAUAAAACACHTuJA66Jukw8CAAA4BAAADgAAAAAAAAAB&#10;ACAAAAAkAQAAZHJzL2Uyb0RvYy54bWxQSwUGAAAAAAYABgBZAQAApQUAAAAA&#10;">
                  <v:fill on="t" focussize="0,0"/>
                  <v:stroke color="#000000" joinstyle="miter"/>
                  <v:imagedata o:title=""/>
                  <o:lock v:ext="edit" aspectratio="f"/>
                  <v:textbox>
                    <w:txbxContent>
                      <w:p w14:paraId="24C52BE1">
                        <w:pPr>
                          <w:pStyle w:val="42"/>
                        </w:pPr>
                        <w:r>
                          <w:rPr>
                            <w:rFonts w:hint="eastAsia"/>
                          </w:rPr>
                          <w:t>划分评价单元</w:t>
                        </w:r>
                      </w:p>
                    </w:txbxContent>
                  </v:textbox>
                </v:rect>
                <v:rect id="矩形 456" o:spid="_x0000_s1026" o:spt="1" style="position:absolute;left:2514397;top:2314255;height:296720;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B7pKfDEQIAADgEAAAOAAAAAAAA&#10;AAEAIAAAACQBAABkcnMvZTJvRG9jLnhtbFBLBQYAAAAABgAGAFkBAACnBQAAAAA=&#10;">
                  <v:fill on="t" focussize="0,0"/>
                  <v:stroke color="#000000" joinstyle="miter"/>
                  <v:imagedata o:title=""/>
                  <o:lock v:ext="edit" aspectratio="f"/>
                  <v:textbox>
                    <w:txbxContent>
                      <w:p w14:paraId="65083EA4">
                        <w:pPr>
                          <w:pStyle w:val="42"/>
                        </w:pPr>
                        <w:r>
                          <w:rPr>
                            <w:rFonts w:hint="eastAsia"/>
                          </w:rPr>
                          <w:t>确定安全评价方法</w:t>
                        </w:r>
                      </w:p>
                    </w:txbxContent>
                  </v:textbox>
                </v:rect>
                <v:rect id="矩形 457" o:spid="_x0000_s1026" o:spt="1" style="position:absolute;left:2514397;top:2908425;height:299636;width:2059426;"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Al4DFXVAAAABQEAAA8AAAAAAAAAAQAgAAAA&#10;IgAAAGRycy9kb3ducmV2LnhtbFBLAQIUABQAAAAIAIdO4kBOiy8hDgIAADgEAAAOAAAAAAAAAAEA&#10;IAAAACQBAABkcnMvZTJvRG9jLnhtbFBLBQYAAAAABgAGAFkBAACkBQAAAAA=&#10;">
                  <v:fill on="t" focussize="0,0"/>
                  <v:stroke color="#000000" joinstyle="miter"/>
                  <v:imagedata o:title=""/>
                  <o:lock v:ext="edit" aspectratio="f"/>
                  <v:textbox>
                    <w:txbxContent>
                      <w:p w14:paraId="3244747B">
                        <w:pPr>
                          <w:pStyle w:val="42"/>
                        </w:pPr>
                        <w:r>
                          <w:rPr>
                            <w:rFonts w:hint="eastAsia"/>
                          </w:rPr>
                          <w:t>定性、定量分析危险、有害程度</w:t>
                        </w:r>
                      </w:p>
                      <w:p w14:paraId="073571D9">
                        <w:pPr>
                          <w:ind w:firstLine="560"/>
                        </w:pPr>
                      </w:p>
                    </w:txbxContent>
                  </v:textbox>
                </v:rect>
                <v:rect id="矩形 458" o:spid="_x0000_s1026" o:spt="1" style="position:absolute;left:2514397;top:3502594;height:298907;width:205869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XgMVdUAAAAFAQAADwAAAAAAAAABACAA&#10;AAAiAAAAZHJzL2Rvd25yZXYueG1sUEsBAhQAFAAAAAgAh07iQH1yqrkQAgAAOAQAAA4AAAAAAAAA&#10;AQAgAAAAJAEAAGRycy9lMm9Eb2MueG1sUEsFBgAAAAAGAAYAWQEAAKYFAAAAAA==&#10;">
                  <v:fill on="t" focussize="0,0"/>
                  <v:stroke color="#000000" joinstyle="miter"/>
                  <v:imagedata o:title=""/>
                  <o:lock v:ext="edit" aspectratio="f"/>
                  <v:textbox>
                    <w:txbxContent>
                      <w:p w14:paraId="1B670E53">
                        <w:pPr>
                          <w:pStyle w:val="42"/>
                        </w:pPr>
                        <w:r>
                          <w:rPr>
                            <w:rFonts w:hint="eastAsia"/>
                          </w:rPr>
                          <w:t>分析安全条件和安全生产条件</w:t>
                        </w:r>
                      </w:p>
                      <w:p w14:paraId="5B9D489D">
                        <w:pPr>
                          <w:ind w:firstLine="560"/>
                        </w:pPr>
                      </w:p>
                    </w:txbxContent>
                  </v:textbox>
                </v:rect>
                <v:rect id="矩形 459" o:spid="_x0000_s1026" o:spt="1" style="position:absolute;left:2514397;top:4097492;height:298907;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XgMVdUAAAAFAQAADwAAAAAAAAABACAA&#10;AAAiAAAAZHJzL2Rvd25yZXYueG1sUEsBAhQAFAAAAAgAh07iQCijk4oQAgAAOAQAAA4AAAAAAAAA&#10;AQAgAAAAJAEAAGRycy9lMm9Eb2MueG1sUEsFBgAAAAAGAAYAWQEAAKYFAAAAAA==&#10;">
                  <v:fill on="t" focussize="0,0"/>
                  <v:stroke color="#000000" joinstyle="miter"/>
                  <v:imagedata o:title=""/>
                  <o:lock v:ext="edit" aspectratio="f"/>
                  <v:textbox>
                    <w:txbxContent>
                      <w:p w14:paraId="22F4636B">
                        <w:pPr>
                          <w:pStyle w:val="42"/>
                        </w:pPr>
                        <w:r>
                          <w:rPr>
                            <w:rFonts w:hint="eastAsia"/>
                          </w:rPr>
                          <w:t>提出安全对策与建议</w:t>
                        </w:r>
                      </w:p>
                      <w:p w14:paraId="1496CC4D">
                        <w:pPr>
                          <w:ind w:firstLine="560"/>
                        </w:pPr>
                      </w:p>
                    </w:txbxContent>
                  </v:textbox>
                </v:rect>
                <v:line id="直线 460" o:spid="_x0000_s1026" o:spt="20" style="position:absolute;left:1028982;top:630168;height:2278257;width:730;" filled="f" stroked="t" coordsize="21600,21600" o:gfxdata="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BaIuf1wAAAAUBAAAPAAAAAAAAAAEAIAAAACIAAABkcnMvZG93bnJldi54bWxQSwEC&#10;FAAUAAAACACHTuJAkraE+/UBAADjAwAADgAAAAAAAAABACAAAAAmAQAAZHJzL2Uyb0RvYy54bWxQ&#10;SwUGAAAAAAYABgBZAQAAjQUAAAAA&#10;">
                  <v:fill on="f" focussize="0,0"/>
                  <v:stroke color="#000000" joinstyle="round" endarrow="block"/>
                  <v:imagedata o:title=""/>
                  <o:lock v:ext="edit" aspectratio="f"/>
                </v:line>
                <v:rect id="矩形 466" o:spid="_x0000_s1026" o:spt="1" style="position:absolute;left:228582;top:5153038;height:298907;width:1486145;"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JeAxV1QAAAAUBAAAPAAAAAAAAAAEAIAAA&#10;ACIAAABkcnMvZG93bnJldi54bWxQSwECFAAUAAAACACHTuJApaJjjg8CAAA3BAAADgAAAAAAAAAB&#10;ACAAAAAkAQAAZHJzL2Uyb0RvYy54bWxQSwUGAAAAAAYABgBZAQAApQUAAAAA&#10;">
                  <v:fill on="t" focussize="0,0"/>
                  <v:stroke color="#000000" joinstyle="miter"/>
                  <v:imagedata o:title=""/>
                  <o:lock v:ext="edit" aspectratio="f"/>
                  <v:textbox>
                    <w:txbxContent>
                      <w:p w14:paraId="408ED058">
                        <w:pPr>
                          <w:pStyle w:val="42"/>
                        </w:pPr>
                        <w:r>
                          <w:rPr>
                            <w:rFonts w:hint="eastAsia"/>
                          </w:rPr>
                          <w:t>与建设单位交换意见</w:t>
                        </w:r>
                      </w:p>
                    </w:txbxContent>
                  </v:textbox>
                </v:rect>
                <v:rect id="矩形 467" o:spid="_x0000_s1026" o:spt="1" style="position:absolute;left:228582;top:5847113;height:298178;width:1486145;"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C+Ix84EQIAADcEAAAOAAAAAAAA&#10;AAEAIAAAACQBAABkcnMvZTJvRG9jLnhtbFBLBQYAAAAABgAGAFkBAACnBQAAAAA=&#10;">
                  <v:fill on="t" focussize="0,0"/>
                  <v:stroke color="#000000" joinstyle="miter"/>
                  <v:imagedata o:title=""/>
                  <o:lock v:ext="edit" aspectratio="f"/>
                  <v:textbox>
                    <w:txbxContent>
                      <w:p w14:paraId="20636EFA">
                        <w:pPr>
                          <w:pStyle w:val="42"/>
                        </w:pPr>
                        <w:r>
                          <w:rPr>
                            <w:rFonts w:hint="eastAsia"/>
                          </w:rPr>
                          <w:t>编制安全评价报告</w:t>
                        </w:r>
                      </w:p>
                    </w:txbxContent>
                  </v:textbox>
                </v:rect>
                <v:line id="直线 468" o:spid="_x0000_s1026" o:spt="20" style="position:absolute;left:1028252;top:5451958;height:395141;width:730;" filled="f" stroked="t" coordsize="21600,21600" o:gfxdata="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BaIuf1wAAAAUBAAAPAAAAAAAAAAEAIAAAACIAAABkcnMvZG93bnJldi54bWxQ&#10;SwECFAAUAAAACACHTuJA65bA7vgBAADjAwAADgAAAAAAAAABACAAAAAmAQAAZHJzL2Uyb0RvYy54&#10;bWxQSwUGAAAAAAYABgBZAQAAkAUAAAAA&#10;">
                  <v:fill on="f" focussize="0,0"/>
                  <v:stroke color="#000000" joinstyle="round" endarrow="block"/>
                  <v:imagedata o:title=""/>
                  <o:lock v:ext="edit" aspectratio="f"/>
                </v:line>
                <v:rect id="矩形 469" o:spid="_x0000_s1026" o:spt="1" style="position:absolute;left:343237;top:2908425;height:296720;width:1256103;"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CCbKa7EQIAADcEAAAOAAAAAAAA&#10;AAEAIAAAACQBAABkcnMvZTJvRG9jLnhtbFBLBQYAAAAABgAGAFkBAACnBQAAAAA=&#10;">
                  <v:fill on="t" focussize="0,0"/>
                  <v:stroke color="#000000" joinstyle="miter"/>
                  <v:imagedata o:title=""/>
                  <o:lock v:ext="edit" aspectratio="f"/>
                  <v:textbox>
                    <w:txbxContent>
                      <w:p w14:paraId="5A166FC7">
                        <w:pPr>
                          <w:pStyle w:val="42"/>
                        </w:pPr>
                        <w:r>
                          <w:rPr>
                            <w:rFonts w:hint="eastAsia"/>
                          </w:rPr>
                          <w:t>安全评价</w:t>
                        </w:r>
                      </w:p>
                    </w:txbxContent>
                  </v:textbox>
                </v:rect>
                <v:line id="直线 470" o:spid="_x0000_s1026" o:spt="20" style="position:absolute;left:2057234;top:1224337;height:3566474;width:730;"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FL1DhvABAADgAwAADgAAAAAAAAABACAAAAAlAQAAZHJzL2Uyb0RvYy54bWxQSwUGAAAA&#10;AAYABgBZAQAAhwUAAAAA&#10;">
                  <v:fill on="f" focussize="0,0"/>
                  <v:stroke color="#000000" joinstyle="round"/>
                  <v:imagedata o:title=""/>
                  <o:lock v:ext="edit" aspectratio="f"/>
                </v:line>
                <v:line id="直线 471" o:spid="_x0000_s1026" o:spt="20" style="position:absolute;left:2057234;top:1224337;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Bqy+8DxAQAA3QMAAA4AAAAAAAAAAQAgAAAAJQEAAGRycy9lMm9Eb2MueG1sUEsFBgAA&#10;AAAGAAYAWQEAAIgFAAAAAA==&#10;">
                  <v:fill on="f" focussize="0,0"/>
                  <v:stroke color="#000000" joinstyle="round"/>
                  <v:imagedata o:title=""/>
                  <o:lock v:ext="edit" aspectratio="f"/>
                </v:line>
                <v:line id="直线 472" o:spid="_x0000_s1026" o:spt="20" style="position:absolute;left:2057234;top:1819236;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BBODrXxAQAA3QMAAA4AAAAAAAAAAQAgAAAAJQEAAGRycy9lMm9Eb2MueG1sUEsFBgAA&#10;AAAGAAYAWQEAAIgFAAAAAA==&#10;">
                  <v:fill on="f" focussize="0,0"/>
                  <v:stroke color="#000000" joinstyle="round"/>
                  <v:imagedata o:title=""/>
                  <o:lock v:ext="edit" aspectratio="f"/>
                </v:line>
                <v:line id="直线 473" o:spid="_x0000_s1026" o:spt="20" style="position:absolute;left:2057234;top:2512555;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Mgj4b/xAQAA3QMAAA4AAAAAAAAAAQAgAAAAJQEAAGRycy9lMm9Eb2MueG1sUEsFBgAA&#10;AAAGAAYAWQEAAIgFAAAAAA==&#10;">
                  <v:fill on="f" focussize="0,0"/>
                  <v:stroke color="#000000" joinstyle="round"/>
                  <v:imagedata o:title=""/>
                  <o:lock v:ext="edit" aspectratio="f"/>
                </v:line>
                <v:line id="直线 474" o:spid="_x0000_s1026" o:spt="20" style="position:absolute;left:2057234;top:3007574;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c5KXqvABAADdAwAADgAAAAAAAAABACAAAAAlAQAAZHJzL2Uyb0RvYy54bWxQSwUGAAAA&#10;AAYABgBZAQAAhwUAAAAA&#10;">
                  <v:fill on="f" focussize="0,0"/>
                  <v:stroke color="#000000" joinstyle="round"/>
                  <v:imagedata o:title=""/>
                  <o:lock v:ext="edit" aspectratio="f"/>
                </v:line>
                <v:line id="直线 475" o:spid="_x0000_s1026" o:spt="20" style="position:absolute;left:2057234;top:3602473;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ekvI3fABAADdAwAADgAAAAAAAAABACAAAAAlAQAAZHJzL2Uyb0RvYy54bWxQSwUGAAAA&#10;AAYABgBZAQAAhwUAAAAA&#10;">
                  <v:fill on="f" focussize="0,0"/>
                  <v:stroke color="#000000" joinstyle="round"/>
                  <v:imagedata o:title=""/>
                  <o:lock v:ext="edit" aspectratio="f"/>
                </v:line>
                <v:line id="直线 476" o:spid="_x0000_s1026" o:spt="20" style="position:absolute;left:1600071;top:3007574;height:729;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Wl9z7/ABAADfAwAADgAAAAAAAAABACAAAAAlAQAAZHJzL2Uyb0RvYy54bWxQSwUGAAAA&#10;AAYABgBZAQAAhwUAAAAA&#10;">
                  <v:fill on="f" focussize="0,0"/>
                  <v:stroke color="#000000" joinstyle="round"/>
                  <v:imagedata o:title=""/>
                  <o:lock v:ext="edit" aspectratio="f"/>
                </v:line>
                <v:line id="直线 477" o:spid="_x0000_s1026" o:spt="20" style="position:absolute;left:1600071;top:431869;height:729;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HIcKP/WAAAABQEAAA8AAAAAAAAAAQAgAAAAIgAAAGRycy9kb3ducmV2LnhtbFBLAQIUABQA&#10;AAAIAIdO4kCE+TDU8gEAAN4DAAAOAAAAAAAAAAEAIAAAACUBAABkcnMvZTJvRG9jLnhtbFBLBQYA&#10;AAAABgAGAFkBAACJBQAAAAA=&#10;">
                  <v:fill on="f" focussize="0,0"/>
                  <v:stroke color="#000000" joinstyle="round"/>
                  <v:imagedata o:title=""/>
                  <o:lock v:ext="edit" aspectratio="f"/>
                </v:line>
                <v:line id="直线 478" o:spid="_x0000_s1026" o:spt="20" style="position:absolute;left:2057234;top:135148;height:594169;width:730;"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HIcKP/WAAAABQEAAA8AAAAAAAAAAQAgAAAAIgAAAGRycy9kb3ducmV2LnhtbFBLAQIUABQAAAAI&#10;AIdO4kAbIUMz7wEAAN4DAAAOAAAAAAAAAAEAIAAAACUBAABkcnMvZTJvRG9jLnhtbFBLBQYAAAAA&#10;BgAGAFkBAACGBQAAAAA=&#10;">
                  <v:fill on="f" focussize="0,0"/>
                  <v:stroke color="#000000" joinstyle="round"/>
                  <v:imagedata o:title=""/>
                  <o:lock v:ext="edit" aspectratio="f"/>
                </v:line>
                <v:rect id="矩形 479" o:spid="_x0000_s1026" o:spt="1" style="position:absolute;left:2514397;top:35999;height:297449;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JeAxV1QAAAAUBAAAPAAAAAAAAAAEA&#10;IAAAACIAAABkcnMvZG93bnJldi54bWxQSwECFAAUAAAACACHTuJAPQJbJBICAAA2BAAADgAAAAAA&#10;AAABACAAAAAkAQAAZHJzL2Uyb0RvYy54bWxQSwUGAAAAAAYABgBZAQAAqAUAAAAA&#10;">
                  <v:fill on="t" focussize="0,0"/>
                  <v:stroke color="#000000" joinstyle="miter"/>
                  <v:imagedata o:title=""/>
                  <o:lock v:ext="edit" aspectratio="f"/>
                  <v:textbox>
                    <w:txbxContent>
                      <w:p w14:paraId="6AB917E2">
                        <w:pPr>
                          <w:pStyle w:val="42"/>
                        </w:pPr>
                        <w:r>
                          <w:rPr>
                            <w:rFonts w:hint="eastAsia"/>
                          </w:rPr>
                          <w:t>确定安全评价对象和范围</w:t>
                        </w:r>
                      </w:p>
                    </w:txbxContent>
                  </v:textbox>
                </v:rect>
                <v:rect id="矩形 480" o:spid="_x0000_s1026" o:spt="1" style="position:absolute;left:2514397;top:630168;height:298178;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BEddtwEQIAADcEAAAOAAAAAAAA&#10;AAEAIAAAACQBAABkcnMvZTJvRG9jLnhtbFBLBQYAAAAABgAGAFkBAACnBQAAAAA=&#10;">
                  <v:fill on="t" focussize="0,0"/>
                  <v:stroke color="#000000" joinstyle="miter"/>
                  <v:imagedata o:title=""/>
                  <o:lock v:ext="edit" aspectratio="f"/>
                  <v:textbox>
                    <w:txbxContent>
                      <w:p w14:paraId="0A72763C">
                        <w:pPr>
                          <w:pStyle w:val="42"/>
                        </w:pPr>
                        <w:r>
                          <w:rPr>
                            <w:rFonts w:hint="eastAsia"/>
                          </w:rPr>
                          <w:t>收集、整理安全评价所需资料</w:t>
                        </w:r>
                      </w:p>
                    </w:txbxContent>
                  </v:textbox>
                </v:rect>
                <v:line id="直线 481" o:spid="_x0000_s1026" o:spt="20" style="position:absolute;left:2057234;top:729318;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EUpTdfxAQAA3AMAAA4AAAAAAAAAAQAgAAAAJQEAAGRycy9lMm9Eb2MueG1sUEsFBgAA&#10;AAAGAAYAWQEAAIgFAAAAAA==&#10;">
                  <v:fill on="f" focussize="0,0"/>
                  <v:stroke color="#000000" joinstyle="round"/>
                  <v:imagedata o:title=""/>
                  <o:lock v:ext="edit" aspectratio="f"/>
                </v:line>
                <v:line id="直线 482" o:spid="_x0000_s1026" o:spt="20" style="position:absolute;left:2057234;top:135148;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HjHvArxAQAA3AMAAA4AAAAAAAAAAQAgAAAAJQEAAGRycy9lMm9Eb2MueG1sUEsFBgAA&#10;AAAGAAYAWQEAAIgFAAAAAA==&#10;">
                  <v:fill on="f" focussize="0,0"/>
                  <v:stroke color="#000000" joinstyle="round"/>
                  <v:imagedata o:title=""/>
                  <o:lock v:ext="edit" aspectratio="f"/>
                </v:line>
                <v:rect id="矩形 484" o:spid="_x0000_s1026" o:spt="1" style="position:absolute;left:2514397;top:4691662;height:298907;width:2059425;"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XgMVdUAAAAFAQAADwAAAAAAAAABACAA&#10;AAAiAAAAZHJzL2Rvd25yZXYueG1sUEsBAhQAFAAAAAgAh07iQIRTmYQQAgAAOAQAAA4AAAAAAAAA&#10;AQAgAAAAJAEAAGRycy9lMm9Eb2MueG1sUEsFBgAAAAAGAAYAWQEAAKYFAAAAAA==&#10;">
                  <v:fill on="t" focussize="0,0"/>
                  <v:stroke color="#000000" joinstyle="miter"/>
                  <v:imagedata o:title=""/>
                  <o:lock v:ext="edit" aspectratio="f"/>
                  <v:textbox>
                    <w:txbxContent>
                      <w:p w14:paraId="6B352B56">
                        <w:pPr>
                          <w:pStyle w:val="42"/>
                        </w:pPr>
                        <w:r>
                          <w:rPr>
                            <w:rFonts w:hint="eastAsia"/>
                          </w:rPr>
                          <w:t>整理、归纳安全评价结论</w:t>
                        </w:r>
                      </w:p>
                      <w:p w14:paraId="71CC8597">
                        <w:pPr>
                          <w:ind w:firstLine="560"/>
                        </w:pPr>
                      </w:p>
                    </w:txbxContent>
                  </v:textbox>
                </v:rect>
                <v:line id="直线 485" o:spid="_x0000_s1026" o:spt="20" style="position:absolute;left:2057234;top:4295792;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IC2GqDxAQAA3QMAAA4AAAAAAAAAAQAgAAAAJQEAAGRycy9lMm9Eb2MueG1sUEsFBgAA&#10;AAAGAAYAWQEAAIgFAAAAAA==&#10;">
                  <v:fill on="f" focussize="0,0"/>
                  <v:stroke color="#000000" joinstyle="round"/>
                  <v:imagedata o:title=""/>
                  <o:lock v:ext="edit" aspectratio="f"/>
                </v:line>
                <v:line id="直线 486" o:spid="_x0000_s1026" o:spt="20" style="position:absolute;left:2057234;top:4790811;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HIcKP/WAAAABQEAAA8AAAAAAAAAAQAgAAAAIgAAAGRycy9kb3ducmV2LnhtbFBLAQIUABQA&#10;AAAIAIdO4kCOgeZk8gEAAN0DAAAOAAAAAAAAAAEAIAAAACUBAABkcnMvZTJvRG9jLnhtbFBLBQYA&#10;AAAABgAGAFkBAACJBQAAAAA=&#10;">
                  <v:fill on="f" focussize="0,0"/>
                  <v:stroke color="#000000" joinstyle="round"/>
                  <v:imagedata o:title=""/>
                  <o:lock v:ext="edit" aspectratio="f"/>
                </v:line>
                <v:line id="直线 487" o:spid="_x0000_s1026" o:spt="20" style="position:absolute;left:1028982;top:3205555;height:1947470;width:0;" filled="f" stroked="t" coordsize="21600,21600" o:gfxdata="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BaIuf1wAAAAUBAAAPAAAAAAAAAAEAIAAAACIAAABkcnMvZG93bnJldi54bWxQ&#10;SwECFAAUAAAACACHTuJAuwETcfgBAADiAwAADgAAAAAAAAABACAAAAAmAQAAZHJzL2Uyb0RvYy54&#10;bWxQSwUGAAAAAAYABgBZAQAAkAUAAAAA&#10;">
                  <v:fill on="f" focussize="0,0"/>
                  <v:stroke color="#000000" joinstyle="round" endarrow="block"/>
                  <v:imagedata o:title=""/>
                  <o:lock v:ext="edit" aspectratio="f"/>
                </v:line>
                <w10:wrap type="none"/>
                <w10:anchorlock/>
              </v:group>
            </w:pict>
          </mc:Fallback>
        </mc:AlternateContent>
      </w:r>
    </w:p>
    <w:p w14:paraId="66B0C5AF">
      <w:pPr>
        <w:pStyle w:val="42"/>
        <w:spacing w:before="156" w:beforeLines="50" w:after="156" w:afterLines="50"/>
        <w:rPr>
          <w:rFonts w:hint="eastAsia" w:ascii="黑体" w:hAnsi="黑体" w:eastAsia="黑体"/>
          <w:sz w:val="24"/>
          <w:highlight w:val="none"/>
        </w:rPr>
        <w:sectPr>
          <w:headerReference r:id="rId11" w:type="default"/>
          <w:footerReference r:id="rId12" w:type="default"/>
          <w:pgSz w:w="11906" w:h="16838"/>
          <w:pgMar w:top="1418" w:right="1134" w:bottom="1134" w:left="1588"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r>
        <w:rPr>
          <w:rFonts w:hint="eastAsia" w:ascii="黑体" w:hAnsi="黑体" w:eastAsia="黑体"/>
          <w:sz w:val="24"/>
          <w:highlight w:val="none"/>
        </w:rPr>
        <w:t>图</w:t>
      </w:r>
      <w:r>
        <w:rPr>
          <w:rFonts w:eastAsia="黑体"/>
          <w:sz w:val="24"/>
          <w:highlight w:val="none"/>
        </w:rPr>
        <w:t>1.4-1</w:t>
      </w:r>
      <w:r>
        <w:rPr>
          <w:rFonts w:hint="eastAsia" w:ascii="黑体" w:hAnsi="黑体" w:eastAsia="黑体"/>
          <w:sz w:val="24"/>
          <w:highlight w:val="none"/>
        </w:rPr>
        <w:t xml:space="preserve">  评价程序图</w:t>
      </w:r>
    </w:p>
    <w:p w14:paraId="72DEE84D">
      <w:pPr>
        <w:spacing w:before="468" w:beforeLines="150" w:after="468" w:afterLines="150"/>
        <w:ind w:firstLine="0" w:firstLineChars="0"/>
        <w:jc w:val="center"/>
        <w:outlineLvl w:val="0"/>
        <w:rPr>
          <w:rFonts w:ascii="Times New Roman" w:hAnsi="Times New Roman" w:eastAsia="黑体" w:cs="宋体"/>
          <w:b/>
          <w:bCs/>
          <w:sz w:val="32"/>
          <w:szCs w:val="28"/>
          <w:highlight w:val="none"/>
          <w:lang w:bidi="ar"/>
          <w14:ligatures w14:val="none"/>
        </w:rPr>
      </w:pPr>
      <w:bookmarkStart w:id="10" w:name="_Toc187309986"/>
      <w:r>
        <w:rPr>
          <w:rFonts w:hint="eastAsia" w:ascii="Times New Roman" w:hAnsi="Times New Roman" w:eastAsia="黑体" w:cs="宋体"/>
          <w:b/>
          <w:bCs/>
          <w:sz w:val="32"/>
          <w:szCs w:val="28"/>
          <w:highlight w:val="none"/>
          <w:lang w:bidi="ar"/>
          <w14:ligatures w14:val="none"/>
        </w:rPr>
        <w:t>2建设项目概况</w:t>
      </w:r>
      <w:bookmarkEnd w:id="10"/>
    </w:p>
    <w:p w14:paraId="6C82CF1A">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11" w:name="_Toc187309987"/>
      <w:r>
        <w:rPr>
          <w:rFonts w:hint="eastAsia" w:ascii="Times New Roman" w:hAnsi="Times New Roman" w:eastAsia="楷体" w:cs="宋体"/>
          <w:b/>
          <w:bCs/>
          <w:sz w:val="32"/>
          <w:szCs w:val="28"/>
          <w:highlight w:val="none"/>
          <w:lang w:bidi="ar"/>
          <w14:ligatures w14:val="none"/>
        </w:rPr>
        <w:t>2.1建设单位简介</w:t>
      </w:r>
      <w:bookmarkEnd w:id="11"/>
    </w:p>
    <w:p w14:paraId="714FFF78">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中铁（辽宁）本桓高速公路有限公司成立于2022年07月27日，注册地址为辽宁省本溪市明山区解放北路129-1号，法定代表人为刘宗华，类型为有限责任公司。主要从事公路管理与养护，餐饮服务（不产生油烟、异味、废气），住宿服务等业务</w:t>
      </w:r>
      <w:r>
        <w:rPr>
          <w:rFonts w:hint="eastAsia" w:ascii="Times New Roman" w:hAnsi="Times New Roman" w:eastAsia="宋体" w:cs="宋体"/>
          <w:szCs w:val="28"/>
          <w:highlight w:val="none"/>
          <w:lang w:bidi="ar"/>
          <w14:ligatures w14:val="none"/>
        </w:rPr>
        <w:t>。</w:t>
      </w:r>
    </w:p>
    <w:p w14:paraId="25089582">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中铁（辽宁）本桓高速公路有限公司</w:t>
      </w:r>
      <w:r>
        <w:rPr>
          <w:rFonts w:hint="eastAsia" w:ascii="Times New Roman" w:hAnsi="Times New Roman" w:eastAsia="宋体" w:cs="宋体"/>
          <w:szCs w:val="28"/>
          <w:highlight w:val="none"/>
          <w:lang w:bidi="ar"/>
          <w14:ligatures w14:val="none"/>
        </w:rPr>
        <w:t>已</w:t>
      </w:r>
      <w:r>
        <w:rPr>
          <w:rFonts w:ascii="Times New Roman" w:hAnsi="Times New Roman" w:eastAsia="宋体" w:cs="宋体"/>
          <w:szCs w:val="28"/>
          <w:highlight w:val="none"/>
          <w:lang w:bidi="ar"/>
          <w14:ligatures w14:val="none"/>
        </w:rPr>
        <w:t>于2024年10月31日先后取得了由本溪市应急管理局核发的《危险化学品建设项目安全条件审查意见书》（本危化项目安条审字[2024]</w:t>
      </w:r>
      <w:r>
        <w:rPr>
          <w:rFonts w:hint="eastAsia" w:ascii="Times New Roman" w:hAnsi="Times New Roman" w:eastAsia="宋体" w:cs="宋体"/>
          <w:szCs w:val="28"/>
          <w:highlight w:val="none"/>
          <w:lang w:val="en-US" w:eastAsia="zh-CN" w:bidi="ar"/>
          <w14:ligatures w14:val="none"/>
        </w:rPr>
        <w:t>1</w:t>
      </w:r>
      <w:r>
        <w:rPr>
          <w:rFonts w:ascii="Times New Roman" w:hAnsi="Times New Roman" w:eastAsia="宋体" w:cs="宋体"/>
          <w:szCs w:val="28"/>
          <w:highlight w:val="none"/>
          <w:lang w:bidi="ar"/>
          <w14:ligatures w14:val="none"/>
        </w:rPr>
        <w:t>号）和《危险化学品建设项目安全设施设计审查意见书》（本危化项目安设审字[2024]</w:t>
      </w:r>
      <w:r>
        <w:rPr>
          <w:rFonts w:hint="eastAsia" w:ascii="Times New Roman" w:hAnsi="Times New Roman" w:eastAsia="宋体" w:cs="宋体"/>
          <w:szCs w:val="28"/>
          <w:highlight w:val="none"/>
          <w:lang w:val="en-US" w:eastAsia="zh-CN" w:bidi="ar"/>
          <w14:ligatures w14:val="none"/>
        </w:rPr>
        <w:t>2</w:t>
      </w:r>
      <w:r>
        <w:rPr>
          <w:rFonts w:ascii="Times New Roman" w:hAnsi="Times New Roman" w:eastAsia="宋体" w:cs="宋体"/>
          <w:szCs w:val="28"/>
          <w:highlight w:val="none"/>
          <w:lang w:bidi="ar"/>
          <w14:ligatures w14:val="none"/>
        </w:rPr>
        <w:t>号）</w:t>
      </w:r>
      <w:r>
        <w:rPr>
          <w:rFonts w:hint="eastAsia" w:ascii="Times New Roman" w:hAnsi="Times New Roman" w:eastAsia="宋体" w:cs="宋体"/>
          <w:szCs w:val="28"/>
          <w:highlight w:val="none"/>
          <w:lang w:bidi="ar"/>
          <w14:ligatures w14:val="none"/>
        </w:rPr>
        <w:t>，相关证明文件见附件。</w:t>
      </w:r>
    </w:p>
    <w:p w14:paraId="555C59E4">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12" w:name="_Toc187309988"/>
      <w:r>
        <w:rPr>
          <w:rFonts w:hint="eastAsia" w:ascii="Times New Roman" w:hAnsi="Times New Roman" w:eastAsia="楷体" w:cs="宋体"/>
          <w:b/>
          <w:bCs/>
          <w:sz w:val="32"/>
          <w:szCs w:val="28"/>
          <w:highlight w:val="none"/>
          <w:lang w:bidi="ar"/>
          <w14:ligatures w14:val="none"/>
        </w:rPr>
        <w:t>2.2建设项目简介</w:t>
      </w:r>
      <w:bookmarkEnd w:id="12"/>
    </w:p>
    <w:p w14:paraId="320A065C">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项目名称：</w:t>
      </w:r>
      <w:r>
        <w:rPr>
          <w:rFonts w:hint="eastAsia" w:ascii="Times New Roman" w:hAnsi="Times New Roman" w:eastAsia="宋体" w:cs="宋体"/>
          <w:szCs w:val="28"/>
          <w:highlight w:val="none"/>
          <w:lang w:eastAsia="zh-CN" w:bidi="ar"/>
          <w14:ligatures w14:val="none"/>
        </w:rPr>
        <w:t>八里甸子</w:t>
      </w:r>
      <w:r>
        <w:rPr>
          <w:rFonts w:ascii="Times New Roman" w:hAnsi="Times New Roman" w:eastAsia="宋体" w:cs="宋体"/>
          <w:szCs w:val="28"/>
          <w:highlight w:val="none"/>
          <w:lang w:bidi="ar"/>
          <w14:ligatures w14:val="none"/>
        </w:rPr>
        <w:t>服务区</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侧加油站新建项目</w:t>
      </w:r>
    </w:p>
    <w:p w14:paraId="52F16C7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建设单位：</w:t>
      </w:r>
      <w:r>
        <w:rPr>
          <w:rFonts w:ascii="Times New Roman" w:hAnsi="Times New Roman" w:eastAsia="宋体" w:cs="宋体"/>
          <w:szCs w:val="28"/>
          <w:highlight w:val="none"/>
          <w:lang w:bidi="ar"/>
          <w14:ligatures w14:val="none"/>
        </w:rPr>
        <w:t>中铁（辽宁）本桓高速公路有限公司</w:t>
      </w:r>
    </w:p>
    <w:p w14:paraId="012605B2">
      <w:pPr>
        <w:ind w:firstLine="560"/>
        <w:rPr>
          <w:rFonts w:hint="eastAsia" w:ascii="Times New Roman" w:hAnsi="Times New Roman" w:eastAsia="宋体" w:cs="宋体"/>
          <w:szCs w:val="28"/>
          <w:highlight w:val="none"/>
          <w:lang w:val="en-US" w:eastAsia="zh-CN" w:bidi="ar"/>
          <w14:ligatures w14:val="none"/>
        </w:rPr>
      </w:pPr>
      <w:r>
        <w:rPr>
          <w:rFonts w:hint="eastAsia" w:ascii="Times New Roman" w:hAnsi="Times New Roman" w:eastAsia="宋体" w:cs="宋体"/>
          <w:szCs w:val="28"/>
          <w:highlight w:val="none"/>
          <w:lang w:bidi="ar"/>
          <w14:ligatures w14:val="none"/>
        </w:rPr>
        <w:t>建设地址：本溪至集安高速公路本溪至桓仁</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bidi="ar"/>
          <w14:ligatures w14:val="none"/>
        </w:rPr>
        <w:t>辽吉界</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bidi="ar"/>
          <w14:ligatures w14:val="none"/>
        </w:rPr>
        <w:t>段工程101.22公里处八里甸子北侧服务区</w:t>
      </w:r>
      <w:r>
        <w:rPr>
          <w:rFonts w:hint="eastAsia" w:ascii="Times New Roman" w:hAnsi="Times New Roman" w:eastAsia="宋体" w:cs="宋体"/>
          <w:szCs w:val="28"/>
          <w:highlight w:val="none"/>
          <w:lang w:val="en-US" w:eastAsia="zh-CN" w:bidi="ar"/>
          <w14:ligatures w14:val="none"/>
        </w:rPr>
        <w:t>内</w:t>
      </w:r>
    </w:p>
    <w:p w14:paraId="2AB536D6">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建设性质：新建项目</w:t>
      </w:r>
    </w:p>
    <w:p w14:paraId="050579ED">
      <w:pPr>
        <w:ind w:firstLine="560"/>
        <w:rPr>
          <w:rFonts w:hint="eastAsia"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项目总投资：</w:t>
      </w:r>
      <w:r>
        <w:rPr>
          <w:rFonts w:hint="eastAsia" w:ascii="Times New Roman" w:hAnsi="Times New Roman" w:eastAsia="宋体" w:cs="宋体"/>
          <w:szCs w:val="28"/>
          <w:highlight w:val="none"/>
          <w:lang w:val="en-US" w:eastAsia="zh-CN" w:bidi="ar"/>
          <w14:ligatures w14:val="none"/>
        </w:rPr>
        <w:t>480</w:t>
      </w:r>
      <w:r>
        <w:rPr>
          <w:rFonts w:hint="eastAsia" w:ascii="Times New Roman" w:hAnsi="Times New Roman" w:eastAsia="宋体" w:cs="宋体"/>
          <w:szCs w:val="28"/>
          <w:highlight w:val="none"/>
          <w:lang w:bidi="ar"/>
          <w14:ligatures w14:val="none"/>
        </w:rPr>
        <w:t>万元</w:t>
      </w:r>
    </w:p>
    <w:p w14:paraId="2926DBBF">
      <w:pPr>
        <w:ind w:firstLine="560"/>
        <w:rPr>
          <w:rFonts w:hint="eastAsia"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建设项目所在土地由辽宁省交通运输事业发展中心于2024年7月22日征得宗地HG2024-</w:t>
      </w:r>
      <w:r>
        <w:rPr>
          <w:rFonts w:hint="eastAsia" w:ascii="Times New Roman" w:hAnsi="Times New Roman" w:eastAsia="宋体" w:cs="宋体"/>
          <w:szCs w:val="28"/>
          <w:highlight w:val="none"/>
          <w:lang w:val="en-US" w:eastAsia="zh-CN" w:bidi="ar"/>
          <w14:ligatures w14:val="none"/>
        </w:rPr>
        <w:t>3</w:t>
      </w:r>
      <w:r>
        <w:rPr>
          <w:rFonts w:hint="eastAsia" w:ascii="Times New Roman" w:hAnsi="Times New Roman" w:eastAsia="宋体" w:cs="宋体"/>
          <w:szCs w:val="28"/>
          <w:highlight w:val="none"/>
          <w:lang w:bidi="ar"/>
          <w14:ligatures w14:val="none"/>
        </w:rPr>
        <w:t>地块面积</w:t>
      </w:r>
      <w:r>
        <w:rPr>
          <w:rFonts w:hint="eastAsia" w:ascii="Times New Roman" w:hAnsi="Times New Roman" w:eastAsia="宋体" w:cs="宋体"/>
          <w:szCs w:val="28"/>
          <w:highlight w:val="none"/>
          <w:lang w:val="en-US" w:eastAsia="zh-CN" w:bidi="ar"/>
          <w14:ligatures w14:val="none"/>
        </w:rPr>
        <w:t>2051.13</w:t>
      </w:r>
      <w:r>
        <w:rPr>
          <w:rFonts w:hint="eastAsia" w:ascii="Times New Roman" w:hAnsi="Times New Roman" w:eastAsia="宋体" w:cs="宋体"/>
          <w:szCs w:val="28"/>
          <w:highlight w:val="none"/>
          <w:lang w:bidi="ar"/>
          <w14:ligatures w14:val="none"/>
        </w:rPr>
        <w:t>m</w:t>
      </w:r>
      <w:r>
        <w:rPr>
          <w:rFonts w:hint="eastAsia" w:ascii="Times New Roman" w:hAnsi="Times New Roman" w:eastAsia="宋体" w:cs="宋体"/>
          <w:szCs w:val="28"/>
          <w:highlight w:val="none"/>
          <w:vertAlign w:val="superscript"/>
          <w:lang w:bidi="ar"/>
          <w14:ligatures w14:val="none"/>
        </w:rPr>
        <w:t>2</w:t>
      </w:r>
      <w:r>
        <w:rPr>
          <w:rFonts w:hint="eastAsia" w:ascii="Times New Roman" w:hAnsi="Times New Roman" w:eastAsia="宋体" w:cs="宋体"/>
          <w:szCs w:val="28"/>
          <w:highlight w:val="none"/>
          <w:lang w:bidi="ar"/>
          <w14:ligatures w14:val="none"/>
        </w:rPr>
        <w:t>，并取得《国有土地使用权挂牌出让竞买成交确认书》（桓交易中心[2024]2号）。</w:t>
      </w:r>
    </w:p>
    <w:p w14:paraId="3E233155">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建设内容及规模：</w:t>
      </w:r>
    </w:p>
    <w:p w14:paraId="2ADECD7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（1）新建1座非承重埋地罐区：设6座SF双层油罐，其中2座车用乙醇汽油储罐，储量均为30m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，即车用乙醇汽油储罐总容积为60m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；4座柴油储罐，储量均为30m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，即柴油储罐总容积为120m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。按《汽车加油加气加氢站技术标准》（GB50156-2021）3.0.9中规定，该加油站油罐容积为120m³（柴油罐容积折半计入），故该站为二级加油站。</w:t>
      </w:r>
    </w:p>
    <w:p w14:paraId="407C796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（2）车用乙醇汽油罐与柴油罐的通气管分开设置，共设6根通气管，其中2根为车用乙醇汽油通气管，4</w:t>
      </w:r>
      <w:r>
        <w:rPr>
          <w:rFonts w:ascii="Times New Roman" w:hAnsi="Times New Roman" w:eastAsia="宋体" w:cs="宋体"/>
          <w:szCs w:val="28"/>
          <w:highlight w:val="none"/>
          <w:lang w:bidi="ar"/>
          <w14:ligatures w14:val="none"/>
        </w:rPr>
        <w:t>根为柴油通气管</w:t>
      </w:r>
      <w:r>
        <w:rPr>
          <w:rFonts w:hint="eastAsia" w:ascii="Times New Roman" w:hAnsi="Times New Roman" w:eastAsia="宋体" w:cs="宋体"/>
          <w:szCs w:val="28"/>
          <w:highlight w:val="none"/>
          <w:lang w:bidi="ar"/>
          <w14:ligatures w14:val="none"/>
        </w:rPr>
        <w:t>。</w:t>
      </w:r>
    </w:p>
    <w:p w14:paraId="024A99AC">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（3）埋地罐区</w:t>
      </w:r>
      <w:r>
        <w:rPr>
          <w:rFonts w:hint="eastAsia" w:ascii="Times New Roman" w:hAnsi="Times New Roman" w:eastAsia="宋体" w:cs="宋体"/>
          <w:szCs w:val="28"/>
          <w:highlight w:val="none"/>
          <w:lang w:val="en-US" w:eastAsia="zh-CN" w:bidi="ar"/>
          <w14:ligatures w14:val="none"/>
        </w:rPr>
        <w:t>东</w:t>
      </w:r>
      <w:r>
        <w:rPr>
          <w:rFonts w:hint="eastAsia" w:ascii="Times New Roman" w:hAnsi="Times New Roman" w:eastAsia="宋体" w:cs="宋体"/>
          <w:szCs w:val="28"/>
          <w:highlight w:val="none"/>
          <w:lang w:bidi="ar"/>
          <w14:ligatures w14:val="none"/>
        </w:rPr>
        <w:t>侧为密闭卸油点，内设4个柴油卸油口，2个车用乙醇汽油卸油口和1个车用乙醇汽油油气回收口。</w:t>
      </w:r>
    </w:p>
    <w:p w14:paraId="02F61DE0">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（4）新建1座型钢结构加油罩棚，建筑面积为420m</w:t>
      </w:r>
      <w:r>
        <w:rPr>
          <w:rFonts w:hint="eastAsia" w:ascii="Times New Roman" w:hAnsi="Times New Roman" w:eastAsia="宋体" w:cs="宋体"/>
          <w:szCs w:val="28"/>
          <w:highlight w:val="none"/>
          <w:vertAlign w:val="superscript"/>
          <w:lang w:bidi="ar"/>
          <w14:ligatures w14:val="none"/>
        </w:rPr>
        <w:t>2</w:t>
      </w:r>
      <w:r>
        <w:rPr>
          <w:rFonts w:hint="eastAsia" w:ascii="Times New Roman" w:hAnsi="Times New Roman" w:eastAsia="宋体" w:cs="宋体"/>
          <w:szCs w:val="28"/>
          <w:highlight w:val="none"/>
          <w:lang w:bidi="ar"/>
          <w14:ligatures w14:val="none"/>
        </w:rPr>
        <w:t>，罩棚下设有6座加油岛，共布置2台四枪双油品潜油泵式车用乙醇汽油加油机和4台双枪双油品潜油泵式柴油加油机。</w:t>
      </w:r>
    </w:p>
    <w:p w14:paraId="36E4CB4E">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（5）新建一座单层站房，总建筑面积为189.98m</w:t>
      </w:r>
      <w:r>
        <w:rPr>
          <w:rFonts w:hint="eastAsia" w:ascii="Times New Roman" w:hAnsi="Times New Roman" w:eastAsia="宋体" w:cs="宋体"/>
          <w:szCs w:val="28"/>
          <w:highlight w:val="none"/>
          <w:vertAlign w:val="superscript"/>
          <w:lang w:bidi="ar"/>
          <w14:ligatures w14:val="none"/>
        </w:rPr>
        <w:t>2</w:t>
      </w:r>
      <w:r>
        <w:rPr>
          <w:rFonts w:hint="eastAsia" w:ascii="Times New Roman" w:hAnsi="Times New Roman" w:eastAsia="宋体" w:cs="宋体"/>
          <w:szCs w:val="28"/>
          <w:highlight w:val="none"/>
          <w:lang w:bidi="ar"/>
          <w14:ligatures w14:val="none"/>
        </w:rPr>
        <w:t>，内部设</w:t>
      </w:r>
      <w:r>
        <w:rPr>
          <w:rFonts w:ascii="Times New Roman" w:hAnsi="Times New Roman" w:eastAsia="宋体" w:cs="宋体"/>
          <w:szCs w:val="28"/>
          <w:highlight w:val="none"/>
          <w:lang w:bidi="ar"/>
          <w14:ligatures w14:val="none"/>
        </w:rPr>
        <w:t>营业厅、收银室、财务室、控制室、值班室、办公室、卫生间</w:t>
      </w:r>
      <w:r>
        <w:rPr>
          <w:rFonts w:hint="eastAsia" w:ascii="Times New Roman" w:hAnsi="Times New Roman" w:eastAsia="宋体" w:cs="宋体"/>
          <w:szCs w:val="28"/>
          <w:highlight w:val="none"/>
          <w:lang w:bidi="ar"/>
          <w14:ligatures w14:val="none"/>
        </w:rPr>
        <w:t>等功能间。</w:t>
      </w:r>
    </w:p>
    <w:p w14:paraId="02585144">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（6）该站设置车用乙醇汽油卸油油气回收及加油油气回收系统，</w:t>
      </w:r>
      <w:r>
        <w:rPr>
          <w:rFonts w:hint="eastAsia" w:ascii="Times New Roman" w:hAnsi="Times New Roman" w:eastAsia="宋体" w:cs="宋体"/>
          <w:szCs w:val="28"/>
          <w:highlight w:val="none"/>
          <w:lang w:val="en-US" w:eastAsia="zh-CN" w:bidi="ar"/>
          <w14:ligatures w14:val="none"/>
        </w:rPr>
        <w:t>设置</w:t>
      </w:r>
      <w:r>
        <w:rPr>
          <w:rFonts w:hint="eastAsia" w:ascii="Times New Roman" w:hAnsi="Times New Roman" w:eastAsia="宋体" w:cs="宋体"/>
          <w:szCs w:val="28"/>
          <w:highlight w:val="none"/>
          <w:lang w:bidi="ar"/>
          <w14:ligatures w14:val="none"/>
        </w:rPr>
        <w:t>三次油气回收系统</w:t>
      </w:r>
      <w:r>
        <w:rPr>
          <w:rFonts w:hint="eastAsia" w:ascii="Times New Roman" w:hAnsi="Times New Roman" w:eastAsia="宋体" w:cs="宋体"/>
          <w:szCs w:val="28"/>
          <w:highlight w:val="none"/>
          <w:lang w:val="en-US" w:eastAsia="zh-CN" w:bidi="ar"/>
          <w14:ligatures w14:val="none"/>
        </w:rPr>
        <w:t>并设有一根三次油气回收通气管</w:t>
      </w:r>
      <w:r>
        <w:rPr>
          <w:rFonts w:hint="eastAsia" w:ascii="Times New Roman" w:hAnsi="Times New Roman" w:eastAsia="宋体" w:cs="宋体"/>
          <w:szCs w:val="28"/>
          <w:highlight w:val="none"/>
          <w:lang w:bidi="ar"/>
          <w14:ligatures w14:val="none"/>
        </w:rPr>
        <w:t>；油罐采用液位监控系统，每台油罐上设置一台具有高液位报警功能的远传液位计，仪表检测信号传送至值班室；油罐和双层管道分别设油气渗漏检测报警装置；</w:t>
      </w:r>
      <w:r>
        <w:rPr>
          <w:rFonts w:ascii="Times New Roman" w:hAnsi="Times New Roman" w:eastAsia="宋体" w:cs="宋体"/>
          <w:szCs w:val="28"/>
          <w:highlight w:val="none"/>
          <w:lang w:bidi="ar"/>
          <w14:ligatures w14:val="none"/>
        </w:rPr>
        <w:t>卸油点附近、加油机附近、控制室内</w:t>
      </w:r>
      <w:r>
        <w:rPr>
          <w:rFonts w:hint="eastAsia" w:ascii="Times New Roman" w:hAnsi="Times New Roman" w:eastAsia="宋体" w:cs="宋体"/>
          <w:szCs w:val="28"/>
          <w:highlight w:val="none"/>
          <w:lang w:bidi="ar"/>
          <w14:ligatures w14:val="none"/>
        </w:rPr>
        <w:t>便于操作的位置设有紧急切断按钮。</w:t>
      </w:r>
    </w:p>
    <w:p w14:paraId="14AEA0F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“三同时”情况：</w:t>
      </w:r>
    </w:p>
    <w:p w14:paraId="27B0D050">
      <w:pPr>
        <w:numPr>
          <w:ilvl w:val="0"/>
          <w:numId w:val="1"/>
        </w:numPr>
        <w:ind w:firstLine="560"/>
        <w:rPr>
          <w:rFonts w:hint="eastAsia"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设立安全评价</w:t>
      </w:r>
      <w:r>
        <w:rPr>
          <w:rFonts w:hint="eastAsia" w:ascii="Times New Roman" w:hAnsi="Times New Roman" w:eastAsia="宋体" w:cs="宋体"/>
          <w:szCs w:val="28"/>
          <w:highlight w:val="none"/>
          <w:lang w:bidi="ar"/>
          <w14:ligatures w14:val="none"/>
        </w:rPr>
        <w:t>编制单位：</w:t>
      </w:r>
      <w:r>
        <w:rPr>
          <w:rFonts w:ascii="Times New Roman" w:hAnsi="Times New Roman" w:eastAsia="宋体" w:cs="宋体"/>
          <w:szCs w:val="28"/>
          <w:highlight w:val="none"/>
          <w:lang w:bidi="ar"/>
          <w14:ligatures w14:val="none"/>
        </w:rPr>
        <w:t>辽宁东安安全技术咨询服务有限公司</w:t>
      </w:r>
      <w:r>
        <w:rPr>
          <w:rFonts w:hint="eastAsia" w:ascii="Times New Roman" w:hAnsi="Times New Roman" w:eastAsia="宋体" w:cs="宋体"/>
          <w:szCs w:val="28"/>
          <w:highlight w:val="none"/>
          <w:lang w:bidi="ar"/>
          <w14:ligatures w14:val="none"/>
        </w:rPr>
        <w:t>。2024年10月31日取得了由本溪市应急管理局核发的《危险化学品建设项目安全条件审查意见书》（本危化项目安条审字[2024]</w:t>
      </w:r>
      <w:r>
        <w:rPr>
          <w:rFonts w:hint="eastAsia" w:ascii="Times New Roman" w:hAnsi="Times New Roman" w:eastAsia="宋体" w:cs="宋体"/>
          <w:szCs w:val="28"/>
          <w:highlight w:val="none"/>
          <w:lang w:val="en-US" w:eastAsia="zh-CN" w:bidi="ar"/>
          <w14:ligatures w14:val="none"/>
        </w:rPr>
        <w:t>1</w:t>
      </w:r>
      <w:r>
        <w:rPr>
          <w:rFonts w:hint="eastAsia" w:ascii="Times New Roman" w:hAnsi="Times New Roman" w:eastAsia="宋体" w:cs="宋体"/>
          <w:szCs w:val="28"/>
          <w:highlight w:val="none"/>
          <w:lang w:bidi="ar"/>
          <w14:ligatures w14:val="none"/>
        </w:rPr>
        <w:t>号）</w:t>
      </w:r>
    </w:p>
    <w:p w14:paraId="619C80CB">
      <w:pPr>
        <w:numPr>
          <w:ilvl w:val="0"/>
          <w:numId w:val="1"/>
        </w:num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安全设施设计专篇</w:t>
      </w:r>
      <w:r>
        <w:rPr>
          <w:rFonts w:hint="eastAsia" w:ascii="Times New Roman" w:hAnsi="Times New Roman" w:eastAsia="宋体" w:cs="宋体"/>
          <w:szCs w:val="28"/>
          <w:highlight w:val="none"/>
          <w:lang w:bidi="ar"/>
          <w14:ligatures w14:val="none"/>
        </w:rPr>
        <w:t>编制单位：</w:t>
      </w:r>
      <w:r>
        <w:rPr>
          <w:rFonts w:ascii="Times New Roman" w:hAnsi="Times New Roman" w:eastAsia="宋体" w:cs="宋体"/>
          <w:szCs w:val="28"/>
          <w:highlight w:val="none"/>
          <w:lang w:bidi="ar"/>
          <w14:ligatures w14:val="none"/>
        </w:rPr>
        <w:t>中交城市能源研究设计院有限公司</w:t>
      </w:r>
      <w:r>
        <w:rPr>
          <w:rFonts w:hint="eastAsia" w:ascii="Times New Roman" w:hAnsi="Times New Roman" w:eastAsia="宋体" w:cs="宋体"/>
          <w:szCs w:val="28"/>
          <w:highlight w:val="none"/>
          <w:lang w:bidi="ar"/>
          <w14:ligatures w14:val="none"/>
        </w:rPr>
        <w:t>。于2024年10月31日取得了由本溪市应急管理局核发的《危险化学品建设项目安全设施设计审查意见书》（本危化项目安设审字[2024]</w:t>
      </w:r>
      <w:r>
        <w:rPr>
          <w:rFonts w:hint="eastAsia" w:ascii="Times New Roman" w:hAnsi="Times New Roman" w:eastAsia="宋体" w:cs="宋体"/>
          <w:szCs w:val="28"/>
          <w:highlight w:val="none"/>
          <w:lang w:val="en-US" w:eastAsia="zh-CN" w:bidi="ar"/>
          <w14:ligatures w14:val="none"/>
        </w:rPr>
        <w:t>2</w:t>
      </w:r>
      <w:r>
        <w:rPr>
          <w:rFonts w:hint="eastAsia" w:ascii="Times New Roman" w:hAnsi="Times New Roman" w:eastAsia="宋体" w:cs="宋体"/>
          <w:szCs w:val="28"/>
          <w:highlight w:val="none"/>
          <w:lang w:bidi="ar"/>
          <w14:ligatures w14:val="none"/>
        </w:rPr>
        <w:t>号）。</w:t>
      </w:r>
    </w:p>
    <w:p w14:paraId="3A45676A">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设计、施工单位资质情况：</w:t>
      </w:r>
    </w:p>
    <w:p w14:paraId="139D0EB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1</w:t>
      </w:r>
      <w:r>
        <w:rPr>
          <w:rFonts w:hint="eastAsia" w:ascii="Times New Roman" w:hAnsi="Times New Roman" w:eastAsia="宋体" w:cs="宋体"/>
          <w:szCs w:val="28"/>
          <w:highlight w:val="none"/>
          <w:lang w:bidi="ar"/>
          <w14:ligatures w14:val="none"/>
        </w:rPr>
        <w:t>）设计单位：</w:t>
      </w:r>
      <w:r>
        <w:rPr>
          <w:rFonts w:ascii="Times New Roman" w:hAnsi="Times New Roman" w:eastAsia="宋体" w:cs="宋体"/>
          <w:szCs w:val="28"/>
          <w:highlight w:val="none"/>
          <w:lang w:bidi="ar"/>
          <w14:ligatures w14:val="none"/>
        </w:rPr>
        <w:t>中交城市能源研究设计院有限公司</w:t>
      </w:r>
      <w:r>
        <w:rPr>
          <w:rFonts w:hint="eastAsia" w:ascii="Times New Roman" w:hAnsi="Times New Roman" w:eastAsia="宋体" w:cs="宋体"/>
          <w:szCs w:val="28"/>
          <w:highlight w:val="none"/>
          <w:lang w:bidi="ar"/>
          <w14:ligatures w14:val="none"/>
        </w:rPr>
        <w:t>：化工石化医药行业（石油及化工产品储运）专业甲级；</w:t>
      </w:r>
      <w:r>
        <w:rPr>
          <w:rFonts w:ascii="Times New Roman" w:hAnsi="Times New Roman" w:eastAsia="宋体" w:cs="宋体"/>
          <w:szCs w:val="28"/>
          <w:highlight w:val="none"/>
          <w:lang w:bidi="ar"/>
          <w14:ligatures w14:val="none"/>
        </w:rPr>
        <w:t>市政行业（城镇燃气工程</w:t>
      </w:r>
      <w:r>
        <w:rPr>
          <w:rFonts w:hint="eastAsia" w:ascii="Times New Roman" w:hAnsi="Times New Roman" w:eastAsia="宋体" w:cs="宋体"/>
          <w:szCs w:val="28"/>
          <w:highlight w:val="none"/>
          <w:lang w:bidi="ar"/>
          <w14:ligatures w14:val="none"/>
        </w:rPr>
        <w:t>、热力工程</w:t>
      </w:r>
      <w:r>
        <w:rPr>
          <w:rFonts w:ascii="Times New Roman" w:hAnsi="Times New Roman" w:eastAsia="宋体" w:cs="宋体"/>
          <w:szCs w:val="28"/>
          <w:highlight w:val="none"/>
          <w:lang w:bidi="ar"/>
          <w14:ligatures w14:val="none"/>
        </w:rPr>
        <w:t>）专业</w:t>
      </w:r>
      <w:r>
        <w:rPr>
          <w:rFonts w:hint="eastAsia" w:ascii="Times New Roman" w:hAnsi="Times New Roman" w:eastAsia="宋体" w:cs="宋体"/>
          <w:szCs w:val="28"/>
          <w:highlight w:val="none"/>
          <w:lang w:bidi="ar"/>
          <w14:ligatures w14:val="none"/>
        </w:rPr>
        <w:t>甲</w:t>
      </w:r>
      <w:r>
        <w:rPr>
          <w:rFonts w:ascii="Times New Roman" w:hAnsi="Times New Roman" w:eastAsia="宋体" w:cs="宋体"/>
          <w:szCs w:val="28"/>
          <w:highlight w:val="none"/>
          <w:lang w:bidi="ar"/>
          <w14:ligatures w14:val="none"/>
        </w:rPr>
        <w:t>级</w:t>
      </w:r>
      <w:r>
        <w:rPr>
          <w:rFonts w:hint="eastAsia" w:ascii="Times New Roman" w:hAnsi="Times New Roman" w:eastAsia="宋体" w:cs="宋体"/>
          <w:szCs w:val="28"/>
          <w:highlight w:val="none"/>
          <w:lang w:bidi="ar"/>
          <w14:ligatures w14:val="none"/>
        </w:rPr>
        <w:t>；建筑行业（建筑工程）甲级，证书编号：A121000076。</w:t>
      </w:r>
    </w:p>
    <w:p w14:paraId="36A4DC5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2</w:t>
      </w:r>
      <w:r>
        <w:rPr>
          <w:rFonts w:hint="eastAsia" w:ascii="Times New Roman" w:hAnsi="Times New Roman" w:eastAsia="宋体" w:cs="宋体"/>
          <w:szCs w:val="28"/>
          <w:highlight w:val="none"/>
          <w:lang w:bidi="ar"/>
          <w14:ligatures w14:val="none"/>
        </w:rPr>
        <w:t>）施工单位：</w:t>
      </w:r>
      <w:r>
        <w:rPr>
          <w:rFonts w:hint="eastAsia" w:ascii="Times New Roman" w:hAnsi="Times New Roman" w:eastAsia="宋体" w:cs="宋体"/>
          <w:szCs w:val="28"/>
          <w:highlight w:val="none"/>
          <w:lang w:val="en-US" w:eastAsia="zh-CN" w:bidi="ar"/>
          <w14:ligatures w14:val="none"/>
        </w:rPr>
        <w:t>黑龙江逸景建筑工程有限公司</w:t>
      </w:r>
      <w:r>
        <w:rPr>
          <w:rFonts w:hint="eastAsia" w:ascii="Times New Roman" w:hAnsi="Times New Roman" w:eastAsia="宋体" w:cs="宋体"/>
          <w:szCs w:val="28"/>
          <w:highlight w:val="none"/>
          <w:lang w:bidi="ar"/>
          <w14:ligatures w14:val="none"/>
        </w:rPr>
        <w:t>：石油化工工程</w:t>
      </w:r>
      <w:r>
        <w:rPr>
          <w:rFonts w:hint="eastAsia" w:ascii="Times New Roman" w:hAnsi="Times New Roman" w:eastAsia="宋体" w:cs="宋体"/>
          <w:szCs w:val="28"/>
          <w:highlight w:val="none"/>
          <w:lang w:val="en-US" w:eastAsia="zh-CN" w:bidi="ar"/>
          <w14:ligatures w14:val="none"/>
        </w:rPr>
        <w:t>施工</w:t>
      </w:r>
      <w:r>
        <w:rPr>
          <w:rFonts w:hint="eastAsia" w:ascii="Times New Roman" w:hAnsi="Times New Roman" w:eastAsia="宋体" w:cs="宋体"/>
          <w:szCs w:val="28"/>
          <w:highlight w:val="none"/>
          <w:lang w:bidi="ar"/>
          <w14:ligatures w14:val="none"/>
        </w:rPr>
        <w:t>总承包</w:t>
      </w:r>
      <w:r>
        <w:rPr>
          <w:rFonts w:hint="eastAsia" w:ascii="Times New Roman" w:hAnsi="Times New Roman" w:eastAsia="宋体" w:cs="宋体"/>
          <w:szCs w:val="28"/>
          <w:highlight w:val="none"/>
          <w:lang w:val="en-US" w:eastAsia="zh-CN" w:bidi="ar"/>
          <w14:ligatures w14:val="none"/>
        </w:rPr>
        <w:t>二</w:t>
      </w:r>
      <w:r>
        <w:rPr>
          <w:rFonts w:hint="eastAsia" w:ascii="Times New Roman" w:hAnsi="Times New Roman" w:eastAsia="宋体" w:cs="宋体"/>
          <w:szCs w:val="28"/>
          <w:highlight w:val="none"/>
          <w:lang w:bidi="ar"/>
          <w14:ligatures w14:val="none"/>
        </w:rPr>
        <w:t>级，证书编号：D</w:t>
      </w:r>
      <w:r>
        <w:rPr>
          <w:rFonts w:hint="eastAsia" w:ascii="Times New Roman" w:hAnsi="Times New Roman" w:eastAsia="宋体" w:cs="宋体"/>
          <w:szCs w:val="28"/>
          <w:highlight w:val="none"/>
          <w:lang w:val="en-US" w:eastAsia="zh-CN" w:bidi="ar"/>
          <w14:ligatures w14:val="none"/>
        </w:rPr>
        <w:t>423306224</w:t>
      </w:r>
      <w:r>
        <w:rPr>
          <w:rFonts w:hint="eastAsia" w:ascii="Times New Roman" w:hAnsi="Times New Roman" w:eastAsia="宋体" w:cs="宋体"/>
          <w:szCs w:val="28"/>
          <w:highlight w:val="none"/>
          <w:lang w:bidi="ar"/>
          <w14:ligatures w14:val="none"/>
        </w:rPr>
        <w:t>。</w:t>
      </w:r>
    </w:p>
    <w:p w14:paraId="0D70273A">
      <w:pPr>
        <w:keepNext/>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13" w:name="_Toc26869"/>
      <w:bookmarkStart w:id="14" w:name="_Toc187309989"/>
      <w:bookmarkStart w:id="15" w:name="_Toc22200"/>
      <w:bookmarkStart w:id="16" w:name="_Toc1254"/>
      <w:bookmarkStart w:id="17" w:name="_Toc361059941"/>
      <w:bookmarkStart w:id="18" w:name="_Toc9000"/>
      <w:r>
        <w:rPr>
          <w:rFonts w:ascii="Times New Roman" w:hAnsi="Times New Roman" w:eastAsia="楷体" w:cs="宋体"/>
          <w:b/>
          <w:bCs/>
          <w:sz w:val="32"/>
          <w:szCs w:val="28"/>
          <w:highlight w:val="none"/>
          <w:lang w:bidi="ar"/>
          <w14:ligatures w14:val="none"/>
        </w:rPr>
        <w:t>2.3采用的主要技术、工艺和同类项目水平对比情况</w:t>
      </w:r>
      <w:bookmarkEnd w:id="13"/>
      <w:bookmarkEnd w:id="14"/>
      <w:bookmarkEnd w:id="15"/>
      <w:bookmarkEnd w:id="16"/>
    </w:p>
    <w:p w14:paraId="229D8788">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bookmarkStart w:id="19" w:name="_Toc25590"/>
      <w:r>
        <w:rPr>
          <w:rFonts w:ascii="Times New Roman" w:hAnsi="Times New Roman" w:eastAsia="黑体" w:cs="Times New Roman"/>
          <w:b/>
          <w:bCs/>
          <w:kern w:val="0"/>
          <w:szCs w:val="20"/>
          <w:highlight w:val="none"/>
          <w14:ligatures w14:val="none"/>
        </w:rPr>
        <w:t>2.3.1</w:t>
      </w:r>
      <w:bookmarkEnd w:id="17"/>
      <w:bookmarkEnd w:id="18"/>
      <w:r>
        <w:rPr>
          <w:rFonts w:ascii="Times New Roman" w:hAnsi="Times New Roman" w:eastAsia="黑体" w:cs="Times New Roman"/>
          <w:b/>
          <w:bCs/>
          <w:kern w:val="0"/>
          <w:szCs w:val="20"/>
          <w:highlight w:val="none"/>
          <w14:ligatures w14:val="none"/>
        </w:rPr>
        <w:t>建设项目采用的主要技术、工艺</w:t>
      </w:r>
      <w:bookmarkEnd w:id="19"/>
    </w:p>
    <w:p w14:paraId="10652D5F">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按照国家有关环境保护标准和政府有关环境保护法规、法令的要求，</w:t>
      </w: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的储油罐采用了内钢外玻璃纤维增强塑料双层储罐，可有效避免渗漏油品进入地下环境，污染土壤和地下水，呈卧式埋地设置；加油管道双层热塑性塑料加油管道，其他工艺管线采用无缝钢管；储罐及加油管道拥有均匀的夹层空间并配有一个和夹层空间相通的检测立管，可以随时监测油罐是否泄漏，并远传至</w:t>
      </w:r>
      <w:r>
        <w:rPr>
          <w:rFonts w:hint="eastAsia" w:ascii="Times New Roman" w:hAnsi="Times New Roman" w:eastAsia="宋体" w:cs="宋体"/>
          <w:szCs w:val="28"/>
          <w:highlight w:val="none"/>
          <w:lang w:bidi="ar"/>
          <w14:ligatures w14:val="none"/>
        </w:rPr>
        <w:t>站房内</w:t>
      </w:r>
      <w:r>
        <w:rPr>
          <w:rFonts w:ascii="Times New Roman" w:hAnsi="Times New Roman" w:eastAsia="宋体" w:cs="宋体"/>
          <w:szCs w:val="28"/>
          <w:highlight w:val="none"/>
          <w:lang w:bidi="ar"/>
          <w14:ligatures w14:val="none"/>
        </w:rPr>
        <w:t>的防渗漏检测装置。</w:t>
      </w:r>
    </w:p>
    <w:p w14:paraId="148A5B7F">
      <w:pPr>
        <w:ind w:firstLine="560"/>
        <w:rPr>
          <w:rFonts w:ascii="Times New Roman" w:hAnsi="Times New Roman" w:eastAsia="宋体" w:cs="宋体"/>
          <w:szCs w:val="28"/>
          <w:highlight w:val="none"/>
          <w:lang w:bidi="ar"/>
          <w14:ligatures w14:val="none"/>
        </w:rPr>
      </w:pPr>
      <w:bookmarkStart w:id="20" w:name="_Toc12908"/>
      <w:r>
        <w:rPr>
          <w:rFonts w:ascii="Times New Roman" w:hAnsi="Times New Roman" w:eastAsia="宋体" w:cs="宋体"/>
          <w:szCs w:val="28"/>
          <w:highlight w:val="none"/>
          <w:lang w:bidi="ar"/>
          <w14:ligatures w14:val="none"/>
        </w:rPr>
        <w:t>加油站的主要工艺分为卸油工艺和加油工艺。</w:t>
      </w:r>
    </w:p>
    <w:p w14:paraId="1AE4E3A4">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采用的卸油工艺为密闭卸油，分为车用乙醇汽油密闭卸油工艺和柴油密闭卸油工艺。车用乙醇汽油密闭卸油设油气回收系统，采用平衡式密闭回收系统；卸油油气回收管道采用非自闭式快速接头，在靠近快速接头的连接管道上装设阀门。</w:t>
      </w:r>
    </w:p>
    <w:p w14:paraId="59FDCF8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采用的加油工艺为</w:t>
      </w:r>
      <w:r>
        <w:rPr>
          <w:rFonts w:hint="eastAsia" w:ascii="Times New Roman" w:hAnsi="Times New Roman" w:eastAsia="宋体" w:cs="宋体"/>
          <w:szCs w:val="28"/>
          <w:highlight w:val="none"/>
          <w:lang w:bidi="ar"/>
          <w14:ligatures w14:val="none"/>
        </w:rPr>
        <w:t>潜油泵</w:t>
      </w:r>
      <w:r>
        <w:rPr>
          <w:rFonts w:ascii="Times New Roman" w:hAnsi="Times New Roman" w:eastAsia="宋体" w:cs="宋体"/>
          <w:szCs w:val="28"/>
          <w:highlight w:val="none"/>
          <w:lang w:bidi="ar"/>
          <w14:ligatures w14:val="none"/>
        </w:rPr>
        <w:t>式加油工艺。车用乙醇汽油加油工艺设油气回收系统，采用真空辅助式油气回收系统，采取防止油气反向流至加油枪的措施。</w:t>
      </w:r>
    </w:p>
    <w:p w14:paraId="790EB29F">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采用的</w:t>
      </w:r>
      <w:r>
        <w:rPr>
          <w:rFonts w:hint="eastAsia" w:ascii="Times New Roman" w:hAnsi="Times New Roman" w:eastAsia="宋体" w:cs="宋体"/>
          <w:szCs w:val="28"/>
          <w:highlight w:val="none"/>
          <w:lang w:bidi="ar"/>
          <w14:ligatures w14:val="none"/>
        </w:rPr>
        <w:t>潜油泵</w:t>
      </w:r>
      <w:r>
        <w:rPr>
          <w:rFonts w:ascii="Times New Roman" w:hAnsi="Times New Roman" w:eastAsia="宋体" w:cs="宋体"/>
          <w:szCs w:val="28"/>
          <w:highlight w:val="none"/>
          <w:lang w:bidi="ar"/>
          <w14:ligatures w14:val="none"/>
        </w:rPr>
        <w:t>式加油机，带有</w:t>
      </w:r>
      <w:r>
        <w:rPr>
          <w:rFonts w:hint="eastAsia" w:ascii="Times New Roman" w:hAnsi="Times New Roman" w:eastAsia="宋体" w:cs="宋体"/>
          <w:szCs w:val="28"/>
          <w:highlight w:val="none"/>
          <w:lang w:bidi="ar"/>
          <w14:ligatures w14:val="none"/>
        </w:rPr>
        <w:t>剪切阀、</w:t>
      </w:r>
      <w:r>
        <w:rPr>
          <w:rFonts w:ascii="Times New Roman" w:hAnsi="Times New Roman" w:eastAsia="宋体" w:cs="宋体"/>
          <w:szCs w:val="28"/>
          <w:highlight w:val="none"/>
          <w:lang w:bidi="ar"/>
          <w14:ligatures w14:val="none"/>
        </w:rPr>
        <w:t>分散式真空泵和具备油气回收功能的自封式加油枪，加油软管自带安全拉断阀。</w:t>
      </w:r>
      <w:r>
        <w:rPr>
          <w:rFonts w:hint="eastAsia" w:ascii="Times New Roman" w:hAnsi="Times New Roman" w:eastAsia="宋体" w:cs="宋体"/>
          <w:szCs w:val="28"/>
          <w:highlight w:val="none"/>
          <w:lang w:bidi="ar"/>
          <w14:ligatures w14:val="none"/>
        </w:rPr>
        <w:t>剪切阀的</w:t>
      </w:r>
      <w:r>
        <w:rPr>
          <w:rFonts w:ascii="Times New Roman" w:hAnsi="Times New Roman" w:eastAsia="宋体" w:cs="宋体"/>
          <w:szCs w:val="28"/>
          <w:highlight w:val="none"/>
          <w:lang w:bidi="ar"/>
          <w14:ligatures w14:val="none"/>
        </w:rPr>
        <w:t>作用有二</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一是加油机被意外撞击时，剪切阀的剪切环处会首先发生断裂，阀芯自动关闭，防止液体连续泄漏而导致发生火灾事故或污染环境</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二是加油机一旦遇到着火事故时，剪切阀附近达到一定温度时，阀芯也会自动关闭，切断油路，避免引起严重的火灾事故。</w:t>
      </w:r>
    </w:p>
    <w:p w14:paraId="43E77C64">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量油工艺采用液位仪与人工量油结合的量油方式。</w:t>
      </w:r>
    </w:p>
    <w:p w14:paraId="229BE145">
      <w:pPr>
        <w:keepNext/>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2.3.2项目产业政策的符合性</w:t>
      </w:r>
    </w:p>
    <w:p w14:paraId="511DDED8">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根据</w:t>
      </w:r>
      <w:r>
        <w:rPr>
          <w:rFonts w:hint="eastAsia" w:ascii="Times New Roman" w:hAnsi="Times New Roman" w:eastAsia="宋体" w:cs="宋体"/>
          <w:szCs w:val="28"/>
          <w:highlight w:val="none"/>
          <w:lang w:bidi="ar"/>
          <w14:ligatures w14:val="none"/>
        </w:rPr>
        <w:t>《产业结构调整指导目录（2024年本）》（中华人民共和国国家发展和改革委员会令[2023]第7号，2024年2月1日起实施）</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未采用和使用国家明令淘汰、禁止使用的工艺、设备。</w:t>
      </w:r>
    </w:p>
    <w:p w14:paraId="01FAE8F4">
      <w:pPr>
        <w:keepNext/>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2.3.3与国内外同类建设项目水平对比情况</w:t>
      </w:r>
      <w:bookmarkEnd w:id="20"/>
    </w:p>
    <w:p w14:paraId="11C77C0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加油站加油工艺过程主要是完成油品卸入（入埋地油罐）和油品输出（出售）的过程，该站工艺过程采用密闭卸油和加油方式，卸油、加油和储油工艺技术是普遍采用的成熟的技术，设备及工艺安全可靠。</w:t>
      </w:r>
    </w:p>
    <w:p w14:paraId="2CED2861">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随着我国科技技术的不断发展，现在已经有先进的卸油油气回收系统。卸油时采用油气回收系统可以使油罐内的油气在卸油的同时回收到油罐车内，加油油气回收系统可以将给汽车加油时产生的油气密闭回收至埋地油罐内，不向大气中排放，在保证安全的同时减少了环境污染。</w:t>
      </w:r>
    </w:p>
    <w:p w14:paraId="3849141B">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SF双层罐是内钢外玻璃纤维增强塑料双层油罐的简称。我国的双层油罐技术起步较晚，与发达国家存在一定差距，目前技术已经相当成熟，并在中石油、中石化、壳牌等公司加油站使用。据统计，双层罐在日本、欧美等发达国家加油站的应用由1985年的7.1%快速增加到2009年末的98%。SF双层罐能够如此迅速的推广使用，主要体现在它的安全性、环保性等优势。</w:t>
      </w:r>
    </w:p>
    <w:p w14:paraId="1C25F45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所采用的工艺技术为</w:t>
      </w:r>
      <w:r>
        <w:rPr>
          <w:rFonts w:hint="eastAsia" w:ascii="Times New Roman" w:hAnsi="Times New Roman" w:eastAsia="宋体" w:cs="宋体"/>
          <w:szCs w:val="28"/>
          <w:highlight w:val="none"/>
          <w:lang w:bidi="ar"/>
          <w14:ligatures w14:val="none"/>
        </w:rPr>
        <w:t>成熟</w:t>
      </w:r>
      <w:r>
        <w:rPr>
          <w:rFonts w:ascii="Times New Roman" w:hAnsi="Times New Roman" w:eastAsia="宋体" w:cs="宋体"/>
          <w:szCs w:val="28"/>
          <w:highlight w:val="none"/>
          <w:lang w:bidi="ar"/>
          <w14:ligatures w14:val="none"/>
        </w:rPr>
        <w:t>可靠的工艺。</w:t>
      </w: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不属于</w:t>
      </w:r>
      <w:r>
        <w:rPr>
          <w:rFonts w:hint="eastAsia" w:ascii="Times New Roman" w:hAnsi="Times New Roman" w:eastAsia="宋体" w:cs="宋体"/>
          <w:szCs w:val="28"/>
          <w:highlight w:val="none"/>
          <w:lang w:bidi="ar"/>
          <w14:ligatures w14:val="none"/>
        </w:rPr>
        <w:t>《产业结构调整指导目录（2024年本）》（中华人民共和国国家发展和改革委员会令[2023]第7号，2024年2月1日起实施）</w:t>
      </w:r>
      <w:r>
        <w:rPr>
          <w:rFonts w:ascii="Times New Roman" w:hAnsi="Times New Roman" w:eastAsia="宋体" w:cs="宋体"/>
          <w:szCs w:val="28"/>
          <w:highlight w:val="none"/>
          <w:lang w:bidi="ar"/>
          <w14:ligatures w14:val="none"/>
        </w:rPr>
        <w:t>限制类和淘汰类。</w:t>
      </w:r>
    </w:p>
    <w:p w14:paraId="43D753A1">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经查阅《国家安全监管总局关于印发淘汰落后安全技术装备目录（2015年第一批）的通知》（安监总科技[2015]75号）、《关于印发淘汰落后安全技术工艺、设备目录（2016年）的通知》（安监总科技[2016]137号）、《应急管理部办公厅关于印发淘汰落后危险化学品安全生产工艺技术设备目录（第一批）的通知》（应急厅〔2020〕38号）和《应急管理部办公厅关于印发淘汰落后危险化学品安全生产工艺技术设备目录（第二批）的通知》（应急厅[2024]86号），该站使用的生产工艺和设备不属于淘汰落后安全技术装备。</w:t>
      </w:r>
    </w:p>
    <w:p w14:paraId="381A6B6A">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综上所述，该站工艺过程简单，所涉技术不复杂，上述安全设备、设施与国内、外同类加油站相比较，应用较为普通，技术成熟、安全可靠。</w:t>
      </w:r>
    </w:p>
    <w:p w14:paraId="2B89E9F1">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21" w:name="_Toc187309990"/>
      <w:r>
        <w:rPr>
          <w:rFonts w:hint="eastAsia" w:ascii="Times New Roman" w:hAnsi="Times New Roman" w:eastAsia="楷体" w:cs="宋体"/>
          <w:b/>
          <w:bCs/>
          <w:sz w:val="32"/>
          <w:szCs w:val="28"/>
          <w:highlight w:val="none"/>
          <w:lang w:bidi="ar"/>
          <w14:ligatures w14:val="none"/>
        </w:rPr>
        <w:t>2.4建设项目的地理位置、用地面积和储存规模</w:t>
      </w:r>
      <w:bookmarkEnd w:id="21"/>
    </w:p>
    <w:p w14:paraId="64E07C78">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hint="eastAsia" w:ascii="Times New Roman" w:hAnsi="Times New Roman" w:eastAsia="黑体" w:cs="Times New Roman"/>
          <w:b/>
          <w:bCs/>
          <w:kern w:val="0"/>
          <w:szCs w:val="20"/>
          <w:highlight w:val="none"/>
          <w14:ligatures w14:val="none"/>
        </w:rPr>
        <w:t>2.4.1地理位置及周边环境</w:t>
      </w:r>
    </w:p>
    <w:p w14:paraId="678E369F">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eastAsia="zh-CN" w:bidi="ar"/>
          <w14:ligatures w14:val="none"/>
        </w:rPr>
        <w:t>八里甸子北侧加油站</w:t>
      </w:r>
      <w:r>
        <w:rPr>
          <w:rFonts w:ascii="Times New Roman" w:hAnsi="Times New Roman" w:eastAsia="宋体" w:cs="宋体"/>
          <w:szCs w:val="28"/>
          <w:highlight w:val="none"/>
          <w:lang w:bidi="ar"/>
          <w14:ligatures w14:val="none"/>
        </w:rPr>
        <w:t>位于本溪至集安高速公路本溪至桓仁</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辽吉界</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段工程</w:t>
      </w:r>
      <w:r>
        <w:rPr>
          <w:rFonts w:hint="eastAsia" w:ascii="Times New Roman" w:hAnsi="Times New Roman" w:eastAsia="宋体" w:cs="宋体"/>
          <w:szCs w:val="28"/>
          <w:highlight w:val="none"/>
          <w:lang w:bidi="ar"/>
          <w14:ligatures w14:val="none"/>
        </w:rPr>
        <w:t>101.22公里处</w:t>
      </w:r>
      <w:r>
        <w:rPr>
          <w:rFonts w:hint="eastAsia" w:ascii="Times New Roman" w:hAnsi="Times New Roman" w:eastAsia="宋体" w:cs="宋体"/>
          <w:szCs w:val="28"/>
          <w:highlight w:val="none"/>
          <w:lang w:eastAsia="zh-CN" w:bidi="ar"/>
          <w14:ligatures w14:val="none"/>
        </w:rPr>
        <w:t>八里甸子</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侧服务区</w:t>
      </w:r>
      <w:r>
        <w:rPr>
          <w:rFonts w:hint="eastAsia" w:ascii="Times New Roman" w:hAnsi="Times New Roman" w:eastAsia="宋体" w:cs="宋体"/>
          <w:szCs w:val="28"/>
          <w:highlight w:val="none"/>
          <w:lang w:val="en-US" w:eastAsia="zh-CN" w:bidi="ar"/>
          <w14:ligatures w14:val="none"/>
        </w:rPr>
        <w:t>内</w:t>
      </w:r>
      <w:r>
        <w:rPr>
          <w:rFonts w:ascii="Times New Roman" w:hAnsi="Times New Roman" w:eastAsia="宋体" w:cs="宋体"/>
          <w:szCs w:val="28"/>
          <w:highlight w:val="none"/>
          <w:lang w:bidi="ar"/>
          <w14:ligatures w14:val="none"/>
        </w:rPr>
        <w:t>。该站</w:t>
      </w:r>
      <w:r>
        <w:rPr>
          <w:rFonts w:hint="eastAsia" w:ascii="Times New Roman" w:hAnsi="Times New Roman" w:eastAsia="宋体" w:cs="宋体"/>
          <w:szCs w:val="28"/>
          <w:highlight w:val="none"/>
          <w:lang w:val="en-US" w:eastAsia="zh-CN" w:bidi="ar"/>
          <w14:ligatures w14:val="none"/>
        </w:rPr>
        <w:t>东</w:t>
      </w:r>
      <w:r>
        <w:rPr>
          <w:rFonts w:ascii="Times New Roman" w:hAnsi="Times New Roman" w:eastAsia="宋体" w:cs="宋体"/>
          <w:szCs w:val="28"/>
          <w:highlight w:val="none"/>
          <w:lang w:bidi="ar"/>
          <w14:ligatures w14:val="none"/>
        </w:rPr>
        <w:t>侧为</w:t>
      </w:r>
      <w:r>
        <w:rPr>
          <w:rFonts w:hint="eastAsia" w:ascii="Times New Roman" w:hAnsi="Times New Roman" w:eastAsia="宋体" w:cs="宋体"/>
          <w:szCs w:val="28"/>
          <w:highlight w:val="none"/>
          <w:lang w:bidi="ar"/>
          <w14:ligatures w14:val="none"/>
        </w:rPr>
        <w:t>服务区内停车场（三类保护物）</w:t>
      </w:r>
      <w:r>
        <w:rPr>
          <w:rFonts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南</w:t>
      </w:r>
      <w:r>
        <w:rPr>
          <w:rFonts w:ascii="Times New Roman" w:hAnsi="Times New Roman" w:eastAsia="宋体" w:cs="宋体"/>
          <w:szCs w:val="28"/>
          <w:highlight w:val="none"/>
          <w:lang w:bidi="ar"/>
          <w14:ligatures w14:val="none"/>
        </w:rPr>
        <w:t>侧为服务区内道路（次干路）；</w:t>
      </w:r>
      <w:r>
        <w:rPr>
          <w:rFonts w:hint="eastAsia" w:ascii="Times New Roman" w:hAnsi="Times New Roman" w:eastAsia="宋体" w:cs="宋体"/>
          <w:szCs w:val="28"/>
          <w:highlight w:val="none"/>
          <w:lang w:val="en-US" w:eastAsia="zh-CN" w:bidi="ar"/>
          <w14:ligatures w14:val="none"/>
        </w:rPr>
        <w:t>西</w:t>
      </w:r>
      <w:r>
        <w:rPr>
          <w:rFonts w:ascii="Times New Roman" w:hAnsi="Times New Roman" w:eastAsia="宋体" w:cs="宋体"/>
          <w:szCs w:val="28"/>
          <w:highlight w:val="none"/>
          <w:lang w:bidi="ar"/>
          <w14:ligatures w14:val="none"/>
        </w:rPr>
        <w:t>侧</w:t>
      </w:r>
      <w:r>
        <w:rPr>
          <w:rFonts w:hint="eastAsia" w:ascii="Times New Roman" w:hAnsi="Times New Roman" w:eastAsia="宋体" w:cs="宋体"/>
          <w:szCs w:val="28"/>
          <w:highlight w:val="none"/>
          <w:lang w:val="en-US" w:eastAsia="zh-CN" w:bidi="ar"/>
          <w14:ligatures w14:val="none"/>
        </w:rPr>
        <w:t>为空地；北</w:t>
      </w:r>
      <w:r>
        <w:rPr>
          <w:rFonts w:ascii="Times New Roman" w:hAnsi="Times New Roman" w:eastAsia="宋体" w:cs="宋体"/>
          <w:szCs w:val="28"/>
          <w:highlight w:val="none"/>
          <w:lang w:bidi="ar"/>
          <w14:ligatures w14:val="none"/>
        </w:rPr>
        <w:t>侧为</w:t>
      </w:r>
      <w:r>
        <w:rPr>
          <w:rFonts w:hint="eastAsia" w:ascii="Times New Roman" w:hAnsi="Times New Roman" w:eastAsia="宋体" w:cs="宋体"/>
          <w:szCs w:val="28"/>
          <w:highlight w:val="none"/>
          <w:lang w:val="en-US" w:eastAsia="zh-CN" w:bidi="ar"/>
          <w14:ligatures w14:val="none"/>
        </w:rPr>
        <w:t>充电桩停车位</w:t>
      </w:r>
      <w:r>
        <w:rPr>
          <w:rFonts w:hint="eastAsia" w:ascii="Times New Roman" w:hAnsi="Times New Roman" w:eastAsia="宋体" w:cs="宋体"/>
          <w:szCs w:val="28"/>
          <w:highlight w:val="none"/>
          <w:lang w:eastAsia="zh-CN" w:bidi="ar"/>
          <w14:ligatures w14:val="none"/>
        </w:rPr>
        <w:t>、服务区宿舍楼（三类保护物）、服务区综合楼（三类保护物）</w:t>
      </w:r>
      <w:r>
        <w:rPr>
          <w:rFonts w:hint="eastAsia" w:ascii="Times New Roman" w:hAnsi="Times New Roman" w:eastAsia="宋体" w:cs="宋体"/>
          <w:szCs w:val="28"/>
          <w:highlight w:val="none"/>
          <w:lang w:val="en-US" w:eastAsia="zh-CN" w:bidi="ar"/>
          <w14:ligatures w14:val="none"/>
        </w:rPr>
        <w:t>以及消防水泵房（三类保护物）</w:t>
      </w:r>
      <w:r>
        <w:rPr>
          <w:rFonts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bidi="ar"/>
          <w14:ligatures w14:val="none"/>
        </w:rPr>
        <w:t>该站周边无重要公共设施，交通便利，且站址所在区域内没有重点文物等保护单位、风景名胜区和珍稀动植物资源等敏感点，站区地势平坦，该站未建于城市中心区。地理位置见图2.4-1，</w:t>
      </w:r>
      <w:r>
        <w:rPr>
          <w:rFonts w:ascii="Times New Roman" w:hAnsi="Times New Roman" w:eastAsia="宋体" w:cs="宋体"/>
          <w:szCs w:val="28"/>
          <w:highlight w:val="none"/>
          <w:lang w:bidi="ar"/>
          <w14:ligatures w14:val="none"/>
        </w:rPr>
        <w:t>周边环境及总平面布置详见图2.6-5</w:t>
      </w:r>
      <w:r>
        <w:rPr>
          <w:rFonts w:hint="eastAsia" w:ascii="Times New Roman" w:hAnsi="Times New Roman" w:eastAsia="宋体" w:cs="宋体"/>
          <w:szCs w:val="28"/>
          <w:highlight w:val="none"/>
          <w:lang w:bidi="ar"/>
          <w14:ligatures w14:val="none"/>
        </w:rPr>
        <w:t>。</w:t>
      </w:r>
    </w:p>
    <w:p w14:paraId="5346B138">
      <w:pPr>
        <w:ind w:firstLine="0" w:firstLineChars="0"/>
        <w:jc w:val="center"/>
        <w:rPr>
          <w:rFonts w:ascii="Times New Roman" w:hAnsi="Times New Roman" w:eastAsia="宋体" w:cs="宋体"/>
          <w:szCs w:val="28"/>
          <w:highlight w:val="none"/>
          <w:lang w:bidi="ar"/>
          <w14:ligatures w14:val="none"/>
        </w:rPr>
      </w:pPr>
    </w:p>
    <w:p w14:paraId="534D28F9">
      <w:pPr>
        <w:pStyle w:val="42"/>
        <w:spacing w:before="156" w:beforeLines="50" w:after="156" w:afterLines="50"/>
        <w:rPr>
          <w:rFonts w:eastAsia="黑体"/>
          <w:sz w:val="24"/>
          <w:highlight w:val="none"/>
        </w:rPr>
      </w:pPr>
      <w:r>
        <w:rPr>
          <w:rFonts w:hint="eastAsia" w:eastAsia="黑体"/>
          <w:sz w:val="24"/>
          <w:highlight w:val="none"/>
        </w:rPr>
        <w:t>图2.4.1  地理位置图</w:t>
      </w:r>
    </w:p>
    <w:p w14:paraId="48273975">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hint="eastAsia" w:ascii="Times New Roman" w:hAnsi="Times New Roman" w:eastAsia="黑体" w:cs="Times New Roman"/>
          <w:b/>
          <w:bCs/>
          <w:kern w:val="0"/>
          <w:szCs w:val="20"/>
          <w:highlight w:val="none"/>
          <w14:ligatures w14:val="none"/>
        </w:rPr>
        <w:t>2.4.2用地面积</w:t>
      </w:r>
    </w:p>
    <w:p w14:paraId="23D42BBA">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该站占地面积为</w:t>
      </w:r>
      <w:r>
        <w:rPr>
          <w:rFonts w:hint="eastAsia" w:ascii="Times New Roman" w:hAnsi="Times New Roman" w:eastAsia="宋体" w:cs="宋体"/>
          <w:szCs w:val="28"/>
          <w:highlight w:val="none"/>
          <w:lang w:val="en-US" w:eastAsia="zh-CN" w:bidi="ar"/>
          <w14:ligatures w14:val="none"/>
        </w:rPr>
        <w:t>2530</w:t>
      </w:r>
      <w:r>
        <w:rPr>
          <w:rFonts w:hint="eastAsia" w:ascii="Times New Roman" w:hAnsi="Times New Roman" w:eastAsia="宋体" w:cs="宋体"/>
          <w:szCs w:val="28"/>
          <w:highlight w:val="none"/>
          <w:lang w:bidi="ar"/>
          <w14:ligatures w14:val="none"/>
        </w:rPr>
        <w:t>m</w:t>
      </w:r>
      <w:r>
        <w:rPr>
          <w:rFonts w:hint="eastAsia" w:ascii="Times New Roman" w:hAnsi="Times New Roman" w:eastAsia="宋体" w:cs="宋体"/>
          <w:szCs w:val="28"/>
          <w:highlight w:val="none"/>
          <w:vertAlign w:val="superscript"/>
          <w:lang w:bidi="ar"/>
          <w14:ligatures w14:val="none"/>
        </w:rPr>
        <w:t>2</w:t>
      </w:r>
      <w:r>
        <w:rPr>
          <w:rFonts w:hint="eastAsia" w:ascii="Times New Roman" w:hAnsi="Times New Roman" w:eastAsia="宋体" w:cs="宋体"/>
          <w:szCs w:val="28"/>
          <w:highlight w:val="none"/>
          <w:lang w:bidi="ar"/>
          <w14:ligatures w14:val="none"/>
        </w:rPr>
        <w:t>。</w:t>
      </w:r>
    </w:p>
    <w:p w14:paraId="1D9E3977">
      <w:pPr>
        <w:keepNext/>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hint="eastAsia" w:ascii="Times New Roman" w:hAnsi="Times New Roman" w:eastAsia="黑体" w:cs="Times New Roman"/>
          <w:b/>
          <w:bCs/>
          <w:kern w:val="0"/>
          <w:szCs w:val="20"/>
          <w:highlight w:val="none"/>
          <w14:ligatures w14:val="none"/>
        </w:rPr>
        <w:t>2.4.3储存规模</w:t>
      </w:r>
    </w:p>
    <w:p w14:paraId="37135B32">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该站涉及的物料是车用乙醇汽油、柴油，车用乙醇汽油、柴油采用卧式双层埋地储罐储存，车用乙醇汽油储量60m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，折合质量48t；柴油储量120m</w:t>
      </w:r>
      <w:r>
        <w:rPr>
          <w:rFonts w:hint="eastAsia"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，折合质量102t。</w:t>
      </w:r>
    </w:p>
    <w:p w14:paraId="2E68F27B">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22" w:name="_Toc187309991"/>
      <w:r>
        <w:rPr>
          <w:rFonts w:hint="eastAsia" w:ascii="Times New Roman" w:hAnsi="Times New Roman" w:eastAsia="楷体" w:cs="宋体"/>
          <w:b/>
          <w:bCs/>
          <w:sz w:val="32"/>
          <w:szCs w:val="28"/>
          <w:highlight w:val="none"/>
          <w:lang w:bidi="ar"/>
          <w14:ligatures w14:val="none"/>
        </w:rPr>
        <w:t>2.5涉及的主要原辅材料、产品品种名称、数量，储存</w:t>
      </w:r>
      <w:bookmarkEnd w:id="22"/>
    </w:p>
    <w:p w14:paraId="64AC5DDA">
      <w:pPr>
        <w:ind w:firstLine="560"/>
        <w:rPr>
          <w:rFonts w:hint="eastAsia"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该站主要涉及的材料为车用乙醇汽油、柴油，储存情况见表2.5-1。</w:t>
      </w:r>
    </w:p>
    <w:p w14:paraId="20310385">
      <w:pPr>
        <w:pStyle w:val="42"/>
        <w:keepNext/>
        <w:spacing w:before="156" w:beforeLines="50" w:after="156" w:afterLines="50"/>
        <w:ind w:firstLine="480"/>
        <w:rPr>
          <w:rFonts w:eastAsia="黑体"/>
          <w:sz w:val="24"/>
          <w:highlight w:val="none"/>
        </w:rPr>
      </w:pPr>
      <w:r>
        <w:rPr>
          <w:rFonts w:hint="eastAsia" w:eastAsia="黑体"/>
          <w:sz w:val="24"/>
          <w:highlight w:val="none"/>
        </w:rPr>
        <w:t>表2.5-1  站内储存车用乙醇汽油、柴油情况表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1"/>
        <w:gridCol w:w="1583"/>
        <w:gridCol w:w="1536"/>
        <w:gridCol w:w="2179"/>
        <w:gridCol w:w="1374"/>
        <w:gridCol w:w="1707"/>
      </w:tblGrid>
      <w:tr w14:paraId="0B72E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543" w:type="pct"/>
            <w:vAlign w:val="center"/>
          </w:tcPr>
          <w:p w14:paraId="4C334AA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名称</w:t>
            </w:r>
          </w:p>
        </w:tc>
        <w:tc>
          <w:tcPr>
            <w:tcW w:w="842" w:type="pct"/>
            <w:vAlign w:val="center"/>
          </w:tcPr>
          <w:p w14:paraId="66C33C1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储存方式</w:t>
            </w:r>
          </w:p>
        </w:tc>
        <w:tc>
          <w:tcPr>
            <w:tcW w:w="817" w:type="pct"/>
            <w:vAlign w:val="center"/>
          </w:tcPr>
          <w:p w14:paraId="6AE4EEE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最大储存能力</w:t>
            </w:r>
          </w:p>
        </w:tc>
        <w:tc>
          <w:tcPr>
            <w:tcW w:w="1159" w:type="pct"/>
            <w:vAlign w:val="center"/>
          </w:tcPr>
          <w:p w14:paraId="6BAE2F1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容积及数量</w:t>
            </w:r>
          </w:p>
        </w:tc>
        <w:tc>
          <w:tcPr>
            <w:tcW w:w="731" w:type="pct"/>
            <w:vAlign w:val="center"/>
          </w:tcPr>
          <w:p w14:paraId="14518C7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储存位置</w:t>
            </w:r>
          </w:p>
        </w:tc>
        <w:tc>
          <w:tcPr>
            <w:tcW w:w="908" w:type="pct"/>
            <w:vAlign w:val="center"/>
          </w:tcPr>
          <w:p w14:paraId="178604C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备注</w:t>
            </w:r>
          </w:p>
        </w:tc>
      </w:tr>
      <w:tr w14:paraId="54119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exact"/>
          <w:jc w:val="center"/>
        </w:trPr>
        <w:tc>
          <w:tcPr>
            <w:tcW w:w="543" w:type="pct"/>
            <w:vAlign w:val="center"/>
          </w:tcPr>
          <w:p w14:paraId="52ACCBF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车用乙醇汽油</w:t>
            </w:r>
          </w:p>
        </w:tc>
        <w:tc>
          <w:tcPr>
            <w:tcW w:w="842" w:type="pct"/>
            <w:vAlign w:val="center"/>
          </w:tcPr>
          <w:p w14:paraId="4A18979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埋地储罐储存</w:t>
            </w:r>
          </w:p>
        </w:tc>
        <w:tc>
          <w:tcPr>
            <w:tcW w:w="817" w:type="pct"/>
            <w:vAlign w:val="center"/>
          </w:tcPr>
          <w:p w14:paraId="2C7C812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48</w:t>
            </w:r>
            <w:r>
              <w:rPr>
                <w:rFonts w:ascii="Times New Roman" w:hAnsi="Times New Roman" w:eastAsia="宋体" w:cs="Times New Roman"/>
                <w:sz w:val="21"/>
                <w:szCs w:val="21"/>
                <w:highlight w:val="none"/>
                <w14:ligatures w14:val="none"/>
              </w:rPr>
              <w:t>t</w:t>
            </w:r>
          </w:p>
        </w:tc>
        <w:tc>
          <w:tcPr>
            <w:tcW w:w="1159" w:type="pct"/>
            <w:vAlign w:val="center"/>
          </w:tcPr>
          <w:p w14:paraId="500E283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r>
              <w:rPr>
                <w:rFonts w:ascii="Times New Roman" w:hAnsi="Times New Roman" w:eastAsia="宋体" w:cs="Times New Roman"/>
                <w:sz w:val="21"/>
                <w:szCs w:val="21"/>
                <w:highlight w:val="none"/>
                <w14:ligatures w14:val="none"/>
              </w:rPr>
              <w:t>×</w:t>
            </w:r>
            <w:r>
              <w:rPr>
                <w:rFonts w:hint="eastAsia" w:ascii="Times New Roman" w:hAnsi="Times New Roman" w:eastAsia="宋体" w:cs="Times New Roman"/>
                <w:sz w:val="21"/>
                <w:szCs w:val="21"/>
                <w:highlight w:val="none"/>
                <w14:ligatures w14:val="none"/>
              </w:rPr>
              <w:t>3</w:t>
            </w:r>
            <w:r>
              <w:rPr>
                <w:rFonts w:ascii="Times New Roman" w:hAnsi="Times New Roman" w:eastAsia="宋体" w:cs="Times New Roman"/>
                <w:sz w:val="21"/>
                <w:szCs w:val="21"/>
                <w:highlight w:val="none"/>
                <w14:ligatures w14:val="none"/>
              </w:rPr>
              <w:t>0m³</w:t>
            </w:r>
          </w:p>
        </w:tc>
        <w:tc>
          <w:tcPr>
            <w:tcW w:w="731" w:type="pct"/>
            <w:vAlign w:val="center"/>
          </w:tcPr>
          <w:p w14:paraId="4A29ADA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地下储罐</w:t>
            </w:r>
          </w:p>
        </w:tc>
        <w:tc>
          <w:tcPr>
            <w:tcW w:w="908" w:type="pct"/>
            <w:vAlign w:val="center"/>
          </w:tcPr>
          <w:p w14:paraId="3BF8D50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重点监管危险化学品、特别管控危险化学品</w:t>
            </w:r>
          </w:p>
        </w:tc>
      </w:tr>
      <w:tr w14:paraId="02B2D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43" w:type="pct"/>
            <w:vAlign w:val="center"/>
          </w:tcPr>
          <w:p w14:paraId="4215603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柴油</w:t>
            </w:r>
          </w:p>
        </w:tc>
        <w:tc>
          <w:tcPr>
            <w:tcW w:w="842" w:type="pct"/>
            <w:vAlign w:val="center"/>
          </w:tcPr>
          <w:p w14:paraId="4918EA6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埋地储罐储存</w:t>
            </w:r>
          </w:p>
        </w:tc>
        <w:tc>
          <w:tcPr>
            <w:tcW w:w="817" w:type="pct"/>
            <w:vAlign w:val="center"/>
          </w:tcPr>
          <w:p w14:paraId="5BE57C1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102t</w:t>
            </w:r>
          </w:p>
        </w:tc>
        <w:tc>
          <w:tcPr>
            <w:tcW w:w="1159" w:type="pct"/>
            <w:vAlign w:val="center"/>
          </w:tcPr>
          <w:p w14:paraId="0DD7205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4</w:t>
            </w:r>
            <w:r>
              <w:rPr>
                <w:rFonts w:ascii="Times New Roman" w:hAnsi="Times New Roman" w:eastAsia="宋体" w:cs="Times New Roman"/>
                <w:sz w:val="21"/>
                <w:szCs w:val="21"/>
                <w:highlight w:val="none"/>
                <w14:ligatures w14:val="none"/>
              </w:rPr>
              <w:t>×</w:t>
            </w:r>
            <w:r>
              <w:rPr>
                <w:rFonts w:hint="eastAsia" w:ascii="Times New Roman" w:hAnsi="Times New Roman" w:eastAsia="宋体" w:cs="Times New Roman"/>
                <w:sz w:val="21"/>
                <w:szCs w:val="21"/>
                <w:highlight w:val="none"/>
                <w14:ligatures w14:val="none"/>
              </w:rPr>
              <w:t>3</w:t>
            </w:r>
            <w:r>
              <w:rPr>
                <w:rFonts w:ascii="Times New Roman" w:hAnsi="Times New Roman" w:eastAsia="宋体" w:cs="Times New Roman"/>
                <w:sz w:val="21"/>
                <w:szCs w:val="21"/>
                <w:highlight w:val="none"/>
                <w14:ligatures w14:val="none"/>
              </w:rPr>
              <w:t>0m³</w:t>
            </w:r>
          </w:p>
        </w:tc>
        <w:tc>
          <w:tcPr>
            <w:tcW w:w="731" w:type="pct"/>
            <w:vAlign w:val="center"/>
          </w:tcPr>
          <w:p w14:paraId="11000E6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地下储罐</w:t>
            </w:r>
          </w:p>
        </w:tc>
        <w:tc>
          <w:tcPr>
            <w:tcW w:w="908" w:type="pct"/>
            <w:vAlign w:val="center"/>
          </w:tcPr>
          <w:p w14:paraId="4A35881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危险化学品</w:t>
            </w:r>
          </w:p>
        </w:tc>
      </w:tr>
    </w:tbl>
    <w:p w14:paraId="512B7267">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23" w:name="_Toc29833"/>
      <w:bookmarkStart w:id="24" w:name="_Toc187309992"/>
      <w:r>
        <w:rPr>
          <w:rFonts w:ascii="Times New Roman" w:hAnsi="Times New Roman" w:eastAsia="楷体" w:cs="宋体"/>
          <w:b/>
          <w:bCs/>
          <w:sz w:val="32"/>
          <w:szCs w:val="28"/>
          <w:highlight w:val="none"/>
          <w:lang w:bidi="ar"/>
          <w14:ligatures w14:val="none"/>
        </w:rPr>
        <w:t>2.6工艺流程和主要装置和设施的布局及其上下游生产装置的关系</w:t>
      </w:r>
      <w:bookmarkEnd w:id="23"/>
      <w:bookmarkEnd w:id="24"/>
    </w:p>
    <w:p w14:paraId="0AD0BCA0">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bookmarkStart w:id="25" w:name="_Toc19365"/>
      <w:r>
        <w:rPr>
          <w:rFonts w:ascii="Times New Roman" w:hAnsi="Times New Roman" w:eastAsia="黑体" w:cs="Times New Roman"/>
          <w:b/>
          <w:bCs/>
          <w:kern w:val="0"/>
          <w:szCs w:val="20"/>
          <w:highlight w:val="none"/>
          <w14:ligatures w14:val="none"/>
        </w:rPr>
        <w:t>2.6.1工艺流程</w:t>
      </w:r>
      <w:bookmarkEnd w:id="25"/>
    </w:p>
    <w:p w14:paraId="153B6931">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加油站加油部分工艺过程主要指完成油品卸入（埋地储油罐）和油品付出（经营销售）的整个过程，其工艺过程见图2.6-1、图2.6-2、图2.6-3和图2.6-4。</w:t>
      </w:r>
    </w:p>
    <w:p w14:paraId="233F3F6A">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（1）卸油及卸油油气回收</w:t>
      </w:r>
    </w:p>
    <w:p w14:paraId="767EE399">
      <w:pPr>
        <w:ind w:firstLine="560"/>
        <w:rPr>
          <w:rFonts w:ascii="Times New Roman" w:hAnsi="Times New Roman" w:eastAsia="宋体" w:cs="Times New Roman"/>
          <w:kern w:val="28"/>
          <w:szCs w:val="28"/>
          <w:highlight w:val="none"/>
          <w14:ligatures w14:val="none"/>
        </w:rPr>
      </w:pPr>
      <w:r>
        <w:rPr>
          <w:rFonts w:hint="eastAsia" w:ascii="Times New Roman" w:hAnsi="Times New Roman" w:eastAsia="宋体" w:cs="Times New Roman"/>
          <w:kern w:val="28"/>
          <w:szCs w:val="28"/>
          <w:highlight w:val="none"/>
          <w14:ligatures w14:val="none"/>
        </w:rPr>
        <w:t>成品油（车用乙醇汽油、柴油）汽车槽车运送至加油站油品卸车点处，在卸油前先用防静电接地装置对油罐车进行接地，消除运输过程中产生的静电，用导静电卸油连接软管连接油罐车卸油接口和卸车点的卸油罐接口，在连接卸油口时，核对所卸油品与油罐相对</w:t>
      </w:r>
      <w:r>
        <w:rPr>
          <w:rFonts w:hint="eastAsia" w:ascii="Times New Roman" w:hAnsi="Times New Roman" w:eastAsia="宋体" w:cs="Times New Roman"/>
          <w:kern w:val="28"/>
          <w:szCs w:val="28"/>
          <w:highlight w:val="none"/>
          <w:lang w:val="en-US" w:eastAsia="zh-CN"/>
          <w14:ligatures w14:val="none"/>
        </w:rPr>
        <w:t>应，</w:t>
      </w:r>
      <w:r>
        <w:rPr>
          <w:rFonts w:hint="eastAsia" w:ascii="Times New Roman" w:hAnsi="Times New Roman" w:eastAsia="宋体" w:cs="Times New Roman"/>
          <w:kern w:val="28"/>
          <w:szCs w:val="28"/>
          <w:highlight w:val="none"/>
          <w14:ligatures w14:val="none"/>
        </w:rPr>
        <w:t>静止5min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ascii="Times New Roman" w:hAnsi="Times New Roman" w:eastAsia="宋体" w:cs="Times New Roman"/>
          <w:kern w:val="28"/>
          <w:szCs w:val="28"/>
          <w:highlight w:val="none"/>
          <w14:ligatures w14:val="none"/>
        </w:rPr>
        <w:t>油罐车密闭卸油及卸油油气回收工艺流程</w:t>
      </w:r>
      <w:r>
        <w:rPr>
          <w:rFonts w:hint="eastAsia" w:ascii="Times New Roman" w:hAnsi="Times New Roman" w:eastAsia="宋体" w:cs="Times New Roman"/>
          <w:kern w:val="28"/>
          <w:szCs w:val="28"/>
          <w:highlight w:val="none"/>
          <w14:ligatures w14:val="none"/>
        </w:rPr>
        <w:t>，</w:t>
      </w:r>
      <w:r>
        <w:rPr>
          <w:rFonts w:ascii="Times New Roman" w:hAnsi="Times New Roman" w:eastAsia="宋体" w:cs="Times New Roman"/>
          <w:kern w:val="28"/>
          <w:szCs w:val="28"/>
          <w:highlight w:val="none"/>
          <w14:ligatures w14:val="none"/>
        </w:rPr>
        <w:t>见图2</w:t>
      </w:r>
      <w:r>
        <w:rPr>
          <w:rFonts w:hint="eastAsia" w:ascii="Times New Roman" w:hAnsi="Times New Roman" w:eastAsia="宋体" w:cs="Times New Roman"/>
          <w:kern w:val="28"/>
          <w:szCs w:val="28"/>
          <w:highlight w:val="none"/>
          <w14:ligatures w14:val="none"/>
        </w:rPr>
        <w:t>.6</w:t>
      </w:r>
      <w:r>
        <w:rPr>
          <w:rFonts w:ascii="Times New Roman" w:hAnsi="Times New Roman" w:eastAsia="宋体" w:cs="Times New Roman"/>
          <w:kern w:val="28"/>
          <w:szCs w:val="28"/>
          <w:highlight w:val="none"/>
          <w14:ligatures w14:val="none"/>
        </w:rPr>
        <w:t>-</w:t>
      </w:r>
      <w:r>
        <w:rPr>
          <w:rFonts w:hint="eastAsia" w:ascii="Times New Roman" w:hAnsi="Times New Roman" w:eastAsia="宋体" w:cs="Times New Roman"/>
          <w:kern w:val="28"/>
          <w:szCs w:val="28"/>
          <w:highlight w:val="none"/>
          <w14:ligatures w14:val="none"/>
        </w:rPr>
        <w:t>1</w:t>
      </w:r>
      <w:r>
        <w:rPr>
          <w:rFonts w:ascii="Times New Roman" w:hAnsi="Times New Roman" w:eastAsia="宋体" w:cs="Times New Roman"/>
          <w:kern w:val="28"/>
          <w:szCs w:val="28"/>
          <w:highlight w:val="none"/>
          <w14:ligatures w14:val="none"/>
        </w:rPr>
        <w:t>、图2</w:t>
      </w:r>
      <w:r>
        <w:rPr>
          <w:rFonts w:hint="eastAsia" w:ascii="Times New Roman" w:hAnsi="Times New Roman" w:eastAsia="宋体" w:cs="Times New Roman"/>
          <w:kern w:val="28"/>
          <w:szCs w:val="28"/>
          <w:highlight w:val="none"/>
          <w14:ligatures w14:val="none"/>
        </w:rPr>
        <w:t>.6</w:t>
      </w:r>
      <w:r>
        <w:rPr>
          <w:rFonts w:ascii="Times New Roman" w:hAnsi="Times New Roman" w:eastAsia="宋体" w:cs="Times New Roman"/>
          <w:kern w:val="28"/>
          <w:szCs w:val="28"/>
          <w:highlight w:val="none"/>
          <w14:ligatures w14:val="none"/>
        </w:rPr>
        <w:t>-</w:t>
      </w:r>
      <w:r>
        <w:rPr>
          <w:rFonts w:hint="eastAsia" w:ascii="Times New Roman" w:hAnsi="Times New Roman" w:eastAsia="宋体" w:cs="Times New Roman"/>
          <w:kern w:val="28"/>
          <w:szCs w:val="28"/>
          <w:highlight w:val="none"/>
          <w14:ligatures w14:val="none"/>
        </w:rPr>
        <w:t>2</w:t>
      </w:r>
      <w:r>
        <w:rPr>
          <w:rFonts w:ascii="Times New Roman" w:hAnsi="Times New Roman" w:eastAsia="宋体" w:cs="Times New Roman"/>
          <w:kern w:val="28"/>
          <w:szCs w:val="28"/>
          <w:highlight w:val="none"/>
          <w14:ligatures w14:val="none"/>
        </w:rPr>
        <w:t>：</w:t>
      </w:r>
    </w:p>
    <w:p w14:paraId="3B3515C6">
      <w:pPr>
        <w:ind w:firstLine="0" w:firstLineChars="0"/>
        <w:rPr>
          <w:rFonts w:ascii="Times New Roman" w:hAnsi="Times New Roman" w:eastAsia="宋体" w:cs="Times New Roman"/>
          <w:szCs w:val="20"/>
          <w:highlight w:val="none"/>
          <w14:ligatures w14:val="none"/>
        </w:rPr>
      </w:pPr>
    </w:p>
    <w:p w14:paraId="1E288831">
      <w:pPr>
        <w:pStyle w:val="42"/>
        <w:spacing w:before="156" w:beforeLines="50" w:after="156" w:afterLines="50"/>
        <w:ind w:firstLine="480"/>
        <w:rPr>
          <w:rFonts w:eastAsia="黑体"/>
          <w:sz w:val="24"/>
          <w:highlight w:val="none"/>
        </w:rPr>
      </w:pPr>
      <w:bookmarkStart w:id="26" w:name="_Toc853"/>
      <w:r>
        <w:rPr>
          <w:rFonts w:eastAsia="黑体"/>
          <w:sz w:val="24"/>
          <w:highlight w:val="none"/>
        </w:rPr>
        <w:t>图2.</w:t>
      </w:r>
      <w:r>
        <w:rPr>
          <w:rFonts w:hint="eastAsia" w:eastAsia="黑体"/>
          <w:sz w:val="24"/>
          <w:highlight w:val="none"/>
        </w:rPr>
        <w:t>6</w:t>
      </w:r>
      <w:r>
        <w:rPr>
          <w:rFonts w:eastAsia="黑体"/>
          <w:sz w:val="24"/>
          <w:highlight w:val="none"/>
        </w:rPr>
        <w:t xml:space="preserve">-1  </w:t>
      </w:r>
      <w:r>
        <w:rPr>
          <w:rFonts w:hint="eastAsia" w:eastAsia="黑体"/>
          <w:sz w:val="24"/>
          <w:highlight w:val="none"/>
        </w:rPr>
        <w:t>车用乙醇汽油</w:t>
      </w:r>
      <w:r>
        <w:rPr>
          <w:rFonts w:eastAsia="黑体"/>
          <w:sz w:val="24"/>
          <w:highlight w:val="none"/>
        </w:rPr>
        <w:t>密闭卸油工艺流程框图</w:t>
      </w:r>
    </w:p>
    <w:p w14:paraId="5086B0B1">
      <w:pPr>
        <w:spacing w:line="240" w:lineRule="auto"/>
        <w:ind w:firstLine="420"/>
        <w:rPr>
          <w:rFonts w:ascii="Times New Roman" w:hAnsi="Times New Roman" w:eastAsia="宋体"/>
          <w:sz w:val="21"/>
          <w:szCs w:val="21"/>
          <w:highlight w:val="none"/>
        </w:rPr>
      </w:pPr>
      <w:r>
        <w:rPr>
          <w:rFonts w:hint="eastAsia" w:ascii="Times New Roman" w:hAnsi="Times New Roman" w:eastAsia="宋体"/>
          <w:sz w:val="21"/>
          <w:szCs w:val="21"/>
          <w:highlight w:val="none"/>
        </w:rPr>
        <w:t>注：柴油无油气回收工艺流程</w:t>
      </w:r>
    </w:p>
    <w:p w14:paraId="13FD869C">
      <w:pPr>
        <w:pStyle w:val="42"/>
        <w:spacing w:before="156" w:beforeLines="50" w:after="156" w:afterLines="50"/>
        <w:ind w:firstLine="480"/>
        <w:rPr>
          <w:rFonts w:eastAsia="黑体"/>
          <w:sz w:val="24"/>
          <w:highlight w:val="none"/>
        </w:rPr>
      </w:pPr>
      <w:r>
        <w:rPr>
          <w:rFonts w:eastAsia="黑体"/>
          <w:sz w:val="24"/>
          <w:highlight w:val="none"/>
        </w:rPr>
        <w:t>图2.</w:t>
      </w:r>
      <w:r>
        <w:rPr>
          <w:rFonts w:hint="eastAsia" w:eastAsia="黑体"/>
          <w:sz w:val="24"/>
          <w:highlight w:val="none"/>
        </w:rPr>
        <w:t>6</w:t>
      </w:r>
      <w:r>
        <w:rPr>
          <w:rFonts w:eastAsia="黑体"/>
          <w:sz w:val="24"/>
          <w:highlight w:val="none"/>
        </w:rPr>
        <w:t>-2  柴油密闭卸油工艺流程框图</w:t>
      </w:r>
    </w:p>
    <w:bookmarkEnd w:id="26"/>
    <w:p w14:paraId="39EEFC52">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（2）加油及加油油气回收工艺</w:t>
      </w:r>
    </w:p>
    <w:p w14:paraId="52DCE12E">
      <w:pPr>
        <w:ind w:firstLine="560"/>
        <w:rPr>
          <w:rFonts w:ascii="Times New Roman" w:hAnsi="Times New Roman" w:eastAsia="宋体" w:cs="Times New Roman"/>
          <w:kern w:val="28"/>
          <w:szCs w:val="28"/>
          <w:highlight w:val="none"/>
          <w14:ligatures w14:val="none"/>
        </w:rPr>
      </w:pPr>
      <w:r>
        <w:rPr>
          <w:rFonts w:ascii="Times New Roman" w:hAnsi="Times New Roman" w:eastAsia="宋体" w:cs="Times New Roman"/>
          <w:kern w:val="28"/>
          <w:szCs w:val="28"/>
          <w:highlight w:val="none"/>
          <w14:ligatures w14:val="none"/>
        </w:rPr>
        <w:t>加油：</w:t>
      </w:r>
      <w:r>
        <w:rPr>
          <w:rFonts w:hint="eastAsia" w:ascii="Times New Roman" w:hAnsi="Times New Roman" w:eastAsia="宋体" w:cs="Times New Roman"/>
          <w:kern w:val="28"/>
          <w:szCs w:val="28"/>
          <w:highlight w:val="none"/>
          <w14:ligatures w14:val="none"/>
        </w:rPr>
        <w:t>社会车辆进入站内加油停车位，通过带有计量、计价和税控装置的潜油泵式加油机将储罐内的油料抽出，实现为汽车油箱充装车用乙醇汽油或柴油的付出（经营销售）作业。</w:t>
      </w:r>
    </w:p>
    <w:p w14:paraId="7EB78344">
      <w:pPr>
        <w:ind w:firstLine="560"/>
        <w:rPr>
          <w:rFonts w:ascii="Times New Roman" w:hAnsi="Times New Roman" w:eastAsia="宋体" w:cs="Times New Roman"/>
          <w:kern w:val="28"/>
          <w:szCs w:val="28"/>
          <w:highlight w:val="none"/>
          <w14:ligatures w14:val="none"/>
        </w:rPr>
      </w:pPr>
      <w:r>
        <w:rPr>
          <w:rFonts w:ascii="Times New Roman" w:hAnsi="Times New Roman" w:eastAsia="宋体" w:cs="Times New Roman"/>
          <w:kern w:val="28"/>
          <w:szCs w:val="28"/>
          <w:highlight w:val="none"/>
          <w14:ligatures w14:val="none"/>
        </w:rPr>
        <w:t>车用乙醇汽油加油油气回收：汽车加油过程中，将原来油箱口散溢的油气，通过油气回收专用加油枪收集，利用动力设备（如真空泵）经油气回收管线输送至车用乙醇汽油储罐。</w:t>
      </w:r>
    </w:p>
    <w:p w14:paraId="6133B492">
      <w:pPr>
        <w:ind w:firstLine="560"/>
        <w:rPr>
          <w:rFonts w:ascii="Times New Roman" w:hAnsi="Times New Roman" w:eastAsia="宋体" w:cs="Times New Roman"/>
          <w:kern w:val="28"/>
          <w:szCs w:val="28"/>
          <w:highlight w:val="none"/>
          <w14:ligatures w14:val="none"/>
        </w:rPr>
      </w:pPr>
      <w:r>
        <w:rPr>
          <w:rFonts w:ascii="Times New Roman" w:hAnsi="Times New Roman" w:eastAsia="宋体" w:cs="Times New Roman"/>
          <w:kern w:val="28"/>
          <w:szCs w:val="28"/>
          <w:highlight w:val="none"/>
          <w14:ligatures w14:val="none"/>
        </w:rPr>
        <w:t>加油及加油油气回收工艺流程</w:t>
      </w:r>
      <w:r>
        <w:rPr>
          <w:rFonts w:hint="eastAsia" w:ascii="Times New Roman" w:hAnsi="Times New Roman" w:eastAsia="宋体" w:cs="Times New Roman"/>
          <w:kern w:val="28"/>
          <w:szCs w:val="28"/>
          <w:highlight w:val="none"/>
          <w14:ligatures w14:val="none"/>
        </w:rPr>
        <w:t>，</w:t>
      </w:r>
      <w:r>
        <w:rPr>
          <w:rFonts w:ascii="Times New Roman" w:hAnsi="Times New Roman" w:eastAsia="宋体" w:cs="Times New Roman"/>
          <w:kern w:val="28"/>
          <w:szCs w:val="28"/>
          <w:highlight w:val="none"/>
          <w14:ligatures w14:val="none"/>
        </w:rPr>
        <w:t>见图2</w:t>
      </w:r>
      <w:r>
        <w:rPr>
          <w:rFonts w:hint="eastAsia" w:ascii="Times New Roman" w:hAnsi="Times New Roman" w:eastAsia="宋体" w:cs="Times New Roman"/>
          <w:kern w:val="28"/>
          <w:szCs w:val="28"/>
          <w:highlight w:val="none"/>
          <w14:ligatures w14:val="none"/>
        </w:rPr>
        <w:t>.6</w:t>
      </w:r>
      <w:r>
        <w:rPr>
          <w:rFonts w:ascii="Times New Roman" w:hAnsi="Times New Roman" w:eastAsia="宋体" w:cs="Times New Roman"/>
          <w:kern w:val="28"/>
          <w:szCs w:val="28"/>
          <w:highlight w:val="none"/>
          <w14:ligatures w14:val="none"/>
        </w:rPr>
        <w:t>-</w:t>
      </w:r>
      <w:r>
        <w:rPr>
          <w:rFonts w:hint="eastAsia" w:ascii="Times New Roman" w:hAnsi="Times New Roman" w:eastAsia="宋体" w:cs="Times New Roman"/>
          <w:kern w:val="28"/>
          <w:szCs w:val="28"/>
          <w:highlight w:val="none"/>
          <w14:ligatures w14:val="none"/>
        </w:rPr>
        <w:t>3</w:t>
      </w:r>
      <w:r>
        <w:rPr>
          <w:rFonts w:ascii="Times New Roman" w:hAnsi="Times New Roman" w:eastAsia="宋体" w:cs="Times New Roman"/>
          <w:kern w:val="28"/>
          <w:szCs w:val="28"/>
          <w:highlight w:val="none"/>
          <w14:ligatures w14:val="none"/>
        </w:rPr>
        <w:t>、</w:t>
      </w:r>
      <w:r>
        <w:rPr>
          <w:rFonts w:hint="eastAsia" w:ascii="Times New Roman" w:hAnsi="Times New Roman" w:eastAsia="宋体" w:cs="Times New Roman"/>
          <w:kern w:val="28"/>
          <w:szCs w:val="28"/>
          <w:highlight w:val="none"/>
          <w14:ligatures w14:val="none"/>
        </w:rPr>
        <w:t>图</w:t>
      </w:r>
      <w:r>
        <w:rPr>
          <w:rFonts w:ascii="Times New Roman" w:hAnsi="Times New Roman" w:eastAsia="宋体" w:cs="Times New Roman"/>
          <w:kern w:val="28"/>
          <w:szCs w:val="28"/>
          <w:highlight w:val="none"/>
          <w14:ligatures w14:val="none"/>
        </w:rPr>
        <w:t>2</w:t>
      </w:r>
      <w:r>
        <w:rPr>
          <w:rFonts w:hint="eastAsia" w:ascii="Times New Roman" w:hAnsi="Times New Roman" w:eastAsia="宋体" w:cs="Times New Roman"/>
          <w:kern w:val="28"/>
          <w:szCs w:val="28"/>
          <w:highlight w:val="none"/>
          <w14:ligatures w14:val="none"/>
        </w:rPr>
        <w:t>.6</w:t>
      </w:r>
      <w:r>
        <w:rPr>
          <w:rFonts w:ascii="Times New Roman" w:hAnsi="Times New Roman" w:eastAsia="宋体" w:cs="Times New Roman"/>
          <w:kern w:val="28"/>
          <w:szCs w:val="28"/>
          <w:highlight w:val="none"/>
          <w14:ligatures w14:val="none"/>
        </w:rPr>
        <w:t>-</w:t>
      </w:r>
      <w:r>
        <w:rPr>
          <w:rFonts w:hint="eastAsia" w:ascii="Times New Roman" w:hAnsi="Times New Roman" w:eastAsia="宋体" w:cs="Times New Roman"/>
          <w:kern w:val="28"/>
          <w:szCs w:val="28"/>
          <w:highlight w:val="none"/>
          <w14:ligatures w14:val="none"/>
        </w:rPr>
        <w:t>4</w:t>
      </w:r>
      <w:r>
        <w:rPr>
          <w:rFonts w:ascii="Times New Roman" w:hAnsi="Times New Roman" w:eastAsia="宋体" w:cs="Times New Roman"/>
          <w:kern w:val="28"/>
          <w:szCs w:val="28"/>
          <w:highlight w:val="none"/>
          <w14:ligatures w14:val="none"/>
        </w:rPr>
        <w:t>：</w:t>
      </w:r>
    </w:p>
    <w:p w14:paraId="287BC933">
      <w:pPr>
        <w:ind w:firstLine="198" w:firstLineChars="71"/>
        <w:rPr>
          <w:rFonts w:ascii="Times New Roman" w:hAnsi="Times New Roman" w:eastAsia="宋体" w:cs="Times New Roman"/>
          <w:szCs w:val="20"/>
          <w:highlight w:val="none"/>
          <w14:ligatures w14:val="none"/>
        </w:rPr>
      </w:pPr>
    </w:p>
    <w:p w14:paraId="2FE276B4">
      <w:pPr>
        <w:pStyle w:val="42"/>
        <w:spacing w:before="156" w:beforeLines="50" w:after="156" w:afterLines="50"/>
        <w:ind w:firstLine="480"/>
        <w:rPr>
          <w:rFonts w:eastAsia="黑体"/>
          <w:sz w:val="24"/>
          <w:highlight w:val="none"/>
        </w:rPr>
      </w:pPr>
      <w:bookmarkStart w:id="27" w:name="_Toc5911"/>
      <w:r>
        <w:rPr>
          <w:rFonts w:eastAsia="黑体"/>
          <w:sz w:val="24"/>
          <w:highlight w:val="none"/>
        </w:rPr>
        <w:t>图2.</w:t>
      </w:r>
      <w:r>
        <w:rPr>
          <w:rFonts w:hint="eastAsia" w:eastAsia="黑体"/>
          <w:sz w:val="24"/>
          <w:highlight w:val="none"/>
        </w:rPr>
        <w:t>6</w:t>
      </w:r>
      <w:r>
        <w:rPr>
          <w:rFonts w:eastAsia="黑体"/>
          <w:sz w:val="24"/>
          <w:highlight w:val="none"/>
        </w:rPr>
        <w:t xml:space="preserve">-3  </w:t>
      </w:r>
      <w:r>
        <w:rPr>
          <w:rFonts w:hint="eastAsia" w:eastAsia="黑体"/>
          <w:sz w:val="24"/>
          <w:highlight w:val="none"/>
        </w:rPr>
        <w:t>车用乙醇汽油</w:t>
      </w:r>
      <w:r>
        <w:rPr>
          <w:rFonts w:eastAsia="黑体"/>
          <w:sz w:val="24"/>
          <w:highlight w:val="none"/>
        </w:rPr>
        <w:t>加油工艺流程框图</w:t>
      </w:r>
    </w:p>
    <w:p w14:paraId="1DF0B4AE">
      <w:pPr>
        <w:spacing w:line="240" w:lineRule="auto"/>
        <w:ind w:firstLine="232" w:firstLineChars="83"/>
        <w:rPr>
          <w:rFonts w:ascii="Times New Roman" w:hAnsi="Times New Roman" w:eastAsia="宋体" w:cs="Times New Roman"/>
          <w:szCs w:val="28"/>
          <w:highlight w:val="none"/>
          <w14:ligatures w14:val="none"/>
        </w:rPr>
      </w:pPr>
    </w:p>
    <w:p w14:paraId="33760443">
      <w:pPr>
        <w:widowControl w:val="0"/>
        <w:autoSpaceDE w:val="0"/>
        <w:autoSpaceDN w:val="0"/>
        <w:spacing w:before="120" w:beforeLines="50" w:after="10"/>
        <w:ind w:left="0" w:leftChars="0" w:firstLine="0" w:firstLineChars="0"/>
        <w:jc w:val="center"/>
        <w:rPr>
          <w:rFonts w:ascii="Times New Roman" w:hAnsi="Times New Roman" w:eastAsia="黑体" w:cs="Times New Roman"/>
          <w:color w:val="auto"/>
          <w:sz w:val="24"/>
          <w:szCs w:val="24"/>
          <w:highlight w:val="none"/>
          <w:lang w:val="zh-CN" w:eastAsia="zh-CN" w:bidi="zh-CN"/>
        </w:rPr>
      </w:pPr>
      <w:r>
        <w:rPr>
          <w:rFonts w:ascii="Times New Roman" w:hAnsi="Times New Roman" w:eastAsia="黑体" w:cs="Times New Roman"/>
          <w:color w:val="auto"/>
          <w:sz w:val="24"/>
          <w:szCs w:val="24"/>
          <w:highlight w:val="none"/>
          <w:lang w:val="zh-CN" w:eastAsia="zh-CN" w:bidi="zh-CN"/>
        </w:rPr>
        <w:t>图2</w:t>
      </w:r>
      <w:r>
        <w:rPr>
          <w:rFonts w:hint="eastAsia" w:ascii="Times New Roman" w:hAnsi="Times New Roman" w:eastAsia="黑体" w:cs="Times New Roman"/>
          <w:color w:val="auto"/>
          <w:sz w:val="24"/>
          <w:szCs w:val="24"/>
          <w:highlight w:val="none"/>
          <w:lang w:val="en-US" w:eastAsia="zh-CN" w:bidi="zh-CN"/>
        </w:rPr>
        <w:t>.6-4</w:t>
      </w:r>
      <w:r>
        <w:rPr>
          <w:rFonts w:ascii="Times New Roman" w:hAnsi="Times New Roman" w:eastAsia="黑体" w:cs="Times New Roman"/>
          <w:color w:val="auto"/>
          <w:sz w:val="24"/>
          <w:szCs w:val="24"/>
          <w:highlight w:val="none"/>
          <w:lang w:val="zh-CN" w:eastAsia="zh-CN" w:bidi="zh-CN"/>
        </w:rPr>
        <w:t xml:space="preserve">  柴油加油工艺流程框图</w:t>
      </w:r>
    </w:p>
    <w:p w14:paraId="0535E419">
      <w:pPr>
        <w:adjustRightInd/>
        <w:snapToGrid/>
        <w:spacing w:line="240" w:lineRule="auto"/>
        <w:ind w:firstLine="0" w:firstLineChars="0"/>
        <w:jc w:val="left"/>
        <w:rPr>
          <w:rFonts w:hint="eastAsia" w:ascii="Times New Roman" w:hAnsi="Times New Roman" w:eastAsia="宋体"/>
          <w:sz w:val="21"/>
          <w:szCs w:val="21"/>
          <w:highlight w:val="none"/>
        </w:rPr>
      </w:pPr>
    </w:p>
    <w:p w14:paraId="4F96F50E">
      <w:pPr>
        <w:adjustRightInd/>
        <w:snapToGrid/>
        <w:spacing w:line="240" w:lineRule="auto"/>
        <w:ind w:firstLine="0" w:firstLineChars="0"/>
        <w:jc w:val="left"/>
        <w:rPr>
          <w:rFonts w:hint="eastAsia" w:ascii="Times New Roman" w:hAnsi="Times New Roman" w:eastAsia="宋体"/>
          <w:sz w:val="21"/>
          <w:szCs w:val="21"/>
          <w:highlight w:val="none"/>
        </w:rPr>
      </w:pPr>
      <w:r>
        <w:rPr>
          <w:rFonts w:hint="eastAsia" w:ascii="Times New Roman" w:hAnsi="Times New Roman" w:eastAsia="宋体"/>
          <w:sz w:val="21"/>
          <w:szCs w:val="21"/>
          <w:highlight w:val="none"/>
        </w:rPr>
        <w:t>注：柴油无油气回收工艺流程</w:t>
      </w:r>
    </w:p>
    <w:p w14:paraId="4E5278E6">
      <w:pPr>
        <w:pStyle w:val="2"/>
        <w:rPr>
          <w:rFonts w:hint="eastAsia"/>
          <w:highlight w:val="none"/>
        </w:rPr>
      </w:pPr>
    </w:p>
    <w:p w14:paraId="67696283">
      <w:pPr>
        <w:ind w:firstLine="560"/>
        <w:rPr>
          <w:rFonts w:hint="eastAsia" w:ascii="Times New Roman" w:hAnsi="Times New Roman" w:eastAsia="宋体" w:cs="Times New Roman"/>
          <w:kern w:val="28"/>
          <w:szCs w:val="28"/>
          <w:highlight w:val="none"/>
          <w:lang w:val="en-US" w:eastAsia="zh-CN"/>
          <w14:ligatures w14:val="none"/>
        </w:rPr>
      </w:pPr>
      <w:r>
        <w:rPr>
          <w:rFonts w:hint="eastAsia" w:ascii="Times New Roman" w:hAnsi="Times New Roman" w:eastAsia="宋体" w:cs="Times New Roman"/>
          <w:kern w:val="28"/>
          <w:szCs w:val="28"/>
          <w:highlight w:val="none"/>
          <w:lang w:val="en-US" w:eastAsia="zh-CN"/>
          <w14:ligatures w14:val="none"/>
        </w:rPr>
        <w:t>油气回收排放处理装置（三次油气回收）是将回收的油气集中至后端油气排放处理装置，该油气回收装置采用冷凝、膜分离相结合技术，通过压力传感器监测管道压力，当压力升高到设定值时，油气排放处理装置启动，进行油气浓缩处理。其工作原理为储油罐内油气压力达到油气排放处理装置设置的压力感应值时，油气回收装置启动，进行油气浓缩处理，将油罐内的油气经压缩机、冷凝器1冷却后进入分离罐，冷却液返回至低号储油罐中；未冷凝油气进入膜分离器，通过真空泵将膜分离后的油气再次通过冷凝器2进行冷凝浓缩，冷却后的冷凝液返回至低号储油罐中；膜分离后不凝气，通过排气管达标排放。当系统压力降低时，装置停止运转，处于待机状态。油气回收装置的压力感应值设定值应低于通气管上压力/真空阀的设定压力。油气回收管道均坡向低标号车用乙醇汽油罐，坡度不小于1%，管径和压力等级与相应的引出管道相同。</w:t>
      </w:r>
    </w:p>
    <w:p w14:paraId="2C0ADFB8">
      <w:pPr>
        <w:pStyle w:val="2"/>
        <w:rPr>
          <w:rFonts w:hint="eastAsia"/>
          <w:highlight w:val="none"/>
          <w:lang w:val="en-US" w:eastAsia="zh-CN"/>
        </w:rPr>
      </w:pPr>
      <w:r>
        <w:rPr>
          <w:highlight w:val="none"/>
        </w:rPr>
        <w:drawing>
          <wp:anchor distT="0" distB="0" distL="114300" distR="114300" simplePos="0" relativeHeight="251663360" behindDoc="0" locked="0" layoutInCell="1" allowOverlap="1">
            <wp:simplePos x="0" y="0"/>
            <wp:positionH relativeFrom="column">
              <wp:posOffset>-220345</wp:posOffset>
            </wp:positionH>
            <wp:positionV relativeFrom="paragraph">
              <wp:posOffset>114300</wp:posOffset>
            </wp:positionV>
            <wp:extent cx="5975985" cy="1489710"/>
            <wp:effectExtent l="0" t="0" r="5715" b="15240"/>
            <wp:wrapSquare wrapText="bothSides"/>
            <wp:docPr id="13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2"/>
                    <pic:cNvPicPr>
                      <a:picLocks noChangeAspect="1"/>
                    </pic:cNvPicPr>
                  </pic:nvPicPr>
                  <pic:blipFill>
                    <a:blip r:embed="rId15"/>
                    <a:stretch>
                      <a:fillRect/>
                    </a:stretch>
                  </pic:blipFill>
                  <pic:spPr>
                    <a:xfrm>
                      <a:off x="0" y="0"/>
                      <a:ext cx="5975985" cy="1489710"/>
                    </a:xfrm>
                    <a:prstGeom prst="rect">
                      <a:avLst/>
                    </a:prstGeom>
                    <a:noFill/>
                    <a:ln>
                      <a:noFill/>
                    </a:ln>
                  </pic:spPr>
                </pic:pic>
              </a:graphicData>
            </a:graphic>
          </wp:anchor>
        </w:drawing>
      </w:r>
    </w:p>
    <w:p w14:paraId="331B0354">
      <w:pPr>
        <w:widowControl w:val="0"/>
        <w:autoSpaceDE w:val="0"/>
        <w:autoSpaceDN w:val="0"/>
        <w:spacing w:before="120" w:beforeLines="50" w:after="10"/>
        <w:ind w:left="0" w:leftChars="0" w:firstLine="0" w:firstLineChars="0"/>
        <w:jc w:val="center"/>
        <w:rPr>
          <w:rFonts w:hint="default" w:ascii="Times New Roman" w:hAnsi="Times New Roman" w:eastAsia="黑体" w:cs="Times New Roman"/>
          <w:color w:val="auto"/>
          <w:sz w:val="24"/>
          <w:szCs w:val="24"/>
          <w:highlight w:val="none"/>
          <w:lang w:val="en-US" w:eastAsia="zh-CN" w:bidi="zh-CN"/>
        </w:rPr>
      </w:pPr>
      <w:r>
        <w:rPr>
          <w:rFonts w:ascii="Times New Roman" w:hAnsi="Times New Roman" w:eastAsia="黑体" w:cs="Times New Roman"/>
          <w:color w:val="auto"/>
          <w:sz w:val="24"/>
          <w:szCs w:val="24"/>
          <w:highlight w:val="none"/>
          <w:lang w:val="zh-CN" w:eastAsia="zh-CN" w:bidi="zh-CN"/>
        </w:rPr>
        <w:t>图2</w:t>
      </w:r>
      <w:r>
        <w:rPr>
          <w:rFonts w:hint="eastAsia" w:ascii="Times New Roman" w:hAnsi="Times New Roman" w:eastAsia="黑体" w:cs="Times New Roman"/>
          <w:color w:val="auto"/>
          <w:sz w:val="24"/>
          <w:szCs w:val="24"/>
          <w:highlight w:val="none"/>
          <w:lang w:val="en-US" w:eastAsia="zh-CN" w:bidi="zh-CN"/>
        </w:rPr>
        <w:t>.6-5</w:t>
      </w:r>
      <w:r>
        <w:rPr>
          <w:rFonts w:ascii="Times New Roman" w:hAnsi="Times New Roman" w:eastAsia="黑体" w:cs="Times New Roman"/>
          <w:color w:val="auto"/>
          <w:sz w:val="24"/>
          <w:szCs w:val="24"/>
          <w:highlight w:val="none"/>
          <w:lang w:val="zh-CN" w:eastAsia="zh-CN" w:bidi="zh-CN"/>
        </w:rPr>
        <w:t xml:space="preserve">  </w:t>
      </w:r>
      <w:r>
        <w:rPr>
          <w:rFonts w:hint="eastAsia" w:ascii="Times New Roman" w:hAnsi="Times New Roman" w:eastAsia="黑体" w:cs="Times New Roman"/>
          <w:color w:val="auto"/>
          <w:sz w:val="24"/>
          <w:szCs w:val="24"/>
          <w:highlight w:val="none"/>
          <w:lang w:val="en-US" w:eastAsia="zh-CN" w:bidi="zh-CN"/>
        </w:rPr>
        <w:t>三次油气回收工艺流程图</w:t>
      </w:r>
    </w:p>
    <w:bookmarkEnd w:id="27"/>
    <w:p w14:paraId="20F84AD5">
      <w:pPr>
        <w:keepNext/>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2.6.2主要设备及设施的布局及其上下游生产装置的关系</w:t>
      </w:r>
    </w:p>
    <w:p w14:paraId="1F288171">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w:t>
      </w:r>
      <w:r>
        <w:rPr>
          <w:rFonts w:ascii="Times New Roman" w:hAnsi="Times New Roman" w:eastAsia="宋体" w:cs="宋体"/>
          <w:szCs w:val="28"/>
          <w:highlight w:val="none"/>
          <w:lang w:bidi="ar"/>
          <w14:ligatures w14:val="none"/>
        </w:rPr>
        <w:t>站在总平面布置上进行功能分区，分为加油作业区、储罐区和辅助服务区。加油作业区为加油场地，辅助服务区为站房。</w:t>
      </w:r>
    </w:p>
    <w:p w14:paraId="6FFA9EEB">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站房位于站区</w:t>
      </w:r>
      <w:r>
        <w:rPr>
          <w:rFonts w:hint="eastAsia" w:ascii="Times New Roman" w:hAnsi="Times New Roman" w:eastAsia="宋体" w:cs="宋体"/>
          <w:szCs w:val="28"/>
          <w:highlight w:val="none"/>
          <w:lang w:bidi="ar"/>
          <w14:ligatures w14:val="none"/>
        </w:rPr>
        <w:t>南</w:t>
      </w:r>
      <w:r>
        <w:rPr>
          <w:rFonts w:ascii="Times New Roman" w:hAnsi="Times New Roman" w:eastAsia="宋体" w:cs="宋体"/>
          <w:szCs w:val="28"/>
          <w:highlight w:val="none"/>
          <w:lang w:bidi="ar"/>
          <w14:ligatures w14:val="none"/>
        </w:rPr>
        <w:t>侧，内部设营业厅、收银室、财务室、控制室、值班室、办公室、卫生间等功能间。</w:t>
      </w:r>
    </w:p>
    <w:p w14:paraId="7CAF9986">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加油作业区布置在站房</w:t>
      </w:r>
      <w:r>
        <w:rPr>
          <w:rFonts w:hint="eastAsia" w:ascii="Times New Roman" w:hAnsi="Times New Roman" w:eastAsia="宋体" w:cs="宋体"/>
          <w:szCs w:val="28"/>
          <w:highlight w:val="none"/>
          <w:lang w:bidi="ar"/>
          <w14:ligatures w14:val="none"/>
        </w:rPr>
        <w:t>南</w:t>
      </w:r>
      <w:r>
        <w:rPr>
          <w:rFonts w:ascii="Times New Roman" w:hAnsi="Times New Roman" w:eastAsia="宋体" w:cs="宋体"/>
          <w:szCs w:val="28"/>
          <w:highlight w:val="none"/>
          <w:lang w:bidi="ar"/>
          <w14:ligatures w14:val="none"/>
        </w:rPr>
        <w:t>侧，加油场地设加油罩棚，罩棚下设</w:t>
      </w:r>
      <w:r>
        <w:rPr>
          <w:rFonts w:hint="eastAsia" w:ascii="Times New Roman" w:hAnsi="Times New Roman" w:eastAsia="宋体" w:cs="宋体"/>
          <w:szCs w:val="28"/>
          <w:highlight w:val="none"/>
          <w:lang w:bidi="ar"/>
          <w14:ligatures w14:val="none"/>
        </w:rPr>
        <w:t>6</w:t>
      </w:r>
      <w:r>
        <w:rPr>
          <w:rFonts w:ascii="Times New Roman" w:hAnsi="Times New Roman" w:eastAsia="宋体" w:cs="宋体"/>
          <w:szCs w:val="28"/>
          <w:highlight w:val="none"/>
          <w:lang w:bidi="ar"/>
          <w14:ligatures w14:val="none"/>
        </w:rPr>
        <w:t>座加油岛，</w:t>
      </w:r>
      <w:r>
        <w:rPr>
          <w:rFonts w:hint="eastAsia" w:ascii="Times New Roman" w:hAnsi="Times New Roman" w:eastAsia="宋体" w:cs="宋体"/>
          <w:szCs w:val="28"/>
          <w:highlight w:val="none"/>
          <w:lang w:bidi="ar"/>
          <w14:ligatures w14:val="none"/>
        </w:rPr>
        <w:t>共</w:t>
      </w:r>
      <w:r>
        <w:rPr>
          <w:rFonts w:ascii="Times New Roman" w:hAnsi="Times New Roman" w:eastAsia="宋体" w:cs="宋体"/>
          <w:szCs w:val="28"/>
          <w:highlight w:val="none"/>
          <w:lang w:bidi="ar"/>
          <w14:ligatures w14:val="none"/>
        </w:rPr>
        <w:t>布置</w:t>
      </w:r>
      <w:r>
        <w:rPr>
          <w:rFonts w:hint="eastAsia" w:ascii="Times New Roman" w:hAnsi="Times New Roman" w:eastAsia="宋体" w:cs="宋体"/>
          <w:szCs w:val="28"/>
          <w:highlight w:val="none"/>
          <w:lang w:bidi="ar"/>
          <w14:ligatures w14:val="none"/>
        </w:rPr>
        <w:t>2</w:t>
      </w:r>
      <w:r>
        <w:rPr>
          <w:rFonts w:ascii="Times New Roman" w:hAnsi="Times New Roman" w:eastAsia="宋体" w:cs="宋体"/>
          <w:szCs w:val="28"/>
          <w:highlight w:val="none"/>
          <w:lang w:bidi="ar"/>
          <w14:ligatures w14:val="none"/>
        </w:rPr>
        <w:t>台</w:t>
      </w:r>
      <w:r>
        <w:rPr>
          <w:rFonts w:hint="eastAsia" w:ascii="Times New Roman" w:hAnsi="Times New Roman" w:eastAsia="宋体" w:cs="宋体"/>
          <w:szCs w:val="28"/>
          <w:highlight w:val="none"/>
          <w:lang w:bidi="ar"/>
          <w14:ligatures w14:val="none"/>
        </w:rPr>
        <w:t>四</w:t>
      </w:r>
      <w:r>
        <w:rPr>
          <w:rFonts w:ascii="Times New Roman" w:hAnsi="Times New Roman" w:eastAsia="宋体" w:cs="宋体"/>
          <w:szCs w:val="28"/>
          <w:highlight w:val="none"/>
          <w:lang w:bidi="ar"/>
          <w14:ligatures w14:val="none"/>
        </w:rPr>
        <w:t>枪双油品</w:t>
      </w:r>
      <w:r>
        <w:rPr>
          <w:rFonts w:hint="eastAsia" w:ascii="Times New Roman" w:hAnsi="Times New Roman" w:eastAsia="宋体" w:cs="宋体"/>
          <w:szCs w:val="28"/>
          <w:highlight w:val="none"/>
          <w:lang w:bidi="ar"/>
          <w14:ligatures w14:val="none"/>
        </w:rPr>
        <w:t>潜油泵</w:t>
      </w:r>
      <w:r>
        <w:rPr>
          <w:rFonts w:ascii="Times New Roman" w:hAnsi="Times New Roman" w:eastAsia="宋体" w:cs="宋体"/>
          <w:szCs w:val="28"/>
          <w:highlight w:val="none"/>
          <w:lang w:bidi="ar"/>
          <w14:ligatures w14:val="none"/>
        </w:rPr>
        <w:t>式车用乙醇汽油加油机和</w:t>
      </w:r>
      <w:r>
        <w:rPr>
          <w:rFonts w:hint="eastAsia" w:ascii="Times New Roman" w:hAnsi="Times New Roman" w:eastAsia="宋体" w:cs="宋体"/>
          <w:szCs w:val="28"/>
          <w:highlight w:val="none"/>
          <w:lang w:bidi="ar"/>
          <w14:ligatures w14:val="none"/>
        </w:rPr>
        <w:t>4</w:t>
      </w:r>
      <w:r>
        <w:rPr>
          <w:rFonts w:ascii="Times New Roman" w:hAnsi="Times New Roman" w:eastAsia="宋体" w:cs="宋体"/>
          <w:szCs w:val="28"/>
          <w:highlight w:val="none"/>
          <w:lang w:bidi="ar"/>
          <w14:ligatures w14:val="none"/>
        </w:rPr>
        <w:t>台</w:t>
      </w:r>
      <w:r>
        <w:rPr>
          <w:rFonts w:hint="eastAsia" w:ascii="Times New Roman" w:hAnsi="Times New Roman" w:eastAsia="宋体" w:cs="宋体"/>
          <w:szCs w:val="28"/>
          <w:highlight w:val="none"/>
          <w:lang w:bidi="ar"/>
          <w14:ligatures w14:val="none"/>
        </w:rPr>
        <w:t>双</w:t>
      </w:r>
      <w:r>
        <w:rPr>
          <w:rFonts w:ascii="Times New Roman" w:hAnsi="Times New Roman" w:eastAsia="宋体" w:cs="宋体"/>
          <w:szCs w:val="28"/>
          <w:highlight w:val="none"/>
          <w:lang w:bidi="ar"/>
          <w14:ligatures w14:val="none"/>
        </w:rPr>
        <w:t>枪</w:t>
      </w:r>
      <w:r>
        <w:rPr>
          <w:rFonts w:hint="eastAsia" w:ascii="Times New Roman" w:hAnsi="Times New Roman" w:eastAsia="宋体" w:cs="宋体"/>
          <w:szCs w:val="28"/>
          <w:highlight w:val="none"/>
          <w:lang w:bidi="ar"/>
          <w14:ligatures w14:val="none"/>
        </w:rPr>
        <w:t>双</w:t>
      </w:r>
      <w:r>
        <w:rPr>
          <w:rFonts w:ascii="Times New Roman" w:hAnsi="Times New Roman" w:eastAsia="宋体" w:cs="宋体"/>
          <w:szCs w:val="28"/>
          <w:highlight w:val="none"/>
          <w:lang w:bidi="ar"/>
          <w14:ligatures w14:val="none"/>
        </w:rPr>
        <w:t>油品</w:t>
      </w:r>
      <w:r>
        <w:rPr>
          <w:rFonts w:hint="eastAsia" w:ascii="Times New Roman" w:hAnsi="Times New Roman" w:eastAsia="宋体" w:cs="宋体"/>
          <w:szCs w:val="28"/>
          <w:highlight w:val="none"/>
          <w:lang w:bidi="ar"/>
          <w14:ligatures w14:val="none"/>
        </w:rPr>
        <w:t>潜油泵</w:t>
      </w:r>
      <w:r>
        <w:rPr>
          <w:rFonts w:ascii="Times New Roman" w:hAnsi="Times New Roman" w:eastAsia="宋体" w:cs="宋体"/>
          <w:szCs w:val="28"/>
          <w:highlight w:val="none"/>
          <w:lang w:bidi="ar"/>
          <w14:ligatures w14:val="none"/>
        </w:rPr>
        <w:t>式柴油加油机。</w:t>
      </w:r>
    </w:p>
    <w:p w14:paraId="77A1A921">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储罐区布置在</w:t>
      </w:r>
      <w:r>
        <w:rPr>
          <w:rFonts w:hint="eastAsia" w:ascii="Times New Roman" w:hAnsi="Times New Roman" w:eastAsia="宋体" w:cs="宋体"/>
          <w:szCs w:val="28"/>
          <w:highlight w:val="none"/>
          <w:lang w:bidi="ar"/>
          <w14:ligatures w14:val="none"/>
        </w:rPr>
        <w:t>站房北侧</w:t>
      </w:r>
      <w:r>
        <w:rPr>
          <w:rFonts w:ascii="Times New Roman" w:hAnsi="Times New Roman" w:eastAsia="宋体" w:cs="宋体"/>
          <w:szCs w:val="28"/>
          <w:highlight w:val="none"/>
          <w:lang w:bidi="ar"/>
          <w14:ligatures w14:val="none"/>
        </w:rPr>
        <w:t>，设</w:t>
      </w:r>
      <w:r>
        <w:rPr>
          <w:rFonts w:hint="eastAsia" w:ascii="Times New Roman" w:hAnsi="Times New Roman" w:eastAsia="宋体" w:cs="宋体"/>
          <w:szCs w:val="28"/>
          <w:highlight w:val="none"/>
          <w:lang w:bidi="ar"/>
          <w14:ligatures w14:val="none"/>
        </w:rPr>
        <w:t>6</w:t>
      </w:r>
      <w:r>
        <w:rPr>
          <w:rFonts w:ascii="Times New Roman" w:hAnsi="Times New Roman" w:eastAsia="宋体" w:cs="宋体"/>
          <w:szCs w:val="28"/>
          <w:highlight w:val="none"/>
          <w:lang w:bidi="ar"/>
          <w14:ligatures w14:val="none"/>
        </w:rPr>
        <w:t>座埋地双层罐，由</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向</w:t>
      </w:r>
      <w:r>
        <w:rPr>
          <w:rFonts w:hint="eastAsia" w:ascii="Times New Roman" w:hAnsi="Times New Roman" w:eastAsia="宋体" w:cs="宋体"/>
          <w:szCs w:val="28"/>
          <w:highlight w:val="none"/>
          <w:lang w:val="en-US" w:eastAsia="zh-CN" w:bidi="ar"/>
          <w14:ligatures w14:val="none"/>
        </w:rPr>
        <w:t>南</w:t>
      </w:r>
      <w:r>
        <w:rPr>
          <w:rFonts w:ascii="Times New Roman" w:hAnsi="Times New Roman" w:eastAsia="宋体" w:cs="宋体"/>
          <w:szCs w:val="28"/>
          <w:highlight w:val="none"/>
          <w:lang w:bidi="ar"/>
          <w14:ligatures w14:val="none"/>
        </w:rPr>
        <w:t>依次布置为</w:t>
      </w:r>
      <w:r>
        <w:rPr>
          <w:rFonts w:hint="eastAsia" w:ascii="Times New Roman" w:hAnsi="Times New Roman" w:eastAsia="宋体" w:cs="宋体"/>
          <w:szCs w:val="28"/>
          <w:highlight w:val="none"/>
          <w:lang w:bidi="ar"/>
          <w14:ligatures w14:val="none"/>
        </w:rPr>
        <w:t>2</w:t>
      </w:r>
      <w:r>
        <w:rPr>
          <w:rFonts w:ascii="Times New Roman" w:hAnsi="Times New Roman" w:eastAsia="宋体" w:cs="宋体"/>
          <w:szCs w:val="28"/>
          <w:highlight w:val="none"/>
          <w:lang w:bidi="ar"/>
          <w14:ligatures w14:val="none"/>
        </w:rPr>
        <w:t>座</w:t>
      </w:r>
      <w:r>
        <w:rPr>
          <w:rFonts w:hint="eastAsia" w:ascii="Times New Roman" w:hAnsi="Times New Roman" w:eastAsia="宋体" w:cs="宋体"/>
          <w:szCs w:val="28"/>
          <w:highlight w:val="none"/>
          <w:lang w:bidi="ar"/>
          <w14:ligatures w14:val="none"/>
        </w:rPr>
        <w:t>3</w:t>
      </w:r>
      <w:r>
        <w:rPr>
          <w:rFonts w:ascii="Times New Roman" w:hAnsi="Times New Roman" w:eastAsia="宋体" w:cs="宋体"/>
          <w:szCs w:val="28"/>
          <w:highlight w:val="none"/>
          <w:lang w:bidi="ar"/>
          <w14:ligatures w14:val="none"/>
        </w:rPr>
        <w:t>0m</w:t>
      </w:r>
      <w:r>
        <w:rPr>
          <w:rFonts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车用乙醇汽油</w:t>
      </w:r>
      <w:r>
        <w:rPr>
          <w:rFonts w:ascii="Times New Roman" w:hAnsi="Times New Roman" w:eastAsia="宋体" w:cs="宋体"/>
          <w:szCs w:val="28"/>
          <w:highlight w:val="none"/>
          <w:lang w:bidi="ar"/>
          <w14:ligatures w14:val="none"/>
        </w:rPr>
        <w:t>储罐，</w:t>
      </w:r>
      <w:r>
        <w:rPr>
          <w:rFonts w:hint="eastAsia" w:ascii="Times New Roman" w:hAnsi="Times New Roman" w:eastAsia="宋体" w:cs="宋体"/>
          <w:szCs w:val="28"/>
          <w:highlight w:val="none"/>
          <w:lang w:bidi="ar"/>
          <w14:ligatures w14:val="none"/>
        </w:rPr>
        <w:t>4</w:t>
      </w:r>
      <w:r>
        <w:rPr>
          <w:rFonts w:ascii="Times New Roman" w:hAnsi="Times New Roman" w:eastAsia="宋体" w:cs="宋体"/>
          <w:szCs w:val="28"/>
          <w:highlight w:val="none"/>
          <w:lang w:bidi="ar"/>
          <w14:ligatures w14:val="none"/>
        </w:rPr>
        <w:t>座</w:t>
      </w:r>
      <w:r>
        <w:rPr>
          <w:rFonts w:hint="eastAsia" w:ascii="Times New Roman" w:hAnsi="Times New Roman" w:eastAsia="宋体" w:cs="宋体"/>
          <w:szCs w:val="28"/>
          <w:highlight w:val="none"/>
          <w:lang w:bidi="ar"/>
          <w14:ligatures w14:val="none"/>
        </w:rPr>
        <w:t>3</w:t>
      </w:r>
      <w:r>
        <w:rPr>
          <w:rFonts w:ascii="Times New Roman" w:hAnsi="Times New Roman" w:eastAsia="宋体" w:cs="宋体"/>
          <w:szCs w:val="28"/>
          <w:highlight w:val="none"/>
          <w:lang w:bidi="ar"/>
          <w14:ligatures w14:val="none"/>
        </w:rPr>
        <w:t>0m</w:t>
      </w:r>
      <w:r>
        <w:rPr>
          <w:rFonts w:ascii="Times New Roman" w:hAnsi="Times New Roman" w:eastAsia="宋体" w:cs="宋体"/>
          <w:szCs w:val="28"/>
          <w:highlight w:val="none"/>
          <w:vertAlign w:val="superscript"/>
          <w:lang w:bidi="ar"/>
          <w14:ligatures w14:val="none"/>
        </w:rPr>
        <w:t>3</w:t>
      </w:r>
      <w:r>
        <w:rPr>
          <w:rFonts w:hint="eastAsia" w:ascii="Times New Roman" w:hAnsi="Times New Roman" w:eastAsia="宋体" w:cs="宋体"/>
          <w:szCs w:val="28"/>
          <w:highlight w:val="none"/>
          <w:lang w:bidi="ar"/>
          <w14:ligatures w14:val="none"/>
        </w:rPr>
        <w:t>柴油</w:t>
      </w:r>
      <w:r>
        <w:rPr>
          <w:rFonts w:ascii="Times New Roman" w:hAnsi="Times New Roman" w:eastAsia="宋体" w:cs="宋体"/>
          <w:szCs w:val="28"/>
          <w:highlight w:val="none"/>
          <w:lang w:bidi="ar"/>
          <w14:ligatures w14:val="none"/>
        </w:rPr>
        <w:t>储罐。</w:t>
      </w:r>
    </w:p>
    <w:p w14:paraId="0FE25625">
      <w:pPr>
        <w:ind w:firstLine="560"/>
        <w:rPr>
          <w:rFonts w:hint="default" w:ascii="Times New Roman" w:hAnsi="Times New Roman" w:eastAsia="宋体" w:cs="宋体"/>
          <w:szCs w:val="28"/>
          <w:highlight w:val="none"/>
          <w:lang w:val="en-US" w:eastAsia="zh-CN" w:bidi="ar"/>
          <w14:ligatures w14:val="none"/>
        </w:rPr>
      </w:pPr>
      <w:r>
        <w:rPr>
          <w:rFonts w:ascii="Times New Roman" w:hAnsi="Times New Roman" w:eastAsia="宋体" w:cs="宋体"/>
          <w:szCs w:val="28"/>
          <w:highlight w:val="none"/>
          <w:lang w:bidi="ar"/>
          <w14:ligatures w14:val="none"/>
        </w:rPr>
        <w:t>车用乙醇汽油和柴油通气管口分开设置，设有</w:t>
      </w:r>
      <w:r>
        <w:rPr>
          <w:rFonts w:hint="eastAsia" w:ascii="Times New Roman" w:hAnsi="Times New Roman" w:eastAsia="宋体" w:cs="宋体"/>
          <w:szCs w:val="28"/>
          <w:highlight w:val="none"/>
          <w:lang w:bidi="ar"/>
          <w14:ligatures w14:val="none"/>
        </w:rPr>
        <w:t>2</w:t>
      </w:r>
      <w:r>
        <w:rPr>
          <w:rFonts w:ascii="Times New Roman" w:hAnsi="Times New Roman" w:eastAsia="宋体" w:cs="宋体"/>
          <w:szCs w:val="28"/>
          <w:highlight w:val="none"/>
          <w:lang w:bidi="ar"/>
          <w14:ligatures w14:val="none"/>
        </w:rPr>
        <w:t>根车用乙醇汽油通气管</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val="en-US" w:eastAsia="zh-CN" w:bidi="ar"/>
          <w14:ligatures w14:val="none"/>
        </w:rPr>
        <w:t>三次油气回收通气管连接到其中一根</w:t>
      </w:r>
      <w:r>
        <w:rPr>
          <w:rFonts w:ascii="Times New Roman" w:hAnsi="Times New Roman" w:eastAsia="宋体" w:cs="宋体"/>
          <w:szCs w:val="28"/>
          <w:highlight w:val="none"/>
          <w:lang w:bidi="ar"/>
          <w14:ligatures w14:val="none"/>
        </w:rPr>
        <w:t>车用乙醇汽油</w:t>
      </w:r>
      <w:r>
        <w:rPr>
          <w:rFonts w:hint="eastAsia" w:ascii="Times New Roman" w:hAnsi="Times New Roman" w:eastAsia="宋体" w:cs="宋体"/>
          <w:szCs w:val="28"/>
          <w:highlight w:val="none"/>
          <w:lang w:val="en-US" w:eastAsia="zh-CN" w:bidi="ar"/>
          <w14:ligatures w14:val="none"/>
        </w:rPr>
        <w:t>通气管</w:t>
      </w:r>
      <w:r>
        <w:rPr>
          <w:rFonts w:hint="eastAsia" w:ascii="Times New Roman" w:hAnsi="Times New Roman" w:eastAsia="宋体" w:cs="宋体"/>
          <w:szCs w:val="28"/>
          <w:highlight w:val="none"/>
          <w:lang w:eastAsia="zh-CN" w:bidi="ar"/>
          <w14:ligatures w14:val="none"/>
        </w:rPr>
        <w:t>）</w:t>
      </w:r>
      <w:r>
        <w:rPr>
          <w:rFonts w:ascii="Times New Roman" w:hAnsi="Times New Roman" w:eastAsia="宋体" w:cs="宋体"/>
          <w:szCs w:val="28"/>
          <w:highlight w:val="none"/>
          <w:lang w:bidi="ar"/>
          <w14:ligatures w14:val="none"/>
        </w:rPr>
        <w:t>和</w:t>
      </w:r>
      <w:r>
        <w:rPr>
          <w:rFonts w:hint="eastAsia" w:ascii="Times New Roman" w:hAnsi="Times New Roman" w:eastAsia="宋体" w:cs="宋体"/>
          <w:szCs w:val="28"/>
          <w:highlight w:val="none"/>
          <w:lang w:bidi="ar"/>
          <w14:ligatures w14:val="none"/>
        </w:rPr>
        <w:t>4</w:t>
      </w:r>
      <w:r>
        <w:rPr>
          <w:rFonts w:ascii="Times New Roman" w:hAnsi="Times New Roman" w:eastAsia="宋体" w:cs="宋体"/>
          <w:szCs w:val="28"/>
          <w:highlight w:val="none"/>
          <w:lang w:bidi="ar"/>
          <w14:ligatures w14:val="none"/>
        </w:rPr>
        <w:t>根柴油通气管，柴油通气管口</w:t>
      </w:r>
      <w:r>
        <w:rPr>
          <w:rFonts w:hint="eastAsia" w:ascii="Times New Roman" w:hAnsi="Times New Roman" w:eastAsia="宋体" w:cs="宋体"/>
          <w:szCs w:val="28"/>
          <w:highlight w:val="none"/>
          <w:lang w:bidi="ar"/>
          <w14:ligatures w14:val="none"/>
        </w:rPr>
        <w:t>和其中一个车用乙醇汽油通气管口均</w:t>
      </w:r>
      <w:r>
        <w:rPr>
          <w:rFonts w:ascii="Times New Roman" w:hAnsi="Times New Roman" w:eastAsia="宋体" w:cs="宋体"/>
          <w:szCs w:val="28"/>
          <w:highlight w:val="none"/>
          <w:lang w:bidi="ar"/>
          <w14:ligatures w14:val="none"/>
        </w:rPr>
        <w:t>设有阻火器，</w:t>
      </w:r>
      <w:r>
        <w:rPr>
          <w:rFonts w:hint="eastAsia" w:ascii="Times New Roman" w:hAnsi="Times New Roman" w:eastAsia="宋体" w:cs="宋体"/>
          <w:szCs w:val="28"/>
          <w:highlight w:val="none"/>
          <w:lang w:bidi="ar"/>
          <w14:ligatures w14:val="none"/>
        </w:rPr>
        <w:t>另一个</w:t>
      </w:r>
      <w:r>
        <w:rPr>
          <w:rFonts w:ascii="Times New Roman" w:hAnsi="Times New Roman" w:eastAsia="宋体" w:cs="宋体"/>
          <w:szCs w:val="28"/>
          <w:highlight w:val="none"/>
          <w:lang w:bidi="ar"/>
          <w14:ligatures w14:val="none"/>
        </w:rPr>
        <w:t>车用乙醇汽油通气管口设带阻火</w:t>
      </w:r>
      <w:r>
        <w:rPr>
          <w:rFonts w:hint="eastAsia" w:ascii="Times New Roman" w:hAnsi="Times New Roman" w:eastAsia="宋体" w:cs="宋体"/>
          <w:szCs w:val="28"/>
          <w:highlight w:val="none"/>
          <w:lang w:bidi="ar"/>
          <w14:ligatures w14:val="none"/>
        </w:rPr>
        <w:t>功能</w:t>
      </w:r>
      <w:r>
        <w:rPr>
          <w:rFonts w:ascii="Times New Roman" w:hAnsi="Times New Roman" w:eastAsia="宋体" w:cs="宋体"/>
          <w:szCs w:val="28"/>
          <w:highlight w:val="none"/>
          <w:lang w:bidi="ar"/>
          <w14:ligatures w14:val="none"/>
        </w:rPr>
        <w:t>的呼吸阀。油品卸车位和密闭卸油</w:t>
      </w:r>
      <w:r>
        <w:rPr>
          <w:rFonts w:hint="eastAsia" w:ascii="Times New Roman" w:hAnsi="Times New Roman" w:eastAsia="宋体" w:cs="宋体"/>
          <w:szCs w:val="28"/>
          <w:highlight w:val="none"/>
          <w:lang w:bidi="ar"/>
          <w14:ligatures w14:val="none"/>
        </w:rPr>
        <w:t>点</w:t>
      </w:r>
      <w:r>
        <w:rPr>
          <w:rFonts w:ascii="Times New Roman" w:hAnsi="Times New Roman" w:eastAsia="宋体" w:cs="宋体"/>
          <w:szCs w:val="28"/>
          <w:highlight w:val="none"/>
          <w:lang w:bidi="ar"/>
          <w14:ligatures w14:val="none"/>
        </w:rPr>
        <w:t>布置在</w:t>
      </w:r>
      <w:r>
        <w:rPr>
          <w:rFonts w:hint="eastAsia" w:ascii="Times New Roman" w:hAnsi="Times New Roman" w:eastAsia="宋体" w:cs="宋体"/>
          <w:szCs w:val="28"/>
          <w:highlight w:val="none"/>
          <w:lang w:bidi="ar"/>
          <w14:ligatures w14:val="none"/>
        </w:rPr>
        <w:t>储罐区</w:t>
      </w:r>
      <w:r>
        <w:rPr>
          <w:rFonts w:hint="eastAsia" w:ascii="Times New Roman" w:hAnsi="Times New Roman" w:eastAsia="宋体" w:cs="宋体"/>
          <w:szCs w:val="28"/>
          <w:highlight w:val="none"/>
          <w:lang w:val="en-US" w:eastAsia="zh-CN" w:bidi="ar"/>
          <w14:ligatures w14:val="none"/>
        </w:rPr>
        <w:t>东</w:t>
      </w:r>
      <w:r>
        <w:rPr>
          <w:rFonts w:ascii="Times New Roman" w:hAnsi="Times New Roman" w:eastAsia="宋体" w:cs="宋体"/>
          <w:szCs w:val="28"/>
          <w:highlight w:val="none"/>
          <w:lang w:bidi="ar"/>
          <w14:ligatures w14:val="none"/>
        </w:rPr>
        <w:t>侧，密闭卸油口内设</w:t>
      </w:r>
      <w:r>
        <w:rPr>
          <w:rFonts w:hint="eastAsia" w:ascii="Times New Roman" w:hAnsi="Times New Roman" w:eastAsia="宋体" w:cs="宋体"/>
          <w:szCs w:val="28"/>
          <w:highlight w:val="none"/>
          <w:lang w:bidi="ar"/>
          <w14:ligatures w14:val="none"/>
        </w:rPr>
        <w:t>2</w:t>
      </w:r>
      <w:r>
        <w:rPr>
          <w:rFonts w:ascii="Times New Roman" w:hAnsi="Times New Roman" w:eastAsia="宋体" w:cs="宋体"/>
          <w:szCs w:val="28"/>
          <w:highlight w:val="none"/>
          <w:lang w:bidi="ar"/>
          <w14:ligatures w14:val="none"/>
        </w:rPr>
        <w:t>个车用乙醇汽油卸油口、</w:t>
      </w:r>
      <w:r>
        <w:rPr>
          <w:rFonts w:hint="eastAsia" w:ascii="Times New Roman" w:hAnsi="Times New Roman" w:eastAsia="宋体" w:cs="宋体"/>
          <w:szCs w:val="28"/>
          <w:highlight w:val="none"/>
          <w:lang w:bidi="ar"/>
          <w14:ligatures w14:val="none"/>
        </w:rPr>
        <w:t>4</w:t>
      </w:r>
      <w:r>
        <w:rPr>
          <w:rFonts w:ascii="Times New Roman" w:hAnsi="Times New Roman" w:eastAsia="宋体" w:cs="宋体"/>
          <w:szCs w:val="28"/>
          <w:highlight w:val="none"/>
          <w:lang w:bidi="ar"/>
          <w14:ligatures w14:val="none"/>
        </w:rPr>
        <w:t>个柴油卸油口以及1个油气回收口。</w:t>
      </w:r>
      <w:r>
        <w:rPr>
          <w:rFonts w:hint="eastAsia" w:ascii="Times New Roman" w:hAnsi="Times New Roman" w:eastAsia="宋体" w:cs="宋体"/>
          <w:szCs w:val="28"/>
          <w:highlight w:val="none"/>
          <w:lang w:val="en-US" w:eastAsia="zh-CN" w:bidi="ar"/>
          <w14:ligatures w14:val="none"/>
        </w:rPr>
        <w:t>三次油气回收装置布置在储罐区西侧。</w:t>
      </w:r>
    </w:p>
    <w:p w14:paraId="6AE59C77">
      <w:pPr>
        <w:ind w:firstLine="560"/>
        <w:rPr>
          <w:rFonts w:ascii="Times New Roman" w:hAnsi="Times New Roman" w:eastAsia="宋体" w:cs="宋体"/>
          <w:szCs w:val="28"/>
          <w:highlight w:val="none"/>
          <w:lang w:bidi="ar"/>
          <w14:ligatures w14:val="none"/>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ascii="Times New Roman" w:hAnsi="Times New Roman" w:eastAsia="宋体" w:cs="宋体"/>
          <w:szCs w:val="28"/>
          <w:highlight w:val="none"/>
          <w:lang w:bidi="ar"/>
          <w14:ligatures w14:val="none"/>
        </w:rPr>
        <w:t>加油站</w:t>
      </w:r>
      <w:r>
        <w:rPr>
          <w:rFonts w:hint="eastAsia" w:ascii="Times New Roman" w:hAnsi="Times New Roman" w:eastAsia="宋体" w:cs="宋体"/>
          <w:szCs w:val="28"/>
          <w:highlight w:val="none"/>
          <w:lang w:bidi="ar"/>
          <w14:ligatures w14:val="none"/>
        </w:rPr>
        <w:t>西</w:t>
      </w:r>
      <w:r>
        <w:rPr>
          <w:rFonts w:ascii="Times New Roman" w:hAnsi="Times New Roman" w:eastAsia="宋体" w:cs="宋体"/>
          <w:szCs w:val="28"/>
          <w:highlight w:val="none"/>
          <w:lang w:bidi="ar"/>
          <w14:ligatures w14:val="none"/>
        </w:rPr>
        <w:t>侧</w:t>
      </w:r>
      <w:r>
        <w:rPr>
          <w:rFonts w:hint="eastAsia" w:ascii="Times New Roman" w:hAnsi="Times New Roman" w:eastAsia="宋体" w:cs="宋体"/>
          <w:szCs w:val="28"/>
          <w:highlight w:val="none"/>
          <w:lang w:bidi="ar"/>
          <w14:ligatures w14:val="none"/>
        </w:rPr>
        <w:t>、北</w:t>
      </w:r>
      <w:r>
        <w:rPr>
          <w:rFonts w:ascii="Times New Roman" w:hAnsi="Times New Roman" w:eastAsia="宋体" w:cs="宋体"/>
          <w:szCs w:val="28"/>
          <w:highlight w:val="none"/>
          <w:lang w:bidi="ar"/>
          <w14:ligatures w14:val="none"/>
        </w:rPr>
        <w:t>侧</w:t>
      </w:r>
      <w:r>
        <w:rPr>
          <w:rFonts w:hint="eastAsia" w:ascii="Times New Roman" w:hAnsi="Times New Roman" w:eastAsia="宋体" w:cs="宋体"/>
          <w:szCs w:val="28"/>
          <w:highlight w:val="none"/>
          <w:lang w:bidi="ar"/>
          <w14:ligatures w14:val="none"/>
        </w:rPr>
        <w:t>为服务区</w:t>
      </w:r>
      <w:r>
        <w:rPr>
          <w:rFonts w:ascii="Times New Roman" w:hAnsi="Times New Roman" w:eastAsia="宋体" w:cs="宋体"/>
          <w:szCs w:val="28"/>
          <w:highlight w:val="none"/>
          <w:lang w:bidi="ar"/>
          <w14:ligatures w14:val="none"/>
        </w:rPr>
        <w:t>实体围墙，进口、出口分别与</w:t>
      </w:r>
      <w:r>
        <w:rPr>
          <w:rFonts w:hint="eastAsia" w:ascii="Times New Roman" w:hAnsi="Times New Roman" w:eastAsia="宋体" w:cs="宋体"/>
          <w:szCs w:val="28"/>
          <w:highlight w:val="none"/>
          <w:lang w:bidi="ar"/>
          <w14:ligatures w14:val="none"/>
        </w:rPr>
        <w:t>服务区内道路</w:t>
      </w:r>
      <w:r>
        <w:rPr>
          <w:rFonts w:ascii="Times New Roman" w:hAnsi="Times New Roman" w:eastAsia="宋体" w:cs="宋体"/>
          <w:szCs w:val="28"/>
          <w:highlight w:val="none"/>
          <w:lang w:bidi="ar"/>
          <w14:ligatures w14:val="none"/>
        </w:rPr>
        <w:t>相连，面向进出、口道路的一侧敞开布置，站区内部形成顺畅的加油车辆作业通道，道路为贯通式，消防道路呈环形布置。加油站</w:t>
      </w:r>
      <w:r>
        <w:rPr>
          <w:rFonts w:hint="eastAsia" w:ascii="Times New Roman" w:hAnsi="Times New Roman" w:eastAsia="宋体" w:cs="宋体"/>
          <w:szCs w:val="28"/>
          <w:highlight w:val="none"/>
          <w:lang w:bidi="ar"/>
          <w14:ligatures w14:val="none"/>
        </w:rPr>
        <w:t>周边环境及总平面布置图，</w:t>
      </w:r>
      <w:r>
        <w:rPr>
          <w:rFonts w:ascii="Times New Roman" w:hAnsi="Times New Roman" w:eastAsia="宋体" w:cs="宋体"/>
          <w:szCs w:val="28"/>
          <w:highlight w:val="none"/>
          <w:lang w:bidi="ar"/>
          <w14:ligatures w14:val="none"/>
        </w:rPr>
        <w:t>详见图2.</w:t>
      </w:r>
      <w:r>
        <w:rPr>
          <w:rFonts w:hint="eastAsia" w:ascii="Times New Roman" w:hAnsi="Times New Roman" w:eastAsia="宋体" w:cs="宋体"/>
          <w:szCs w:val="28"/>
          <w:highlight w:val="none"/>
          <w:lang w:bidi="ar"/>
          <w14:ligatures w14:val="none"/>
        </w:rPr>
        <w:t>6</w:t>
      </w:r>
      <w:r>
        <w:rPr>
          <w:rFonts w:ascii="Times New Roman" w:hAnsi="Times New Roman" w:eastAsia="宋体" w:cs="宋体"/>
          <w:szCs w:val="28"/>
          <w:highlight w:val="none"/>
          <w:lang w:bidi="ar"/>
          <w14:ligatures w14:val="none"/>
        </w:rPr>
        <w:t>-5</w:t>
      </w:r>
      <w:r>
        <w:rPr>
          <w:rFonts w:hint="eastAsia" w:ascii="Times New Roman" w:hAnsi="Times New Roman" w:eastAsia="宋体" w:cs="宋体"/>
          <w:szCs w:val="28"/>
          <w:highlight w:val="none"/>
          <w:lang w:bidi="ar"/>
          <w14:ligatures w14:val="none"/>
        </w:rPr>
        <w:t>；站房内部平面布置图，详见图2.6-6</w:t>
      </w:r>
      <w:r>
        <w:rPr>
          <w:rFonts w:ascii="Times New Roman" w:hAnsi="Times New Roman" w:eastAsia="宋体" w:cs="宋体"/>
          <w:szCs w:val="28"/>
          <w:highlight w:val="none"/>
          <w:lang w:bidi="ar"/>
          <w14:ligatures w14:val="none"/>
        </w:rPr>
        <w:t>。</w:t>
      </w:r>
    </w:p>
    <w:p w14:paraId="364AA04F">
      <w:pPr>
        <w:ind w:firstLine="0" w:firstLineChars="0"/>
        <w:rPr>
          <w:rFonts w:ascii="Times New Roman" w:hAnsi="Times New Roman" w:eastAsia="宋体" w:cs="宋体"/>
          <w:szCs w:val="28"/>
          <w:highlight w:val="none"/>
          <w:lang w:bidi="ar"/>
          <w14:ligatures w14:val="none"/>
        </w:rPr>
      </w:pPr>
      <w:bookmarkStart w:id="163" w:name="_GoBack"/>
      <w:bookmarkEnd w:id="163"/>
    </w:p>
    <w:p w14:paraId="05B060C5">
      <w:pPr>
        <w:pStyle w:val="42"/>
        <w:ind w:firstLine="482"/>
        <w:rPr>
          <w:rFonts w:eastAsia="黑体"/>
          <w:sz w:val="24"/>
          <w:highlight w:val="none"/>
        </w:rPr>
        <w:sectPr>
          <w:footerReference r:id="rId13" w:type="default"/>
          <w:pgSz w:w="16838" w:h="11906" w:orient="landscape"/>
          <w:pgMar w:top="1588" w:right="1418" w:bottom="1134" w:left="1134" w:header="851" w:footer="992" w:gutter="0"/>
          <w:pgBorders>
            <w:top w:val="none" w:sz="0" w:space="0"/>
            <w:left w:val="none" w:sz="0" w:space="0"/>
            <w:bottom w:val="none" w:sz="0" w:space="0"/>
            <w:right w:val="none" w:sz="0" w:space="0"/>
          </w:pgBorders>
          <w:pgNumType w:fmt="decimal"/>
          <w:cols w:space="425" w:num="1"/>
          <w:docGrid w:type="lines" w:linePitch="381" w:charSpace="0"/>
        </w:sectPr>
      </w:pPr>
    </w:p>
    <w:p w14:paraId="589995B7">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rPr>
        <mc:AlternateContent>
          <mc:Choice Requires="wpc">
            <w:drawing>
              <wp:anchor distT="0" distB="0" distL="0" distR="0" simplePos="0" relativeHeight="251660288" behindDoc="0" locked="0" layoutInCell="1" allowOverlap="1">
                <wp:simplePos x="0" y="0"/>
                <wp:positionH relativeFrom="column">
                  <wp:posOffset>-101600</wp:posOffset>
                </wp:positionH>
                <wp:positionV relativeFrom="paragraph">
                  <wp:posOffset>89535</wp:posOffset>
                </wp:positionV>
                <wp:extent cx="5876925" cy="2286000"/>
                <wp:effectExtent l="0" t="0" r="9525" b="19050"/>
                <wp:wrapNone/>
                <wp:docPr id="262320194" name="画布 7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直接连接符 1762870162"/>
                        <wps:cNvCnPr/>
                        <wps:spPr>
                          <a:xfrm>
                            <a:off x="1266824" y="66677"/>
                            <a:ext cx="0" cy="22193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6" name="直接连接符 1998734621"/>
                        <wps:cNvCnPr/>
                        <wps:spPr>
                          <a:xfrm>
                            <a:off x="1266824" y="66677"/>
                            <a:ext cx="332422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8" name="直接连接符 1374600044"/>
                        <wps:cNvCnPr/>
                        <wps:spPr>
                          <a:xfrm>
                            <a:off x="1266824" y="2286002"/>
                            <a:ext cx="65722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 name="直接连接符 1957829334"/>
                        <wps:cNvCnPr/>
                        <wps:spPr>
                          <a:xfrm flipV="1">
                            <a:off x="1933574" y="1933577"/>
                            <a:ext cx="0" cy="3524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2" name="直接连接符 1759437071"/>
                        <wps:cNvCnPr/>
                        <wps:spPr>
                          <a:xfrm>
                            <a:off x="1933574" y="1933577"/>
                            <a:ext cx="54292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4" name="直接连接符 1072710798"/>
                        <wps:cNvCnPr/>
                        <wps:spPr>
                          <a:xfrm>
                            <a:off x="2476499" y="1933577"/>
                            <a:ext cx="504825" cy="3524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5" name="直接连接符 1917777079"/>
                        <wps:cNvCnPr/>
                        <wps:spPr>
                          <a:xfrm>
                            <a:off x="2981324" y="2286002"/>
                            <a:ext cx="160972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6" name="直接连接符 1642165573"/>
                        <wps:cNvCnPr/>
                        <wps:spPr>
                          <a:xfrm>
                            <a:off x="4591049" y="66677"/>
                            <a:ext cx="0" cy="22193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8" name="直接连接符 578198247"/>
                        <wps:cNvCnPr/>
                        <wps:spPr>
                          <a:xfrm>
                            <a:off x="1266824" y="1181102"/>
                            <a:ext cx="332422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84" name="直接连接符 1140960286"/>
                        <wps:cNvCnPr/>
                        <wps:spPr>
                          <a:xfrm>
                            <a:off x="1933574" y="1181102"/>
                            <a:ext cx="0" cy="7524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07" name="直接连接符 55671332"/>
                        <wps:cNvCnPr/>
                        <wps:spPr>
                          <a:xfrm>
                            <a:off x="1266824" y="1714502"/>
                            <a:ext cx="666750"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08" name="直接连接符 105491868"/>
                        <wps:cNvCnPr/>
                        <wps:spPr>
                          <a:xfrm flipV="1">
                            <a:off x="2476499" y="1181102"/>
                            <a:ext cx="0" cy="7524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2" name="直接连接符 307806085"/>
                        <wps:cNvCnPr/>
                        <wps:spPr>
                          <a:xfrm flipV="1">
                            <a:off x="2981324" y="1181102"/>
                            <a:ext cx="0" cy="110490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3" name="直接连接符 2137306335"/>
                        <wps:cNvCnPr/>
                        <wps:spPr>
                          <a:xfrm flipV="1">
                            <a:off x="2476499" y="66677"/>
                            <a:ext cx="0" cy="7143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4" name="直接连接符 1008756933"/>
                        <wps:cNvCnPr/>
                        <wps:spPr>
                          <a:xfrm>
                            <a:off x="2476499" y="781052"/>
                            <a:ext cx="2114550"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5" name="直接连接符 1169337792"/>
                        <wps:cNvCnPr/>
                        <wps:spPr>
                          <a:xfrm flipV="1">
                            <a:off x="3190874" y="66677"/>
                            <a:ext cx="0" cy="7143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6" name="直接连接符 894950682"/>
                        <wps:cNvCnPr/>
                        <wps:spPr>
                          <a:xfrm flipV="1">
                            <a:off x="3876674" y="66677"/>
                            <a:ext cx="0" cy="7143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7" name="直接连接符 115698344"/>
                        <wps:cNvCnPr/>
                        <wps:spPr>
                          <a:xfrm>
                            <a:off x="4029074" y="1181102"/>
                            <a:ext cx="0" cy="110490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8" name="直接连接符 237435890"/>
                        <wps:cNvCnPr/>
                        <wps:spPr>
                          <a:xfrm>
                            <a:off x="4029074" y="1933577"/>
                            <a:ext cx="56197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9" name="直接箭头连接符 29172857"/>
                        <wps:cNvCnPr/>
                        <wps:spPr>
                          <a:xfrm flipV="1">
                            <a:off x="5168900" y="182245"/>
                            <a:ext cx="238125" cy="366395"/>
                          </a:xfrm>
                          <a:prstGeom prst="straightConnector1">
                            <a:avLst/>
                          </a:prstGeom>
                          <a:noFill/>
                          <a:ln w="6350" cap="flat" cmpd="sng" algn="ctr">
                            <a:solidFill>
                              <a:sysClr val="windowText" lastClr="000000"/>
                            </a:solidFill>
                            <a:prstDash val="solid"/>
                            <a:miter lim="800000"/>
                            <a:tailEnd type="triangle"/>
                          </a:ln>
                          <a:effectLst/>
                        </wps:spPr>
                        <wps:style>
                          <a:lnRef idx="1">
                            <a:schemeClr val="dk1"/>
                          </a:lnRef>
                          <a:fillRef idx="0">
                            <a:schemeClr val="dk1"/>
                          </a:fillRef>
                          <a:effectRef idx="0">
                            <a:schemeClr val="dk1"/>
                          </a:effectRef>
                          <a:fontRef idx="minor">
                            <a:schemeClr val="tx1"/>
                          </a:fontRef>
                        </wps:style>
                        <wps:bodyPr/>
                      </wps:wsp>
                      <wps:wsp>
                        <wps:cNvPr id="120" name="文本框 1"/>
                        <wps:cNvSpPr txBox="1"/>
                        <wps:spPr>
                          <a:xfrm>
                            <a:off x="5334000" y="266065"/>
                            <a:ext cx="38100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4663AE99">
                              <w:pPr>
                                <w:spacing w:line="240" w:lineRule="auto"/>
                                <w:ind w:firstLine="0" w:firstLineChars="0"/>
                                <w:rPr>
                                  <w:rFonts w:ascii="Times New Roman" w:hAnsi="Times New Roman" w:eastAsia="Times New Roman" w:cs="Times New Roman"/>
                                  <w:sz w:val="21"/>
                                  <w:szCs w:val="21"/>
                                  <w14:ligatures w14:val="none"/>
                                </w:rPr>
                              </w:pPr>
                              <w:r>
                                <w:rPr>
                                  <w:rFonts w:ascii="Times New Roman" w:hAnsi="Times New Roman" w:eastAsia="Times New Roman" w:cs="Times New Roman"/>
                                  <w:sz w:val="21"/>
                                  <w:szCs w:val="21"/>
                                </w:rPr>
                                <w:t>N</w:t>
                              </w:r>
                            </w:p>
                          </w:txbxContent>
                        </wps:txbx>
                        <wps:bodyPr rot="0" spcFirstLastPara="0" vert="horz" wrap="square" lIns="91440" tIns="45720" rIns="91440" bIns="45720" numCol="1" spcCol="0" rtlCol="0" fromWordArt="0" anchor="t" anchorCtr="0" forceAA="0" compatLnSpc="1">
                          <a:noAutofit/>
                        </wps:bodyPr>
                      </wps:wsp>
                      <wps:wsp>
                        <wps:cNvPr id="121" name="文本框 1"/>
                        <wps:cNvSpPr txBox="1"/>
                        <wps:spPr>
                          <a:xfrm>
                            <a:off x="1512044" y="387008"/>
                            <a:ext cx="611058"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249F044A">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营业厅</w:t>
                              </w:r>
                            </w:p>
                          </w:txbxContent>
                        </wps:txbx>
                        <wps:bodyPr rot="0" spcFirstLastPara="0" vert="horz" wrap="square" lIns="91440" tIns="45720" rIns="91440" bIns="45720" numCol="1" spcCol="0" rtlCol="0" fromWordArt="0" anchor="t" anchorCtr="0" forceAA="0" compatLnSpc="1">
                          <a:noAutofit/>
                        </wps:bodyPr>
                      </wps:wsp>
                      <wps:wsp>
                        <wps:cNvPr id="122" name="文本框 1"/>
                        <wps:cNvSpPr txBox="1"/>
                        <wps:spPr>
                          <a:xfrm>
                            <a:off x="2505081" y="379640"/>
                            <a:ext cx="685793"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51995A8E">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收银室</w:t>
                              </w:r>
                            </w:p>
                          </w:txbxContent>
                        </wps:txbx>
                        <wps:bodyPr rot="0" spcFirstLastPara="0" vert="horz" wrap="square" lIns="91440" tIns="45720" rIns="91440" bIns="45720" numCol="1" spcCol="0" rtlCol="0" fromWordArt="0" anchor="t" anchorCtr="0" forceAA="0" compatLnSpc="1">
                          <a:noAutofit/>
                        </wps:bodyPr>
                      </wps:wsp>
                      <wps:wsp>
                        <wps:cNvPr id="123" name="文本框 1"/>
                        <wps:cNvSpPr txBox="1"/>
                        <wps:spPr>
                          <a:xfrm>
                            <a:off x="3210902" y="387008"/>
                            <a:ext cx="629627"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2F8281D1">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财务室</w:t>
                              </w:r>
                            </w:p>
                          </w:txbxContent>
                        </wps:txbx>
                        <wps:bodyPr rot="0" spcFirstLastPara="0" vert="horz" wrap="square" lIns="91440" tIns="45720" rIns="91440" bIns="45720" numCol="1" spcCol="0" rtlCol="0" fromWordArt="0" anchor="t" anchorCtr="0" forceAA="0" compatLnSpc="1">
                          <a:noAutofit/>
                        </wps:bodyPr>
                      </wps:wsp>
                      <wps:wsp>
                        <wps:cNvPr id="124" name="文本框 1"/>
                        <wps:cNvSpPr txBox="1"/>
                        <wps:spPr>
                          <a:xfrm>
                            <a:off x="3941395" y="388190"/>
                            <a:ext cx="649654"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0A046F8A">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控制室</w:t>
                              </w:r>
                            </w:p>
                          </w:txbxContent>
                        </wps:txbx>
                        <wps:bodyPr rot="0" spcFirstLastPara="0" vert="horz" wrap="square" lIns="91440" tIns="45720" rIns="91440" bIns="45720" numCol="1" spcCol="0" rtlCol="0" fromWordArt="0" anchor="t" anchorCtr="0" forceAA="0" compatLnSpc="1">
                          <a:noAutofit/>
                        </wps:bodyPr>
                      </wps:wsp>
                      <wps:wsp>
                        <wps:cNvPr id="125" name="文本框 1"/>
                        <wps:cNvSpPr txBox="1"/>
                        <wps:spPr>
                          <a:xfrm>
                            <a:off x="3007956" y="856272"/>
                            <a:ext cx="478194"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41331872">
                              <w:pPr>
                                <w:spacing w:line="240" w:lineRule="auto"/>
                                <w:ind w:firstLine="0" w:firstLineChars="0"/>
                                <w:rPr>
                                  <w:rFonts w:hint="eastAsia" w:ascii="宋体" w:hAnsi="宋体" w:eastAsia="宋体" w:cs="宋体"/>
                                  <w:sz w:val="21"/>
                                  <w:szCs w:val="21"/>
                                  <w14:ligatures w14:val="none"/>
                                </w:rPr>
                              </w:pPr>
                              <w:r>
                                <w:rPr>
                                  <w:rFonts w:hint="eastAsia" w:ascii="宋体" w:hAnsi="宋体" w:eastAsia="宋体" w:cs="宋体"/>
                                  <w:sz w:val="21"/>
                                  <w:szCs w:val="21"/>
                                </w:rPr>
                                <w:t>走廊</w:t>
                              </w:r>
                            </w:p>
                          </w:txbxContent>
                        </wps:txbx>
                        <wps:bodyPr rot="0" spcFirstLastPara="0" vert="horz" wrap="square" lIns="91440" tIns="45720" rIns="91440" bIns="45720" numCol="1" spcCol="0" rtlCol="0" fromWordArt="0" anchor="t" anchorCtr="0" forceAA="0" compatLnSpc="1">
                          <a:noAutofit/>
                        </wps:bodyPr>
                      </wps:wsp>
                      <wps:wsp>
                        <wps:cNvPr id="126" name="文本框 1"/>
                        <wps:cNvSpPr txBox="1"/>
                        <wps:spPr>
                          <a:xfrm>
                            <a:off x="1369646" y="1369638"/>
                            <a:ext cx="475074"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09D4FB53">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27" name="文本框 1"/>
                        <wps:cNvSpPr txBox="1"/>
                        <wps:spPr>
                          <a:xfrm>
                            <a:off x="1375568" y="1886240"/>
                            <a:ext cx="475074"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0CBF7A58">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wps:txbx>
                        <wps:bodyPr rot="0" spcFirstLastPara="0" vert="horz" wrap="square" lIns="91440" tIns="45720" rIns="91440" bIns="45720" numCol="1" spcCol="0" rtlCol="0" fromWordArt="0" anchor="t" anchorCtr="0" forceAA="0" compatLnSpc="1">
                          <a:noAutofit/>
                        </wps:bodyPr>
                      </wps:wsp>
                      <wps:wsp>
                        <wps:cNvPr id="128" name="文本框 1"/>
                        <wps:cNvSpPr txBox="1"/>
                        <wps:spPr>
                          <a:xfrm>
                            <a:off x="1980704" y="1446186"/>
                            <a:ext cx="468435"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0F192535">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门斗</w:t>
                              </w:r>
                            </w:p>
                          </w:txbxContent>
                        </wps:txbx>
                        <wps:bodyPr rot="0" spcFirstLastPara="0" vert="horz" wrap="square" lIns="91440" tIns="45720" rIns="91440" bIns="45720" numCol="1" spcCol="0" rtlCol="0" fromWordArt="0" anchor="t" anchorCtr="0" forceAA="0" compatLnSpc="1">
                          <a:noAutofit/>
                        </wps:bodyPr>
                      </wps:wsp>
                      <wps:wsp>
                        <wps:cNvPr id="129" name="文本框 1"/>
                        <wps:cNvSpPr txBox="1"/>
                        <wps:spPr>
                          <a:xfrm>
                            <a:off x="2449140" y="1465236"/>
                            <a:ext cx="589336"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7986FBA8">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控制室</w:t>
                              </w:r>
                            </w:p>
                          </w:txbxContent>
                        </wps:txbx>
                        <wps:bodyPr rot="0" spcFirstLastPara="0" vert="horz" wrap="square" lIns="91440" tIns="45720" rIns="91440" bIns="45720" numCol="1" spcCol="0" rtlCol="0" fromWordArt="0" anchor="t" anchorCtr="0" forceAA="0" compatLnSpc="1">
                          <a:noAutofit/>
                        </wps:bodyPr>
                      </wps:wsp>
                      <wps:wsp>
                        <wps:cNvPr id="130" name="文本框 1"/>
                        <wps:cNvSpPr txBox="1"/>
                        <wps:spPr>
                          <a:xfrm>
                            <a:off x="3229951" y="1475392"/>
                            <a:ext cx="610578"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28466791">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办公室</w:t>
                              </w:r>
                            </w:p>
                          </w:txbxContent>
                        </wps:txbx>
                        <wps:bodyPr rot="0" spcFirstLastPara="0" vert="horz" wrap="square" lIns="91440" tIns="45720" rIns="91440" bIns="45720" numCol="1" spcCol="0" rtlCol="0" fromWordArt="0" anchor="t" anchorCtr="0" forceAA="0" compatLnSpc="1">
                          <a:noAutofit/>
                        </wps:bodyPr>
                      </wps:wsp>
                      <wps:wsp>
                        <wps:cNvPr id="131" name="文本框 1"/>
                        <wps:cNvSpPr txBox="1"/>
                        <wps:spPr>
                          <a:xfrm>
                            <a:off x="4104299" y="1389667"/>
                            <a:ext cx="48675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670E00CA">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32" name="文本框 1"/>
                        <wps:cNvSpPr txBox="1"/>
                        <wps:spPr>
                          <a:xfrm>
                            <a:off x="4066198" y="1933577"/>
                            <a:ext cx="524851" cy="285754"/>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3D720DEF">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wps:txbx>
                        <wps:bodyPr rot="0" spcFirstLastPara="0" vert="horz" wrap="square" lIns="91440" tIns="45720" rIns="91440" bIns="45720" numCol="1" spcCol="0" rtlCol="0" fromWordArt="0" anchor="t" anchorCtr="0" forceAA="0" compatLnSpc="1">
                          <a:noAutofit/>
                        </wps:bodyPr>
                      </wps:wsp>
                    </wpc:wpc>
                  </a:graphicData>
                </a:graphic>
              </wp:anchor>
            </w:drawing>
          </mc:Choice>
          <mc:Fallback>
            <w:pict>
              <v:group id="画布 78" o:spid="_x0000_s1026" o:spt="203" style="position:absolute;left:0pt;margin-left:-8pt;margin-top:7.05pt;height:180pt;width:462.75pt;z-index:251660288;mso-width-relative:page;mso-height-relative:page;" coordsize="5876925,2286000" editas="canvas" o:gfxdata="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">
                <o:lock v:ext="edit" aspectratio="f"/>
                <v:shape id="画布 78" o:spid="_x0000_s1026" style="position:absolute;left:0;top:0;height:2286000;width:5876925;" fillcolor="#FFFFFF" filled="t" stroked="f" coordsize="21600,21600" o:gfxdata="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">
                  <v:fill on="t" focussize="0,0"/>
                  <v:stroke on="f"/>
                  <v:imagedata o:title=""/>
                  <o:lock v:ext="edit" aspectratio="t"/>
                </v:shape>
                <v:line id="直接连接符 1762870162" o:spid="_x0000_s1026" o:spt="20" style="position:absolute;left:1266824;top:66677;height:2219325;width:0;"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M7lWbNkAAAAKAQAADwAAAAAAAAABACAAAAAiAAAA&#10;ZHJzL2Rvd25yZXYueG1sUEsBAhQAFAAAAAgAh07iQGnfnTEGAgAA5gMAAA4AAAAAAAAAAQAgAAAA&#10;KAEAAGRycy9lMm9Eb2MueG1sUEsFBgAAAAAGAAYAWQEAAKAFAAAAAA==&#10;">
                  <v:fill on="f" focussize="0,0"/>
                  <v:stroke weight="0.5pt" color="#000000 [3200]" miterlimit="8" joinstyle="miter"/>
                  <v:imagedata o:title=""/>
                  <o:lock v:ext="edit" aspectratio="f"/>
                </v:line>
                <v:line id="直接连接符 1998734621" o:spid="_x0000_s1026" o:spt="20" style="position:absolute;left:1266824;top:66677;height:0;width:3324225;"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uVZs2QAAAAoBAAAPAAAAAAAAAAEAIAAA&#10;ACIAAABkcnMvZG93bnJldi54bWxQSwECFAAUAAAACACHTuJAUvt52wsCAADmAwAADgAAAAAAAAAB&#10;ACAAAAAoAQAAZHJzL2Uyb0RvYy54bWxQSwUGAAAAAAYABgBZAQAApQUAAAAA&#10;">
                  <v:fill on="f" focussize="0,0"/>
                  <v:stroke weight="0.5pt" color="#000000 [3200]" miterlimit="8" joinstyle="miter"/>
                  <v:imagedata o:title=""/>
                  <o:lock v:ext="edit" aspectratio="f"/>
                </v:line>
                <v:line id="直接连接符 1374600044" o:spid="_x0000_s1026" o:spt="20" style="position:absolute;left:1266824;top:2286002;height:0;width:657225;"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DO5VmzZAAAACgEAAA8AAAAAAAAAAQAgAAAA&#10;IgAAAGRycy9kb3ducmV2LnhtbFBLAQIUABQAAAAIAIdO4kCXdfnaCgIAAOcDAAAOAAAAAAAAAAEA&#10;IAAAACgBAABkcnMvZTJvRG9jLnhtbFBLBQYAAAAABgAGAFkBAACkBQAAAAA=&#10;">
                  <v:fill on="f" focussize="0,0"/>
                  <v:stroke weight="0.5pt" color="#000000 [3200]" miterlimit="8" joinstyle="miter"/>
                  <v:imagedata o:title=""/>
                  <o:lock v:ext="edit" aspectratio="f"/>
                </v:line>
                <v:line id="直接连接符 1957829334" o:spid="_x0000_s1026" o:spt="20" style="position:absolute;left:1933574;top:1933577;flip:y;height:352425;width:0;" filled="f" stroked="t" coordsize="21600,21600" o:gfxdata="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41TiTtgAAAAKAQAADwAAAAAAAAABACAAAAAi&#10;AAAAZHJzL2Rvd25yZXYueG1sUEsBAhQAFAAAAAgAh07iQHbDY1YKAgAA8gMAAA4AAAAAAAAAAQAg&#10;AAAAJwEAAGRycy9lMm9Eb2MueG1sUEsFBgAAAAAGAAYAWQEAAKMFAAAAAA==&#10;">
                  <v:fill on="f" focussize="0,0"/>
                  <v:stroke weight="0.5pt" color="#000000 [3200]" miterlimit="8" joinstyle="miter"/>
                  <v:imagedata o:title=""/>
                  <o:lock v:ext="edit" aspectratio="f"/>
                </v:line>
                <v:line id="直接连接符 1759437071" o:spid="_x0000_s1026" o:spt="20" style="position:absolute;left:1933574;top:1933577;height:0;width:542925;"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zuVZs2QAAAAoBAAAPAAAAAAAAAAEAIAAAACIA&#10;AABkcnMvZG93bnJldi54bWxQSwECFAAUAAAACACHTuJAZvJkjggCAADoAwAADgAAAAAAAAABACAA&#10;AAAoAQAAZHJzL2Uyb0RvYy54bWxQSwUGAAAAAAYABgBZAQAAogUAAAAA&#10;">
                  <v:fill on="f" focussize="0,0"/>
                  <v:stroke weight="0.5pt" color="#000000 [3200]" miterlimit="8" joinstyle="miter"/>
                  <v:imagedata o:title=""/>
                  <o:lock v:ext="edit" aspectratio="f"/>
                </v:line>
                <v:line id="直接连接符 1072710798" o:spid="_x0000_s1026" o:spt="20" style="position:absolute;left:2476499;top:1933577;height:352425;width:504825;"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DO5VmzZAAAACgEAAA8AAAAAAAAAAQAg&#10;AAAAIgAAAGRycy9kb3ducmV2LnhtbFBLAQIUABQAAAAIAIdO4kDxGNtrDQIAAO0DAAAOAAAAAAAA&#10;AAEAIAAAACgBAABkcnMvZTJvRG9jLnhtbFBLBQYAAAAABgAGAFkBAACnBQAAAAA=&#10;">
                  <v:fill on="f" focussize="0,0"/>
                  <v:stroke weight="0.5pt" color="#000000 [3200]" miterlimit="8" joinstyle="miter"/>
                  <v:imagedata o:title=""/>
                  <o:lock v:ext="edit" aspectratio="f"/>
                </v:line>
                <v:line id="直接连接符 1917777079" o:spid="_x0000_s1026" o:spt="20" style="position:absolute;left:2981324;top:2286002;height:0;width:1609725;"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uVZs2QAAAAoBAAAPAAAAAAAAAAEAIAAA&#10;ACIAAABkcnMvZG93bnJldi54bWxQSwECFAAUAAAACACHTuJAjOGWOgsCAADpAwAADgAAAAAAAAAB&#10;ACAAAAAoAQAAZHJzL2Uyb0RvYy54bWxQSwUGAAAAAAYABgBZAQAApQUAAAAA&#10;">
                  <v:fill on="f" focussize="0,0"/>
                  <v:stroke weight="0.5pt" color="#000000 [3200]" miterlimit="8" joinstyle="miter"/>
                  <v:imagedata o:title=""/>
                  <o:lock v:ext="edit" aspectratio="f"/>
                </v:line>
                <v:line id="直接连接符 1642165573" o:spid="_x0000_s1026" o:spt="20" style="position:absolute;left:4591049;top:66677;height:2219325;width:0;"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M7lWbNkAAAAKAQAADwAAAAAAAAABACAAAAAi&#10;AAAAZHJzL2Rvd25yZXYueG1sUEsBAhQAFAAAAAgAh07iQHk5WjoJAgAA5wMAAA4AAAAAAAAAAQAg&#10;AAAAKAEAAGRycy9lMm9Eb2MueG1sUEsFBgAAAAAGAAYAWQEAAKMFAAAAAA==&#10;">
                  <v:fill on="f" focussize="0,0"/>
                  <v:stroke weight="0.5pt" color="#000000 [3200]" miterlimit="8" joinstyle="miter"/>
                  <v:imagedata o:title=""/>
                  <o:lock v:ext="edit" aspectratio="f"/>
                </v:line>
                <v:line id="直接连接符 578198247" o:spid="_x0000_s1026" o:spt="20" style="position:absolute;left:1266824;top:1181102;height:0;width:3324225;"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uVZs2QAAAAoBAAAPAAAAAAAAAAEAIAAA&#10;ACIAAABkcnMvZG93bnJldi54bWxQSwECFAAUAAAACACHTuJAOLggvwsCAADoAwAADgAAAAAAAAAB&#10;ACAAAAAoAQAAZHJzL2Uyb0RvYy54bWxQSwUGAAAAAAYABgBZAQAApQUAAAAA&#10;">
                  <v:fill on="f" focussize="0,0"/>
                  <v:stroke weight="0.5pt" color="#000000 [3200]" miterlimit="8" joinstyle="miter"/>
                  <v:imagedata o:title=""/>
                  <o:lock v:ext="edit" aspectratio="f"/>
                </v:line>
                <v:line id="直接连接符 1140960286" o:spid="_x0000_s1026" o:spt="20" style="position:absolute;left:1933574;top:1181102;height:752475;width:0;"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DO5VmzZAAAACgEAAA8AAAAAAAAAAQAgAAAAIgAA&#10;AGRycy9kb3ducmV2LnhtbFBLAQIUABQAAAAIAIdO4kCX9pjaBwIAAOgDAAAOAAAAAAAAAAEAIAAA&#10;ACgBAABkcnMvZTJvRG9jLnhtbFBLBQYAAAAABgAGAFkBAAChBQAAAAA=&#10;">
                  <v:fill on="f" focussize="0,0"/>
                  <v:stroke weight="0.5pt" color="#000000 [3200]" miterlimit="8" joinstyle="miter"/>
                  <v:imagedata o:title=""/>
                  <o:lock v:ext="edit" aspectratio="f"/>
                </v:line>
                <v:line id="直接连接符 55671332" o:spid="_x0000_s1026" o:spt="20" style="position:absolute;left:1266824;top:1714502;height:0;width:666750;"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M7lWbNkAAAAKAQAADwAAAAAAAAABACAAAAAi&#10;AAAAZHJzL2Rvd25yZXYueG1sUEsBAhQAFAAAAAgAh07iQG/vjZQJAgAA5wMAAA4AAAAAAAAAAQAg&#10;AAAAKAEAAGRycy9lMm9Eb2MueG1sUEsFBgAAAAAGAAYAWQEAAKMFAAAAAA==&#10;">
                  <v:fill on="f" focussize="0,0"/>
                  <v:stroke weight="0.5pt" color="#000000 [3200]" miterlimit="8" joinstyle="miter"/>
                  <v:imagedata o:title=""/>
                  <o:lock v:ext="edit" aspectratio="f"/>
                </v:line>
                <v:line id="直接连接符 105491868" o:spid="_x0000_s1026" o:spt="20" style="position:absolute;left:2476499;top:1181102;flip:y;height:752475;width:0;" filled="f" stroked="t" coordsize="21600,21600" o:gfxdata="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jVOJO2AAAAAoBAAAPAAAAAAAAAAEA&#10;IAAAACIAAABkcnMvZG93bnJldi54bWxQSwECFAAUAAAACACHTuJAN4kOcQ8CAADyAwAADgAAAAAA&#10;AAABACAAAAAnAQAAZHJzL2Uyb0RvYy54bWxQSwUGAAAAAAYABgBZAQAAqAUAAAAA&#10;">
                  <v:fill on="f" focussize="0,0"/>
                  <v:stroke weight="0.5pt" color="#000000 [3200]" miterlimit="8" joinstyle="miter"/>
                  <v:imagedata o:title=""/>
                  <o:lock v:ext="edit" aspectratio="f"/>
                </v:line>
                <v:line id="直接连接符 307806085" o:spid="_x0000_s1026" o:spt="20" style="position:absolute;left:2981324;top:1181102;flip:y;height:1104900;width:0;" filled="f" stroked="t" coordsize="21600,21600" o:gfxdata="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41TiTtgAAAAKAQAADwAAAAAAAAAB&#10;ACAAAAAiAAAAZHJzL2Rvd25yZXYueG1sUEsBAhQAFAAAAAgAh07iQPUfGXYQAgAA8wMAAA4AAAAA&#10;AAAAAQAgAAAAJwEAAGRycy9lMm9Eb2MueG1sUEsFBgAAAAAGAAYAWQEAAKkFAAAAAA==&#10;">
                  <v:fill on="f" focussize="0,0"/>
                  <v:stroke weight="0.5pt" color="#000000 [3200]" miterlimit="8" joinstyle="miter"/>
                  <v:imagedata o:title=""/>
                  <o:lock v:ext="edit" aspectratio="f"/>
                </v:line>
                <v:line id="直接连接符 2137306335" o:spid="_x0000_s1026" o:spt="20" style="position:absolute;left:2476499;top:66677;flip:y;height:714375;width:0;" filled="f" stroked="t" coordsize="21600,21600" o:gfxdata="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jVOJO2AAAAAoBAAAPAAAAAAAA&#10;AAEAIAAAACIAAABkcnMvZG93bnJldi54bWxQSwECFAAUAAAACACHTuJAww0TvhICAADxAwAADgAA&#10;AAAAAAABACAAAAAnAQAAZHJzL2Uyb0RvYy54bWxQSwUGAAAAAAYABgBZAQAAqwUAAAAA&#10;">
                  <v:fill on="f" focussize="0,0"/>
                  <v:stroke weight="0.5pt" color="#000000 [3200]" miterlimit="8" joinstyle="miter"/>
                  <v:imagedata o:title=""/>
                  <o:lock v:ext="edit" aspectratio="f"/>
                </v:line>
                <v:line id="直接连接符 1008756933" o:spid="_x0000_s1026" o:spt="20" style="position:absolute;left:2476499;top:781052;height:0;width:2114550;"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DO5VmzZAAAACgEAAA8AAAAAAAAAAQAgAAAA&#10;IgAAAGRycy9kb3ducmV2LnhtbFBLAQIUABQAAAAIAIdO4kCkyi9SCgIAAOkDAAAOAAAAAAAAAAEA&#10;IAAAACgBAABkcnMvZTJvRG9jLnhtbFBLBQYAAAAABgAGAFkBAACkBQAAAAA=&#10;">
                  <v:fill on="f" focussize="0,0"/>
                  <v:stroke weight="0.5pt" color="#000000 [3200]" miterlimit="8" joinstyle="miter"/>
                  <v:imagedata o:title=""/>
                  <o:lock v:ext="edit" aspectratio="f"/>
                </v:line>
                <v:line id="直接连接符 1169337792" o:spid="_x0000_s1026" o:spt="20" style="position:absolute;left:3190874;top:66677;flip:y;height:714375;width:0;" filled="f" stroked="t" coordsize="21600,21600" o:gfxdata="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41TiTtgAAAAKAQAADwAAAAAAAAAB&#10;ACAAAAAiAAAAZHJzL2Rvd25yZXYueG1sUEsBAhQAFAAAAAgAh07iQK3dGGYQAgAA8QMAAA4AAAAA&#10;AAAAAQAgAAAAJwEAAGRycy9lMm9Eb2MueG1sUEsFBgAAAAAGAAYAWQEAAKkFAAAAAA==&#10;">
                  <v:fill on="f" focussize="0,0"/>
                  <v:stroke weight="0.5pt" color="#000000 [3200]" miterlimit="8" joinstyle="miter"/>
                  <v:imagedata o:title=""/>
                  <o:lock v:ext="edit" aspectratio="f"/>
                </v:line>
                <v:line id="直接连接符 894950682" o:spid="_x0000_s1026" o:spt="20" style="position:absolute;left:3876674;top:66677;flip:y;height:714375;width:0;" filled="f" stroked="t" coordsize="21600,21600" o:gfxdata="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41TiTtgAAAAKAQAADwAAAAAAAAABACAA&#10;AAAiAAAAZHJzL2Rvd25yZXYueG1sUEsBAhQAFAAAAAgAh07iQJ98vNENAgAA8AMAAA4AAAAAAAAA&#10;AQAgAAAAJwEAAGRycy9lMm9Eb2MueG1sUEsFBgAAAAAGAAYAWQEAAKYFAAAAAA==&#10;">
                  <v:fill on="f" focussize="0,0"/>
                  <v:stroke weight="0.5pt" color="#000000 [3200]" miterlimit="8" joinstyle="miter"/>
                  <v:imagedata o:title=""/>
                  <o:lock v:ext="edit" aspectratio="f"/>
                </v:line>
                <v:line id="直接连接符 115698344" o:spid="_x0000_s1026" o:spt="20" style="position:absolute;left:4029074;top:1181102;height:1104900;width:0;"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DO5VmzZAAAACgEAAA8AAAAAAAAAAQAgAAAA&#10;IgAAAGRycy9kb3ducmV2LnhtbFBLAQIUABQAAAAIAIdO4kCiYm57CgIAAOkDAAAOAAAAAAAAAAEA&#10;IAAAACgBAABkcnMvZTJvRG9jLnhtbFBLBQYAAAAABgAGAFkBAACkBQAAAAA=&#10;">
                  <v:fill on="f" focussize="0,0"/>
                  <v:stroke weight="0.5pt" color="#000000 [3200]" miterlimit="8" joinstyle="miter"/>
                  <v:imagedata o:title=""/>
                  <o:lock v:ext="edit" aspectratio="f"/>
                </v:line>
                <v:line id="直接连接符 237435890" o:spid="_x0000_s1026" o:spt="20" style="position:absolute;left:4029074;top:1933577;height:0;width:561975;" filled="f" stroked="t" coordsize="21600,21600" o:gfxdata="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uVZs2QAAAAoBAAAPAAAAAAAAAAEAIAAA&#10;ACIAAABkcnMvZG93bnJldi54bWxQSwECFAAUAAAACACHTuJA0HIzKwsCAADoAwAADgAAAAAAAAAB&#10;ACAAAAAoAQAAZHJzL2Uyb0RvYy54bWxQSwUGAAAAAAYABgBZAQAApQUAAAAA&#10;">
                  <v:fill on="f" focussize="0,0"/>
                  <v:stroke weight="0.5pt" color="#000000 [3200]" miterlimit="8" joinstyle="miter"/>
                  <v:imagedata o:title=""/>
                  <o:lock v:ext="edit" aspectratio="f"/>
                </v:line>
                <v:shape id="直接箭头连接符 29172857" o:spid="_x0000_s1026" o:spt="32" type="#_x0000_t32" style="position:absolute;left:5168900;top:182245;flip:y;height:366395;width:238125;" filled="f" stroked="t" coordsize="21600,21600" o:gfxdata="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2Tq8WNkAAAAKAQAADwAAAAAAAAABACAAAAAiAAAAZHJzL2Rvd25y&#10;ZXYueG1sUEsBAhQAFAAAAAgAh07iQL3yDRg2AgAAJQQAAA4AAAAAAAAAAQAgAAAAKAEAAGRycy9l&#10;Mm9Eb2MueG1sUEsFBgAAAAAGAAYAWQEAANAFAAAAAA==&#10;">
                  <v:fill on="f" focussize="0,0"/>
                  <v:stroke weight="0.5pt" color="#000000 [3200]" miterlimit="8" joinstyle="miter" endarrow="block"/>
                  <v:imagedata o:title=""/>
                  <o:lock v:ext="edit" aspectratio="f"/>
                </v:shape>
                <v:shape id="文本框 1" o:spid="_x0000_s1026" o:spt="202" type="#_x0000_t202" style="position:absolute;left:5334000;top:266065;height:248285;width:381000;"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QqTQi9cAAAAKAQAADwAAAAAAAAABACAAAAAiAAAAZHJzL2Rvd25yZXYueG1sUEsB&#10;AhQAFAAAAAgAh07iQBqqNDgvAgAARwQAAA4AAAAAAAAAAQAgAAAAJgEAAGRycy9lMm9Eb2MueG1s&#10;UEsFBgAAAAAGAAYAWQEAAMcFAAAAAA==&#10;">
                  <v:fill on="f" focussize="0,0"/>
                  <v:stroke on="f"/>
                  <v:imagedata o:title=""/>
                  <o:lock v:ext="edit" aspectratio="f"/>
                  <v:textbox>
                    <w:txbxContent>
                      <w:p w14:paraId="4663AE99">
                        <w:pPr>
                          <w:spacing w:line="240" w:lineRule="auto"/>
                          <w:ind w:firstLine="0" w:firstLineChars="0"/>
                          <w:rPr>
                            <w:rFonts w:ascii="Times New Roman" w:hAnsi="Times New Roman" w:eastAsia="Times New Roman" w:cs="Times New Roman"/>
                            <w:sz w:val="21"/>
                            <w:szCs w:val="21"/>
                            <w14:ligatures w14:val="none"/>
                          </w:rPr>
                        </w:pPr>
                        <w:r>
                          <w:rPr>
                            <w:rFonts w:ascii="Times New Roman" w:hAnsi="Times New Roman" w:eastAsia="Times New Roman" w:cs="Times New Roman"/>
                            <w:sz w:val="21"/>
                            <w:szCs w:val="21"/>
                          </w:rPr>
                          <w:t>N</w:t>
                        </w:r>
                      </w:p>
                    </w:txbxContent>
                  </v:textbox>
                </v:shape>
                <v:shape id="文本框 1" o:spid="_x0000_s1026" o:spt="202" type="#_x0000_t202" style="position:absolute;left:1512044;top:387008;height:248285;width:611058;"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qTQi9cAAAAKAQAADwAAAAAAAAABACAAAAAiAAAAZHJzL2Rvd25yZXYueG1s&#10;UEsBAhQAFAAAAAgAh07iQEStckMyAgAARwQAAA4AAAAAAAAAAQAgAAAAJgEAAGRycy9lMm9Eb2Mu&#10;eG1sUEsFBgAAAAAGAAYAWQEAAMoFAAAAAA==&#10;">
                  <v:fill on="f" focussize="0,0"/>
                  <v:stroke on="f"/>
                  <v:imagedata o:title=""/>
                  <o:lock v:ext="edit" aspectratio="f"/>
                  <v:textbox>
                    <w:txbxContent>
                      <w:p w14:paraId="249F044A">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营业厅</w:t>
                        </w:r>
                      </w:p>
                    </w:txbxContent>
                  </v:textbox>
                </v:shape>
                <v:shape id="文本框 1" o:spid="_x0000_s1026" o:spt="202" type="#_x0000_t202" style="position:absolute;left:2505081;top:379640;height:248285;width:685793;"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qTQi9cAAAAKAQAADwAAAAAAAAABACAAAAAiAAAAZHJzL2Rvd25yZXYueG1s&#10;UEsBAhQAFAAAAAgAh07iQIvVU8UyAgAARwQAAA4AAAAAAAAAAQAgAAAAJgEAAGRycy9lMm9Eb2Mu&#10;eG1sUEsFBgAAAAAGAAYAWQEAAMoFAAAAAA==&#10;">
                  <v:fill on="f" focussize="0,0"/>
                  <v:stroke on="f"/>
                  <v:imagedata o:title=""/>
                  <o:lock v:ext="edit" aspectratio="f"/>
                  <v:textbox>
                    <w:txbxContent>
                      <w:p w14:paraId="51995A8E">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收银室</w:t>
                        </w:r>
                      </w:p>
                    </w:txbxContent>
                  </v:textbox>
                </v:shape>
                <v:shape id="文本框 1" o:spid="_x0000_s1026" o:spt="202" type="#_x0000_t202" style="position:absolute;left:3210902;top:387008;height:248285;width:629627;"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qTQi9cAAAAKAQAADwAAAAAAAAABACAAAAAiAAAAZHJzL2Rvd25yZXYueG1s&#10;UEsBAhQAFAAAAAgAh07iQII8THUyAgAARwQAAA4AAAAAAAAAAQAgAAAAJgEAAGRycy9lMm9Eb2Mu&#10;eG1sUEsFBgAAAAAGAAYAWQEAAMoFAAAAAA==&#10;">
                  <v:fill on="f" focussize="0,0"/>
                  <v:stroke on="f"/>
                  <v:imagedata o:title=""/>
                  <o:lock v:ext="edit" aspectratio="f"/>
                  <v:textbox>
                    <w:txbxContent>
                      <w:p w14:paraId="2F8281D1">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财务室</w:t>
                        </w:r>
                      </w:p>
                    </w:txbxContent>
                  </v:textbox>
                </v:shape>
                <v:shape id="文本框 1" o:spid="_x0000_s1026" o:spt="202" type="#_x0000_t202" style="position:absolute;left:3941395;top:388190;height:248285;width:649654;"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CpNCL1wAAAAoBAAAPAAAAAAAAAAEAIAAAACIAAABkcnMvZG93bnJldi54bWxQ&#10;SwECFAAUAAAACACHTuJAgVLX2DECAABHBAAADgAAAAAAAAABACAAAAAmAQAAZHJzL2Uyb0RvYy54&#10;bWxQSwUGAAAAAAYABgBZAQAAyQUAAAAA&#10;">
                  <v:fill on="f" focussize="0,0"/>
                  <v:stroke on="f"/>
                  <v:imagedata o:title=""/>
                  <o:lock v:ext="edit" aspectratio="f"/>
                  <v:textbox>
                    <w:txbxContent>
                      <w:p w14:paraId="0A046F8A">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控制室</w:t>
                        </w:r>
                      </w:p>
                    </w:txbxContent>
                  </v:textbox>
                </v:shape>
                <v:shape id="文本框 1" o:spid="_x0000_s1026" o:spt="202" type="#_x0000_t202" style="position:absolute;left:3007956;top:856272;height:248285;width:478194;"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qTQi9cAAAAKAQAADwAAAAAAAAABACAAAAAiAAAAZHJzL2Rvd25yZXYueG1s&#10;UEsBAhQAFAAAAAgAh07iQNhFXFIyAgAARwQAAA4AAAAAAAAAAQAgAAAAJgEAAGRycy9lMm9Eb2Mu&#10;eG1sUEsFBgAAAAAGAAYAWQEAAMoFAAAAAA==&#10;">
                  <v:fill on="f" focussize="0,0"/>
                  <v:stroke on="f"/>
                  <v:imagedata o:title=""/>
                  <o:lock v:ext="edit" aspectratio="f"/>
                  <v:textbox>
                    <w:txbxContent>
                      <w:p w14:paraId="41331872">
                        <w:pPr>
                          <w:spacing w:line="240" w:lineRule="auto"/>
                          <w:ind w:firstLine="0" w:firstLineChars="0"/>
                          <w:rPr>
                            <w:rFonts w:hint="eastAsia" w:ascii="宋体" w:hAnsi="宋体" w:eastAsia="宋体" w:cs="宋体"/>
                            <w:sz w:val="21"/>
                            <w:szCs w:val="21"/>
                            <w14:ligatures w14:val="none"/>
                          </w:rPr>
                        </w:pPr>
                        <w:r>
                          <w:rPr>
                            <w:rFonts w:hint="eastAsia" w:ascii="宋体" w:hAnsi="宋体" w:eastAsia="宋体" w:cs="宋体"/>
                            <w:sz w:val="21"/>
                            <w:szCs w:val="21"/>
                          </w:rPr>
                          <w:t>走廊</w:t>
                        </w:r>
                      </w:p>
                    </w:txbxContent>
                  </v:textbox>
                </v:shape>
                <v:shape id="文本框 1" o:spid="_x0000_s1026" o:spt="202" type="#_x0000_t202" style="position:absolute;left:1369646;top:1369638;height:248285;width:475074;"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CpNCL1wAAAAoBAAAPAAAAAAAAAAEAIAAAACIAAABkcnMvZG93bnJldi54bWxQ&#10;SwECFAAUAAAACACHTuJAM5LSQjECAABIBAAADgAAAAAAAAABACAAAAAmAQAAZHJzL2Uyb0RvYy54&#10;bWxQSwUGAAAAAAYABgBZAQAAyQUAAAAA&#10;">
                  <v:fill on="f" focussize="0,0"/>
                  <v:stroke on="f"/>
                  <v:imagedata o:title=""/>
                  <o:lock v:ext="edit" aspectratio="f"/>
                  <v:textbox>
                    <w:txbxContent>
                      <w:p w14:paraId="09D4FB53">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v:textbox>
                </v:shape>
                <v:shape id="文本框 1" o:spid="_x0000_s1026" o:spt="202" type="#_x0000_t202" style="position:absolute;left:1375568;top:1886240;height:248285;width:475074;"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CpNCL1wAAAAoBAAAPAAAAAAAAAAEAIAAAACIAAABkcnMvZG93bnJldi54&#10;bWxQSwECFAAUAAAACACHTuJAVu/76DQCAABIBAAADgAAAAAAAAABACAAAAAmAQAAZHJzL2Uyb0Rv&#10;Yy54bWxQSwUGAAAAAAYABgBZAQAAzAUAAAAA&#10;">
                  <v:fill on="f" focussize="0,0"/>
                  <v:stroke on="f"/>
                  <v:imagedata o:title=""/>
                  <o:lock v:ext="edit" aspectratio="f"/>
                  <v:textbox>
                    <w:txbxContent>
                      <w:p w14:paraId="0CBF7A58">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v:textbox>
                </v:shape>
                <v:shape id="文本框 1" o:spid="_x0000_s1026" o:spt="202" type="#_x0000_t202" style="position:absolute;left:1980704;top:1446186;height:248285;width:468435;"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EKk0IvXAAAACgEAAA8AAAAAAAAAAQAgAAAAIgAAAGRycy9kb3ducmV2Lnht&#10;bFBLAQIUABQAAAAIAIdO4kDGsOBaMwIAAEgEAAAOAAAAAAAAAAEAIAAAACYBAABkcnMvZTJvRG9j&#10;LnhtbFBLBQYAAAAABgAGAFkBAADLBQAAAAA=&#10;">
                  <v:fill on="f" focussize="0,0"/>
                  <v:stroke on="f"/>
                  <v:imagedata o:title=""/>
                  <o:lock v:ext="edit" aspectratio="f"/>
                  <v:textbox>
                    <w:txbxContent>
                      <w:p w14:paraId="0F192535">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门斗</w:t>
                        </w:r>
                      </w:p>
                    </w:txbxContent>
                  </v:textbox>
                </v:shape>
                <v:shape id="文本框 1" o:spid="_x0000_s1026" o:spt="202" type="#_x0000_t202" style="position:absolute;left:2449140;top:1465236;height:248285;width:589336;"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qTQi9cAAAAKAQAADwAAAAAAAAABACAAAAAiAAAAZHJzL2Rvd25yZXYueG1s&#10;UEsBAhQAFAAAAAgAh07iQJIiqPIyAgAASAQAAA4AAAAAAAAAAQAgAAAAJgEAAGRycy9lMm9Eb2Mu&#10;eG1sUEsFBgAAAAAGAAYAWQEAAMoFAAAAAA==&#10;">
                  <v:fill on="f" focussize="0,0"/>
                  <v:stroke on="f"/>
                  <v:imagedata o:title=""/>
                  <o:lock v:ext="edit" aspectratio="f"/>
                  <v:textbox>
                    <w:txbxContent>
                      <w:p w14:paraId="7986FBA8">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控制室</w:t>
                        </w:r>
                      </w:p>
                    </w:txbxContent>
                  </v:textbox>
                </v:shape>
                <v:shape id="文本框 1" o:spid="_x0000_s1026" o:spt="202" type="#_x0000_t202" style="position:absolute;left:3229951;top:1475392;height:248285;width:610578;"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CpNCL1wAAAAoBAAAPAAAAAAAAAAEAIAAAACIAAABkcnMvZG93bnJldi54&#10;bWxQSwECFAAUAAAACACHTuJASBo0SjQCAABIBAAADgAAAAAAAAABACAAAAAmAQAAZHJzL2Uyb0Rv&#10;Yy54bWxQSwUGAAAAAAYABgBZAQAAzAUAAAAA&#10;">
                  <v:fill on="f" focussize="0,0"/>
                  <v:stroke on="f"/>
                  <v:imagedata o:title=""/>
                  <o:lock v:ext="edit" aspectratio="f"/>
                  <v:textbox>
                    <w:txbxContent>
                      <w:p w14:paraId="28466791">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办公室</w:t>
                        </w:r>
                      </w:p>
                    </w:txbxContent>
                  </v:textbox>
                </v:shape>
                <v:shape id="文本框 1" o:spid="_x0000_s1026" o:spt="202" type="#_x0000_t202" style="position:absolute;left:4104299;top:1389667;height:248285;width:486750;"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QqTQi9cAAAAKAQAADwAAAAAAAAABACAAAAAiAAAAZHJzL2Rvd25yZXYueG1s&#10;UEsBAhQAFAAAAAgAh07iQPmTabYyAgAASAQAAA4AAAAAAAAAAQAgAAAAJgEAAGRycy9lMm9Eb2Mu&#10;eG1sUEsFBgAAAAAGAAYAWQEAAMoFAAAAAA==&#10;">
                  <v:fill on="f" focussize="0,0"/>
                  <v:stroke on="f"/>
                  <v:imagedata o:title=""/>
                  <o:lock v:ext="edit" aspectratio="f"/>
                  <v:textbox>
                    <w:txbxContent>
                      <w:p w14:paraId="670E00CA">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v:textbox>
                </v:shape>
                <v:shape id="文本框 1" o:spid="_x0000_s1026" o:spt="202" type="#_x0000_t202" style="position:absolute;left:4066198;top:1933577;height:285754;width:524851;" filled="f" stroked="f" coordsize="21600,21600" o:gfxdata="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CpNCL1wAAAAoBAAAPAAAAAAAAAAEAIAAAACIAAABkcnMvZG93bnJldi54&#10;bWxQSwECFAAUAAAACACHTuJAqvyUwzQCAABIBAAADgAAAAAAAAABACAAAAAmAQAAZHJzL2Uyb0Rv&#10;Yy54bWxQSwUGAAAAAAYABgBZAQAAzAUAAAAA&#10;">
                  <v:fill on="f" focussize="0,0"/>
                  <v:stroke on="f"/>
                  <v:imagedata o:title=""/>
                  <o:lock v:ext="edit" aspectratio="f"/>
                  <v:textbox>
                    <w:txbxContent>
                      <w:p w14:paraId="3D720DEF">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v:textbox>
                </v:shape>
              </v:group>
            </w:pict>
          </mc:Fallback>
        </mc:AlternateContent>
      </w:r>
    </w:p>
    <w:p w14:paraId="7D1CDC50">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cs="宋体"/>
          <w:szCs w:val="28"/>
          <w:highlight w:val="none"/>
          <w:lang w:bidi="ar"/>
          <w14:ligatures w14:val="none"/>
        </w:rPr>
      </w:pPr>
    </w:p>
    <w:p w14:paraId="5ECC8EE8">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cs="宋体"/>
          <w:szCs w:val="28"/>
          <w:highlight w:val="none"/>
          <w:lang w:bidi="ar"/>
          <w14:ligatures w14:val="none"/>
        </w:rPr>
      </w:pPr>
    </w:p>
    <w:p w14:paraId="4B8F254E">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cs="宋体"/>
          <w:szCs w:val="28"/>
          <w:highlight w:val="none"/>
          <w:lang w:bidi="ar"/>
          <w14:ligatures w14:val="none"/>
        </w:rPr>
      </w:pPr>
    </w:p>
    <w:p w14:paraId="2A853980">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cs="宋体"/>
          <w:szCs w:val="28"/>
          <w:highlight w:val="none"/>
          <w:lang w:bidi="ar"/>
          <w14:ligatures w14:val="none"/>
        </w:rPr>
      </w:pPr>
    </w:p>
    <w:p w14:paraId="16C4DBEA">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cs="宋体"/>
          <w:szCs w:val="28"/>
          <w:highlight w:val="none"/>
          <w:lang w:bidi="ar"/>
          <w14:ligatures w14:val="none"/>
        </w:rPr>
      </w:pPr>
    </w:p>
    <w:p w14:paraId="5BC22A22">
      <w:pPr>
        <w:pStyle w:val="42"/>
        <w:ind w:firstLine="482"/>
        <w:rPr>
          <w:rFonts w:eastAsia="黑体"/>
          <w:sz w:val="24"/>
          <w:highlight w:val="none"/>
        </w:rPr>
      </w:pPr>
    </w:p>
    <w:p w14:paraId="4656A0B1">
      <w:pPr>
        <w:pStyle w:val="42"/>
        <w:ind w:firstLine="482"/>
        <w:rPr>
          <w:rFonts w:eastAsia="黑体"/>
          <w:sz w:val="24"/>
          <w:highlight w:val="none"/>
        </w:rPr>
      </w:pPr>
      <w:r>
        <w:rPr>
          <w:rFonts w:eastAsia="黑体"/>
          <w:sz w:val="24"/>
          <w:highlight w:val="none"/>
        </w:rPr>
        <w:t>图2.6-</w:t>
      </w:r>
      <w:r>
        <w:rPr>
          <w:rFonts w:hint="eastAsia" w:eastAsia="黑体"/>
          <w:sz w:val="24"/>
          <w:highlight w:val="none"/>
        </w:rPr>
        <w:t xml:space="preserve">6 </w:t>
      </w:r>
      <w:r>
        <w:rPr>
          <w:rFonts w:eastAsia="黑体"/>
          <w:sz w:val="24"/>
          <w:highlight w:val="none"/>
        </w:rPr>
        <w:t xml:space="preserve"> </w:t>
      </w:r>
      <w:r>
        <w:rPr>
          <w:rFonts w:hint="eastAsia" w:eastAsia="黑体"/>
          <w:sz w:val="24"/>
          <w:highlight w:val="none"/>
        </w:rPr>
        <w:t>站房内部平面布置</w:t>
      </w:r>
      <w:r>
        <w:rPr>
          <w:rFonts w:eastAsia="黑体"/>
          <w:sz w:val="24"/>
          <w:highlight w:val="none"/>
        </w:rPr>
        <w:t>图</w:t>
      </w:r>
    </w:p>
    <w:p w14:paraId="071F2EB0">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该站主要建（构）筑物如表2.6-1所示。</w:t>
      </w:r>
    </w:p>
    <w:p w14:paraId="0D4C4496">
      <w:pPr>
        <w:pStyle w:val="42"/>
        <w:keepNext/>
        <w:spacing w:before="156" w:beforeLines="50" w:after="156" w:afterLines="50"/>
        <w:ind w:firstLine="480"/>
        <w:rPr>
          <w:rFonts w:eastAsia="黑体"/>
          <w:sz w:val="24"/>
          <w:highlight w:val="none"/>
        </w:rPr>
      </w:pPr>
      <w:r>
        <w:rPr>
          <w:rFonts w:eastAsia="黑体"/>
          <w:sz w:val="24"/>
          <w:highlight w:val="none"/>
        </w:rPr>
        <w:t>表2.6-1  主要建（构）筑物一览表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8"/>
        <w:gridCol w:w="671"/>
        <w:gridCol w:w="730"/>
        <w:gridCol w:w="1164"/>
        <w:gridCol w:w="1128"/>
        <w:gridCol w:w="974"/>
        <w:gridCol w:w="1209"/>
        <w:gridCol w:w="1040"/>
        <w:gridCol w:w="847"/>
        <w:gridCol w:w="979"/>
      </w:tblGrid>
      <w:tr w14:paraId="58BAB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0" w:type="pct"/>
            <w:vAlign w:val="center"/>
          </w:tcPr>
          <w:p w14:paraId="41EFF5AD">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序号</w:t>
            </w:r>
          </w:p>
        </w:tc>
        <w:tc>
          <w:tcPr>
            <w:tcW w:w="357" w:type="pct"/>
            <w:vAlign w:val="center"/>
          </w:tcPr>
          <w:p w14:paraId="2DB0B6C1">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名称</w:t>
            </w:r>
          </w:p>
        </w:tc>
        <w:tc>
          <w:tcPr>
            <w:tcW w:w="388" w:type="pct"/>
            <w:vAlign w:val="center"/>
          </w:tcPr>
          <w:p w14:paraId="6F5FD9D6">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层数</w:t>
            </w:r>
          </w:p>
        </w:tc>
        <w:tc>
          <w:tcPr>
            <w:tcW w:w="619" w:type="pct"/>
            <w:vAlign w:val="center"/>
          </w:tcPr>
          <w:p w14:paraId="4B34CAC5">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占地</w:t>
            </w:r>
            <w:r>
              <w:rPr>
                <w:rFonts w:ascii="Times New Roman" w:hAnsi="Times New Roman" w:eastAsia="宋体" w:cs="Times New Roman"/>
                <w:bCs/>
                <w:sz w:val="21"/>
                <w:szCs w:val="21"/>
                <w:highlight w:val="none"/>
                <w14:ligatures w14:val="none"/>
              </w:rPr>
              <w:t>面积（m</w:t>
            </w:r>
            <w:r>
              <w:rPr>
                <w:rFonts w:ascii="Times New Roman" w:hAnsi="Times New Roman" w:eastAsia="宋体" w:cs="Times New Roman"/>
                <w:bCs/>
                <w:sz w:val="21"/>
                <w:szCs w:val="21"/>
                <w:highlight w:val="none"/>
                <w:vertAlign w:val="superscript"/>
                <w14:ligatures w14:val="none"/>
              </w:rPr>
              <w:t>2</w:t>
            </w:r>
            <w:r>
              <w:rPr>
                <w:rFonts w:ascii="Times New Roman" w:hAnsi="Times New Roman" w:eastAsia="宋体" w:cs="Times New Roman"/>
                <w:bCs/>
                <w:sz w:val="21"/>
                <w:szCs w:val="21"/>
                <w:highlight w:val="none"/>
                <w14:ligatures w14:val="none"/>
              </w:rPr>
              <w:t>）</w:t>
            </w:r>
          </w:p>
        </w:tc>
        <w:tc>
          <w:tcPr>
            <w:tcW w:w="600" w:type="pct"/>
            <w:vAlign w:val="center"/>
          </w:tcPr>
          <w:p w14:paraId="4353D44A">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建筑面积（m</w:t>
            </w:r>
            <w:r>
              <w:rPr>
                <w:rFonts w:ascii="Times New Roman" w:hAnsi="Times New Roman" w:eastAsia="宋体" w:cs="Times New Roman"/>
                <w:bCs/>
                <w:sz w:val="21"/>
                <w:szCs w:val="21"/>
                <w:highlight w:val="none"/>
                <w:vertAlign w:val="superscript"/>
                <w14:ligatures w14:val="none"/>
              </w:rPr>
              <w:t>2</w:t>
            </w:r>
            <w:r>
              <w:rPr>
                <w:rFonts w:ascii="Times New Roman" w:hAnsi="Times New Roman" w:eastAsia="宋体" w:cs="Times New Roman"/>
                <w:bCs/>
                <w:sz w:val="21"/>
                <w:szCs w:val="21"/>
                <w:highlight w:val="none"/>
                <w14:ligatures w14:val="none"/>
              </w:rPr>
              <w:t>）</w:t>
            </w:r>
          </w:p>
        </w:tc>
        <w:tc>
          <w:tcPr>
            <w:tcW w:w="518" w:type="pct"/>
            <w:vAlign w:val="center"/>
          </w:tcPr>
          <w:p w14:paraId="5E4106BA">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高度（m）</w:t>
            </w:r>
          </w:p>
        </w:tc>
        <w:tc>
          <w:tcPr>
            <w:tcW w:w="643" w:type="pct"/>
            <w:vAlign w:val="center"/>
          </w:tcPr>
          <w:p w14:paraId="0203E3DE">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结构形式</w:t>
            </w:r>
          </w:p>
        </w:tc>
        <w:tc>
          <w:tcPr>
            <w:tcW w:w="553" w:type="pct"/>
            <w:vAlign w:val="center"/>
          </w:tcPr>
          <w:p w14:paraId="6A496BFA">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火灾危险性</w:t>
            </w:r>
          </w:p>
        </w:tc>
        <w:tc>
          <w:tcPr>
            <w:tcW w:w="450" w:type="pct"/>
            <w:vAlign w:val="center"/>
          </w:tcPr>
          <w:p w14:paraId="1DC035BC">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耐火等级</w:t>
            </w:r>
          </w:p>
        </w:tc>
        <w:tc>
          <w:tcPr>
            <w:tcW w:w="520" w:type="pct"/>
            <w:vAlign w:val="center"/>
          </w:tcPr>
          <w:p w14:paraId="71DA2497">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备注</w:t>
            </w:r>
          </w:p>
        </w:tc>
      </w:tr>
      <w:tr w14:paraId="5C661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0" w:type="pct"/>
            <w:vAlign w:val="center"/>
          </w:tcPr>
          <w:p w14:paraId="0E0B8ED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w:t>
            </w:r>
          </w:p>
        </w:tc>
        <w:tc>
          <w:tcPr>
            <w:tcW w:w="357" w:type="pct"/>
            <w:vAlign w:val="center"/>
          </w:tcPr>
          <w:p w14:paraId="6C7369A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站房</w:t>
            </w:r>
          </w:p>
        </w:tc>
        <w:tc>
          <w:tcPr>
            <w:tcW w:w="388" w:type="pct"/>
            <w:vAlign w:val="center"/>
          </w:tcPr>
          <w:p w14:paraId="22AA0C0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单层</w:t>
            </w:r>
          </w:p>
        </w:tc>
        <w:tc>
          <w:tcPr>
            <w:tcW w:w="619" w:type="pct"/>
            <w:vAlign w:val="center"/>
          </w:tcPr>
          <w:p w14:paraId="709D58D0">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189.98</w:t>
            </w:r>
          </w:p>
        </w:tc>
        <w:tc>
          <w:tcPr>
            <w:tcW w:w="600" w:type="pct"/>
            <w:vAlign w:val="center"/>
          </w:tcPr>
          <w:p w14:paraId="5F651AB2">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189.98</w:t>
            </w:r>
          </w:p>
        </w:tc>
        <w:tc>
          <w:tcPr>
            <w:tcW w:w="518" w:type="pct"/>
            <w:vAlign w:val="center"/>
          </w:tcPr>
          <w:p w14:paraId="04D31681">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3.0</w:t>
            </w:r>
          </w:p>
        </w:tc>
        <w:tc>
          <w:tcPr>
            <w:tcW w:w="643" w:type="pct"/>
            <w:vAlign w:val="center"/>
          </w:tcPr>
          <w:p w14:paraId="44BE17A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框架结构</w:t>
            </w:r>
          </w:p>
        </w:tc>
        <w:tc>
          <w:tcPr>
            <w:tcW w:w="553" w:type="pct"/>
            <w:vAlign w:val="center"/>
          </w:tcPr>
          <w:p w14:paraId="4B9F08B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民建</w:t>
            </w:r>
          </w:p>
        </w:tc>
        <w:tc>
          <w:tcPr>
            <w:tcW w:w="450" w:type="pct"/>
            <w:vAlign w:val="center"/>
          </w:tcPr>
          <w:p w14:paraId="2F1EF9A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二级</w:t>
            </w:r>
          </w:p>
        </w:tc>
        <w:tc>
          <w:tcPr>
            <w:tcW w:w="520" w:type="pct"/>
            <w:vAlign w:val="center"/>
          </w:tcPr>
          <w:p w14:paraId="525D327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531D9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0" w:type="pct"/>
            <w:vAlign w:val="center"/>
          </w:tcPr>
          <w:p w14:paraId="5294798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w:t>
            </w:r>
          </w:p>
        </w:tc>
        <w:tc>
          <w:tcPr>
            <w:tcW w:w="357" w:type="pct"/>
            <w:vAlign w:val="center"/>
          </w:tcPr>
          <w:p w14:paraId="25065D1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罩棚</w:t>
            </w:r>
          </w:p>
        </w:tc>
        <w:tc>
          <w:tcPr>
            <w:tcW w:w="388" w:type="pct"/>
            <w:vAlign w:val="center"/>
          </w:tcPr>
          <w:p w14:paraId="002E5F0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19" w:type="pct"/>
            <w:vAlign w:val="center"/>
          </w:tcPr>
          <w:p w14:paraId="0DFF5174">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840</w:t>
            </w:r>
          </w:p>
        </w:tc>
        <w:tc>
          <w:tcPr>
            <w:tcW w:w="600" w:type="pct"/>
            <w:vAlign w:val="center"/>
          </w:tcPr>
          <w:p w14:paraId="16E48970">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420</w:t>
            </w:r>
          </w:p>
        </w:tc>
        <w:tc>
          <w:tcPr>
            <w:tcW w:w="518" w:type="pct"/>
            <w:vAlign w:val="center"/>
          </w:tcPr>
          <w:p w14:paraId="407CD993">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8.4</w:t>
            </w:r>
          </w:p>
        </w:tc>
        <w:tc>
          <w:tcPr>
            <w:tcW w:w="643" w:type="pct"/>
            <w:vAlign w:val="center"/>
          </w:tcPr>
          <w:p w14:paraId="58795BA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网架结构</w:t>
            </w:r>
          </w:p>
        </w:tc>
        <w:tc>
          <w:tcPr>
            <w:tcW w:w="553" w:type="pct"/>
            <w:vAlign w:val="center"/>
          </w:tcPr>
          <w:p w14:paraId="42BE942E">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甲类</w:t>
            </w:r>
          </w:p>
        </w:tc>
        <w:tc>
          <w:tcPr>
            <w:tcW w:w="450" w:type="pct"/>
            <w:vAlign w:val="center"/>
          </w:tcPr>
          <w:p w14:paraId="24478BB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不燃烧体</w:t>
            </w:r>
          </w:p>
        </w:tc>
        <w:tc>
          <w:tcPr>
            <w:tcW w:w="520" w:type="pct"/>
            <w:vAlign w:val="center"/>
          </w:tcPr>
          <w:p w14:paraId="67C6DD1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78150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58" w:type="dxa"/>
            <w:vAlign w:val="center"/>
          </w:tcPr>
          <w:p w14:paraId="31C9421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bookmarkStart w:id="28" w:name="_Toc187309993"/>
            <w:bookmarkStart w:id="29" w:name="_Toc10046"/>
            <w:r>
              <w:rPr>
                <w:rFonts w:hint="eastAsia" w:ascii="Times New Roman" w:hAnsi="Times New Roman" w:eastAsia="宋体" w:cs="Times New Roman"/>
                <w:sz w:val="21"/>
                <w:szCs w:val="21"/>
                <w:highlight w:val="none"/>
                <w:lang w:val="en-US" w:eastAsia="zh-CN"/>
                <w14:ligatures w14:val="none"/>
              </w:rPr>
              <w:t>3</w:t>
            </w:r>
          </w:p>
        </w:tc>
        <w:tc>
          <w:tcPr>
            <w:tcW w:w="671" w:type="dxa"/>
            <w:vAlign w:val="center"/>
          </w:tcPr>
          <w:p w14:paraId="357AA3D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罐区</w:t>
            </w:r>
          </w:p>
        </w:tc>
        <w:tc>
          <w:tcPr>
            <w:tcW w:w="730" w:type="dxa"/>
            <w:vAlign w:val="center"/>
          </w:tcPr>
          <w:p w14:paraId="0AC67BA5">
            <w:pPr>
              <w:adjustRightInd/>
              <w:snapToGrid/>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w:t>
            </w:r>
          </w:p>
        </w:tc>
        <w:tc>
          <w:tcPr>
            <w:tcW w:w="1164" w:type="dxa"/>
            <w:vAlign w:val="center"/>
          </w:tcPr>
          <w:p w14:paraId="1624C1AD">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164.82</w:t>
            </w:r>
          </w:p>
        </w:tc>
        <w:tc>
          <w:tcPr>
            <w:tcW w:w="1128" w:type="dxa"/>
            <w:vAlign w:val="center"/>
          </w:tcPr>
          <w:p w14:paraId="76E23F85">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974" w:type="dxa"/>
            <w:vAlign w:val="center"/>
          </w:tcPr>
          <w:p w14:paraId="1AD6634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w:t>
            </w:r>
          </w:p>
        </w:tc>
        <w:tc>
          <w:tcPr>
            <w:tcW w:w="1209" w:type="dxa"/>
            <w:vAlign w:val="center"/>
          </w:tcPr>
          <w:p w14:paraId="7884B34C">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w:t>
            </w:r>
          </w:p>
        </w:tc>
        <w:tc>
          <w:tcPr>
            <w:tcW w:w="1040" w:type="dxa"/>
            <w:vAlign w:val="center"/>
          </w:tcPr>
          <w:p w14:paraId="39191453">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甲类</w:t>
            </w:r>
          </w:p>
        </w:tc>
        <w:tc>
          <w:tcPr>
            <w:tcW w:w="847" w:type="dxa"/>
            <w:vAlign w:val="center"/>
          </w:tcPr>
          <w:p w14:paraId="51D59EC2">
            <w:pPr>
              <w:adjustRightInd/>
              <w:snapToGrid/>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w:t>
            </w:r>
          </w:p>
        </w:tc>
        <w:tc>
          <w:tcPr>
            <w:tcW w:w="520" w:type="pct"/>
            <w:vAlign w:val="center"/>
          </w:tcPr>
          <w:p w14:paraId="58B0A8E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bl>
    <w:p w14:paraId="45E648C5">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r>
        <w:rPr>
          <w:rFonts w:ascii="Times New Roman" w:hAnsi="Times New Roman" w:eastAsia="楷体" w:cs="宋体"/>
          <w:b/>
          <w:bCs/>
          <w:sz w:val="32"/>
          <w:szCs w:val="28"/>
          <w:highlight w:val="none"/>
          <w:lang w:bidi="ar"/>
          <w14:ligatures w14:val="none"/>
        </w:rPr>
        <w:t>2.7配套和辅助工程</w:t>
      </w:r>
      <w:bookmarkEnd w:id="28"/>
      <w:bookmarkEnd w:id="29"/>
    </w:p>
    <w:p w14:paraId="76A07A33">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bookmarkStart w:id="30" w:name="_Toc2526"/>
      <w:bookmarkStart w:id="31" w:name="_Toc20315"/>
      <w:r>
        <w:rPr>
          <w:rFonts w:ascii="Times New Roman" w:hAnsi="Times New Roman" w:eastAsia="黑体" w:cs="Times New Roman"/>
          <w:b/>
          <w:bCs/>
          <w:kern w:val="0"/>
          <w:szCs w:val="20"/>
          <w:highlight w:val="none"/>
          <w14:ligatures w14:val="none"/>
        </w:rPr>
        <w:t>2.7.</w:t>
      </w:r>
      <w:r>
        <w:rPr>
          <w:rFonts w:hint="eastAsia" w:ascii="Times New Roman" w:hAnsi="Times New Roman" w:eastAsia="黑体" w:cs="Times New Roman"/>
          <w:b/>
          <w:bCs/>
          <w:kern w:val="0"/>
          <w:szCs w:val="20"/>
          <w:highlight w:val="none"/>
          <w14:ligatures w14:val="none"/>
        </w:rPr>
        <w:t>1</w:t>
      </w:r>
      <w:r>
        <w:rPr>
          <w:rFonts w:ascii="Times New Roman" w:hAnsi="Times New Roman" w:eastAsia="黑体" w:cs="Times New Roman"/>
          <w:b/>
          <w:bCs/>
          <w:kern w:val="0"/>
          <w:szCs w:val="20"/>
          <w:highlight w:val="none"/>
          <w14:ligatures w14:val="none"/>
        </w:rPr>
        <w:t>给排水</w:t>
      </w:r>
      <w:bookmarkEnd w:id="30"/>
    </w:p>
    <w:p w14:paraId="057CED38">
      <w:pPr>
        <w:ind w:firstLine="560"/>
        <w:rPr>
          <w:rFonts w:ascii="Times New Roman" w:hAnsi="Times New Roman" w:eastAsia="宋体" w:cs="宋体"/>
          <w:szCs w:val="28"/>
          <w:highlight w:val="none"/>
          <w:lang w:bidi="ar"/>
          <w14:ligatures w14:val="none"/>
        </w:rPr>
      </w:pPr>
      <w:bookmarkStart w:id="32" w:name="_Toc32464"/>
      <w:r>
        <w:rPr>
          <w:rFonts w:hint="eastAsia" w:ascii="Times New Roman" w:hAnsi="Times New Roman" w:eastAsia="宋体" w:cs="宋体"/>
          <w:szCs w:val="28"/>
          <w:highlight w:val="none"/>
          <w:lang w:bidi="ar"/>
          <w14:ligatures w14:val="none"/>
        </w:rPr>
        <w:t>（1）给</w:t>
      </w:r>
      <w:r>
        <w:rPr>
          <w:rFonts w:ascii="Times New Roman" w:hAnsi="Times New Roman" w:eastAsia="宋体" w:cs="宋体"/>
          <w:szCs w:val="28"/>
          <w:highlight w:val="none"/>
          <w:lang w:bidi="ar"/>
          <w14:ligatures w14:val="none"/>
        </w:rPr>
        <w:t>水</w:t>
      </w:r>
      <w:bookmarkEnd w:id="32"/>
    </w:p>
    <w:p w14:paraId="4C7E850E">
      <w:pPr>
        <w:ind w:firstLine="560"/>
        <w:rPr>
          <w:rFonts w:hint="eastAsia" w:ascii="Times New Roman" w:hAnsi="Times New Roman" w:eastAsia="宋体" w:cs="宋体"/>
          <w:szCs w:val="28"/>
          <w:highlight w:val="none"/>
          <w:lang w:val="en-US" w:eastAsia="zh-CN" w:bidi="ar"/>
          <w14:ligatures w14:val="none"/>
        </w:rPr>
      </w:pPr>
      <w:bookmarkStart w:id="33" w:name="_Toc7395"/>
      <w:r>
        <w:rPr>
          <w:rFonts w:ascii="Times New Roman" w:hAnsi="Times New Roman" w:eastAsia="宋体" w:cs="宋体"/>
          <w:szCs w:val="28"/>
          <w:highlight w:val="none"/>
          <w:lang w:bidi="ar"/>
          <w14:ligatures w14:val="none"/>
        </w:rPr>
        <w:t>站内给水由</w:t>
      </w:r>
      <w:r>
        <w:rPr>
          <w:rFonts w:hint="eastAsia" w:ascii="Times New Roman" w:hAnsi="Times New Roman" w:eastAsia="宋体" w:cs="宋体"/>
          <w:szCs w:val="28"/>
          <w:highlight w:val="none"/>
          <w:lang w:bidi="ar"/>
          <w14:ligatures w14:val="none"/>
        </w:rPr>
        <w:t>八里甸子服务区提供</w:t>
      </w:r>
      <w:r>
        <w:rPr>
          <w:rFonts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bidi="ar"/>
          <w14:ligatures w14:val="none"/>
        </w:rPr>
        <w:t>服务区</w:t>
      </w:r>
      <w:r>
        <w:rPr>
          <w:rFonts w:hint="eastAsia" w:ascii="Times New Roman" w:hAnsi="Times New Roman" w:eastAsia="宋体" w:cs="宋体"/>
          <w:szCs w:val="28"/>
          <w:highlight w:val="none"/>
          <w:lang w:val="en-US" w:eastAsia="zh-CN" w:bidi="ar"/>
          <w14:ligatures w14:val="none"/>
        </w:rPr>
        <w:t>供水依托自建水井，供水水量满足站内需要。</w:t>
      </w:r>
    </w:p>
    <w:p w14:paraId="6EB0CC95">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（2）</w:t>
      </w:r>
      <w:r>
        <w:rPr>
          <w:rFonts w:ascii="Times New Roman" w:hAnsi="Times New Roman" w:eastAsia="宋体" w:cs="宋体"/>
          <w:szCs w:val="28"/>
          <w:highlight w:val="none"/>
          <w:lang w:bidi="ar"/>
          <w14:ligatures w14:val="none"/>
        </w:rPr>
        <w:t>排水</w:t>
      </w:r>
      <w:bookmarkEnd w:id="33"/>
    </w:p>
    <w:p w14:paraId="0FA55B81">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排水系统包括生产污水系统</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雨水系统及生活污水系统。</w:t>
      </w:r>
    </w:p>
    <w:p w14:paraId="4FA126C8">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生产污水主要源自储罐清洗（一般为每5年清洗一次）</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清洗油罐时采用活动式回收桶回收，并用车运至污水处理厂处理</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站内雨水散排</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收集的生活污水</w:t>
      </w:r>
      <w:r>
        <w:rPr>
          <w:rFonts w:hint="eastAsia" w:ascii="Times New Roman" w:hAnsi="Times New Roman" w:eastAsia="宋体" w:cs="宋体"/>
          <w:szCs w:val="28"/>
          <w:highlight w:val="none"/>
          <w:lang w:bidi="ar"/>
          <w14:ligatures w14:val="none"/>
        </w:rPr>
        <w:t>排入服务区内污水处理站</w:t>
      </w:r>
      <w:r>
        <w:rPr>
          <w:rFonts w:ascii="Times New Roman" w:hAnsi="Times New Roman" w:eastAsia="宋体" w:cs="宋体"/>
          <w:szCs w:val="28"/>
          <w:highlight w:val="none"/>
          <w:lang w:bidi="ar"/>
          <w14:ligatures w14:val="none"/>
        </w:rPr>
        <w:t>。</w:t>
      </w:r>
    </w:p>
    <w:p w14:paraId="2E827713">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2.7.</w:t>
      </w:r>
      <w:bookmarkEnd w:id="31"/>
      <w:r>
        <w:rPr>
          <w:rFonts w:hint="eastAsia" w:ascii="Times New Roman" w:hAnsi="Times New Roman" w:eastAsia="黑体" w:cs="Times New Roman"/>
          <w:b/>
          <w:bCs/>
          <w:kern w:val="0"/>
          <w:szCs w:val="20"/>
          <w:highlight w:val="none"/>
          <w14:ligatures w14:val="none"/>
        </w:rPr>
        <w:t>2</w:t>
      </w:r>
      <w:r>
        <w:rPr>
          <w:rFonts w:ascii="Times New Roman" w:hAnsi="Times New Roman" w:eastAsia="黑体" w:cs="Times New Roman"/>
          <w:b/>
          <w:bCs/>
          <w:kern w:val="0"/>
          <w:szCs w:val="20"/>
          <w:highlight w:val="none"/>
          <w14:ligatures w14:val="none"/>
        </w:rPr>
        <w:t>供电</w:t>
      </w:r>
    </w:p>
    <w:p w14:paraId="5E1ECEA5">
      <w:pPr>
        <w:ind w:firstLine="560"/>
        <w:rPr>
          <w:rFonts w:ascii="Times New Roman" w:hAnsi="Times New Roman" w:eastAsia="宋体" w:cs="宋体"/>
          <w:szCs w:val="28"/>
          <w:highlight w:val="none"/>
          <w:lang w:bidi="ar"/>
          <w14:ligatures w14:val="none"/>
        </w:rPr>
      </w:pPr>
      <w:bookmarkStart w:id="34" w:name="_Toc310"/>
      <w:r>
        <w:rPr>
          <w:rFonts w:hint="eastAsia" w:ascii="Times New Roman" w:hAnsi="Times New Roman" w:eastAsia="宋体" w:cs="宋体"/>
          <w:szCs w:val="28"/>
          <w:highlight w:val="none"/>
          <w:lang w:bidi="ar"/>
          <w14:ligatures w14:val="none"/>
        </w:rPr>
        <w:t>（1）</w:t>
      </w:r>
      <w:r>
        <w:rPr>
          <w:rFonts w:ascii="Times New Roman" w:hAnsi="Times New Roman" w:eastAsia="宋体" w:cs="宋体"/>
          <w:szCs w:val="28"/>
          <w:highlight w:val="none"/>
          <w:lang w:bidi="ar"/>
          <w14:ligatures w14:val="none"/>
        </w:rPr>
        <w:t>供电</w:t>
      </w:r>
      <w:bookmarkEnd w:id="34"/>
      <w:r>
        <w:rPr>
          <w:rFonts w:hint="eastAsia" w:ascii="Times New Roman" w:hAnsi="Times New Roman" w:eastAsia="宋体" w:cs="宋体"/>
          <w:szCs w:val="28"/>
          <w:highlight w:val="none"/>
          <w:lang w:bidi="ar"/>
          <w14:ligatures w14:val="none"/>
        </w:rPr>
        <w:t>方案及用电负荷</w:t>
      </w:r>
    </w:p>
    <w:p w14:paraId="5851117C">
      <w:pPr>
        <w:ind w:firstLine="560"/>
        <w:rPr>
          <w:rFonts w:ascii="Times New Roman" w:hAnsi="Times New Roman" w:eastAsia="宋体" w:cs="宋体"/>
          <w:szCs w:val="28"/>
          <w:highlight w:val="none"/>
          <w:lang w:bidi="ar"/>
          <w14:ligatures w14:val="none"/>
        </w:rPr>
      </w:pPr>
      <w:bookmarkStart w:id="35" w:name="_Toc22757"/>
      <w:r>
        <w:rPr>
          <w:rFonts w:hint="eastAsia" w:ascii="Times New Roman" w:hAnsi="Times New Roman" w:eastAsia="宋体" w:cs="宋体"/>
          <w:szCs w:val="28"/>
          <w:highlight w:val="none"/>
          <w:lang w:bidi="ar"/>
          <w14:ligatures w14:val="none"/>
        </w:rPr>
        <w:t>供电方案：</w:t>
      </w:r>
      <w:r>
        <w:rPr>
          <w:rFonts w:ascii="Times New Roman" w:hAnsi="Times New Roman" w:eastAsia="宋体" w:cs="宋体"/>
          <w:szCs w:val="28"/>
          <w:highlight w:val="none"/>
          <w:lang w:bidi="ar"/>
          <w14:ligatures w14:val="none"/>
        </w:rPr>
        <w:t>该站用电由</w:t>
      </w:r>
      <w:r>
        <w:rPr>
          <w:rFonts w:hint="eastAsia" w:ascii="Times New Roman" w:hAnsi="Times New Roman" w:eastAsia="宋体" w:cs="宋体"/>
          <w:szCs w:val="28"/>
          <w:highlight w:val="none"/>
          <w:lang w:bidi="ar"/>
          <w14:ligatures w14:val="none"/>
        </w:rPr>
        <w:t>八里甸子服务区提供，电缆</w:t>
      </w:r>
      <w:r>
        <w:rPr>
          <w:rFonts w:ascii="Times New Roman" w:hAnsi="Times New Roman" w:eastAsia="宋体" w:cs="宋体"/>
          <w:szCs w:val="28"/>
          <w:highlight w:val="none"/>
          <w:lang w:bidi="ar"/>
          <w14:ligatures w14:val="none"/>
        </w:rPr>
        <w:t>埋地敷设至该站</w:t>
      </w:r>
      <w:r>
        <w:rPr>
          <w:rFonts w:hint="eastAsia" w:ascii="Times New Roman" w:hAnsi="Times New Roman" w:eastAsia="宋体" w:cs="宋体"/>
          <w:szCs w:val="28"/>
          <w:highlight w:val="none"/>
          <w:lang w:bidi="ar"/>
          <w14:ligatures w14:val="none"/>
        </w:rPr>
        <w:t>控制室内配电柜，进线为380/220V</w:t>
      </w:r>
      <w:r>
        <w:rPr>
          <w:rFonts w:ascii="Times New Roman" w:hAnsi="Times New Roman" w:eastAsia="宋体" w:cs="宋体"/>
          <w:szCs w:val="28"/>
          <w:highlight w:val="none"/>
          <w:lang w:bidi="ar"/>
          <w14:ligatures w14:val="none"/>
        </w:rPr>
        <w:t>，用电设备的额定电压为交流380/220V，供电系统采用TN-S系统。单相负荷均匀分布在三相上。</w:t>
      </w:r>
    </w:p>
    <w:p w14:paraId="43E107E8">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用电负荷：</w:t>
      </w:r>
      <w:r>
        <w:rPr>
          <w:rFonts w:ascii="Times New Roman" w:hAnsi="Times New Roman" w:eastAsia="宋体" w:cs="宋体"/>
          <w:szCs w:val="28"/>
          <w:highlight w:val="none"/>
          <w:lang w:bidi="ar"/>
          <w14:ligatures w14:val="none"/>
        </w:rPr>
        <w:t>该站消防应急照明</w:t>
      </w:r>
      <w:r>
        <w:rPr>
          <w:rFonts w:hint="eastAsia" w:ascii="Times New Roman" w:hAnsi="Times New Roman" w:eastAsia="宋体" w:cs="宋体"/>
          <w:szCs w:val="28"/>
          <w:highlight w:val="none"/>
          <w:lang w:bidi="ar"/>
          <w14:ligatures w14:val="none"/>
        </w:rPr>
        <w:t>系统、仪表系统的用电负荷为一级负荷中的特别重要负荷，其他</w:t>
      </w:r>
      <w:r>
        <w:rPr>
          <w:rFonts w:ascii="Times New Roman" w:hAnsi="Times New Roman" w:eastAsia="宋体" w:cs="宋体"/>
          <w:szCs w:val="28"/>
          <w:highlight w:val="none"/>
          <w:lang w:bidi="ar"/>
          <w14:ligatures w14:val="none"/>
        </w:rPr>
        <w:t>为三级负荷，加油设施与其他设施分别设独立的用电计量装置。</w:t>
      </w:r>
    </w:p>
    <w:p w14:paraId="2AF91EA2">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该站罩棚、便利店、值班室、控制室设置应急照明，应急照明持续供电时间不少于90min。</w:t>
      </w:r>
    </w:p>
    <w:p w14:paraId="643ED46D">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该加油站信息系统采用UPS不间断电源，供电时间不小于</w:t>
      </w:r>
      <w:r>
        <w:rPr>
          <w:rFonts w:hint="eastAsia" w:ascii="Times New Roman" w:hAnsi="Times New Roman" w:eastAsia="宋体" w:cs="宋体"/>
          <w:szCs w:val="28"/>
          <w:highlight w:val="none"/>
          <w:lang w:val="en-US" w:eastAsia="zh-CN" w:bidi="ar"/>
          <w14:ligatures w14:val="none"/>
        </w:rPr>
        <w:t>6</w:t>
      </w:r>
      <w:r>
        <w:rPr>
          <w:rFonts w:hint="eastAsia" w:ascii="Times New Roman" w:hAnsi="Times New Roman" w:eastAsia="宋体" w:cs="宋体"/>
          <w:szCs w:val="28"/>
          <w:highlight w:val="none"/>
          <w:lang w:bidi="ar"/>
          <w14:ligatures w14:val="none"/>
        </w:rPr>
        <w:t>0min</w:t>
      </w:r>
      <w:r>
        <w:rPr>
          <w:rFonts w:ascii="Times New Roman" w:hAnsi="Times New Roman" w:eastAsia="宋体" w:cs="宋体"/>
          <w:szCs w:val="28"/>
          <w:highlight w:val="none"/>
          <w:lang w:bidi="ar"/>
          <w14:ligatures w14:val="none"/>
        </w:rPr>
        <w:t>。</w:t>
      </w:r>
    </w:p>
    <w:p w14:paraId="7041EB2C">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加油站内爆炸危险区域以外的站房、罩棚等建筑物内的照明灯具，选用非防爆型，罩棚下的灯具选用防护等级不低于IP55的节能型照明灯具。</w:t>
      </w:r>
    </w:p>
    <w:bookmarkEnd w:id="35"/>
    <w:p w14:paraId="1562FB5A">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（2）</w:t>
      </w:r>
      <w:r>
        <w:rPr>
          <w:rFonts w:ascii="Times New Roman" w:hAnsi="Times New Roman" w:eastAsia="宋体" w:cs="宋体"/>
          <w:szCs w:val="28"/>
          <w:highlight w:val="none"/>
          <w:lang w:bidi="ar"/>
          <w14:ligatures w14:val="none"/>
        </w:rPr>
        <w:t>防雷、防静电及接地</w:t>
      </w:r>
    </w:p>
    <w:p w14:paraId="14E705A1">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该</w:t>
      </w:r>
      <w:r>
        <w:rPr>
          <w:rFonts w:hint="eastAsia" w:ascii="Times New Roman" w:hAnsi="Times New Roman" w:eastAsia="宋体" w:cs="宋体"/>
          <w:szCs w:val="28"/>
          <w:highlight w:val="none"/>
          <w:lang w:bidi="ar"/>
          <w14:ligatures w14:val="none"/>
        </w:rPr>
        <w:t>站</w:t>
      </w:r>
      <w:r>
        <w:rPr>
          <w:rFonts w:ascii="Times New Roman" w:hAnsi="Times New Roman" w:eastAsia="宋体" w:cs="宋体"/>
          <w:szCs w:val="28"/>
          <w:highlight w:val="none"/>
          <w:lang w:bidi="ar"/>
          <w14:ligatures w14:val="none"/>
        </w:rPr>
        <w:t>埋地储罐区、罩棚按照二类防雷建筑物进行设防</w:t>
      </w:r>
      <w:r>
        <w:rPr>
          <w:rFonts w:hint="eastAsia" w:ascii="Times New Roman" w:hAnsi="Times New Roman" w:eastAsia="宋体" w:cs="宋体"/>
          <w:szCs w:val="28"/>
          <w:highlight w:val="none"/>
          <w:lang w:bidi="ar"/>
          <w14:ligatures w14:val="none"/>
        </w:rPr>
        <w:t>，站房</w:t>
      </w:r>
      <w:r>
        <w:rPr>
          <w:rFonts w:ascii="Times New Roman" w:hAnsi="Times New Roman" w:eastAsia="宋体" w:cs="宋体"/>
          <w:szCs w:val="28"/>
          <w:highlight w:val="none"/>
          <w:lang w:bidi="ar"/>
          <w14:ligatures w14:val="none"/>
        </w:rPr>
        <w:t>按照</w:t>
      </w:r>
      <w:r>
        <w:rPr>
          <w:rFonts w:hint="eastAsia" w:ascii="Times New Roman" w:hAnsi="Times New Roman" w:eastAsia="宋体" w:cs="宋体"/>
          <w:szCs w:val="28"/>
          <w:highlight w:val="none"/>
          <w:lang w:bidi="ar"/>
          <w14:ligatures w14:val="none"/>
        </w:rPr>
        <w:t>三</w:t>
      </w:r>
      <w:r>
        <w:rPr>
          <w:rFonts w:ascii="Times New Roman" w:hAnsi="Times New Roman" w:eastAsia="宋体" w:cs="宋体"/>
          <w:szCs w:val="28"/>
          <w:highlight w:val="none"/>
          <w:lang w:bidi="ar"/>
          <w14:ligatures w14:val="none"/>
        </w:rPr>
        <w:t>类防雷建筑物进行设防。</w:t>
      </w:r>
    </w:p>
    <w:p w14:paraId="760BC39C">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防雷接地、防静电接地、电气设备的工作接地、保护接地及信息系统的接地等，共用接地装置，电阻不大于1Ω。</w:t>
      </w:r>
    </w:p>
    <w:p w14:paraId="0DA09302">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1）防雷</w:t>
      </w:r>
    </w:p>
    <w:p w14:paraId="106EB2A7">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在供配电系统的电源端安装与设备耐压水平相适应的过电压（电涌）保护器。信息系统的配电线路首、末端与电子器件连接时，装设与电子器件耐压水平相适应的过电压（电涌）保护器。</w:t>
      </w:r>
    </w:p>
    <w:p w14:paraId="45F67346">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罩棚采用带难燃物质的金属夹芯板，顶层金属板厚度不小于0.5mm，利用其金属顶板做为接闪器防雷，利用其金属结构柱体作为引下线。</w:t>
      </w:r>
    </w:p>
    <w:p w14:paraId="255C6256">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信息系统，在其电源、信号输入输出端均加装相应等级的防浪涌设备，用以防止雷电感应对信息系统的破坏；各类电缆进出信息系统时电缆金属外皮均与就近的接地系统连接，防止雷电波的浸入。</w:t>
      </w:r>
    </w:p>
    <w:p w14:paraId="1BF05835">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埋地油罐两端设接地测试卡。</w:t>
      </w:r>
    </w:p>
    <w:p w14:paraId="3157265F">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2）防静电</w:t>
      </w:r>
    </w:p>
    <w:p w14:paraId="121F9564">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罐区防雷接地装置兼作防静电接地装置。埋地管沟敷设管路始末端，作防静电和防感应雷的联合接地装置，其接地电阻不大于30Ω。埋地储罐及管件等金属物体进行电气连接并接地，其接地电阻不大于10Ω。所有工艺金属设备、管道等均与接地网就近连接，工艺管线始末端和分支处应接地，管线上的法兰、胶管两端等连接处用金属线或（铜片）跨接，电阻不大于0.03</w:t>
      </w:r>
      <w:r>
        <w:rPr>
          <w:rFonts w:hint="eastAsia" w:ascii="Times New Roman" w:hAnsi="Times New Roman" w:eastAsia="宋体" w:cs="宋体"/>
          <w:szCs w:val="28"/>
          <w:highlight w:val="none"/>
          <w:lang w:bidi="ar"/>
          <w14:ligatures w14:val="none"/>
        </w:rPr>
        <w:t>Ω</w:t>
      </w:r>
      <w:r>
        <w:rPr>
          <w:rFonts w:ascii="Times New Roman" w:hAnsi="Times New Roman" w:eastAsia="宋体" w:cs="宋体"/>
          <w:szCs w:val="28"/>
          <w:highlight w:val="none"/>
          <w:lang w:bidi="ar"/>
          <w14:ligatures w14:val="none"/>
        </w:rPr>
        <w:t>。</w:t>
      </w:r>
    </w:p>
    <w:p w14:paraId="49880369">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油罐车卸车场地设置卸车时专用的防静电接地报警仪</w:t>
      </w:r>
      <w:r>
        <w:rPr>
          <w:rFonts w:hint="eastAsia" w:ascii="Times New Roman" w:hAnsi="Times New Roman" w:eastAsia="宋体" w:cs="宋体"/>
          <w:szCs w:val="28"/>
          <w:highlight w:val="none"/>
          <w:lang w:bidi="ar"/>
          <w14:ligatures w14:val="none"/>
        </w:rPr>
        <w:t>。</w:t>
      </w:r>
    </w:p>
    <w:p w14:paraId="01F7A605">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3）接地</w:t>
      </w:r>
    </w:p>
    <w:p w14:paraId="102370AC">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油罐接地：地下油罐采用环形接地，每个油罐两点与主接地干线连接，罐进油管始端接地，把接地支线引至操作井内，与油管、电缆保护管做电气连接。</w:t>
      </w:r>
    </w:p>
    <w:p w14:paraId="145119F1">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雷电防护</w:t>
      </w:r>
      <w:r>
        <w:rPr>
          <w:rFonts w:ascii="Times New Roman" w:hAnsi="Times New Roman" w:eastAsia="宋体" w:cs="宋体"/>
          <w:szCs w:val="28"/>
          <w:highlight w:val="none"/>
          <w:lang w:bidi="ar"/>
          <w14:ligatures w14:val="none"/>
        </w:rPr>
        <w:t>装置经过</w:t>
      </w:r>
      <w:r>
        <w:rPr>
          <w:rFonts w:hint="eastAsia" w:ascii="Times New Roman" w:hAnsi="Times New Roman" w:eastAsia="宋体" w:cs="宋体"/>
          <w:szCs w:val="28"/>
          <w:highlight w:val="none"/>
          <w:lang w:bidi="ar"/>
          <w14:ligatures w14:val="none"/>
        </w:rPr>
        <w:t>辽宁雷电防护工程有限责任公司</w:t>
      </w:r>
      <w:r>
        <w:rPr>
          <w:rFonts w:ascii="Times New Roman" w:hAnsi="Times New Roman" w:eastAsia="宋体" w:cs="宋体"/>
          <w:szCs w:val="28"/>
          <w:highlight w:val="none"/>
          <w:lang w:bidi="ar"/>
          <w14:ligatures w14:val="none"/>
        </w:rPr>
        <w:t>检测合格，</w:t>
      </w:r>
      <w:r>
        <w:rPr>
          <w:rFonts w:hint="eastAsia" w:ascii="Times New Roman" w:hAnsi="Times New Roman" w:eastAsia="宋体" w:cs="宋体"/>
          <w:szCs w:val="28"/>
          <w:highlight w:val="none"/>
          <w:lang w:bidi="ar"/>
          <w14:ligatures w14:val="none"/>
        </w:rPr>
        <w:t>报告</w:t>
      </w:r>
      <w:r>
        <w:rPr>
          <w:rFonts w:ascii="Times New Roman" w:hAnsi="Times New Roman" w:eastAsia="宋体" w:cs="宋体"/>
          <w:szCs w:val="28"/>
          <w:highlight w:val="none"/>
          <w:lang w:bidi="ar"/>
          <w14:ligatures w14:val="none"/>
        </w:rPr>
        <w:t>编号：</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18104941110</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202</w:t>
      </w:r>
      <w:r>
        <w:rPr>
          <w:rFonts w:hint="eastAsia" w:ascii="Times New Roman" w:hAnsi="Times New Roman" w:eastAsia="宋体" w:cs="宋体"/>
          <w:szCs w:val="28"/>
          <w:highlight w:val="none"/>
          <w:lang w:val="en-US" w:eastAsia="zh-CN" w:bidi="ar"/>
          <w14:ligatures w14:val="none"/>
        </w:rPr>
        <w:t>5</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-BX08</w:t>
      </w:r>
      <w:r>
        <w:rPr>
          <w:rFonts w:ascii="Times New Roman" w:hAnsi="Times New Roman" w:eastAsia="宋体" w:cs="宋体"/>
          <w:szCs w:val="28"/>
          <w:highlight w:val="none"/>
          <w:lang w:bidi="ar"/>
          <w14:ligatures w14:val="none"/>
        </w:rPr>
        <w:t>，检测结论：</w:t>
      </w:r>
      <w:r>
        <w:rPr>
          <w:rFonts w:hint="eastAsia" w:ascii="Times New Roman" w:hAnsi="Times New Roman" w:eastAsia="宋体" w:cs="宋体"/>
          <w:szCs w:val="28"/>
          <w:highlight w:val="none"/>
          <w:lang w:bidi="ar"/>
          <w14:ligatures w14:val="none"/>
        </w:rPr>
        <w:t>所检雷电防护装置全部符合</w:t>
      </w:r>
      <w:r>
        <w:rPr>
          <w:rFonts w:hint="eastAsia" w:ascii="Times New Roman" w:hAnsi="Times New Roman" w:eastAsia="宋体" w:cs="宋体"/>
          <w:szCs w:val="28"/>
          <w:highlight w:val="none"/>
          <w:lang w:val="en-US" w:eastAsia="zh-CN" w:bidi="ar"/>
          <w14:ligatures w14:val="none"/>
        </w:rPr>
        <w:t>技术</w:t>
      </w:r>
      <w:r>
        <w:rPr>
          <w:rFonts w:hint="eastAsia" w:ascii="Times New Roman" w:hAnsi="Times New Roman" w:eastAsia="宋体" w:cs="宋体"/>
          <w:szCs w:val="28"/>
          <w:highlight w:val="none"/>
          <w:lang w:bidi="ar"/>
          <w14:ligatures w14:val="none"/>
        </w:rPr>
        <w:t>标准要求。相关文件详见附件。</w:t>
      </w:r>
    </w:p>
    <w:p w14:paraId="3DA1E53D">
      <w:pPr>
        <w:keepNext/>
        <w:spacing w:before="156" w:beforeLines="50" w:after="156" w:afterLines="50"/>
        <w:ind w:firstLine="562"/>
        <w:outlineLvl w:val="2"/>
        <w:rPr>
          <w:rFonts w:ascii="Times New Roman" w:hAnsi="Times New Roman" w:eastAsia="黑体" w:cs="Times New Roman"/>
          <w:b/>
          <w:bCs/>
          <w:kern w:val="0"/>
          <w:szCs w:val="20"/>
          <w:highlight w:val="none"/>
          <w14:ligatures w14:val="none"/>
        </w:rPr>
      </w:pPr>
      <w:bookmarkStart w:id="36" w:name="_Toc24162"/>
      <w:r>
        <w:rPr>
          <w:rFonts w:ascii="Times New Roman" w:hAnsi="Times New Roman" w:eastAsia="黑体" w:cs="Times New Roman"/>
          <w:b/>
          <w:bCs/>
          <w:kern w:val="0"/>
          <w:szCs w:val="20"/>
          <w:highlight w:val="none"/>
          <w14:ligatures w14:val="none"/>
        </w:rPr>
        <w:t>2.7.3</w:t>
      </w:r>
      <w:bookmarkEnd w:id="36"/>
      <w:bookmarkStart w:id="37" w:name="_Toc11233"/>
      <w:r>
        <w:rPr>
          <w:rFonts w:ascii="Times New Roman" w:hAnsi="Times New Roman" w:eastAsia="黑体" w:cs="Times New Roman"/>
          <w:b/>
          <w:bCs/>
          <w:kern w:val="0"/>
          <w:szCs w:val="20"/>
          <w:highlight w:val="none"/>
          <w14:ligatures w14:val="none"/>
        </w:rPr>
        <w:t>消防</w:t>
      </w:r>
      <w:bookmarkEnd w:id="37"/>
    </w:p>
    <w:p w14:paraId="0C02F2DA">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根据《汽车加油加气加氢站技术标准》（GB50156-2021）第12.2.3条规定，</w:t>
      </w: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可不设消防</w:t>
      </w:r>
      <w:r>
        <w:rPr>
          <w:rFonts w:hint="eastAsia" w:ascii="Times New Roman" w:hAnsi="Times New Roman" w:eastAsia="宋体" w:cs="宋体"/>
          <w:szCs w:val="28"/>
          <w:highlight w:val="none"/>
          <w:lang w:bidi="ar"/>
          <w14:ligatures w14:val="none"/>
        </w:rPr>
        <w:t>给水系统</w:t>
      </w:r>
      <w:r>
        <w:rPr>
          <w:rFonts w:ascii="Times New Roman" w:hAnsi="Times New Roman" w:eastAsia="宋体" w:cs="宋体"/>
          <w:szCs w:val="28"/>
          <w:highlight w:val="none"/>
          <w:lang w:bidi="ar"/>
          <w14:ligatures w14:val="none"/>
        </w:rPr>
        <w:t>。站</w:t>
      </w:r>
      <w:r>
        <w:rPr>
          <w:rFonts w:hint="eastAsia" w:ascii="Times New Roman" w:hAnsi="Times New Roman" w:eastAsia="宋体" w:cs="宋体"/>
          <w:szCs w:val="28"/>
          <w:highlight w:val="none"/>
          <w:lang w:bidi="ar"/>
          <w14:ligatures w14:val="none"/>
        </w:rPr>
        <w:t>内</w:t>
      </w:r>
      <w:r>
        <w:rPr>
          <w:rFonts w:ascii="Times New Roman" w:hAnsi="Times New Roman" w:eastAsia="宋体" w:cs="宋体"/>
          <w:szCs w:val="28"/>
          <w:highlight w:val="none"/>
          <w:lang w:bidi="ar"/>
          <w14:ligatures w14:val="none"/>
        </w:rPr>
        <w:t>消防救援器材详见表2.7-1。</w:t>
      </w:r>
    </w:p>
    <w:p w14:paraId="78A73ECB">
      <w:pPr>
        <w:ind w:firstLine="560"/>
        <w:jc w:val="center"/>
        <w:rPr>
          <w:rFonts w:ascii="Times New Roman" w:hAnsi="Times New Roman" w:eastAsia="黑体" w:cs="Times New Roman"/>
          <w:kern w:val="2"/>
          <w:sz w:val="24"/>
          <w:szCs w:val="28"/>
          <w:highlight w:val="none"/>
          <w:lang w:val="en-US" w:eastAsia="zh-CN" w:bidi="ar-SA"/>
          <w14:ligatures w14:val="standardContextual"/>
        </w:rPr>
      </w:pPr>
      <w:r>
        <w:rPr>
          <w:rFonts w:ascii="Times New Roman" w:hAnsi="Times New Roman" w:eastAsia="黑体" w:cs="Times New Roman"/>
          <w:kern w:val="2"/>
          <w:sz w:val="24"/>
          <w:szCs w:val="28"/>
          <w:highlight w:val="none"/>
          <w:lang w:val="en-US" w:eastAsia="zh-CN" w:bidi="ar-SA"/>
          <w14:ligatures w14:val="standardContextual"/>
        </w:rPr>
        <w:t>表2.7-1  消防救援器材一览表</w:t>
      </w:r>
    </w:p>
    <w:tbl>
      <w:tblPr>
        <w:tblStyle w:val="32"/>
        <w:tblW w:w="9343"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16"/>
        <w:gridCol w:w="3050"/>
        <w:gridCol w:w="1261"/>
        <w:gridCol w:w="1985"/>
        <w:gridCol w:w="2231"/>
      </w:tblGrid>
      <w:tr w14:paraId="216B6D4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816" w:type="dxa"/>
            <w:vAlign w:val="center"/>
          </w:tcPr>
          <w:p w14:paraId="4320E5F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bookmarkStart w:id="38" w:name="_Toc7344"/>
            <w:r>
              <w:rPr>
                <w:rFonts w:ascii="Times New Roman" w:hAnsi="Times New Roman" w:eastAsia="宋体" w:cs="Times New Roman"/>
                <w:sz w:val="21"/>
                <w:szCs w:val="21"/>
                <w:highlight w:val="none"/>
                <w14:ligatures w14:val="none"/>
              </w:rPr>
              <w:t>序号</w:t>
            </w:r>
          </w:p>
        </w:tc>
        <w:tc>
          <w:tcPr>
            <w:tcW w:w="3050" w:type="dxa"/>
            <w:vAlign w:val="center"/>
          </w:tcPr>
          <w:p w14:paraId="6022DDB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消防器材类型</w:t>
            </w:r>
          </w:p>
        </w:tc>
        <w:tc>
          <w:tcPr>
            <w:tcW w:w="1261" w:type="dxa"/>
            <w:vAlign w:val="center"/>
          </w:tcPr>
          <w:p w14:paraId="34A09D0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数量</w:t>
            </w:r>
          </w:p>
        </w:tc>
        <w:tc>
          <w:tcPr>
            <w:tcW w:w="1985" w:type="dxa"/>
            <w:vAlign w:val="center"/>
          </w:tcPr>
          <w:p w14:paraId="10B516C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规格</w:t>
            </w:r>
          </w:p>
        </w:tc>
        <w:tc>
          <w:tcPr>
            <w:tcW w:w="2231" w:type="dxa"/>
            <w:vAlign w:val="center"/>
          </w:tcPr>
          <w:p w14:paraId="0E38504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放置地点</w:t>
            </w:r>
          </w:p>
        </w:tc>
      </w:tr>
      <w:tr w14:paraId="3FC22AB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314D432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w:t>
            </w:r>
          </w:p>
        </w:tc>
        <w:tc>
          <w:tcPr>
            <w:tcW w:w="3050" w:type="dxa"/>
            <w:vAlign w:val="center"/>
          </w:tcPr>
          <w:p w14:paraId="7C16AFC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推车式干粉灭火器</w:t>
            </w:r>
          </w:p>
        </w:tc>
        <w:tc>
          <w:tcPr>
            <w:tcW w:w="1261" w:type="dxa"/>
            <w:vAlign w:val="center"/>
          </w:tcPr>
          <w:p w14:paraId="0D630386">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14:ligatures w14:val="none"/>
              </w:rPr>
            </w:pPr>
            <w:r>
              <w:rPr>
                <w:rFonts w:hint="eastAsia" w:ascii="Times New Roman" w:hAnsi="Times New Roman" w:eastAsia="宋体" w:cs="Times New Roman"/>
                <w:sz w:val="21"/>
                <w:szCs w:val="21"/>
                <w:highlight w:val="none"/>
                <w:lang w:val="en-US" w:eastAsia="zh-CN"/>
                <w14:ligatures w14:val="none"/>
              </w:rPr>
              <w:t>2台</w:t>
            </w:r>
          </w:p>
        </w:tc>
        <w:tc>
          <w:tcPr>
            <w:tcW w:w="1985" w:type="dxa"/>
            <w:vAlign w:val="center"/>
          </w:tcPr>
          <w:p w14:paraId="2A8ADA1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35kg</w:t>
            </w:r>
          </w:p>
        </w:tc>
        <w:tc>
          <w:tcPr>
            <w:tcW w:w="2231" w:type="dxa"/>
            <w:vAlign w:val="center"/>
          </w:tcPr>
          <w:p w14:paraId="2BDC5C0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储罐区</w:t>
            </w:r>
          </w:p>
        </w:tc>
      </w:tr>
      <w:tr w14:paraId="4FE5D25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16ED899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w:t>
            </w:r>
          </w:p>
        </w:tc>
        <w:tc>
          <w:tcPr>
            <w:tcW w:w="3050" w:type="dxa"/>
            <w:vAlign w:val="center"/>
          </w:tcPr>
          <w:p w14:paraId="31C4614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手提式干粉灭火器</w:t>
            </w:r>
          </w:p>
        </w:tc>
        <w:tc>
          <w:tcPr>
            <w:tcW w:w="1261" w:type="dxa"/>
            <w:vAlign w:val="center"/>
          </w:tcPr>
          <w:p w14:paraId="55D4276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10</w:t>
            </w:r>
            <w:r>
              <w:rPr>
                <w:rFonts w:ascii="Times New Roman" w:hAnsi="Times New Roman" w:eastAsia="宋体" w:cs="Times New Roman"/>
                <w:sz w:val="21"/>
                <w:szCs w:val="21"/>
                <w:highlight w:val="none"/>
                <w14:ligatures w14:val="none"/>
              </w:rPr>
              <w:t>具</w:t>
            </w:r>
          </w:p>
        </w:tc>
        <w:tc>
          <w:tcPr>
            <w:tcW w:w="1985" w:type="dxa"/>
            <w:vAlign w:val="center"/>
          </w:tcPr>
          <w:p w14:paraId="46F848A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5kg</w:t>
            </w:r>
          </w:p>
        </w:tc>
        <w:tc>
          <w:tcPr>
            <w:tcW w:w="2231" w:type="dxa"/>
            <w:vAlign w:val="center"/>
          </w:tcPr>
          <w:p w14:paraId="3E07E4E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加油区</w:t>
            </w:r>
            <w:r>
              <w:rPr>
                <w:rFonts w:hint="eastAsia" w:ascii="Times New Roman" w:hAnsi="Times New Roman" w:eastAsia="宋体" w:cs="Times New Roman"/>
                <w:sz w:val="21"/>
                <w:szCs w:val="21"/>
                <w:highlight w:val="none"/>
                <w14:ligatures w14:val="none"/>
              </w:rPr>
              <w:t>、站房内</w:t>
            </w:r>
          </w:p>
        </w:tc>
      </w:tr>
      <w:tr w14:paraId="19E06EF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58A3EA6E">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3</w:t>
            </w:r>
          </w:p>
        </w:tc>
        <w:tc>
          <w:tcPr>
            <w:tcW w:w="3050" w:type="dxa"/>
            <w:vAlign w:val="center"/>
          </w:tcPr>
          <w:p w14:paraId="7894B7C1">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手提式二氧化碳灭火器</w:t>
            </w:r>
          </w:p>
        </w:tc>
        <w:tc>
          <w:tcPr>
            <w:tcW w:w="1261" w:type="dxa"/>
            <w:vAlign w:val="center"/>
          </w:tcPr>
          <w:p w14:paraId="276D8560">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2具</w:t>
            </w:r>
          </w:p>
        </w:tc>
        <w:tc>
          <w:tcPr>
            <w:tcW w:w="1985" w:type="dxa"/>
            <w:vAlign w:val="center"/>
          </w:tcPr>
          <w:p w14:paraId="2FE93E3E">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4kg</w:t>
            </w:r>
          </w:p>
        </w:tc>
        <w:tc>
          <w:tcPr>
            <w:tcW w:w="2231" w:type="dxa"/>
            <w:vAlign w:val="center"/>
          </w:tcPr>
          <w:p w14:paraId="74B5DEA5">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配电室内</w:t>
            </w:r>
          </w:p>
        </w:tc>
      </w:tr>
      <w:tr w14:paraId="3923CCB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37196C37">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w:t>
            </w:r>
          </w:p>
        </w:tc>
        <w:tc>
          <w:tcPr>
            <w:tcW w:w="3050" w:type="dxa"/>
            <w:vAlign w:val="center"/>
          </w:tcPr>
          <w:p w14:paraId="65594655">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灭火毯</w:t>
            </w:r>
          </w:p>
        </w:tc>
        <w:tc>
          <w:tcPr>
            <w:tcW w:w="1261" w:type="dxa"/>
            <w:vAlign w:val="center"/>
          </w:tcPr>
          <w:p w14:paraId="2CEC083E">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5块</w:t>
            </w:r>
          </w:p>
        </w:tc>
        <w:tc>
          <w:tcPr>
            <w:tcW w:w="1985" w:type="dxa"/>
            <w:vAlign w:val="center"/>
          </w:tcPr>
          <w:p w14:paraId="7604F26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2231" w:type="dxa"/>
            <w:vAlign w:val="center"/>
          </w:tcPr>
          <w:p w14:paraId="36D58A3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加油机旁</w:t>
            </w:r>
          </w:p>
        </w:tc>
      </w:tr>
      <w:tr w14:paraId="0B6F4CD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2D71BB43">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w:t>
            </w:r>
          </w:p>
        </w:tc>
        <w:tc>
          <w:tcPr>
            <w:tcW w:w="3050" w:type="dxa"/>
            <w:vAlign w:val="center"/>
          </w:tcPr>
          <w:p w14:paraId="7F29BBF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消防沙</w:t>
            </w:r>
          </w:p>
        </w:tc>
        <w:tc>
          <w:tcPr>
            <w:tcW w:w="1261" w:type="dxa"/>
            <w:vAlign w:val="center"/>
          </w:tcPr>
          <w:p w14:paraId="7F1C457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2m</w:t>
            </w:r>
            <w:r>
              <w:rPr>
                <w:rFonts w:ascii="Times New Roman" w:hAnsi="Times New Roman" w:eastAsia="宋体" w:cs="Times New Roman"/>
                <w:sz w:val="21"/>
                <w:szCs w:val="21"/>
                <w:highlight w:val="none"/>
                <w:vertAlign w:val="superscript"/>
                <w14:ligatures w14:val="none"/>
              </w:rPr>
              <w:t>3</w:t>
            </w:r>
          </w:p>
        </w:tc>
        <w:tc>
          <w:tcPr>
            <w:tcW w:w="1985" w:type="dxa"/>
            <w:vAlign w:val="center"/>
          </w:tcPr>
          <w:p w14:paraId="7AA217E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2231" w:type="dxa"/>
            <w:vAlign w:val="center"/>
          </w:tcPr>
          <w:p w14:paraId="377B2CB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消防沙箱内</w:t>
            </w:r>
          </w:p>
        </w:tc>
      </w:tr>
      <w:tr w14:paraId="4B86380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47E2835B">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bookmarkStart w:id="39" w:name="_Toc20238"/>
            <w:r>
              <w:rPr>
                <w:rFonts w:hint="eastAsia" w:ascii="Times New Roman" w:hAnsi="Times New Roman" w:eastAsia="宋体" w:cs="Times New Roman"/>
                <w:sz w:val="21"/>
                <w:szCs w:val="21"/>
                <w:highlight w:val="none"/>
                <w:lang w:val="en-US" w:eastAsia="zh-CN"/>
                <w14:ligatures w14:val="none"/>
              </w:rPr>
              <w:t>6</w:t>
            </w:r>
          </w:p>
        </w:tc>
        <w:tc>
          <w:tcPr>
            <w:tcW w:w="3050" w:type="dxa"/>
            <w:vAlign w:val="center"/>
          </w:tcPr>
          <w:p w14:paraId="57D611F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消防锹</w:t>
            </w:r>
          </w:p>
        </w:tc>
        <w:tc>
          <w:tcPr>
            <w:tcW w:w="1261" w:type="dxa"/>
            <w:vAlign w:val="center"/>
          </w:tcPr>
          <w:p w14:paraId="4A7B739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5把</w:t>
            </w:r>
          </w:p>
        </w:tc>
        <w:tc>
          <w:tcPr>
            <w:tcW w:w="1985" w:type="dxa"/>
            <w:vAlign w:val="center"/>
          </w:tcPr>
          <w:p w14:paraId="7D0E394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2231" w:type="dxa"/>
            <w:vAlign w:val="center"/>
          </w:tcPr>
          <w:p w14:paraId="25B929D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消防器材架</w:t>
            </w:r>
          </w:p>
        </w:tc>
      </w:tr>
      <w:tr w14:paraId="51238C8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77203D1B">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7</w:t>
            </w:r>
          </w:p>
        </w:tc>
        <w:tc>
          <w:tcPr>
            <w:tcW w:w="3050" w:type="dxa"/>
            <w:vAlign w:val="center"/>
          </w:tcPr>
          <w:p w14:paraId="2AD5297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消防桶</w:t>
            </w:r>
          </w:p>
        </w:tc>
        <w:tc>
          <w:tcPr>
            <w:tcW w:w="1261" w:type="dxa"/>
            <w:vAlign w:val="center"/>
          </w:tcPr>
          <w:p w14:paraId="4EA4D9C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5个</w:t>
            </w:r>
          </w:p>
        </w:tc>
        <w:tc>
          <w:tcPr>
            <w:tcW w:w="1985" w:type="dxa"/>
            <w:vAlign w:val="center"/>
          </w:tcPr>
          <w:p w14:paraId="25428FF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2231" w:type="dxa"/>
            <w:vAlign w:val="center"/>
          </w:tcPr>
          <w:p w14:paraId="0598C75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消防器材架</w:t>
            </w:r>
          </w:p>
        </w:tc>
      </w:tr>
      <w:bookmarkEnd w:id="38"/>
    </w:tbl>
    <w:p w14:paraId="5BD2D48F">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2.7.</w:t>
      </w:r>
      <w:r>
        <w:rPr>
          <w:rFonts w:hint="eastAsia" w:ascii="Times New Roman" w:hAnsi="Times New Roman" w:eastAsia="黑体" w:cs="Times New Roman"/>
          <w:b/>
          <w:bCs/>
          <w:kern w:val="0"/>
          <w:szCs w:val="20"/>
          <w:highlight w:val="none"/>
          <w14:ligatures w14:val="none"/>
        </w:rPr>
        <w:t>4</w:t>
      </w:r>
      <w:r>
        <w:rPr>
          <w:rFonts w:ascii="Times New Roman" w:hAnsi="Times New Roman" w:eastAsia="黑体" w:cs="Times New Roman"/>
          <w:b/>
          <w:bCs/>
          <w:kern w:val="0"/>
          <w:szCs w:val="20"/>
          <w:highlight w:val="none"/>
          <w14:ligatures w14:val="none"/>
        </w:rPr>
        <w:t>采暖</w:t>
      </w:r>
      <w:bookmarkEnd w:id="39"/>
      <w:r>
        <w:rPr>
          <w:rFonts w:hint="eastAsia" w:ascii="Times New Roman" w:hAnsi="Times New Roman" w:eastAsia="黑体" w:cs="Times New Roman"/>
          <w:b/>
          <w:bCs/>
          <w:kern w:val="0"/>
          <w:szCs w:val="20"/>
          <w:highlight w:val="none"/>
          <w14:ligatures w14:val="none"/>
        </w:rPr>
        <w:t>、通风</w:t>
      </w:r>
    </w:p>
    <w:p w14:paraId="423150A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站房内</w:t>
      </w:r>
      <w:r>
        <w:rPr>
          <w:rFonts w:hint="eastAsia" w:ascii="Times New Roman" w:hAnsi="Times New Roman" w:eastAsia="宋体" w:cs="宋体"/>
          <w:szCs w:val="28"/>
          <w:highlight w:val="none"/>
          <w:lang w:val="en-US" w:eastAsia="zh-CN" w:bidi="ar"/>
          <w14:ligatures w14:val="none"/>
        </w:rPr>
        <w:t>供暖</w:t>
      </w:r>
      <w:r>
        <w:rPr>
          <w:rFonts w:hint="eastAsia" w:ascii="Times New Roman" w:hAnsi="Times New Roman" w:eastAsia="宋体" w:cs="宋体"/>
          <w:szCs w:val="28"/>
          <w:highlight w:val="none"/>
          <w:lang w:bidi="ar"/>
          <w14:ligatures w14:val="none"/>
        </w:rPr>
        <w:t>由八里甸子服务区提供。</w:t>
      </w:r>
      <w:r>
        <w:rPr>
          <w:rFonts w:ascii="Times New Roman" w:hAnsi="Times New Roman" w:eastAsia="宋体" w:cs="宋体"/>
          <w:szCs w:val="28"/>
          <w:highlight w:val="none"/>
          <w:lang w:bidi="ar"/>
          <w14:ligatures w14:val="none"/>
        </w:rPr>
        <w:t>通风采用自然通风。</w:t>
      </w:r>
    </w:p>
    <w:p w14:paraId="6A37E3DF">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bookmarkStart w:id="40" w:name="_Toc1392"/>
      <w:bookmarkStart w:id="41" w:name="_Toc14211"/>
      <w:r>
        <w:rPr>
          <w:rFonts w:ascii="Times New Roman" w:hAnsi="Times New Roman" w:eastAsia="黑体" w:cs="Times New Roman"/>
          <w:b/>
          <w:bCs/>
          <w:kern w:val="0"/>
          <w:szCs w:val="20"/>
          <w:highlight w:val="none"/>
          <w14:ligatures w14:val="none"/>
        </w:rPr>
        <w:t>2.7.</w:t>
      </w:r>
      <w:r>
        <w:rPr>
          <w:rFonts w:hint="eastAsia" w:ascii="Times New Roman" w:hAnsi="Times New Roman" w:eastAsia="黑体" w:cs="Times New Roman"/>
          <w:b/>
          <w:bCs/>
          <w:kern w:val="0"/>
          <w:szCs w:val="20"/>
          <w:highlight w:val="none"/>
          <w14:ligatures w14:val="none"/>
        </w:rPr>
        <w:t>5</w:t>
      </w:r>
      <w:r>
        <w:rPr>
          <w:rFonts w:ascii="Times New Roman" w:hAnsi="Times New Roman" w:eastAsia="黑体" w:cs="Times New Roman"/>
          <w:b/>
          <w:bCs/>
          <w:kern w:val="0"/>
          <w:szCs w:val="20"/>
          <w:highlight w:val="none"/>
          <w14:ligatures w14:val="none"/>
        </w:rPr>
        <w:t>自动化</w:t>
      </w:r>
      <w:bookmarkEnd w:id="40"/>
      <w:bookmarkEnd w:id="41"/>
      <w:r>
        <w:rPr>
          <w:rFonts w:ascii="Times New Roman" w:hAnsi="Times New Roman" w:eastAsia="黑体" w:cs="Times New Roman"/>
          <w:b/>
          <w:bCs/>
          <w:kern w:val="0"/>
          <w:szCs w:val="20"/>
          <w:highlight w:val="none"/>
          <w14:ligatures w14:val="none"/>
        </w:rPr>
        <w:t>控制</w:t>
      </w:r>
    </w:p>
    <w:p w14:paraId="1C5A08CB">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该</w:t>
      </w:r>
      <w:r>
        <w:rPr>
          <w:rFonts w:hint="eastAsia" w:ascii="Times New Roman" w:hAnsi="Times New Roman" w:eastAsia="宋体" w:cs="宋体"/>
          <w:szCs w:val="28"/>
          <w:highlight w:val="none"/>
          <w:lang w:bidi="ar"/>
          <w14:ligatures w14:val="none"/>
        </w:rPr>
        <w:t>站</w:t>
      </w:r>
      <w:r>
        <w:rPr>
          <w:rFonts w:ascii="Times New Roman" w:hAnsi="Times New Roman" w:eastAsia="宋体" w:cs="宋体"/>
          <w:szCs w:val="28"/>
          <w:highlight w:val="none"/>
          <w:lang w:bidi="ar"/>
          <w14:ligatures w14:val="none"/>
        </w:rPr>
        <w:t>设置生产监测及信息管理系统。包括油罐液位监测系统、防渗检测装置、紧急切断装置。</w:t>
      </w:r>
    </w:p>
    <w:p w14:paraId="451014EF">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（1）油罐液位监测系统</w:t>
      </w:r>
    </w:p>
    <w:p w14:paraId="14FFEFB7">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该项目设置液位仪，</w:t>
      </w:r>
      <w:r>
        <w:rPr>
          <w:rFonts w:hint="eastAsia" w:ascii="Times New Roman" w:hAnsi="Times New Roman" w:eastAsia="宋体" w:cs="宋体"/>
          <w:szCs w:val="28"/>
          <w:highlight w:val="none"/>
          <w:lang w:val="en-US" w:eastAsia="zh-CN" w:bidi="ar"/>
          <w14:ligatures w14:val="none"/>
        </w:rPr>
        <w:t>共设6个点位，</w:t>
      </w:r>
      <w:r>
        <w:rPr>
          <w:rFonts w:ascii="Times New Roman" w:hAnsi="Times New Roman" w:eastAsia="宋体" w:cs="宋体"/>
          <w:szCs w:val="28"/>
          <w:highlight w:val="none"/>
          <w:lang w:bidi="ar"/>
          <w14:ligatures w14:val="none"/>
        </w:rPr>
        <w:t>每个油罐内装设1根防爆型磁致伸缩液位探棒（精度不低于±0.5mm）及卸油防溢阀，油品达到油罐容量的90%时，出动高液位报警装置，油品达到油罐容量的95%时，自动停止油品进罐。在站房内安装液位仪控制器，监测每个油罐的实时库存数据变化（总体积、液位、水位、温偿体积、油品温度），可设定每个油罐的高低液位报警参数并进行报警，并与站级管理系统进行数据交换，同时具有油罐容积表自动校正功能。</w:t>
      </w:r>
    </w:p>
    <w:p w14:paraId="30AA3CD2">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（2）防渗检测系统</w:t>
      </w:r>
    </w:p>
    <w:p w14:paraId="0DEC17C3">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双层油罐设置渗漏检测立管，</w:t>
      </w:r>
      <w:r>
        <w:rPr>
          <w:rFonts w:hint="eastAsia" w:ascii="Times New Roman" w:hAnsi="Times New Roman" w:eastAsia="宋体" w:cs="宋体"/>
          <w:szCs w:val="28"/>
          <w:highlight w:val="none"/>
          <w:lang w:val="en-US" w:eastAsia="zh-CN" w:bidi="ar"/>
          <w14:ligatures w14:val="none"/>
        </w:rPr>
        <w:t>共设6个点位，</w:t>
      </w:r>
      <w:r>
        <w:rPr>
          <w:rFonts w:ascii="Times New Roman" w:hAnsi="Times New Roman" w:eastAsia="宋体" w:cs="宋体"/>
          <w:szCs w:val="28"/>
          <w:highlight w:val="none"/>
          <w:lang w:bidi="ar"/>
          <w14:ligatures w14:val="none"/>
        </w:rPr>
        <w:t>并设置在线监测系统，保证油罐内、外壁任何部位出现渗漏均能被发现。双层管道系统的最低点设置检漏点，</w:t>
      </w:r>
      <w:r>
        <w:rPr>
          <w:rFonts w:hint="eastAsia" w:ascii="Times New Roman" w:hAnsi="Times New Roman" w:eastAsia="宋体" w:cs="宋体"/>
          <w:szCs w:val="28"/>
          <w:highlight w:val="none"/>
          <w:lang w:val="en-US" w:eastAsia="zh-CN" w:bidi="ar"/>
          <w14:ligatures w14:val="none"/>
        </w:rPr>
        <w:t>共设6个点位，</w:t>
      </w:r>
      <w:r>
        <w:rPr>
          <w:rFonts w:ascii="Times New Roman" w:hAnsi="Times New Roman" w:eastAsia="宋体" w:cs="宋体"/>
          <w:szCs w:val="28"/>
          <w:highlight w:val="none"/>
          <w:lang w:bidi="ar"/>
          <w14:ligatures w14:val="none"/>
        </w:rPr>
        <w:t>并设置在线检测系统，保证内、外层管任何部位出现泄漏均能在检漏点处被发现。</w:t>
      </w:r>
    </w:p>
    <w:p w14:paraId="5C2FF902">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bidi="ar"/>
          <w14:ligatures w14:val="none"/>
        </w:rPr>
        <w:t>3</w:t>
      </w:r>
      <w:r>
        <w:rPr>
          <w:rFonts w:ascii="Times New Roman" w:hAnsi="Times New Roman" w:eastAsia="宋体" w:cs="宋体"/>
          <w:szCs w:val="28"/>
          <w:highlight w:val="none"/>
          <w:lang w:bidi="ar"/>
          <w14:ligatures w14:val="none"/>
        </w:rPr>
        <w:t>）紧急切断系统</w:t>
      </w:r>
    </w:p>
    <w:p w14:paraId="770C47FE">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该系统在事故状态下迅速切断配电系统电源，紧急切断系统具有失效保护功能，紧急切断系统只能手动复位。在</w:t>
      </w:r>
      <w:r>
        <w:rPr>
          <w:rFonts w:hint="eastAsia" w:ascii="Times New Roman" w:hAnsi="Times New Roman" w:eastAsia="宋体" w:cs="宋体"/>
          <w:szCs w:val="28"/>
          <w:highlight w:val="none"/>
          <w:lang w:bidi="ar"/>
          <w14:ligatures w14:val="none"/>
        </w:rPr>
        <w:t>控制室内</w:t>
      </w:r>
      <w:r>
        <w:rPr>
          <w:rFonts w:ascii="Times New Roman" w:hAnsi="Times New Roman" w:eastAsia="宋体" w:cs="宋体"/>
          <w:szCs w:val="28"/>
          <w:highlight w:val="none"/>
          <w:lang w:bidi="ar"/>
          <w14:ligatures w14:val="none"/>
        </w:rPr>
        <w:t>设置紧急切断按钮</w:t>
      </w:r>
      <w:r>
        <w:rPr>
          <w:rFonts w:hint="eastAsia" w:ascii="Times New Roman" w:hAnsi="Times New Roman" w:eastAsia="宋体" w:cs="宋体"/>
          <w:szCs w:val="28"/>
          <w:highlight w:val="none"/>
          <w:lang w:bidi="ar"/>
          <w14:ligatures w14:val="none"/>
        </w:rPr>
        <w:t>，在</w:t>
      </w:r>
      <w:r>
        <w:rPr>
          <w:rFonts w:ascii="Times New Roman" w:hAnsi="Times New Roman" w:eastAsia="宋体" w:cs="宋体"/>
          <w:szCs w:val="28"/>
          <w:highlight w:val="none"/>
          <w:lang w:bidi="ar"/>
          <w14:ligatures w14:val="none"/>
        </w:rPr>
        <w:t>加油区、卸油口附近</w:t>
      </w:r>
      <w:r>
        <w:rPr>
          <w:rFonts w:hint="eastAsia" w:ascii="Times New Roman" w:hAnsi="Times New Roman" w:eastAsia="宋体" w:cs="宋体"/>
          <w:szCs w:val="28"/>
          <w:highlight w:val="none"/>
          <w:lang w:bidi="ar"/>
          <w14:ligatures w14:val="none"/>
        </w:rPr>
        <w:t>设置</w:t>
      </w:r>
      <w:r>
        <w:rPr>
          <w:rFonts w:ascii="Times New Roman" w:hAnsi="Times New Roman" w:eastAsia="宋体" w:cs="宋体"/>
          <w:szCs w:val="28"/>
          <w:highlight w:val="none"/>
          <w:lang w:bidi="ar"/>
          <w14:ligatures w14:val="none"/>
        </w:rPr>
        <w:t>急停防爆操作柱</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卸油口旁设置声光报警器。</w:t>
      </w:r>
    </w:p>
    <w:p w14:paraId="788DDE81">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bidi="ar"/>
          <w14:ligatures w14:val="none"/>
        </w:rPr>
        <w:t>4</w:t>
      </w:r>
      <w:r>
        <w:rPr>
          <w:rFonts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视频监控</w:t>
      </w:r>
      <w:r>
        <w:rPr>
          <w:rFonts w:ascii="Times New Roman" w:hAnsi="Times New Roman" w:eastAsia="宋体" w:cs="宋体"/>
          <w:szCs w:val="28"/>
          <w:highlight w:val="none"/>
          <w:lang w:bidi="ar"/>
          <w14:ligatures w14:val="none"/>
        </w:rPr>
        <w:t>系统</w:t>
      </w:r>
    </w:p>
    <w:p w14:paraId="156C8802">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该项目在站区、罩棚、站房内设置高清监控系统，共8个摄像头，其中</w:t>
      </w:r>
      <w:r>
        <w:rPr>
          <w:rFonts w:hint="eastAsia" w:ascii="Times New Roman" w:hAnsi="Times New Roman" w:eastAsia="宋体" w:cs="宋体"/>
          <w:szCs w:val="28"/>
          <w:highlight w:val="none"/>
          <w:lang w:val="en-US" w:eastAsia="zh-CN" w:bidi="ar"/>
          <w14:ligatures w14:val="none"/>
        </w:rPr>
        <w:t>1</w:t>
      </w:r>
      <w:r>
        <w:rPr>
          <w:rFonts w:hint="eastAsia" w:ascii="Times New Roman" w:hAnsi="Times New Roman" w:eastAsia="宋体" w:cs="宋体"/>
          <w:szCs w:val="28"/>
          <w:highlight w:val="none"/>
          <w:lang w:bidi="ar"/>
          <w14:ligatures w14:val="none"/>
        </w:rPr>
        <w:t>个安装在站房内</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val="en-US" w:eastAsia="zh-CN" w:bidi="ar"/>
          <w14:ligatures w14:val="none"/>
        </w:rPr>
        <w:t>为非防爆</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bidi="ar"/>
          <w14:ligatures w14:val="none"/>
        </w:rPr>
        <w:t>；4个安装在罩棚立柱上，高于地面4m；2个安装在站房上距离地面4m处，布置合理，且都位于爆炸危险区域之外。摄像机具备低照度监视功能，150万像素，硬盘录像机录像储存时间为30天。</w:t>
      </w:r>
    </w:p>
    <w:p w14:paraId="7FAA8379">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2.7.</w:t>
      </w:r>
      <w:r>
        <w:rPr>
          <w:rFonts w:hint="eastAsia" w:ascii="Times New Roman" w:hAnsi="Times New Roman" w:eastAsia="黑体" w:cs="Times New Roman"/>
          <w:b/>
          <w:bCs/>
          <w:kern w:val="0"/>
          <w:szCs w:val="20"/>
          <w:highlight w:val="none"/>
          <w14:ligatures w14:val="none"/>
        </w:rPr>
        <w:t>6运输</w:t>
      </w:r>
    </w:p>
    <w:p w14:paraId="4B82B57D">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该</w:t>
      </w:r>
      <w:r>
        <w:rPr>
          <w:rFonts w:hint="eastAsia" w:ascii="Times New Roman" w:hAnsi="Times New Roman" w:eastAsia="宋体" w:cs="宋体"/>
          <w:szCs w:val="28"/>
          <w:highlight w:val="none"/>
          <w:lang w:bidi="ar"/>
          <w14:ligatures w14:val="none"/>
        </w:rPr>
        <w:t>项目</w:t>
      </w:r>
      <w:r>
        <w:rPr>
          <w:rFonts w:ascii="Times New Roman" w:hAnsi="Times New Roman" w:eastAsia="宋体" w:cs="宋体"/>
          <w:szCs w:val="28"/>
          <w:highlight w:val="none"/>
          <w:lang w:bidi="ar"/>
          <w14:ligatures w14:val="none"/>
        </w:rPr>
        <w:t>不负责所经营的</w:t>
      </w:r>
      <w:r>
        <w:rPr>
          <w:rFonts w:hint="eastAsia" w:ascii="Times New Roman" w:hAnsi="Times New Roman" w:eastAsia="宋体" w:cs="宋体"/>
          <w:szCs w:val="28"/>
          <w:highlight w:val="none"/>
          <w:lang w:bidi="ar"/>
          <w14:ligatures w14:val="none"/>
        </w:rPr>
        <w:t>车用乙醇</w:t>
      </w:r>
      <w:r>
        <w:rPr>
          <w:rFonts w:ascii="Times New Roman" w:hAnsi="Times New Roman" w:eastAsia="宋体" w:cs="宋体"/>
          <w:szCs w:val="28"/>
          <w:highlight w:val="none"/>
          <w:lang w:bidi="ar"/>
          <w14:ligatures w14:val="none"/>
        </w:rPr>
        <w:t>汽油、柴油运输，委托有危险化学品运输资质的企业负责运输。</w:t>
      </w:r>
    </w:p>
    <w:p w14:paraId="314FB9DF">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42" w:name="_Toc187309994"/>
      <w:r>
        <w:rPr>
          <w:rFonts w:ascii="Times New Roman" w:hAnsi="Times New Roman" w:eastAsia="楷体" w:cs="宋体"/>
          <w:b/>
          <w:bCs/>
          <w:sz w:val="32"/>
          <w:szCs w:val="28"/>
          <w:highlight w:val="none"/>
          <w:lang w:bidi="ar"/>
          <w14:ligatures w14:val="none"/>
        </w:rPr>
        <w:t>2.8主要装置（设备）和设施</w:t>
      </w:r>
      <w:bookmarkEnd w:id="42"/>
    </w:p>
    <w:p w14:paraId="5A9A6C96">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站内涉及的主要设备详见表2.8-1，站内不涉及特种设备。</w:t>
      </w:r>
    </w:p>
    <w:p w14:paraId="7CE7719B">
      <w:pPr>
        <w:pStyle w:val="42"/>
        <w:keepNext/>
        <w:spacing w:before="156" w:beforeLines="50" w:after="156" w:afterLines="50"/>
        <w:ind w:firstLine="480"/>
        <w:rPr>
          <w:rFonts w:eastAsia="黑体"/>
          <w:sz w:val="24"/>
          <w:highlight w:val="none"/>
        </w:rPr>
      </w:pPr>
      <w:r>
        <w:rPr>
          <w:rFonts w:eastAsia="黑体"/>
          <w:sz w:val="24"/>
          <w:highlight w:val="none"/>
        </w:rPr>
        <w:t>表2.8-1  主要设备一览表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2"/>
        <w:gridCol w:w="1889"/>
        <w:gridCol w:w="2575"/>
        <w:gridCol w:w="1204"/>
        <w:gridCol w:w="726"/>
        <w:gridCol w:w="2434"/>
      </w:tblGrid>
      <w:tr w14:paraId="0E0AB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304" w:type="pct"/>
            <w:vAlign w:val="center"/>
          </w:tcPr>
          <w:p w14:paraId="1A8DFEA1">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序号</w:t>
            </w:r>
          </w:p>
        </w:tc>
        <w:tc>
          <w:tcPr>
            <w:tcW w:w="1004" w:type="pct"/>
            <w:vAlign w:val="center"/>
          </w:tcPr>
          <w:p w14:paraId="546E1B3D">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设备名称</w:t>
            </w:r>
          </w:p>
        </w:tc>
        <w:tc>
          <w:tcPr>
            <w:tcW w:w="1369" w:type="pct"/>
            <w:vAlign w:val="center"/>
          </w:tcPr>
          <w:p w14:paraId="1F17C835">
            <w:pPr>
              <w:overflowPunct w:val="0"/>
              <w:spacing w:line="240" w:lineRule="auto"/>
              <w:ind w:firstLine="0" w:firstLineChars="0"/>
              <w:jc w:val="center"/>
              <w:rPr>
                <w:rFonts w:ascii="Times New Roman" w:hAnsi="Times New Roman" w:eastAsia="宋体" w:cs="Times New Roman"/>
                <w:kern w:val="28"/>
                <w:sz w:val="21"/>
                <w:szCs w:val="21"/>
                <w:highlight w:val="none"/>
                <w:vertAlign w:val="superscript"/>
                <w14:ligatures w14:val="none"/>
              </w:rPr>
            </w:pPr>
            <w:r>
              <w:rPr>
                <w:rFonts w:ascii="Times New Roman" w:hAnsi="Times New Roman" w:eastAsia="宋体" w:cs="Times New Roman"/>
                <w:kern w:val="28"/>
                <w:sz w:val="21"/>
                <w:szCs w:val="21"/>
                <w:highlight w:val="none"/>
                <w14:ligatures w14:val="none"/>
              </w:rPr>
              <w:t>规格型号</w:t>
            </w:r>
          </w:p>
        </w:tc>
        <w:tc>
          <w:tcPr>
            <w:tcW w:w="640" w:type="pct"/>
            <w:vAlign w:val="center"/>
          </w:tcPr>
          <w:p w14:paraId="6E6852F2">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材质</w:t>
            </w:r>
          </w:p>
        </w:tc>
        <w:tc>
          <w:tcPr>
            <w:tcW w:w="386" w:type="pct"/>
            <w:vAlign w:val="center"/>
          </w:tcPr>
          <w:p w14:paraId="334308DF">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数量</w:t>
            </w:r>
          </w:p>
        </w:tc>
        <w:tc>
          <w:tcPr>
            <w:tcW w:w="1294" w:type="pct"/>
            <w:vAlign w:val="center"/>
          </w:tcPr>
          <w:p w14:paraId="2DB82FB3">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备注</w:t>
            </w:r>
          </w:p>
        </w:tc>
      </w:tr>
      <w:tr w14:paraId="33BD2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4BA66DE2">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4AD25390">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车用乙醇汽油埋地油罐</w:t>
            </w:r>
          </w:p>
        </w:tc>
        <w:tc>
          <w:tcPr>
            <w:tcW w:w="1369" w:type="pct"/>
            <w:vAlign w:val="center"/>
          </w:tcPr>
          <w:p w14:paraId="01DC9AB3">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lang w:val="en-US" w:eastAsia="zh-CN"/>
                <w14:ligatures w14:val="none"/>
              </w:rPr>
              <w:t>3</w:t>
            </w:r>
            <w:r>
              <w:rPr>
                <w:rFonts w:ascii="Times New Roman" w:hAnsi="Times New Roman" w:eastAsia="宋体" w:cs="Times New Roman"/>
                <w:color w:val="000000"/>
                <w:kern w:val="0"/>
                <w:sz w:val="21"/>
                <w:szCs w:val="21"/>
                <w:highlight w:val="none"/>
                <w14:ligatures w14:val="none"/>
              </w:rPr>
              <w:t>0m</w:t>
            </w:r>
            <w:r>
              <w:rPr>
                <w:rFonts w:ascii="Times New Roman" w:hAnsi="Times New Roman" w:eastAsia="宋体" w:cs="Times New Roman"/>
                <w:color w:val="000000"/>
                <w:kern w:val="0"/>
                <w:sz w:val="21"/>
                <w:szCs w:val="21"/>
                <w:highlight w:val="none"/>
                <w:vertAlign w:val="superscript"/>
                <w14:ligatures w14:val="none"/>
              </w:rPr>
              <w:t>3</w:t>
            </w:r>
            <w:r>
              <w:rPr>
                <w:rFonts w:ascii="Times New Roman" w:hAnsi="Times New Roman" w:eastAsia="宋体" w:cs="Times New Roman"/>
                <w:color w:val="000000"/>
                <w:kern w:val="0"/>
                <w:sz w:val="21"/>
                <w:szCs w:val="21"/>
                <w:highlight w:val="none"/>
                <w14:ligatures w14:val="none"/>
              </w:rPr>
              <w:t>、卧式、SF双层</w:t>
            </w:r>
          </w:p>
        </w:tc>
        <w:tc>
          <w:tcPr>
            <w:tcW w:w="640" w:type="pct"/>
            <w:vAlign w:val="center"/>
          </w:tcPr>
          <w:p w14:paraId="07278146">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内层钢外玻璃纤维增强塑料（SF）</w:t>
            </w:r>
          </w:p>
        </w:tc>
        <w:tc>
          <w:tcPr>
            <w:tcW w:w="386" w:type="pct"/>
            <w:vAlign w:val="center"/>
          </w:tcPr>
          <w:p w14:paraId="11970F69">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lang w:val="en-US" w:eastAsia="zh-CN"/>
                <w14:ligatures w14:val="none"/>
              </w:rPr>
              <w:t>2</w:t>
            </w:r>
            <w:r>
              <w:rPr>
                <w:rFonts w:ascii="Times New Roman" w:hAnsi="Times New Roman" w:eastAsia="宋体" w:cs="Times New Roman"/>
                <w:color w:val="000000"/>
                <w:kern w:val="0"/>
                <w:sz w:val="21"/>
                <w:szCs w:val="21"/>
                <w:highlight w:val="none"/>
                <w14:ligatures w14:val="none"/>
              </w:rPr>
              <w:t>座</w:t>
            </w:r>
          </w:p>
        </w:tc>
        <w:tc>
          <w:tcPr>
            <w:tcW w:w="1294" w:type="pct"/>
            <w:vAlign w:val="center"/>
          </w:tcPr>
          <w:p w14:paraId="6B36E35C">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φ</w:t>
            </w:r>
            <w:r>
              <w:rPr>
                <w:rFonts w:ascii="Times New Roman" w:hAnsi="Times New Roman" w:eastAsia="宋体" w:cs="Times New Roman"/>
                <w:sz w:val="21"/>
                <w:szCs w:val="21"/>
                <w:highlight w:val="none"/>
                <w14:ligatures w14:val="none"/>
              </w:rPr>
              <w:t>2.6m×</w:t>
            </w:r>
            <w:r>
              <w:rPr>
                <w:rFonts w:hint="eastAsia" w:ascii="Times New Roman" w:hAnsi="Times New Roman" w:eastAsia="宋体" w:cs="Times New Roman"/>
                <w:sz w:val="21"/>
                <w:szCs w:val="21"/>
                <w:highlight w:val="none"/>
                <w:lang w:val="en-US" w:eastAsia="zh-CN"/>
                <w14:ligatures w14:val="none"/>
              </w:rPr>
              <w:t>5.2</w:t>
            </w:r>
            <w:r>
              <w:rPr>
                <w:rFonts w:ascii="Times New Roman" w:hAnsi="Times New Roman" w:eastAsia="宋体" w:cs="Times New Roman"/>
                <w:sz w:val="21"/>
                <w:szCs w:val="21"/>
                <w:highlight w:val="none"/>
                <w14:ligatures w14:val="none"/>
              </w:rPr>
              <w:t>m</w:t>
            </w:r>
          </w:p>
        </w:tc>
      </w:tr>
      <w:tr w14:paraId="2AD6D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0188D6F">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18F68C8E">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color w:val="000000"/>
                <w:kern w:val="0"/>
                <w:sz w:val="21"/>
                <w:szCs w:val="21"/>
                <w:highlight w:val="none"/>
                <w14:ligatures w14:val="none"/>
              </w:rPr>
              <w:t>柴油埋地油罐</w:t>
            </w:r>
          </w:p>
        </w:tc>
        <w:tc>
          <w:tcPr>
            <w:tcW w:w="1369" w:type="pct"/>
            <w:vAlign w:val="center"/>
          </w:tcPr>
          <w:p w14:paraId="457AE406">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lang w:val="en-US" w:eastAsia="zh-CN"/>
                <w14:ligatures w14:val="none"/>
              </w:rPr>
              <w:t>3</w:t>
            </w:r>
            <w:r>
              <w:rPr>
                <w:rFonts w:ascii="Times New Roman" w:hAnsi="Times New Roman" w:eastAsia="宋体" w:cs="Times New Roman"/>
                <w:color w:val="000000"/>
                <w:kern w:val="0"/>
                <w:sz w:val="21"/>
                <w:szCs w:val="21"/>
                <w:highlight w:val="none"/>
                <w14:ligatures w14:val="none"/>
              </w:rPr>
              <w:t>0m</w:t>
            </w:r>
            <w:r>
              <w:rPr>
                <w:rFonts w:ascii="Times New Roman" w:hAnsi="Times New Roman" w:eastAsia="宋体" w:cs="Times New Roman"/>
                <w:color w:val="000000"/>
                <w:kern w:val="0"/>
                <w:sz w:val="21"/>
                <w:szCs w:val="21"/>
                <w:highlight w:val="none"/>
                <w:vertAlign w:val="superscript"/>
                <w14:ligatures w14:val="none"/>
              </w:rPr>
              <w:t>3</w:t>
            </w:r>
            <w:r>
              <w:rPr>
                <w:rFonts w:ascii="Times New Roman" w:hAnsi="Times New Roman" w:eastAsia="宋体" w:cs="Times New Roman"/>
                <w:color w:val="000000"/>
                <w:kern w:val="0"/>
                <w:sz w:val="21"/>
                <w:szCs w:val="21"/>
                <w:highlight w:val="none"/>
                <w14:ligatures w14:val="none"/>
              </w:rPr>
              <w:t>、卧式、SF双层</w:t>
            </w:r>
          </w:p>
        </w:tc>
        <w:tc>
          <w:tcPr>
            <w:tcW w:w="640" w:type="pct"/>
            <w:vAlign w:val="center"/>
          </w:tcPr>
          <w:p w14:paraId="168A9C1D">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内层钢外玻璃纤维增强塑料（SF）</w:t>
            </w:r>
          </w:p>
        </w:tc>
        <w:tc>
          <w:tcPr>
            <w:tcW w:w="386" w:type="pct"/>
            <w:vAlign w:val="center"/>
          </w:tcPr>
          <w:p w14:paraId="5E93C785">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lang w:val="en-US" w:eastAsia="zh-CN"/>
                <w14:ligatures w14:val="none"/>
              </w:rPr>
              <w:t>4</w:t>
            </w:r>
            <w:r>
              <w:rPr>
                <w:rFonts w:ascii="Times New Roman" w:hAnsi="Times New Roman" w:eastAsia="宋体" w:cs="Times New Roman"/>
                <w:color w:val="000000"/>
                <w:kern w:val="0"/>
                <w:sz w:val="21"/>
                <w:szCs w:val="21"/>
                <w:highlight w:val="none"/>
                <w14:ligatures w14:val="none"/>
              </w:rPr>
              <w:t>座</w:t>
            </w:r>
          </w:p>
        </w:tc>
        <w:tc>
          <w:tcPr>
            <w:tcW w:w="1294" w:type="pct"/>
            <w:vAlign w:val="center"/>
          </w:tcPr>
          <w:p w14:paraId="665A21FD">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φ</w:t>
            </w:r>
            <w:r>
              <w:rPr>
                <w:rFonts w:ascii="Times New Roman" w:hAnsi="Times New Roman" w:eastAsia="宋体" w:cs="Times New Roman"/>
                <w:sz w:val="21"/>
                <w:szCs w:val="21"/>
                <w:highlight w:val="none"/>
                <w14:ligatures w14:val="none"/>
              </w:rPr>
              <w:t>2.6m×</w:t>
            </w:r>
            <w:r>
              <w:rPr>
                <w:rFonts w:hint="eastAsia" w:ascii="Times New Roman" w:hAnsi="Times New Roman" w:eastAsia="宋体" w:cs="Times New Roman"/>
                <w:sz w:val="21"/>
                <w:szCs w:val="21"/>
                <w:highlight w:val="none"/>
                <w:lang w:val="en-US" w:eastAsia="zh-CN"/>
                <w14:ligatures w14:val="none"/>
              </w:rPr>
              <w:t>5.2</w:t>
            </w:r>
            <w:r>
              <w:rPr>
                <w:rFonts w:ascii="Times New Roman" w:hAnsi="Times New Roman" w:eastAsia="宋体" w:cs="Times New Roman"/>
                <w:sz w:val="21"/>
                <w:szCs w:val="21"/>
                <w:highlight w:val="none"/>
                <w14:ligatures w14:val="none"/>
              </w:rPr>
              <w:t>m</w:t>
            </w:r>
          </w:p>
        </w:tc>
      </w:tr>
      <w:tr w14:paraId="28E89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00005A2">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6BE4E387">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车用乙醇汽油加油机</w:t>
            </w:r>
          </w:p>
        </w:tc>
        <w:tc>
          <w:tcPr>
            <w:tcW w:w="1369" w:type="pct"/>
            <w:vAlign w:val="center"/>
          </w:tcPr>
          <w:p w14:paraId="46F99D6A">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vertAlign w:val="superscript"/>
                <w14:ligatures w14:val="none"/>
              </w:rPr>
            </w:pPr>
            <w:r>
              <w:rPr>
                <w:rFonts w:hint="eastAsia" w:ascii="Times New Roman" w:hAnsi="Times New Roman" w:eastAsia="宋体" w:cs="Times New Roman"/>
                <w:kern w:val="0"/>
                <w:sz w:val="21"/>
                <w:szCs w:val="21"/>
                <w:highlight w:val="none"/>
                <w14:ligatures w14:val="none"/>
              </w:rPr>
              <w:t>四</w:t>
            </w:r>
            <w:r>
              <w:rPr>
                <w:rFonts w:ascii="Times New Roman" w:hAnsi="Times New Roman" w:eastAsia="宋体" w:cs="Times New Roman"/>
                <w:kern w:val="0"/>
                <w:sz w:val="21"/>
                <w:szCs w:val="21"/>
                <w:highlight w:val="none"/>
                <w14:ligatures w14:val="none"/>
              </w:rPr>
              <w:t>枪</w:t>
            </w:r>
            <w:r>
              <w:rPr>
                <w:rFonts w:hint="eastAsia" w:ascii="Times New Roman" w:hAnsi="Times New Roman" w:eastAsia="宋体" w:cs="Times New Roman"/>
                <w:kern w:val="0"/>
                <w:sz w:val="21"/>
                <w:szCs w:val="21"/>
                <w:highlight w:val="none"/>
                <w14:ligatures w14:val="none"/>
              </w:rPr>
              <w:t>双</w:t>
            </w:r>
            <w:r>
              <w:rPr>
                <w:rFonts w:ascii="Times New Roman" w:hAnsi="Times New Roman" w:eastAsia="宋体" w:cs="Times New Roman"/>
                <w:kern w:val="0"/>
                <w:sz w:val="21"/>
                <w:szCs w:val="21"/>
                <w:highlight w:val="none"/>
                <w14:ligatures w14:val="none"/>
              </w:rPr>
              <w:t>油品</w:t>
            </w:r>
            <w:r>
              <w:rPr>
                <w:rFonts w:hint="eastAsia" w:ascii="Times New Roman" w:hAnsi="Times New Roman" w:eastAsia="宋体" w:cs="Times New Roman"/>
                <w:kern w:val="0"/>
                <w:sz w:val="21"/>
                <w:szCs w:val="21"/>
                <w:highlight w:val="none"/>
                <w14:ligatures w14:val="none"/>
              </w:rPr>
              <w:t>潜油泵式</w:t>
            </w:r>
          </w:p>
        </w:tc>
        <w:tc>
          <w:tcPr>
            <w:tcW w:w="640" w:type="pct"/>
            <w:vAlign w:val="center"/>
          </w:tcPr>
          <w:p w14:paraId="7118D095">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386" w:type="pct"/>
            <w:vAlign w:val="center"/>
          </w:tcPr>
          <w:p w14:paraId="6006E59A">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2</w:t>
            </w:r>
            <w:r>
              <w:rPr>
                <w:rFonts w:ascii="Times New Roman" w:hAnsi="Times New Roman" w:eastAsia="宋体" w:cs="Times New Roman"/>
                <w:color w:val="000000"/>
                <w:kern w:val="0"/>
                <w:sz w:val="21"/>
                <w:szCs w:val="21"/>
                <w:highlight w:val="none"/>
                <w14:ligatures w14:val="none"/>
              </w:rPr>
              <w:t>台</w:t>
            </w:r>
          </w:p>
        </w:tc>
        <w:tc>
          <w:tcPr>
            <w:tcW w:w="1294" w:type="pct"/>
            <w:vAlign w:val="center"/>
          </w:tcPr>
          <w:p w14:paraId="03A3405B">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Q=5～50L/min</w:t>
            </w:r>
          </w:p>
        </w:tc>
      </w:tr>
      <w:tr w14:paraId="0DACF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3A1489E1">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40FA58E6">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color w:val="000000"/>
                <w:kern w:val="0"/>
                <w:sz w:val="21"/>
                <w:szCs w:val="21"/>
                <w:highlight w:val="none"/>
                <w14:ligatures w14:val="none"/>
              </w:rPr>
              <w:t>柴油加油机</w:t>
            </w:r>
          </w:p>
        </w:tc>
        <w:tc>
          <w:tcPr>
            <w:tcW w:w="1369" w:type="pct"/>
            <w:vAlign w:val="center"/>
          </w:tcPr>
          <w:p w14:paraId="5F31596D">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vertAlign w:val="superscript"/>
                <w14:ligatures w14:val="none"/>
              </w:rPr>
            </w:pPr>
            <w:r>
              <w:rPr>
                <w:rFonts w:ascii="Times New Roman" w:hAnsi="Times New Roman" w:eastAsia="宋体" w:cs="Times New Roman"/>
                <w:kern w:val="0"/>
                <w:sz w:val="21"/>
                <w:szCs w:val="21"/>
                <w:highlight w:val="none"/>
                <w14:ligatures w14:val="none"/>
              </w:rPr>
              <w:t>双枪</w:t>
            </w:r>
            <w:r>
              <w:rPr>
                <w:rFonts w:hint="eastAsia" w:ascii="Times New Roman" w:hAnsi="Times New Roman" w:eastAsia="宋体" w:cs="Times New Roman"/>
                <w:kern w:val="0"/>
                <w:sz w:val="21"/>
                <w:szCs w:val="21"/>
                <w:highlight w:val="none"/>
                <w14:ligatures w14:val="none"/>
              </w:rPr>
              <w:t>双</w:t>
            </w:r>
            <w:r>
              <w:rPr>
                <w:rFonts w:ascii="Times New Roman" w:hAnsi="Times New Roman" w:eastAsia="宋体" w:cs="Times New Roman"/>
                <w:kern w:val="0"/>
                <w:sz w:val="21"/>
                <w:szCs w:val="21"/>
                <w:highlight w:val="none"/>
                <w14:ligatures w14:val="none"/>
              </w:rPr>
              <w:t>油品</w:t>
            </w:r>
            <w:r>
              <w:rPr>
                <w:rFonts w:hint="eastAsia" w:ascii="Times New Roman" w:hAnsi="Times New Roman" w:eastAsia="宋体" w:cs="Times New Roman"/>
                <w:kern w:val="0"/>
                <w:sz w:val="21"/>
                <w:szCs w:val="21"/>
                <w:highlight w:val="none"/>
                <w14:ligatures w14:val="none"/>
              </w:rPr>
              <w:t>潜油泵式</w:t>
            </w:r>
          </w:p>
        </w:tc>
        <w:tc>
          <w:tcPr>
            <w:tcW w:w="640" w:type="pct"/>
            <w:vAlign w:val="center"/>
          </w:tcPr>
          <w:p w14:paraId="03409DB1">
            <w:pPr>
              <w:overflowPunct w:val="0"/>
              <w:adjustRightInd/>
              <w:snapToGrid/>
              <w:spacing w:line="240" w:lineRule="auto"/>
              <w:ind w:firstLine="0" w:firstLineChars="0"/>
              <w:jc w:val="center"/>
              <w:rPr>
                <w:rFonts w:ascii="Times New Roman" w:hAnsi="Times New Roman" w:eastAsia="宋体" w:cs="Times New Roman"/>
                <w:kern w:val="21"/>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60EE42C6">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4</w:t>
            </w:r>
            <w:r>
              <w:rPr>
                <w:rFonts w:ascii="Times New Roman" w:hAnsi="Times New Roman" w:eastAsia="宋体" w:cs="Times New Roman"/>
                <w:color w:val="000000"/>
                <w:kern w:val="0"/>
                <w:sz w:val="21"/>
                <w:szCs w:val="21"/>
                <w:highlight w:val="none"/>
                <w14:ligatures w14:val="none"/>
              </w:rPr>
              <w:t>台</w:t>
            </w:r>
          </w:p>
        </w:tc>
        <w:tc>
          <w:tcPr>
            <w:tcW w:w="1294" w:type="pct"/>
            <w:vAlign w:val="center"/>
          </w:tcPr>
          <w:p w14:paraId="2F849DF8">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color w:val="000000"/>
                <w:kern w:val="0"/>
                <w:sz w:val="21"/>
                <w:szCs w:val="21"/>
                <w:highlight w:val="none"/>
                <w14:ligatures w14:val="none"/>
              </w:rPr>
              <w:t>Q=5～50L/min</w:t>
            </w:r>
          </w:p>
        </w:tc>
      </w:tr>
      <w:tr w14:paraId="453A3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2C8C555E">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1EB3D111">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车用乙醇汽油通气管</w:t>
            </w:r>
          </w:p>
        </w:tc>
        <w:tc>
          <w:tcPr>
            <w:tcW w:w="1369" w:type="pct"/>
            <w:vAlign w:val="center"/>
          </w:tcPr>
          <w:p w14:paraId="73682B73">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w:t>
            </w:r>
          </w:p>
        </w:tc>
        <w:tc>
          <w:tcPr>
            <w:tcW w:w="640" w:type="pct"/>
            <w:vAlign w:val="center"/>
          </w:tcPr>
          <w:p w14:paraId="7E57D668">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0AC948E6">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r>
              <w:rPr>
                <w:rFonts w:hint="eastAsia" w:ascii="Times New Roman" w:hAnsi="Times New Roman" w:eastAsia="宋体" w:cs="Times New Roman"/>
                <w:color w:val="000000"/>
                <w:kern w:val="0"/>
                <w:sz w:val="21"/>
                <w:szCs w:val="21"/>
                <w:highlight w:val="none"/>
                <w:lang w:val="en-US" w:eastAsia="zh-CN"/>
                <w14:ligatures w14:val="none"/>
              </w:rPr>
              <w:t>2</w:t>
            </w:r>
            <w:r>
              <w:rPr>
                <w:rFonts w:hint="eastAsia" w:ascii="Times New Roman" w:hAnsi="Times New Roman" w:eastAsia="宋体" w:cs="Times New Roman"/>
                <w:color w:val="000000"/>
                <w:kern w:val="0"/>
                <w:sz w:val="21"/>
                <w:szCs w:val="21"/>
                <w:highlight w:val="none"/>
                <w14:ligatures w14:val="none"/>
              </w:rPr>
              <w:t>根</w:t>
            </w:r>
          </w:p>
        </w:tc>
        <w:tc>
          <w:tcPr>
            <w:tcW w:w="1294" w:type="pct"/>
            <w:vAlign w:val="center"/>
          </w:tcPr>
          <w:p w14:paraId="66FE4F6F">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p>
        </w:tc>
      </w:tr>
      <w:tr w14:paraId="1E366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AF579F0">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6653E92B">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柴油通气管</w:t>
            </w:r>
          </w:p>
        </w:tc>
        <w:tc>
          <w:tcPr>
            <w:tcW w:w="1369" w:type="pct"/>
            <w:vAlign w:val="center"/>
          </w:tcPr>
          <w:p w14:paraId="3C24FB1A">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r>
              <w:rPr>
                <w:rFonts w:hint="eastAsia" w:ascii="Times New Roman" w:hAnsi="Times New Roman" w:eastAsia="宋体" w:cs="Times New Roman"/>
                <w:color w:val="000000"/>
                <w:kern w:val="0"/>
                <w:sz w:val="21"/>
                <w:szCs w:val="21"/>
                <w:highlight w:val="none"/>
                <w14:ligatures w14:val="none"/>
              </w:rPr>
              <w:t>-</w:t>
            </w:r>
          </w:p>
        </w:tc>
        <w:tc>
          <w:tcPr>
            <w:tcW w:w="640" w:type="pct"/>
            <w:vAlign w:val="center"/>
          </w:tcPr>
          <w:p w14:paraId="71C1DE2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357533FF">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r>
              <w:rPr>
                <w:rFonts w:hint="eastAsia" w:ascii="Times New Roman" w:hAnsi="Times New Roman" w:eastAsia="宋体" w:cs="Times New Roman"/>
                <w:color w:val="000000"/>
                <w:kern w:val="0"/>
                <w:sz w:val="21"/>
                <w:szCs w:val="21"/>
                <w:highlight w:val="none"/>
                <w:lang w:val="en-US" w:eastAsia="zh-CN"/>
                <w14:ligatures w14:val="none"/>
              </w:rPr>
              <w:t>4</w:t>
            </w:r>
            <w:r>
              <w:rPr>
                <w:rFonts w:hint="eastAsia" w:ascii="Times New Roman" w:hAnsi="Times New Roman" w:eastAsia="宋体" w:cs="Times New Roman"/>
                <w:color w:val="000000"/>
                <w:kern w:val="0"/>
                <w:sz w:val="21"/>
                <w:szCs w:val="21"/>
                <w:highlight w:val="none"/>
                <w14:ligatures w14:val="none"/>
              </w:rPr>
              <w:t>根</w:t>
            </w:r>
          </w:p>
        </w:tc>
        <w:tc>
          <w:tcPr>
            <w:tcW w:w="1294" w:type="pct"/>
            <w:vAlign w:val="center"/>
          </w:tcPr>
          <w:p w14:paraId="6C589AC5">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highlight w:val="none"/>
                <w14:ligatures w14:val="none"/>
              </w:rPr>
            </w:pPr>
          </w:p>
        </w:tc>
      </w:tr>
      <w:tr w14:paraId="28DFF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04" w:type="pct"/>
            <w:vAlign w:val="center"/>
          </w:tcPr>
          <w:p w14:paraId="5D2861F5">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7142DCFA">
            <w:pPr>
              <w:overflowPunct w:val="0"/>
              <w:spacing w:line="240" w:lineRule="auto"/>
              <w:ind w:firstLine="0" w:firstLineChars="0"/>
              <w:jc w:val="center"/>
              <w:rPr>
                <w:rFonts w:hint="eastAsia" w:ascii="Times New Roman" w:hAnsi="Times New Roman" w:eastAsia="宋体" w:cs="Times New Roman"/>
                <w:kern w:val="28"/>
                <w:sz w:val="21"/>
                <w:szCs w:val="21"/>
                <w:highlight w:val="none"/>
                <w:lang w:val="en-US" w:eastAsia="zh-CN"/>
                <w14:ligatures w14:val="none"/>
              </w:rPr>
            </w:pPr>
            <w:r>
              <w:rPr>
                <w:rFonts w:ascii="Times New Roman" w:hAnsi="Times New Roman" w:eastAsia="宋体" w:cs="Times New Roman"/>
                <w:kern w:val="28"/>
                <w:sz w:val="21"/>
                <w:szCs w:val="21"/>
                <w:highlight w:val="none"/>
                <w14:ligatures w14:val="none"/>
              </w:rPr>
              <w:t>紧急切断</w:t>
            </w:r>
            <w:r>
              <w:rPr>
                <w:rFonts w:hint="eastAsia" w:ascii="Times New Roman" w:hAnsi="Times New Roman" w:eastAsia="宋体" w:cs="Times New Roman"/>
                <w:kern w:val="28"/>
                <w:sz w:val="21"/>
                <w:szCs w:val="21"/>
                <w:highlight w:val="none"/>
                <w:lang w:val="en-US" w:eastAsia="zh-CN"/>
                <w14:ligatures w14:val="none"/>
              </w:rPr>
              <w:t>按钮</w:t>
            </w:r>
          </w:p>
        </w:tc>
        <w:tc>
          <w:tcPr>
            <w:tcW w:w="1369" w:type="pct"/>
            <w:vAlign w:val="center"/>
          </w:tcPr>
          <w:p w14:paraId="2D244F05">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64F83161">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208B49C8">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lang w:val="en-US" w:eastAsia="zh-CN"/>
                <w14:ligatures w14:val="none"/>
              </w:rPr>
              <w:t>3</w:t>
            </w:r>
            <w:r>
              <w:rPr>
                <w:rFonts w:hint="eastAsia" w:ascii="Times New Roman" w:hAnsi="Times New Roman" w:eastAsia="宋体" w:cs="Times New Roman"/>
                <w:kern w:val="28"/>
                <w:sz w:val="21"/>
                <w:szCs w:val="21"/>
                <w:highlight w:val="none"/>
                <w14:ligatures w14:val="none"/>
              </w:rPr>
              <w:t>个</w:t>
            </w:r>
          </w:p>
        </w:tc>
        <w:tc>
          <w:tcPr>
            <w:tcW w:w="1294" w:type="pct"/>
            <w:vAlign w:val="center"/>
          </w:tcPr>
          <w:p w14:paraId="1A9A3495">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站房</w:t>
            </w:r>
            <w:r>
              <w:rPr>
                <w:rFonts w:hint="eastAsia" w:ascii="Times New Roman" w:hAnsi="Times New Roman" w:eastAsia="宋体" w:cs="Times New Roman"/>
                <w:sz w:val="21"/>
                <w:szCs w:val="21"/>
                <w:highlight w:val="none"/>
                <w14:ligatures w14:val="none"/>
              </w:rPr>
              <w:t>内</w:t>
            </w:r>
            <w:r>
              <w:rPr>
                <w:rFonts w:hint="eastAsia" w:ascii="Times New Roman" w:hAnsi="Times New Roman" w:eastAsia="宋体" w:cs="Times New Roman"/>
                <w:sz w:val="21"/>
                <w:szCs w:val="21"/>
                <w:highlight w:val="none"/>
                <w:lang w:eastAsia="zh-CN"/>
                <w14:ligatures w14:val="none"/>
              </w:rPr>
              <w:t>、</w:t>
            </w:r>
            <w:r>
              <w:rPr>
                <w:rFonts w:ascii="Times New Roman" w:hAnsi="Times New Roman" w:eastAsia="宋体" w:cs="Times New Roman"/>
                <w:sz w:val="21"/>
                <w:szCs w:val="21"/>
                <w:highlight w:val="none"/>
                <w14:ligatures w14:val="none"/>
              </w:rPr>
              <w:t>罩棚</w:t>
            </w:r>
            <w:r>
              <w:rPr>
                <w:rFonts w:hint="eastAsia" w:ascii="Times New Roman" w:hAnsi="Times New Roman" w:eastAsia="宋体" w:cs="Times New Roman"/>
                <w:sz w:val="21"/>
                <w:szCs w:val="21"/>
                <w:highlight w:val="none"/>
                <w:lang w:val="en-US" w:eastAsia="zh-CN"/>
                <w14:ligatures w14:val="none"/>
              </w:rPr>
              <w:t>支柱</w:t>
            </w:r>
            <w:r>
              <w:rPr>
                <w:rFonts w:ascii="Times New Roman" w:hAnsi="Times New Roman" w:eastAsia="宋体" w:cs="Times New Roman"/>
                <w:sz w:val="21"/>
                <w:szCs w:val="21"/>
                <w:highlight w:val="none"/>
                <w14:ligatures w14:val="none"/>
              </w:rPr>
              <w:t>、卸油点附近</w:t>
            </w:r>
          </w:p>
        </w:tc>
      </w:tr>
      <w:tr w14:paraId="0ACB1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22CBE28">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004F2A98">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液位</w:t>
            </w:r>
            <w:r>
              <w:rPr>
                <w:rFonts w:hint="eastAsia" w:ascii="Times New Roman" w:hAnsi="Times New Roman" w:eastAsia="宋体" w:cs="Times New Roman"/>
                <w:kern w:val="28"/>
                <w:sz w:val="21"/>
                <w:szCs w:val="21"/>
                <w:highlight w:val="none"/>
                <w14:ligatures w14:val="none"/>
              </w:rPr>
              <w:t>报警</w:t>
            </w:r>
            <w:r>
              <w:rPr>
                <w:rFonts w:ascii="Times New Roman" w:hAnsi="Times New Roman" w:eastAsia="宋体" w:cs="Times New Roman"/>
                <w:kern w:val="28"/>
                <w:sz w:val="21"/>
                <w:szCs w:val="21"/>
                <w:highlight w:val="none"/>
                <w14:ligatures w14:val="none"/>
              </w:rPr>
              <w:t>仪</w:t>
            </w:r>
          </w:p>
        </w:tc>
        <w:tc>
          <w:tcPr>
            <w:tcW w:w="1369" w:type="pct"/>
            <w:vAlign w:val="center"/>
          </w:tcPr>
          <w:p w14:paraId="7821CC6D">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43AC6F2E">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49320A0F">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1</w:t>
            </w:r>
            <w:r>
              <w:rPr>
                <w:rFonts w:hint="eastAsia" w:ascii="Times New Roman" w:hAnsi="Times New Roman" w:eastAsia="宋体" w:cs="Times New Roman"/>
                <w:kern w:val="28"/>
                <w:sz w:val="21"/>
                <w:szCs w:val="21"/>
                <w:highlight w:val="none"/>
                <w14:ligatures w14:val="none"/>
              </w:rPr>
              <w:t>套</w:t>
            </w:r>
          </w:p>
        </w:tc>
        <w:tc>
          <w:tcPr>
            <w:tcW w:w="1294" w:type="pct"/>
            <w:vAlign w:val="center"/>
          </w:tcPr>
          <w:p w14:paraId="1FB8ACD4">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73EFB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2B456714">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20903CEA">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渗漏</w:t>
            </w:r>
            <w:r>
              <w:rPr>
                <w:rFonts w:ascii="Times New Roman" w:hAnsi="Times New Roman" w:eastAsia="宋体" w:cs="Times New Roman"/>
                <w:kern w:val="28"/>
                <w:sz w:val="21"/>
                <w:szCs w:val="21"/>
                <w:highlight w:val="none"/>
                <w14:ligatures w14:val="none"/>
              </w:rPr>
              <w:t>检</w:t>
            </w:r>
            <w:r>
              <w:rPr>
                <w:rFonts w:hint="eastAsia" w:ascii="Times New Roman" w:hAnsi="Times New Roman" w:eastAsia="宋体" w:cs="Times New Roman"/>
                <w:kern w:val="28"/>
                <w:sz w:val="21"/>
                <w:szCs w:val="21"/>
                <w:highlight w:val="none"/>
                <w14:ligatures w14:val="none"/>
              </w:rPr>
              <w:t>测</w:t>
            </w:r>
            <w:r>
              <w:rPr>
                <w:rFonts w:ascii="Times New Roman" w:hAnsi="Times New Roman" w:eastAsia="宋体" w:cs="Times New Roman"/>
                <w:kern w:val="28"/>
                <w:sz w:val="21"/>
                <w:szCs w:val="21"/>
                <w:highlight w:val="none"/>
                <w14:ligatures w14:val="none"/>
              </w:rPr>
              <w:t>仪</w:t>
            </w:r>
          </w:p>
        </w:tc>
        <w:tc>
          <w:tcPr>
            <w:tcW w:w="1369" w:type="pct"/>
            <w:vAlign w:val="center"/>
          </w:tcPr>
          <w:p w14:paraId="587D9DE5">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661F3F91">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57D694A9">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1套</w:t>
            </w:r>
          </w:p>
        </w:tc>
        <w:tc>
          <w:tcPr>
            <w:tcW w:w="1294" w:type="pct"/>
            <w:vAlign w:val="center"/>
          </w:tcPr>
          <w:p w14:paraId="5E120251">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46237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4F7E900E">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45694014">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UPS电源</w:t>
            </w:r>
          </w:p>
        </w:tc>
        <w:tc>
          <w:tcPr>
            <w:tcW w:w="1369" w:type="pct"/>
            <w:vAlign w:val="center"/>
          </w:tcPr>
          <w:p w14:paraId="71CC14AE">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3D425A1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3587CA9A">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1台</w:t>
            </w:r>
          </w:p>
        </w:tc>
        <w:tc>
          <w:tcPr>
            <w:tcW w:w="1294" w:type="pct"/>
            <w:vAlign w:val="center"/>
          </w:tcPr>
          <w:p w14:paraId="35743509">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53181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BE2BA4F">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64122E4E">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宋体"/>
                <w:kern w:val="28"/>
                <w:sz w:val="21"/>
                <w:szCs w:val="21"/>
                <w:highlight w:val="none"/>
                <w14:ligatures w14:val="none"/>
              </w:rPr>
              <w:t>油气回收系统</w:t>
            </w:r>
          </w:p>
        </w:tc>
        <w:tc>
          <w:tcPr>
            <w:tcW w:w="1369" w:type="pct"/>
            <w:vAlign w:val="center"/>
          </w:tcPr>
          <w:p w14:paraId="28875CB9">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6BFCFEBE">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63C5C18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1套</w:t>
            </w:r>
          </w:p>
        </w:tc>
        <w:tc>
          <w:tcPr>
            <w:tcW w:w="1294" w:type="pct"/>
            <w:vAlign w:val="center"/>
          </w:tcPr>
          <w:p w14:paraId="349F01E2">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r>
      <w:tr w14:paraId="41B69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05B19ED4">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0A26CB9D">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sz w:val="21"/>
                <w:szCs w:val="21"/>
                <w:highlight w:val="none"/>
                <w14:ligatures w14:val="none"/>
              </w:rPr>
              <w:t>防雨型</w:t>
            </w:r>
            <w:r>
              <w:rPr>
                <w:rFonts w:hint="eastAsia" w:ascii="Times New Roman" w:hAnsi="Times New Roman" w:eastAsia="宋体" w:cs="宋体"/>
                <w:kern w:val="0"/>
                <w:sz w:val="21"/>
                <w:szCs w:val="21"/>
                <w:highlight w:val="none"/>
                <w14:ligatures w14:val="none"/>
              </w:rPr>
              <w:t>阻火器</w:t>
            </w:r>
          </w:p>
        </w:tc>
        <w:tc>
          <w:tcPr>
            <w:tcW w:w="1369" w:type="pct"/>
            <w:vAlign w:val="center"/>
          </w:tcPr>
          <w:p w14:paraId="0D5DFA0A">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DN50</w:t>
            </w:r>
          </w:p>
        </w:tc>
        <w:tc>
          <w:tcPr>
            <w:tcW w:w="640" w:type="pct"/>
            <w:vAlign w:val="center"/>
          </w:tcPr>
          <w:p w14:paraId="694E075B">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717D10F6">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5</w:t>
            </w:r>
            <w:r>
              <w:rPr>
                <w:rFonts w:hint="eastAsia" w:ascii="Times New Roman" w:hAnsi="Times New Roman" w:eastAsia="宋体" w:cs="宋体"/>
                <w:kern w:val="0"/>
                <w:sz w:val="21"/>
                <w:szCs w:val="21"/>
                <w:highlight w:val="none"/>
                <w14:ligatures w14:val="none"/>
              </w:rPr>
              <w:t>个</w:t>
            </w:r>
          </w:p>
        </w:tc>
        <w:tc>
          <w:tcPr>
            <w:tcW w:w="1294" w:type="pct"/>
            <w:vAlign w:val="center"/>
          </w:tcPr>
          <w:p w14:paraId="6600A493">
            <w:pPr>
              <w:widowControl/>
              <w:spacing w:line="240" w:lineRule="auto"/>
              <w:ind w:firstLine="0" w:firstLineChars="0"/>
              <w:jc w:val="center"/>
              <w:rPr>
                <w:rFonts w:ascii="Times New Roman" w:hAnsi="Times New Roman" w:eastAsia="宋体" w:cs="宋体"/>
                <w:kern w:val="0"/>
                <w:sz w:val="21"/>
                <w:szCs w:val="21"/>
                <w:highlight w:val="none"/>
                <w14:ligatures w14:val="none"/>
              </w:rPr>
            </w:pPr>
          </w:p>
        </w:tc>
      </w:tr>
      <w:tr w14:paraId="17519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7C51A20E">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708C6CC9">
            <w:pPr>
              <w:widowControl/>
              <w:spacing w:line="240" w:lineRule="auto"/>
              <w:ind w:firstLine="0" w:firstLineChars="0"/>
              <w:jc w:val="center"/>
              <w:rPr>
                <w:rFonts w:hint="default" w:ascii="Times New Roman" w:hAnsi="Times New Roman" w:eastAsia="宋体" w:cs="宋体"/>
                <w:sz w:val="21"/>
                <w:szCs w:val="21"/>
                <w:highlight w:val="none"/>
                <w:lang w:val="en-US" w:eastAsia="zh-CN"/>
                <w14:ligatures w14:val="none"/>
              </w:rPr>
            </w:pPr>
            <w:r>
              <w:rPr>
                <w:rFonts w:hint="eastAsia" w:ascii="Times New Roman" w:hAnsi="Times New Roman" w:eastAsia="宋体" w:cs="宋体"/>
                <w:sz w:val="21"/>
                <w:szCs w:val="21"/>
                <w:highlight w:val="none"/>
                <w:lang w:val="en-US" w:eastAsia="zh-CN"/>
                <w14:ligatures w14:val="none"/>
              </w:rPr>
              <w:t>带阻火功能的呼吸阀</w:t>
            </w:r>
          </w:p>
        </w:tc>
        <w:tc>
          <w:tcPr>
            <w:tcW w:w="1369" w:type="pct"/>
            <w:vAlign w:val="center"/>
          </w:tcPr>
          <w:p w14:paraId="1267EF95">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640" w:type="pct"/>
            <w:vAlign w:val="center"/>
          </w:tcPr>
          <w:p w14:paraId="355E2395">
            <w:pPr>
              <w:overflowPunct w:val="0"/>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386" w:type="pct"/>
            <w:vAlign w:val="center"/>
          </w:tcPr>
          <w:p w14:paraId="6AF3160A">
            <w:pPr>
              <w:widowControl/>
              <w:spacing w:line="240" w:lineRule="auto"/>
              <w:ind w:firstLine="0" w:firstLineChars="0"/>
              <w:jc w:val="center"/>
              <w:rPr>
                <w:rFonts w:hint="default" w:ascii="Times New Roman" w:hAnsi="Times New Roman" w:eastAsia="宋体" w:cs="宋体"/>
                <w:kern w:val="0"/>
                <w:sz w:val="21"/>
                <w:szCs w:val="21"/>
                <w:highlight w:val="none"/>
                <w:lang w:val="en-US" w:eastAsia="zh-CN"/>
                <w14:ligatures w14:val="none"/>
              </w:rPr>
            </w:pPr>
            <w:r>
              <w:rPr>
                <w:rFonts w:hint="eastAsia" w:ascii="Times New Roman" w:hAnsi="Times New Roman" w:eastAsia="宋体" w:cs="宋体"/>
                <w:kern w:val="0"/>
                <w:sz w:val="21"/>
                <w:szCs w:val="21"/>
                <w:highlight w:val="none"/>
                <w:lang w:val="en-US" w:eastAsia="zh-CN"/>
                <w14:ligatures w14:val="none"/>
              </w:rPr>
              <w:t>1个</w:t>
            </w:r>
          </w:p>
        </w:tc>
        <w:tc>
          <w:tcPr>
            <w:tcW w:w="1294" w:type="pct"/>
            <w:vAlign w:val="center"/>
          </w:tcPr>
          <w:p w14:paraId="5AB63106">
            <w:pPr>
              <w:widowControl/>
              <w:spacing w:line="240" w:lineRule="auto"/>
              <w:ind w:firstLine="0" w:firstLineChars="0"/>
              <w:jc w:val="center"/>
              <w:rPr>
                <w:rFonts w:ascii="Times New Roman" w:hAnsi="Times New Roman" w:eastAsia="宋体" w:cs="宋体"/>
                <w:kern w:val="0"/>
                <w:sz w:val="21"/>
                <w:szCs w:val="21"/>
                <w:highlight w:val="none"/>
                <w14:ligatures w14:val="none"/>
              </w:rPr>
            </w:pPr>
          </w:p>
        </w:tc>
      </w:tr>
      <w:tr w14:paraId="0C36D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57AE2C6C">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25A18103">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Times New Roman"/>
                <w:sz w:val="21"/>
                <w:szCs w:val="21"/>
                <w:highlight w:val="none"/>
                <w14:ligatures w14:val="none"/>
              </w:rPr>
              <w:t>静电接地报警仪</w:t>
            </w:r>
          </w:p>
        </w:tc>
        <w:tc>
          <w:tcPr>
            <w:tcW w:w="1369" w:type="pct"/>
            <w:vAlign w:val="center"/>
          </w:tcPr>
          <w:p w14:paraId="3FDF1CD1">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6D6157C3">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4A70CBE0">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kern w:val="0"/>
                <w:sz w:val="21"/>
                <w:szCs w:val="21"/>
                <w:highlight w:val="none"/>
                <w14:ligatures w14:val="none"/>
              </w:rPr>
              <w:t>1台</w:t>
            </w:r>
          </w:p>
        </w:tc>
        <w:tc>
          <w:tcPr>
            <w:tcW w:w="1294" w:type="pct"/>
            <w:vAlign w:val="center"/>
          </w:tcPr>
          <w:p w14:paraId="644A29EA">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08F92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2E29A57F">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0EBEC5DE">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本安型人体静电消除器</w:t>
            </w:r>
          </w:p>
        </w:tc>
        <w:tc>
          <w:tcPr>
            <w:tcW w:w="1369" w:type="pct"/>
            <w:vAlign w:val="center"/>
          </w:tcPr>
          <w:p w14:paraId="47B98920">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33CE624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0F9DD701">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kern w:val="0"/>
                <w:sz w:val="21"/>
                <w:szCs w:val="21"/>
                <w:highlight w:val="none"/>
                <w14:ligatures w14:val="none"/>
              </w:rPr>
              <w:t>1台</w:t>
            </w:r>
          </w:p>
        </w:tc>
        <w:tc>
          <w:tcPr>
            <w:tcW w:w="1294" w:type="pct"/>
            <w:vAlign w:val="center"/>
          </w:tcPr>
          <w:p w14:paraId="354DE93A">
            <w:pPr>
              <w:widowControl/>
              <w:spacing w:line="240" w:lineRule="auto"/>
              <w:ind w:firstLine="0" w:firstLineChars="0"/>
              <w:jc w:val="center"/>
              <w:rPr>
                <w:rFonts w:ascii="Times New Roman" w:hAnsi="Times New Roman" w:eastAsia="宋体" w:cs="Times New Roman"/>
                <w:sz w:val="21"/>
                <w:szCs w:val="21"/>
                <w:highlight w:val="none"/>
                <w14:ligatures w14:val="none"/>
              </w:rPr>
            </w:pPr>
          </w:p>
        </w:tc>
      </w:tr>
      <w:tr w14:paraId="35FAD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86C9B94">
            <w:pPr>
              <w:pStyle w:val="46"/>
              <w:numPr>
                <w:ilvl w:val="0"/>
                <w:numId w:val="2"/>
              </w:numPr>
              <w:overflowPunct w:val="0"/>
              <w:spacing w:line="240" w:lineRule="auto"/>
              <w:ind w:left="440" w:leftChars="0" w:hanging="440"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29995C13">
            <w:pPr>
              <w:widowControl/>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val="en-US" w:eastAsia="zh-CN"/>
                <w14:ligatures w14:val="none"/>
              </w:rPr>
              <w:t>潜油泵</w:t>
            </w:r>
          </w:p>
        </w:tc>
        <w:tc>
          <w:tcPr>
            <w:tcW w:w="1369" w:type="pct"/>
            <w:vAlign w:val="center"/>
          </w:tcPr>
          <w:p w14:paraId="452133C0">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p>
          <w:p w14:paraId="1A9CBFB6">
            <w:pPr>
              <w:widowControl/>
              <w:spacing w:line="240" w:lineRule="auto"/>
              <w:ind w:firstLine="0" w:firstLineChars="0"/>
              <w:jc w:val="center"/>
              <w:rPr>
                <w:rFonts w:hint="default"/>
                <w:highlight w:val="none"/>
                <w:lang w:val="en-US" w:eastAsia="zh-CN"/>
              </w:rPr>
            </w:pPr>
            <w:r>
              <w:rPr>
                <w:rFonts w:hint="eastAsia" w:ascii="Times New Roman" w:hAnsi="Times New Roman" w:eastAsia="宋体" w:cs="Times New Roman"/>
                <w:sz w:val="21"/>
                <w:szCs w:val="21"/>
                <w:highlight w:val="none"/>
                <w:lang w:val="en-US" w:eastAsia="zh-CN"/>
                <w14:ligatures w14:val="none"/>
              </w:rPr>
              <w:t>一泵带四枪:蓝牌220v/1.5P；45L/min</w:t>
            </w:r>
          </w:p>
        </w:tc>
        <w:tc>
          <w:tcPr>
            <w:tcW w:w="640" w:type="pct"/>
            <w:vAlign w:val="center"/>
          </w:tcPr>
          <w:p w14:paraId="4AE32D97">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0858E395">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2</w:t>
            </w:r>
            <w:r>
              <w:rPr>
                <w:rFonts w:hint="eastAsia" w:ascii="Times New Roman" w:hAnsi="Times New Roman" w:eastAsia="宋体" w:cs="宋体"/>
                <w:kern w:val="0"/>
                <w:sz w:val="21"/>
                <w:szCs w:val="21"/>
                <w:highlight w:val="none"/>
                <w14:ligatures w14:val="none"/>
              </w:rPr>
              <w:t>台</w:t>
            </w:r>
          </w:p>
        </w:tc>
        <w:tc>
          <w:tcPr>
            <w:tcW w:w="1294" w:type="pct"/>
            <w:vAlign w:val="center"/>
          </w:tcPr>
          <w:p w14:paraId="551F89EB">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92#汽油储罐设置1台一泵带四枪柴油潜油泵；-35#柴油储罐设置1台一泵带四枪柴油潜油泵；</w:t>
            </w:r>
          </w:p>
        </w:tc>
      </w:tr>
      <w:tr w14:paraId="36D4D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B62532C">
            <w:pPr>
              <w:pStyle w:val="46"/>
              <w:numPr>
                <w:ilvl w:val="0"/>
                <w:numId w:val="2"/>
              </w:numPr>
              <w:overflowPunct w:val="0"/>
              <w:spacing w:line="240" w:lineRule="auto"/>
              <w:ind w:left="440" w:leftChars="0" w:hanging="440"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05E6A307">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潜油泵</w:t>
            </w:r>
          </w:p>
        </w:tc>
        <w:tc>
          <w:tcPr>
            <w:tcW w:w="1369" w:type="pct"/>
            <w:vAlign w:val="center"/>
          </w:tcPr>
          <w:p w14:paraId="0F801E5C">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一泵带双枪:蓝牌220v/0.75P；40L/min</w:t>
            </w:r>
          </w:p>
        </w:tc>
        <w:tc>
          <w:tcPr>
            <w:tcW w:w="640" w:type="pct"/>
            <w:vAlign w:val="center"/>
          </w:tcPr>
          <w:p w14:paraId="2052AB25">
            <w:pPr>
              <w:overflowPunct w:val="0"/>
              <w:adjustRightInd/>
              <w:snapToGrid/>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w:t>
            </w:r>
          </w:p>
        </w:tc>
        <w:tc>
          <w:tcPr>
            <w:tcW w:w="386" w:type="pct"/>
            <w:vAlign w:val="center"/>
          </w:tcPr>
          <w:p w14:paraId="5B7128A4">
            <w:pPr>
              <w:widowControl/>
              <w:spacing w:line="240" w:lineRule="auto"/>
              <w:ind w:firstLine="0" w:firstLineChars="0"/>
              <w:jc w:val="center"/>
              <w:rPr>
                <w:rFonts w:hint="eastAsia" w:ascii="Times New Roman" w:hAnsi="Times New Roman" w:eastAsia="宋体" w:cs="宋体"/>
                <w:kern w:val="0"/>
                <w:sz w:val="21"/>
                <w:szCs w:val="21"/>
                <w:highlight w:val="none"/>
                <w:lang w:val="en-US" w:eastAsia="zh-CN"/>
                <w14:ligatures w14:val="none"/>
              </w:rPr>
            </w:pPr>
            <w:r>
              <w:rPr>
                <w:rFonts w:hint="eastAsia" w:ascii="Times New Roman" w:hAnsi="Times New Roman" w:eastAsia="宋体" w:cs="宋体"/>
                <w:kern w:val="0"/>
                <w:sz w:val="21"/>
                <w:szCs w:val="21"/>
                <w:highlight w:val="none"/>
                <w:lang w:val="en-US" w:eastAsia="zh-CN"/>
                <w14:ligatures w14:val="none"/>
              </w:rPr>
              <w:t>5台</w:t>
            </w:r>
          </w:p>
        </w:tc>
        <w:tc>
          <w:tcPr>
            <w:tcW w:w="1294" w:type="pct"/>
            <w:vAlign w:val="center"/>
          </w:tcPr>
          <w:p w14:paraId="4848ABA3">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95#汽油储罐设置1台一泵带双枪汽油潜油泵；92#汽油储罐设置1台一泵带双枪汽油潜油泵；其余三座柴油储罐各设置1台一泵带双枪柴油潜油泵</w:t>
            </w:r>
          </w:p>
        </w:tc>
      </w:tr>
      <w:tr w14:paraId="19A53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96CE068">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3CB11C57">
            <w:pPr>
              <w:widowControl/>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卸油防溢阀</w:t>
            </w:r>
          </w:p>
        </w:tc>
        <w:tc>
          <w:tcPr>
            <w:tcW w:w="1369" w:type="pct"/>
            <w:vAlign w:val="center"/>
          </w:tcPr>
          <w:p w14:paraId="3E7DAFBA">
            <w:pPr>
              <w:widowControl/>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DN100</w:t>
            </w:r>
          </w:p>
        </w:tc>
        <w:tc>
          <w:tcPr>
            <w:tcW w:w="640" w:type="pct"/>
            <w:vAlign w:val="center"/>
          </w:tcPr>
          <w:p w14:paraId="6F093490">
            <w:pPr>
              <w:overflowPunct w:val="0"/>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386" w:type="pct"/>
            <w:vAlign w:val="center"/>
          </w:tcPr>
          <w:p w14:paraId="19075D13">
            <w:pPr>
              <w:widowControl/>
              <w:spacing w:line="240" w:lineRule="auto"/>
              <w:ind w:firstLine="0" w:firstLineChars="0"/>
              <w:jc w:val="center"/>
              <w:rPr>
                <w:rFonts w:hint="default" w:ascii="Times New Roman" w:hAnsi="Times New Roman" w:eastAsia="宋体" w:cs="宋体"/>
                <w:kern w:val="0"/>
                <w:sz w:val="21"/>
                <w:szCs w:val="21"/>
                <w:highlight w:val="none"/>
                <w:lang w:val="en-US" w:eastAsia="zh-CN"/>
                <w14:ligatures w14:val="none"/>
              </w:rPr>
            </w:pPr>
            <w:r>
              <w:rPr>
                <w:rFonts w:hint="eastAsia" w:ascii="Times New Roman" w:hAnsi="Times New Roman" w:eastAsia="宋体" w:cs="宋体"/>
                <w:kern w:val="0"/>
                <w:sz w:val="21"/>
                <w:szCs w:val="21"/>
                <w:highlight w:val="none"/>
                <w:lang w:val="en-US" w:eastAsia="zh-CN"/>
                <w14:ligatures w14:val="none"/>
              </w:rPr>
              <w:t>6个</w:t>
            </w:r>
          </w:p>
        </w:tc>
        <w:tc>
          <w:tcPr>
            <w:tcW w:w="1294" w:type="pct"/>
            <w:vAlign w:val="center"/>
          </w:tcPr>
          <w:p w14:paraId="163175E6">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p>
        </w:tc>
      </w:tr>
      <w:tr w14:paraId="5B1B7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0DBA689">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0D95E812">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磁致伸缩探棒</w:t>
            </w:r>
          </w:p>
        </w:tc>
        <w:tc>
          <w:tcPr>
            <w:tcW w:w="1369" w:type="pct"/>
            <w:vAlign w:val="center"/>
          </w:tcPr>
          <w:p w14:paraId="4AF4BF3F">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2A59C362">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50A944DE">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6套</w:t>
            </w:r>
          </w:p>
        </w:tc>
        <w:tc>
          <w:tcPr>
            <w:tcW w:w="1294" w:type="pct"/>
            <w:vAlign w:val="center"/>
          </w:tcPr>
          <w:p w14:paraId="08C3D051">
            <w:pPr>
              <w:widowControl/>
              <w:spacing w:line="240" w:lineRule="auto"/>
              <w:ind w:firstLine="0" w:firstLineChars="0"/>
              <w:jc w:val="center"/>
              <w:rPr>
                <w:rFonts w:ascii="Times New Roman" w:hAnsi="Times New Roman" w:eastAsia="宋体" w:cs="Times New Roman"/>
                <w:sz w:val="21"/>
                <w:szCs w:val="21"/>
                <w:highlight w:val="none"/>
                <w14:ligatures w14:val="none"/>
              </w:rPr>
            </w:pPr>
          </w:p>
        </w:tc>
      </w:tr>
      <w:tr w14:paraId="70DB9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4917B2BD">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2D30E75D">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剪切阀</w:t>
            </w:r>
          </w:p>
        </w:tc>
        <w:tc>
          <w:tcPr>
            <w:tcW w:w="1369" w:type="pct"/>
            <w:vAlign w:val="center"/>
          </w:tcPr>
          <w:p w14:paraId="48289814">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585F0112">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4FB8E628">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11</w:t>
            </w:r>
            <w:r>
              <w:rPr>
                <w:rFonts w:hint="eastAsia" w:ascii="Times New Roman" w:hAnsi="Times New Roman" w:eastAsia="宋体" w:cs="Times New Roman"/>
                <w:sz w:val="21"/>
                <w:szCs w:val="21"/>
                <w:highlight w:val="none"/>
                <w14:ligatures w14:val="none"/>
              </w:rPr>
              <w:t>个</w:t>
            </w:r>
          </w:p>
        </w:tc>
        <w:tc>
          <w:tcPr>
            <w:tcW w:w="1294" w:type="pct"/>
            <w:vAlign w:val="center"/>
          </w:tcPr>
          <w:p w14:paraId="0362657A">
            <w:pPr>
              <w:widowControl/>
              <w:spacing w:line="240" w:lineRule="auto"/>
              <w:ind w:firstLine="0" w:firstLineChars="0"/>
              <w:jc w:val="center"/>
              <w:rPr>
                <w:rFonts w:ascii="Times New Roman" w:hAnsi="Times New Roman" w:eastAsia="宋体" w:cs="Times New Roman"/>
                <w:sz w:val="21"/>
                <w:szCs w:val="21"/>
                <w:highlight w:val="none"/>
                <w14:ligatures w14:val="none"/>
              </w:rPr>
            </w:pPr>
          </w:p>
        </w:tc>
      </w:tr>
      <w:tr w14:paraId="07E16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77FEFC2A">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0C1CBD77">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拉断阀</w:t>
            </w:r>
          </w:p>
        </w:tc>
        <w:tc>
          <w:tcPr>
            <w:tcW w:w="1369" w:type="pct"/>
            <w:vAlign w:val="center"/>
          </w:tcPr>
          <w:p w14:paraId="459D286A">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39244E77">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40E2EA8C">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w:t>
            </w:r>
            <w:r>
              <w:rPr>
                <w:rFonts w:hint="eastAsia" w:ascii="Times New Roman" w:hAnsi="Times New Roman" w:eastAsia="宋体" w:cs="Times New Roman"/>
                <w:sz w:val="21"/>
                <w:szCs w:val="21"/>
                <w:highlight w:val="none"/>
                <w:lang w:val="en-US" w:eastAsia="zh-CN"/>
                <w14:ligatures w14:val="none"/>
              </w:rPr>
              <w:t>6</w:t>
            </w:r>
            <w:r>
              <w:rPr>
                <w:rFonts w:hint="eastAsia" w:ascii="Times New Roman" w:hAnsi="Times New Roman" w:eastAsia="宋体" w:cs="Times New Roman"/>
                <w:sz w:val="21"/>
                <w:szCs w:val="21"/>
                <w:highlight w:val="none"/>
                <w14:ligatures w14:val="none"/>
              </w:rPr>
              <w:t>个</w:t>
            </w:r>
          </w:p>
        </w:tc>
        <w:tc>
          <w:tcPr>
            <w:tcW w:w="1294" w:type="pct"/>
            <w:vAlign w:val="center"/>
          </w:tcPr>
          <w:p w14:paraId="5C4CC2FE">
            <w:pPr>
              <w:widowControl/>
              <w:spacing w:line="240" w:lineRule="auto"/>
              <w:ind w:firstLine="0" w:firstLineChars="0"/>
              <w:jc w:val="center"/>
              <w:rPr>
                <w:rFonts w:ascii="Times New Roman" w:hAnsi="Times New Roman" w:eastAsia="宋体" w:cs="Times New Roman"/>
                <w:sz w:val="21"/>
                <w:szCs w:val="21"/>
                <w:highlight w:val="none"/>
                <w14:ligatures w14:val="none"/>
              </w:rPr>
            </w:pPr>
          </w:p>
        </w:tc>
      </w:tr>
      <w:tr w14:paraId="5A364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201FCD5D">
            <w:pPr>
              <w:pStyle w:val="46"/>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bookmarkStart w:id="43" w:name="_Toc187309995"/>
          </w:p>
        </w:tc>
        <w:tc>
          <w:tcPr>
            <w:tcW w:w="1004" w:type="pct"/>
            <w:vAlign w:val="center"/>
          </w:tcPr>
          <w:p w14:paraId="5156D214">
            <w:pPr>
              <w:widowControl/>
              <w:spacing w:line="240" w:lineRule="auto"/>
              <w:ind w:firstLine="0" w:firstLineChars="0"/>
              <w:jc w:val="center"/>
              <w:rPr>
                <w:rFonts w:hint="default" w:ascii="Times New Roman" w:hAnsi="Times New Roman" w:eastAsia="宋体" w:cs="宋体"/>
                <w:kern w:val="0"/>
                <w:sz w:val="21"/>
                <w:szCs w:val="21"/>
                <w:highlight w:val="none"/>
                <w:lang w:val="en-US" w:eastAsia="zh-CN"/>
                <w14:ligatures w14:val="none"/>
              </w:rPr>
            </w:pPr>
            <w:r>
              <w:rPr>
                <w:rFonts w:hint="eastAsia" w:ascii="Times New Roman" w:hAnsi="Times New Roman" w:eastAsia="宋体" w:cs="宋体"/>
                <w:kern w:val="0"/>
                <w:sz w:val="21"/>
                <w:szCs w:val="21"/>
                <w:highlight w:val="none"/>
                <w:lang w:val="en-US" w:eastAsia="zh-CN"/>
                <w14:ligatures w14:val="none"/>
              </w:rPr>
              <w:t>三次油气回收装置</w:t>
            </w:r>
          </w:p>
        </w:tc>
        <w:tc>
          <w:tcPr>
            <w:tcW w:w="1369" w:type="pct"/>
            <w:vAlign w:val="center"/>
          </w:tcPr>
          <w:p w14:paraId="510F2956">
            <w:pPr>
              <w:overflowPunct w:val="0"/>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640" w:type="pct"/>
            <w:vAlign w:val="center"/>
          </w:tcPr>
          <w:p w14:paraId="46EBB9C1">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386" w:type="pct"/>
            <w:vAlign w:val="center"/>
          </w:tcPr>
          <w:p w14:paraId="1FDC790B">
            <w:pPr>
              <w:widowControl/>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1套</w:t>
            </w:r>
          </w:p>
        </w:tc>
        <w:tc>
          <w:tcPr>
            <w:tcW w:w="1294" w:type="pct"/>
            <w:vAlign w:val="center"/>
          </w:tcPr>
          <w:p w14:paraId="2ED43946">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防爆设备</w:t>
            </w:r>
          </w:p>
        </w:tc>
      </w:tr>
    </w:tbl>
    <w:p w14:paraId="2C553F4A">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r>
        <w:rPr>
          <w:rFonts w:ascii="Times New Roman" w:hAnsi="Times New Roman" w:eastAsia="楷体" w:cs="宋体"/>
          <w:b/>
          <w:bCs/>
          <w:sz w:val="32"/>
          <w:szCs w:val="28"/>
          <w:highlight w:val="none"/>
          <w:lang w:bidi="ar"/>
          <w14:ligatures w14:val="none"/>
        </w:rPr>
        <w:t>2.9劳动定员</w:t>
      </w:r>
      <w:bookmarkEnd w:id="43"/>
    </w:p>
    <w:p w14:paraId="29142AFD">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该站劳动定员为</w:t>
      </w:r>
      <w:r>
        <w:rPr>
          <w:rFonts w:hint="eastAsia" w:ascii="Times New Roman" w:hAnsi="Times New Roman" w:eastAsia="宋体" w:cs="宋体"/>
          <w:szCs w:val="28"/>
          <w:highlight w:val="none"/>
          <w:lang w:val="en-US" w:eastAsia="zh-CN" w:bidi="ar"/>
          <w14:ligatures w14:val="none"/>
        </w:rPr>
        <w:t>9</w:t>
      </w:r>
      <w:r>
        <w:rPr>
          <w:rFonts w:hint="eastAsia" w:ascii="Times New Roman" w:hAnsi="Times New Roman" w:eastAsia="宋体" w:cs="宋体"/>
          <w:szCs w:val="28"/>
          <w:highlight w:val="none"/>
          <w:lang w:bidi="ar"/>
          <w14:ligatures w14:val="none"/>
        </w:rPr>
        <w:t>人</w:t>
      </w:r>
      <w:r>
        <w:rPr>
          <w:rFonts w:ascii="Times New Roman" w:hAnsi="Times New Roman" w:eastAsia="宋体" w:cs="宋体"/>
          <w:szCs w:val="28"/>
          <w:highlight w:val="none"/>
          <w:lang w:bidi="ar"/>
          <w14:ligatures w14:val="none"/>
        </w:rPr>
        <w:t>，其中主要负责人1人、安全管理人员</w:t>
      </w:r>
      <w:r>
        <w:rPr>
          <w:rFonts w:hint="eastAsia" w:ascii="Times New Roman" w:hAnsi="Times New Roman" w:eastAsia="宋体" w:cs="宋体"/>
          <w:szCs w:val="28"/>
          <w:highlight w:val="none"/>
          <w:lang w:val="en-US" w:eastAsia="zh-CN" w:bidi="ar"/>
          <w14:ligatures w14:val="none"/>
        </w:rPr>
        <w:t>2</w:t>
      </w:r>
      <w:r>
        <w:rPr>
          <w:rFonts w:ascii="Times New Roman" w:hAnsi="Times New Roman" w:eastAsia="宋体" w:cs="宋体"/>
          <w:szCs w:val="28"/>
          <w:highlight w:val="none"/>
          <w:lang w:bidi="ar"/>
          <w14:ligatures w14:val="none"/>
        </w:rPr>
        <w:t>人，加油员</w:t>
      </w:r>
      <w:r>
        <w:rPr>
          <w:rFonts w:hint="eastAsia" w:ascii="Times New Roman" w:hAnsi="Times New Roman" w:eastAsia="宋体" w:cs="宋体"/>
          <w:szCs w:val="28"/>
          <w:highlight w:val="none"/>
          <w:lang w:val="en-US" w:eastAsia="zh-CN" w:bidi="ar"/>
          <w14:ligatures w14:val="none"/>
        </w:rPr>
        <w:t>6</w:t>
      </w:r>
      <w:r>
        <w:rPr>
          <w:rFonts w:ascii="Times New Roman" w:hAnsi="Times New Roman" w:eastAsia="宋体" w:cs="宋体"/>
          <w:szCs w:val="28"/>
          <w:highlight w:val="none"/>
          <w:lang w:bidi="ar"/>
          <w14:ligatures w14:val="none"/>
        </w:rPr>
        <w:t>人。</w:t>
      </w:r>
      <w:r>
        <w:rPr>
          <w:rFonts w:ascii="Times New Roman" w:hAnsi="Times New Roman" w:eastAsia="宋体" w:cs="宋体"/>
          <w:szCs w:val="28"/>
          <w:highlight w:val="none"/>
          <w:lang w:bidi="ar"/>
          <w14:ligatures w14:val="none"/>
        </w:rPr>
        <w:br w:type="page"/>
      </w:r>
    </w:p>
    <w:p w14:paraId="6821D39D">
      <w:pPr>
        <w:spacing w:before="468" w:beforeLines="150" w:after="468" w:afterLines="150"/>
        <w:ind w:firstLine="0" w:firstLineChars="0"/>
        <w:jc w:val="center"/>
        <w:outlineLvl w:val="0"/>
        <w:rPr>
          <w:rFonts w:ascii="Times New Roman" w:hAnsi="Times New Roman" w:eastAsia="黑体" w:cs="宋体"/>
          <w:b/>
          <w:bCs/>
          <w:sz w:val="32"/>
          <w:szCs w:val="28"/>
          <w:highlight w:val="none"/>
          <w:lang w:bidi="ar"/>
          <w14:ligatures w14:val="none"/>
        </w:rPr>
      </w:pPr>
      <w:bookmarkStart w:id="44" w:name="_Toc187309996"/>
      <w:r>
        <w:rPr>
          <w:rFonts w:ascii="Times New Roman" w:hAnsi="Times New Roman" w:eastAsia="黑体" w:cs="宋体"/>
          <w:b/>
          <w:bCs/>
          <w:sz w:val="32"/>
          <w:szCs w:val="28"/>
          <w:highlight w:val="none"/>
          <w:lang w:bidi="ar"/>
          <w14:ligatures w14:val="none"/>
        </w:rPr>
        <w:t>3危险、有害因素和固有的危险、有害程度</w:t>
      </w:r>
      <w:bookmarkEnd w:id="44"/>
    </w:p>
    <w:p w14:paraId="74C014C2">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45" w:name="_Toc187309997"/>
      <w:r>
        <w:rPr>
          <w:rFonts w:ascii="Times New Roman" w:hAnsi="Times New Roman" w:eastAsia="楷体" w:cs="宋体"/>
          <w:b/>
          <w:bCs/>
          <w:sz w:val="32"/>
          <w:szCs w:val="28"/>
          <w:highlight w:val="none"/>
          <w:lang w:bidi="ar"/>
          <w14:ligatures w14:val="none"/>
        </w:rPr>
        <w:t>3.1物料的危险、有害因素分析</w:t>
      </w:r>
      <w:bookmarkEnd w:id="45"/>
    </w:p>
    <w:p w14:paraId="07E957CE">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储存经营过程中所涉及的化学品为车用乙醇汽油、柴油。</w:t>
      </w:r>
    </w:p>
    <w:p w14:paraId="1DDA4118">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根据《危险化学品目录（2015版）》（国家安全生产监督管理总局等十部委公告2015年第5号）及《应急管理部等10部门关于调整&lt;危险化学品目录（2015版）&gt;的公告》（应急管理部等10部门公告2022年第8号，2023年1月1日施行），站内储存经营过程中涉及的车用乙醇汽油、柴油为危险化学品。</w:t>
      </w:r>
    </w:p>
    <w:p w14:paraId="12C5A15B">
      <w:pPr>
        <w:ind w:firstLine="560"/>
        <w:rPr>
          <w:rFonts w:ascii="Times New Roman" w:hAnsi="Times New Roman" w:eastAsia="宋体" w:cs="宋体"/>
          <w:szCs w:val="28"/>
          <w:highlight w:val="none"/>
          <w:lang w:bidi="ar"/>
          <w14:ligatures w14:val="none"/>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ascii="Times New Roman" w:hAnsi="Times New Roman" w:eastAsia="宋体" w:cs="宋体"/>
          <w:szCs w:val="28"/>
          <w:highlight w:val="none"/>
          <w:lang w:bidi="ar"/>
          <w14:ligatures w14:val="none"/>
        </w:rPr>
        <w:t>理化性质表和危险特性及其数据来源见附件3（F3.1）。</w:t>
      </w:r>
    </w:p>
    <w:p w14:paraId="43534EC4">
      <w:pPr>
        <w:pStyle w:val="42"/>
        <w:keepNext/>
        <w:spacing w:before="190" w:beforeLines="50" w:after="190" w:afterLines="50"/>
        <w:ind w:firstLine="480"/>
        <w:rPr>
          <w:rFonts w:eastAsia="黑体"/>
          <w:sz w:val="24"/>
          <w:highlight w:val="none"/>
        </w:rPr>
      </w:pPr>
      <w:r>
        <w:rPr>
          <w:rFonts w:eastAsia="黑体"/>
          <w:sz w:val="24"/>
          <w:highlight w:val="none"/>
        </w:rPr>
        <w:t>表3.1-1  站内涉及的危险化学品的理化性质分析结果</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0"/>
        <w:gridCol w:w="799"/>
        <w:gridCol w:w="1196"/>
        <w:gridCol w:w="674"/>
        <w:gridCol w:w="677"/>
        <w:gridCol w:w="799"/>
        <w:gridCol w:w="2322"/>
        <w:gridCol w:w="1173"/>
        <w:gridCol w:w="916"/>
        <w:gridCol w:w="852"/>
        <w:gridCol w:w="1208"/>
        <w:gridCol w:w="474"/>
        <w:gridCol w:w="1162"/>
        <w:gridCol w:w="785"/>
        <w:gridCol w:w="695"/>
      </w:tblGrid>
      <w:tr w14:paraId="60DA2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293" w:type="pct"/>
            <w:vAlign w:val="center"/>
          </w:tcPr>
          <w:p w14:paraId="42CBEEA9">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物料名称</w:t>
            </w:r>
          </w:p>
        </w:tc>
        <w:tc>
          <w:tcPr>
            <w:tcW w:w="303" w:type="pct"/>
            <w:vAlign w:val="center"/>
          </w:tcPr>
          <w:p w14:paraId="248F91A1">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危险化学品目录序号</w:t>
            </w:r>
          </w:p>
        </w:tc>
        <w:tc>
          <w:tcPr>
            <w:tcW w:w="287" w:type="pct"/>
            <w:vAlign w:val="center"/>
          </w:tcPr>
          <w:p w14:paraId="32D284DD">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C</w:t>
            </w:r>
            <w:r>
              <w:rPr>
                <w:rFonts w:ascii="Times New Roman" w:hAnsi="Times New Roman" w:eastAsia="宋体" w:cs="Times New Roman"/>
                <w:sz w:val="21"/>
                <w:szCs w:val="21"/>
                <w:highlight w:val="none"/>
                <w14:ligatures w14:val="none"/>
              </w:rPr>
              <w:t>AS</w:t>
            </w:r>
            <w:r>
              <w:rPr>
                <w:rFonts w:hint="eastAsia" w:ascii="Times New Roman" w:hAnsi="Times New Roman" w:eastAsia="宋体" w:cs="Times New Roman"/>
                <w:sz w:val="21"/>
                <w:szCs w:val="21"/>
                <w:highlight w:val="none"/>
                <w14:ligatures w14:val="none"/>
              </w:rPr>
              <w:t>号</w:t>
            </w:r>
          </w:p>
        </w:tc>
        <w:tc>
          <w:tcPr>
            <w:tcW w:w="260" w:type="pct"/>
            <w:vAlign w:val="center"/>
          </w:tcPr>
          <w:p w14:paraId="513FCEAD">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UN编号</w:t>
            </w:r>
          </w:p>
        </w:tc>
        <w:tc>
          <w:tcPr>
            <w:tcW w:w="261" w:type="pct"/>
            <w:vAlign w:val="center"/>
          </w:tcPr>
          <w:p w14:paraId="17E8AC20">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包装类别</w:t>
            </w:r>
          </w:p>
        </w:tc>
        <w:tc>
          <w:tcPr>
            <w:tcW w:w="303" w:type="pct"/>
            <w:vAlign w:val="center"/>
          </w:tcPr>
          <w:p w14:paraId="542002F8">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主要危险性</w:t>
            </w:r>
          </w:p>
        </w:tc>
        <w:tc>
          <w:tcPr>
            <w:tcW w:w="828" w:type="pct"/>
            <w:vAlign w:val="center"/>
          </w:tcPr>
          <w:p w14:paraId="6B1EB889">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危险化学品</w:t>
            </w:r>
          </w:p>
          <w:p w14:paraId="149A54CF">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分类</w:t>
            </w:r>
          </w:p>
        </w:tc>
        <w:tc>
          <w:tcPr>
            <w:tcW w:w="432" w:type="pct"/>
            <w:vAlign w:val="center"/>
          </w:tcPr>
          <w:p w14:paraId="7FB4588B">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密度（</w:t>
            </w:r>
            <w:r>
              <w:rPr>
                <w:rFonts w:hint="eastAsia" w:ascii="Times New Roman" w:hAnsi="Times New Roman" w:eastAsia="宋体" w:cs="Times New Roman"/>
                <w:sz w:val="21"/>
                <w:szCs w:val="21"/>
                <w:highlight w:val="none"/>
                <w14:ligatures w14:val="none"/>
              </w:rPr>
              <w:t>t/m</w:t>
            </w:r>
            <w:r>
              <w:rPr>
                <w:rFonts w:hint="eastAsia" w:ascii="Times New Roman" w:hAnsi="Times New Roman" w:eastAsia="宋体" w:cs="Times New Roman"/>
                <w:sz w:val="21"/>
                <w:szCs w:val="21"/>
                <w:highlight w:val="none"/>
                <w:vertAlign w:val="superscript"/>
                <w14:ligatures w14:val="none"/>
              </w:rPr>
              <w:t>3</w:t>
            </w:r>
            <w:r>
              <w:rPr>
                <w:rFonts w:ascii="Times New Roman" w:hAnsi="Times New Roman" w:eastAsia="宋体" w:cs="Times New Roman"/>
                <w:sz w:val="21"/>
                <w:szCs w:val="21"/>
                <w:highlight w:val="none"/>
                <w14:ligatures w14:val="none"/>
              </w:rPr>
              <w:t>）</w:t>
            </w:r>
          </w:p>
        </w:tc>
        <w:tc>
          <w:tcPr>
            <w:tcW w:w="315" w:type="pct"/>
            <w:vAlign w:val="center"/>
          </w:tcPr>
          <w:p w14:paraId="44B5DA69">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沸点</w:t>
            </w:r>
          </w:p>
          <w:p w14:paraId="0F88C930">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w:t>
            </w:r>
          </w:p>
        </w:tc>
        <w:tc>
          <w:tcPr>
            <w:tcW w:w="302" w:type="pct"/>
            <w:vAlign w:val="center"/>
          </w:tcPr>
          <w:p w14:paraId="0D9ADE27">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闪点（℃）</w:t>
            </w:r>
          </w:p>
        </w:tc>
        <w:tc>
          <w:tcPr>
            <w:tcW w:w="384" w:type="pct"/>
            <w:vAlign w:val="center"/>
          </w:tcPr>
          <w:p w14:paraId="09493BFD">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职业接触限值</w:t>
            </w:r>
          </w:p>
        </w:tc>
        <w:tc>
          <w:tcPr>
            <w:tcW w:w="210" w:type="pct"/>
            <w:vAlign w:val="center"/>
          </w:tcPr>
          <w:p w14:paraId="598F06C4">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毒性等级</w:t>
            </w:r>
          </w:p>
        </w:tc>
        <w:tc>
          <w:tcPr>
            <w:tcW w:w="257" w:type="pct"/>
            <w:vAlign w:val="center"/>
          </w:tcPr>
          <w:p w14:paraId="5F036D56">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爆炸极限</w:t>
            </w:r>
          </w:p>
        </w:tc>
        <w:tc>
          <w:tcPr>
            <w:tcW w:w="298" w:type="pct"/>
            <w:vAlign w:val="center"/>
          </w:tcPr>
          <w:p w14:paraId="218657CF">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火灾危险性分类</w:t>
            </w:r>
          </w:p>
        </w:tc>
        <w:tc>
          <w:tcPr>
            <w:tcW w:w="267" w:type="pct"/>
            <w:vAlign w:val="center"/>
          </w:tcPr>
          <w:p w14:paraId="39E35254">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危害特性</w:t>
            </w:r>
          </w:p>
        </w:tc>
      </w:tr>
      <w:tr w14:paraId="229E5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3" w:type="pct"/>
            <w:vAlign w:val="center"/>
          </w:tcPr>
          <w:p w14:paraId="4D540934">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车用乙醇汽油</w:t>
            </w:r>
          </w:p>
        </w:tc>
        <w:tc>
          <w:tcPr>
            <w:tcW w:w="303" w:type="pct"/>
            <w:vAlign w:val="center"/>
          </w:tcPr>
          <w:p w14:paraId="2BF1DC65">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1630</w:t>
            </w:r>
          </w:p>
        </w:tc>
        <w:tc>
          <w:tcPr>
            <w:tcW w:w="287" w:type="pct"/>
            <w:vAlign w:val="center"/>
          </w:tcPr>
          <w:p w14:paraId="78A0D39F">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86290-81-5</w:t>
            </w:r>
          </w:p>
        </w:tc>
        <w:tc>
          <w:tcPr>
            <w:tcW w:w="260" w:type="pct"/>
            <w:vAlign w:val="center"/>
          </w:tcPr>
          <w:p w14:paraId="4CE37F29">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1203</w:t>
            </w:r>
          </w:p>
        </w:tc>
        <w:tc>
          <w:tcPr>
            <w:tcW w:w="261" w:type="pct"/>
            <w:vAlign w:val="center"/>
          </w:tcPr>
          <w:p w14:paraId="4E92203C">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宋体" w:hAnsi="宋体" w:eastAsia="宋体" w:cs="Times New Roman"/>
                <w:sz w:val="21"/>
                <w:szCs w:val="21"/>
                <w:highlight w:val="none"/>
                <w14:ligatures w14:val="none"/>
              </w:rPr>
              <w:t>Ⅱ</w:t>
            </w:r>
          </w:p>
        </w:tc>
        <w:tc>
          <w:tcPr>
            <w:tcW w:w="303" w:type="pct"/>
            <w:vAlign w:val="center"/>
          </w:tcPr>
          <w:p w14:paraId="56EB7D8E">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w:t>
            </w:r>
          </w:p>
        </w:tc>
        <w:tc>
          <w:tcPr>
            <w:tcW w:w="828" w:type="pct"/>
            <w:vAlign w:val="center"/>
          </w:tcPr>
          <w:p w14:paraId="233C8FAC">
            <w:pPr>
              <w:keepNext w:val="0"/>
              <w:keepLines w:val="0"/>
              <w:pageBreakBefore w:val="0"/>
              <w:widowControl/>
              <w:kinsoku/>
              <w:wordWrap/>
              <w:overflowPunct/>
              <w:topLinePunct w:val="0"/>
              <w:autoSpaceDE/>
              <w:autoSpaceDN/>
              <w:bidi w:val="0"/>
              <w:adjustRightInd w:val="0"/>
              <w:snapToGrid w:val="0"/>
              <w:spacing w:line="240" w:lineRule="auto"/>
              <w:ind w:firstLine="0" w:firstLineChars="0"/>
              <w:textAlignment w:val="auto"/>
              <w:rPr>
                <w:rFonts w:ascii="Times New Roman" w:hAnsi="Times New Roman" w:eastAsia="宋体" w:cs="Times New Roman"/>
                <w:kern w:val="0"/>
                <w:sz w:val="21"/>
                <w:szCs w:val="21"/>
                <w:highlight w:val="none"/>
                <w14:ligatures w14:val="none"/>
              </w:rPr>
            </w:pPr>
            <w:r>
              <w:rPr>
                <w:rFonts w:ascii="Times New Roman" w:hAnsi="Times New Roman" w:eastAsia="宋体" w:cs="Times New Roman"/>
                <w:sz w:val="21"/>
                <w:szCs w:val="21"/>
                <w:highlight w:val="none"/>
                <w14:ligatures w14:val="none"/>
              </w:rPr>
              <w:t>易燃液体，类别2</w:t>
            </w:r>
            <w:r>
              <w:rPr>
                <w:rFonts w:ascii="Times New Roman" w:hAnsi="Times New Roman" w:eastAsia="宋体" w:cs="Times New Roman"/>
                <w:kern w:val="0"/>
                <w:sz w:val="21"/>
                <w:szCs w:val="21"/>
                <w:highlight w:val="none"/>
                <w14:ligatures w14:val="none"/>
              </w:rPr>
              <w:t>*</w:t>
            </w:r>
          </w:p>
          <w:p w14:paraId="65608037">
            <w:pPr>
              <w:keepNext w:val="0"/>
              <w:keepLines w:val="0"/>
              <w:pageBreakBefore w:val="0"/>
              <w:widowControl/>
              <w:kinsoku/>
              <w:wordWrap/>
              <w:overflowPunct/>
              <w:topLinePunct w:val="0"/>
              <w:autoSpaceDE/>
              <w:autoSpaceDN/>
              <w:bidi w:val="0"/>
              <w:adjustRightInd w:val="0"/>
              <w:snapToGrid w:val="0"/>
              <w:spacing w:line="240" w:lineRule="auto"/>
              <w:ind w:firstLine="0" w:firstLineChars="0"/>
              <w:textAlignment w:val="auto"/>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生殖细胞致突变性</w:t>
            </w:r>
            <w:r>
              <w:rPr>
                <w:rFonts w:hint="eastAsia" w:ascii="Times New Roman" w:hAnsi="Times New Roman" w:eastAsia="宋体" w:cs="Times New Roman"/>
                <w:kern w:val="0"/>
                <w:sz w:val="21"/>
                <w:szCs w:val="21"/>
                <w:highlight w:val="none"/>
                <w14:ligatures w14:val="none"/>
              </w:rPr>
              <w:t>，</w:t>
            </w:r>
            <w:r>
              <w:rPr>
                <w:rFonts w:ascii="Times New Roman" w:hAnsi="Times New Roman" w:eastAsia="宋体" w:cs="Times New Roman"/>
                <w:kern w:val="0"/>
                <w:sz w:val="21"/>
                <w:szCs w:val="21"/>
                <w:highlight w:val="none"/>
                <w14:ligatures w14:val="none"/>
              </w:rPr>
              <w:t>类别1B</w:t>
            </w:r>
          </w:p>
          <w:p w14:paraId="4223A9CD">
            <w:pPr>
              <w:keepNext w:val="0"/>
              <w:keepLines w:val="0"/>
              <w:pageBreakBefore w:val="0"/>
              <w:widowControl/>
              <w:kinsoku/>
              <w:wordWrap/>
              <w:overflowPunct/>
              <w:topLinePunct w:val="0"/>
              <w:autoSpaceDE/>
              <w:autoSpaceDN/>
              <w:bidi w:val="0"/>
              <w:adjustRightInd w:val="0"/>
              <w:snapToGrid w:val="0"/>
              <w:spacing w:line="240" w:lineRule="auto"/>
              <w:ind w:firstLine="0" w:firstLineChars="0"/>
              <w:textAlignment w:val="auto"/>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致癌性</w:t>
            </w:r>
            <w:r>
              <w:rPr>
                <w:rFonts w:hint="eastAsia" w:ascii="Times New Roman" w:hAnsi="Times New Roman" w:eastAsia="宋体" w:cs="Times New Roman"/>
                <w:kern w:val="0"/>
                <w:sz w:val="21"/>
                <w:szCs w:val="21"/>
                <w:highlight w:val="none"/>
                <w14:ligatures w14:val="none"/>
              </w:rPr>
              <w:t>，</w:t>
            </w:r>
            <w:r>
              <w:rPr>
                <w:rFonts w:ascii="Times New Roman" w:hAnsi="Times New Roman" w:eastAsia="宋体" w:cs="Times New Roman"/>
                <w:kern w:val="0"/>
                <w:sz w:val="21"/>
                <w:szCs w:val="21"/>
                <w:highlight w:val="none"/>
                <w14:ligatures w14:val="none"/>
              </w:rPr>
              <w:t>类别2</w:t>
            </w:r>
          </w:p>
          <w:p w14:paraId="6D3605EC">
            <w:pPr>
              <w:keepNext w:val="0"/>
              <w:keepLines w:val="0"/>
              <w:pageBreakBefore w:val="0"/>
              <w:widowControl/>
              <w:kinsoku/>
              <w:wordWrap/>
              <w:overflowPunct/>
              <w:topLinePunct w:val="0"/>
              <w:autoSpaceDE/>
              <w:autoSpaceDN/>
              <w:bidi w:val="0"/>
              <w:adjustRightInd w:val="0"/>
              <w:snapToGrid w:val="0"/>
              <w:spacing w:line="240" w:lineRule="auto"/>
              <w:ind w:firstLine="0" w:firstLineChars="0"/>
              <w:textAlignment w:val="auto"/>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危害水生环境-急性危害</w:t>
            </w:r>
            <w:r>
              <w:rPr>
                <w:rFonts w:hint="eastAsia" w:ascii="Times New Roman" w:hAnsi="Times New Roman" w:eastAsia="宋体" w:cs="Times New Roman"/>
                <w:kern w:val="0"/>
                <w:sz w:val="21"/>
                <w:szCs w:val="21"/>
                <w:highlight w:val="none"/>
                <w14:ligatures w14:val="none"/>
              </w:rPr>
              <w:t>，</w:t>
            </w:r>
            <w:r>
              <w:rPr>
                <w:rFonts w:ascii="Times New Roman" w:hAnsi="Times New Roman" w:eastAsia="宋体" w:cs="Times New Roman"/>
                <w:kern w:val="0"/>
                <w:sz w:val="21"/>
                <w:szCs w:val="21"/>
                <w:highlight w:val="none"/>
                <w14:ligatures w14:val="none"/>
              </w:rPr>
              <w:t>类别2</w:t>
            </w:r>
          </w:p>
          <w:p w14:paraId="4C8E1084">
            <w:pPr>
              <w:keepNext w:val="0"/>
              <w:keepLines w:val="0"/>
              <w:pageBreakBefore w:val="0"/>
              <w:kinsoku/>
              <w:wordWrap/>
              <w:overflowPunct/>
              <w:topLinePunct w:val="0"/>
              <w:autoSpaceDE/>
              <w:autoSpaceDN/>
              <w:bidi w:val="0"/>
              <w:adjustRightInd w:val="0"/>
              <w:snapToGrid w:val="0"/>
              <w:spacing w:line="240" w:lineRule="auto"/>
              <w:ind w:firstLine="0" w:firstLineChars="0"/>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危害水生环境-长期危害</w:t>
            </w:r>
            <w:r>
              <w:rPr>
                <w:rFonts w:hint="eastAsia" w:ascii="Times New Roman" w:hAnsi="Times New Roman" w:eastAsia="宋体" w:cs="Times New Roman"/>
                <w:kern w:val="0"/>
                <w:sz w:val="21"/>
                <w:szCs w:val="21"/>
                <w:highlight w:val="none"/>
                <w14:ligatures w14:val="none"/>
              </w:rPr>
              <w:t>，</w:t>
            </w:r>
            <w:r>
              <w:rPr>
                <w:rFonts w:ascii="Times New Roman" w:hAnsi="Times New Roman" w:eastAsia="宋体" w:cs="Times New Roman"/>
                <w:kern w:val="0"/>
                <w:sz w:val="21"/>
                <w:szCs w:val="21"/>
                <w:highlight w:val="none"/>
                <w14:ligatures w14:val="none"/>
              </w:rPr>
              <w:t>类别2</w:t>
            </w:r>
          </w:p>
        </w:tc>
        <w:tc>
          <w:tcPr>
            <w:tcW w:w="432" w:type="pct"/>
            <w:vAlign w:val="center"/>
          </w:tcPr>
          <w:p w14:paraId="011C7372">
            <w:pPr>
              <w:keepNext w:val="0"/>
              <w:keepLines w:val="0"/>
              <w:pageBreakBefore w:val="0"/>
              <w:kinsoku/>
              <w:wordWrap/>
              <w:overflowPunct/>
              <w:topLinePunct w:val="0"/>
              <w:autoSpaceDE/>
              <w:autoSpaceDN/>
              <w:bidi w:val="0"/>
              <w:adjustRightInd w:val="0"/>
              <w:snapToGrid w:val="0"/>
              <w:spacing w:line="240" w:lineRule="auto"/>
              <w:ind w:firstLine="22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0.70～0.80</w:t>
            </w:r>
          </w:p>
        </w:tc>
        <w:tc>
          <w:tcPr>
            <w:tcW w:w="315" w:type="pct"/>
            <w:vAlign w:val="center"/>
          </w:tcPr>
          <w:p w14:paraId="3B858793">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30-205</w:t>
            </w:r>
          </w:p>
        </w:tc>
        <w:tc>
          <w:tcPr>
            <w:tcW w:w="302" w:type="pct"/>
            <w:vAlign w:val="center"/>
          </w:tcPr>
          <w:p w14:paraId="0CAEDDDC">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-46</w:t>
            </w:r>
          </w:p>
        </w:tc>
        <w:tc>
          <w:tcPr>
            <w:tcW w:w="384" w:type="pct"/>
            <w:vAlign w:val="center"/>
          </w:tcPr>
          <w:p w14:paraId="2B81FC7E">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PC-TWA：300mg/m³</w:t>
            </w:r>
          </w:p>
        </w:tc>
        <w:tc>
          <w:tcPr>
            <w:tcW w:w="210" w:type="pct"/>
            <w:vAlign w:val="center"/>
          </w:tcPr>
          <w:p w14:paraId="34C030C3">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低毒</w:t>
            </w:r>
          </w:p>
        </w:tc>
        <w:tc>
          <w:tcPr>
            <w:tcW w:w="257" w:type="pct"/>
            <w:vAlign w:val="center"/>
          </w:tcPr>
          <w:p w14:paraId="4C1B6B27">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1.4</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7.6%</w:t>
            </w:r>
          </w:p>
        </w:tc>
        <w:tc>
          <w:tcPr>
            <w:tcW w:w="298" w:type="pct"/>
            <w:vAlign w:val="center"/>
          </w:tcPr>
          <w:p w14:paraId="52EA877E">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甲类</w:t>
            </w:r>
          </w:p>
        </w:tc>
        <w:tc>
          <w:tcPr>
            <w:tcW w:w="267" w:type="pct"/>
            <w:vAlign w:val="center"/>
          </w:tcPr>
          <w:p w14:paraId="0A5CBBD4">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高度易燃液体</w:t>
            </w:r>
          </w:p>
        </w:tc>
      </w:tr>
      <w:tr w14:paraId="5A3A6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3" w:type="pct"/>
            <w:vAlign w:val="center"/>
          </w:tcPr>
          <w:p w14:paraId="3BE50583">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柴油</w:t>
            </w:r>
          </w:p>
        </w:tc>
        <w:tc>
          <w:tcPr>
            <w:tcW w:w="303" w:type="pct"/>
            <w:vAlign w:val="center"/>
          </w:tcPr>
          <w:p w14:paraId="5C1142B0">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1674</w:t>
            </w:r>
          </w:p>
        </w:tc>
        <w:tc>
          <w:tcPr>
            <w:tcW w:w="287" w:type="pct"/>
            <w:vAlign w:val="center"/>
          </w:tcPr>
          <w:p w14:paraId="1D383A73">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68334-30-5</w:t>
            </w:r>
          </w:p>
        </w:tc>
        <w:tc>
          <w:tcPr>
            <w:tcW w:w="260" w:type="pct"/>
            <w:vAlign w:val="center"/>
          </w:tcPr>
          <w:p w14:paraId="1126FF75">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1202</w:t>
            </w:r>
          </w:p>
        </w:tc>
        <w:tc>
          <w:tcPr>
            <w:tcW w:w="261" w:type="pct"/>
            <w:vAlign w:val="center"/>
          </w:tcPr>
          <w:p w14:paraId="2022EF64">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hint="eastAsia" w:ascii="宋体" w:hAnsi="宋体" w:eastAsia="宋体" w:cs="Times New Roman"/>
                <w:sz w:val="21"/>
                <w:szCs w:val="21"/>
                <w:highlight w:val="none"/>
                <w14:ligatures w14:val="none"/>
              </w:rPr>
            </w:pPr>
            <w:r>
              <w:rPr>
                <w:rFonts w:hint="eastAsia" w:ascii="宋体" w:hAnsi="宋体" w:eastAsia="宋体" w:cs="Times New Roman"/>
                <w:sz w:val="21"/>
                <w:szCs w:val="21"/>
                <w:highlight w:val="none"/>
                <w14:ligatures w14:val="none"/>
              </w:rPr>
              <w:t>Ⅲ</w:t>
            </w:r>
          </w:p>
        </w:tc>
        <w:tc>
          <w:tcPr>
            <w:tcW w:w="303" w:type="pct"/>
            <w:vAlign w:val="center"/>
          </w:tcPr>
          <w:p w14:paraId="77469888">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w:t>
            </w:r>
          </w:p>
        </w:tc>
        <w:tc>
          <w:tcPr>
            <w:tcW w:w="828" w:type="pct"/>
            <w:vAlign w:val="center"/>
          </w:tcPr>
          <w:p w14:paraId="6A568500">
            <w:pPr>
              <w:keepNext w:val="0"/>
              <w:keepLines w:val="0"/>
              <w:pageBreakBefore w:val="0"/>
              <w:widowControl/>
              <w:kinsoku/>
              <w:wordWrap/>
              <w:overflowPunct/>
              <w:topLinePunct w:val="0"/>
              <w:autoSpaceDE/>
              <w:autoSpaceDN/>
              <w:bidi w:val="0"/>
              <w:adjustRightInd w:val="0"/>
              <w:snapToGrid w:val="0"/>
              <w:spacing w:line="240" w:lineRule="auto"/>
              <w:ind w:firstLine="0" w:firstLineChars="0"/>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易燃液体，类别3</w:t>
            </w:r>
          </w:p>
        </w:tc>
        <w:tc>
          <w:tcPr>
            <w:tcW w:w="432" w:type="pct"/>
            <w:vAlign w:val="center"/>
          </w:tcPr>
          <w:p w14:paraId="14394AE9">
            <w:pPr>
              <w:keepNext w:val="0"/>
              <w:keepLines w:val="0"/>
              <w:pageBreakBefore w:val="0"/>
              <w:kinsoku/>
              <w:wordWrap/>
              <w:overflowPunct/>
              <w:topLinePunct w:val="0"/>
              <w:autoSpaceDE/>
              <w:autoSpaceDN/>
              <w:bidi w:val="0"/>
              <w:adjustRightInd w:val="0"/>
              <w:snapToGrid w:val="0"/>
              <w:spacing w:line="240" w:lineRule="auto"/>
              <w:ind w:firstLine="220" w:firstLineChars="0"/>
              <w:jc w:val="center"/>
              <w:textAlignment w:val="auto"/>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0.79～0.85</w:t>
            </w:r>
          </w:p>
        </w:tc>
        <w:tc>
          <w:tcPr>
            <w:tcW w:w="315" w:type="pct"/>
            <w:vAlign w:val="center"/>
          </w:tcPr>
          <w:p w14:paraId="74FB946C">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282-338</w:t>
            </w:r>
          </w:p>
        </w:tc>
        <w:tc>
          <w:tcPr>
            <w:tcW w:w="302" w:type="pct"/>
            <w:vAlign w:val="center"/>
          </w:tcPr>
          <w:p w14:paraId="25704263">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-35/</w:t>
            </w:r>
          </w:p>
          <w:p w14:paraId="7279F3E2">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≥45</w:t>
            </w:r>
          </w:p>
        </w:tc>
        <w:tc>
          <w:tcPr>
            <w:tcW w:w="384" w:type="pct"/>
            <w:vAlign w:val="center"/>
          </w:tcPr>
          <w:p w14:paraId="4B8E20A8">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210" w:type="pct"/>
            <w:vAlign w:val="center"/>
          </w:tcPr>
          <w:p w14:paraId="2687BB1A">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低毒</w:t>
            </w:r>
          </w:p>
        </w:tc>
        <w:tc>
          <w:tcPr>
            <w:tcW w:w="257" w:type="pct"/>
            <w:vAlign w:val="center"/>
          </w:tcPr>
          <w:p w14:paraId="4021A7C4">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0.6%-6.5%</w:t>
            </w:r>
          </w:p>
        </w:tc>
        <w:tc>
          <w:tcPr>
            <w:tcW w:w="298" w:type="pct"/>
            <w:vAlign w:val="center"/>
          </w:tcPr>
          <w:p w14:paraId="662DE371">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乙类</w:t>
            </w:r>
            <w:r>
              <w:rPr>
                <w:rFonts w:hint="eastAsia" w:ascii="Times New Roman" w:hAnsi="Times New Roman" w:eastAsia="宋体" w:cs="Times New Roman"/>
                <w:sz w:val="21"/>
                <w:szCs w:val="21"/>
                <w:highlight w:val="none"/>
                <w14:ligatures w14:val="none"/>
              </w:rPr>
              <w:t>/丙类</w:t>
            </w:r>
          </w:p>
        </w:tc>
        <w:tc>
          <w:tcPr>
            <w:tcW w:w="267" w:type="pct"/>
            <w:vAlign w:val="center"/>
          </w:tcPr>
          <w:p w14:paraId="097B4CB5">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eastAsia="宋体" w:cs="Times New Roman"/>
                <w:sz w:val="21"/>
                <w:szCs w:val="21"/>
                <w:highlight w:val="none"/>
                <w14:ligatures w14:val="none"/>
              </w:rPr>
            </w:pPr>
            <w:r>
              <w:rPr>
                <w:rFonts w:ascii="Times New Roman" w:hAnsi="Times New Roman" w:eastAsia="宋体" w:cs="Times New Roman"/>
                <w:bCs/>
                <w:sz w:val="21"/>
                <w:szCs w:val="21"/>
                <w:highlight w:val="none"/>
                <w14:ligatures w14:val="none"/>
              </w:rPr>
              <w:t>易燃、刺激性</w:t>
            </w:r>
          </w:p>
        </w:tc>
      </w:tr>
      <w:tr w14:paraId="39A1A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15"/>
          </w:tcPr>
          <w:p w14:paraId="2FD5D6E4">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ascii="Times New Roman" w:hAnsi="Times New Roman" w:eastAsia="宋体" w:cs="Times New Roman"/>
                <w:color w:val="FF0000"/>
                <w:sz w:val="21"/>
                <w:szCs w:val="21"/>
                <w:highlight w:val="none"/>
                <w14:ligatures w14:val="none"/>
              </w:rPr>
            </w:pPr>
            <w:r>
              <w:rPr>
                <w:rFonts w:hint="eastAsia" w:ascii="Times New Roman" w:hAnsi="Times New Roman" w:eastAsia="宋体" w:cs="Times New Roman"/>
                <w:sz w:val="21"/>
                <w:szCs w:val="21"/>
                <w:highlight w:val="none"/>
                <w14:ligatures w14:val="none"/>
              </w:rPr>
              <w:t>注：根据《危险货物品名表》（GB 12268-2012）辨识出柴油、车用乙醇汽油的UN编号、包装类别及主要危险性。</w:t>
            </w:r>
          </w:p>
        </w:tc>
      </w:tr>
    </w:tbl>
    <w:p w14:paraId="7F004926">
      <w:pPr>
        <w:pStyle w:val="42"/>
        <w:keepNext/>
        <w:spacing w:before="190" w:beforeLines="50" w:after="190" w:afterLines="50"/>
        <w:ind w:firstLine="480"/>
        <w:rPr>
          <w:rFonts w:eastAsia="黑体"/>
          <w:sz w:val="24"/>
          <w:highlight w:val="none"/>
        </w:rPr>
      </w:pPr>
    </w:p>
    <w:p w14:paraId="651225DD">
      <w:pPr>
        <w:ind w:firstLine="0" w:firstLineChars="0"/>
        <w:rPr>
          <w:rFonts w:ascii="Times New Roman" w:hAnsi="Times New Roman" w:eastAsia="黑体" w:cs="Times New Roman"/>
          <w:sz w:val="24"/>
          <w:szCs w:val="28"/>
          <w:highlight w:val="none"/>
        </w:rPr>
      </w:pPr>
    </w:p>
    <w:p w14:paraId="7CE9F8A3">
      <w:pPr>
        <w:ind w:firstLine="560"/>
        <w:rPr>
          <w:rFonts w:hint="eastAsia" w:eastAsia="黑体"/>
          <w:highlight w:val="none"/>
        </w:rPr>
        <w:sectPr>
          <w:pgSz w:w="16838" w:h="11906" w:orient="landscape"/>
          <w:pgMar w:top="1588" w:right="1418" w:bottom="1134" w:left="1134" w:header="851" w:footer="992" w:gutter="0"/>
          <w:pgBorders>
            <w:top w:val="none" w:sz="0" w:space="0"/>
            <w:left w:val="none" w:sz="0" w:space="0"/>
            <w:bottom w:val="none" w:sz="0" w:space="0"/>
            <w:right w:val="none" w:sz="0" w:space="0"/>
          </w:pgBorders>
          <w:pgNumType w:fmt="decimal"/>
          <w:cols w:space="425" w:num="1"/>
          <w:docGrid w:type="lines" w:linePitch="381" w:charSpace="0"/>
        </w:sectPr>
      </w:pPr>
    </w:p>
    <w:p w14:paraId="7AB28253">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46" w:name="_Toc187309998"/>
      <w:r>
        <w:rPr>
          <w:rFonts w:ascii="Times New Roman" w:hAnsi="Times New Roman" w:eastAsia="楷体" w:cs="宋体"/>
          <w:b/>
          <w:bCs/>
          <w:sz w:val="32"/>
          <w:szCs w:val="28"/>
          <w:highlight w:val="none"/>
          <w:lang w:bidi="ar"/>
          <w14:ligatures w14:val="none"/>
        </w:rPr>
        <w:t>3.2</w:t>
      </w:r>
      <w:r>
        <w:rPr>
          <w:rFonts w:hint="eastAsia" w:ascii="Times New Roman" w:hAnsi="Times New Roman" w:eastAsia="楷体" w:cs="宋体"/>
          <w:b/>
          <w:bCs/>
          <w:sz w:val="32"/>
          <w:szCs w:val="28"/>
          <w:highlight w:val="none"/>
          <w:lang w:bidi="ar"/>
          <w14:ligatures w14:val="none"/>
        </w:rPr>
        <w:t>储存、经营</w:t>
      </w:r>
      <w:r>
        <w:rPr>
          <w:rFonts w:ascii="Times New Roman" w:hAnsi="Times New Roman" w:eastAsia="楷体" w:cs="宋体"/>
          <w:b/>
          <w:bCs/>
          <w:sz w:val="32"/>
          <w:szCs w:val="28"/>
          <w:highlight w:val="none"/>
          <w:lang w:bidi="ar"/>
          <w14:ligatures w14:val="none"/>
        </w:rPr>
        <w:t>过程中的危险、有害因素分析</w:t>
      </w:r>
      <w:bookmarkEnd w:id="46"/>
    </w:p>
    <w:p w14:paraId="2D3E92E7">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根据《生产过程危险和有害因素分类与代码》</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GB/T 13861-2022</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和《企业职工伤亡事故分类》（GB 6441-1986）等有关规定，参照同类企业情况，对</w:t>
      </w: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危险、有害因素进行辨识和分析。主要存在的危险、有害因素有：火灾、爆炸、中毒和窒息、触电、车辆伤害、高处坠落、物体打击、坍塌、机械伤害、噪声及振动。危险有害因素详细分析过程见附件3（F3.2、F3.3）。</w:t>
      </w:r>
    </w:p>
    <w:p w14:paraId="54967F5C">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该站</w:t>
      </w:r>
      <w:r>
        <w:rPr>
          <w:rFonts w:ascii="Times New Roman" w:hAnsi="Times New Roman" w:eastAsia="宋体" w:cs="宋体"/>
          <w:szCs w:val="28"/>
          <w:highlight w:val="none"/>
          <w:lang w:bidi="ar"/>
          <w14:ligatures w14:val="none"/>
        </w:rPr>
        <w:t>的危险、有害因素的分布见下表3.2-1。</w:t>
      </w:r>
    </w:p>
    <w:p w14:paraId="4B04ECCF">
      <w:pPr>
        <w:pStyle w:val="42"/>
        <w:keepNext/>
        <w:spacing w:before="156" w:beforeLines="50" w:after="156" w:afterLines="50"/>
        <w:ind w:firstLine="480"/>
        <w:rPr>
          <w:rFonts w:eastAsia="黑体"/>
          <w:sz w:val="24"/>
          <w:highlight w:val="none"/>
        </w:rPr>
      </w:pPr>
      <w:r>
        <w:rPr>
          <w:rFonts w:eastAsia="黑体"/>
          <w:sz w:val="24"/>
          <w:highlight w:val="none"/>
        </w:rPr>
        <w:t>表3.2-1  危险、有害因素的分布表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2177"/>
        <w:gridCol w:w="7229"/>
      </w:tblGrid>
      <w:tr w14:paraId="27FA292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1157" w:type="pct"/>
            <w:vAlign w:val="center"/>
          </w:tcPr>
          <w:p w14:paraId="2516F12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危险、有害因素类型</w:t>
            </w:r>
          </w:p>
        </w:tc>
        <w:tc>
          <w:tcPr>
            <w:tcW w:w="3843" w:type="pct"/>
            <w:vAlign w:val="center"/>
          </w:tcPr>
          <w:p w14:paraId="7C2EBC4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分布场所</w:t>
            </w:r>
            <w:r>
              <w:rPr>
                <w:rFonts w:hint="eastAsia" w:ascii="Times New Roman" w:hAnsi="Times New Roman" w:eastAsia="宋体" w:cs="Times New Roman"/>
                <w:sz w:val="21"/>
                <w:szCs w:val="21"/>
                <w:highlight w:val="none"/>
                <w14:ligatures w14:val="none"/>
              </w:rPr>
              <w:t>或作业过程</w:t>
            </w:r>
          </w:p>
        </w:tc>
      </w:tr>
      <w:tr w14:paraId="55BB021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430A18C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火灾</w:t>
            </w:r>
            <w:r>
              <w:rPr>
                <w:rFonts w:hint="eastAsia" w:ascii="Times New Roman" w:hAnsi="Times New Roman" w:eastAsia="宋体" w:cs="Times New Roman"/>
                <w:sz w:val="21"/>
                <w:szCs w:val="21"/>
                <w:highlight w:val="none"/>
                <w14:ligatures w14:val="none"/>
              </w:rPr>
              <w:t>、爆炸</w:t>
            </w:r>
          </w:p>
        </w:tc>
        <w:tc>
          <w:tcPr>
            <w:tcW w:w="3843" w:type="pct"/>
            <w:vAlign w:val="center"/>
          </w:tcPr>
          <w:p w14:paraId="75659967">
            <w:pPr>
              <w:adjustRightInd/>
              <w:snapToGrid/>
              <w:spacing w:line="240" w:lineRule="auto"/>
              <w:ind w:firstLine="0" w:firstLineChars="0"/>
              <w:jc w:val="left"/>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埋地储油</w:t>
            </w:r>
            <w:r>
              <w:rPr>
                <w:rFonts w:ascii="Times New Roman" w:hAnsi="Times New Roman" w:eastAsia="宋体" w:cs="Times New Roman"/>
                <w:sz w:val="21"/>
                <w:szCs w:val="21"/>
                <w:highlight w:val="none"/>
                <w14:ligatures w14:val="none"/>
              </w:rPr>
              <w:t>罐区</w:t>
            </w:r>
            <w:r>
              <w:rPr>
                <w:rFonts w:hint="eastAsia" w:ascii="Times New Roman" w:hAnsi="Times New Roman" w:eastAsia="宋体" w:cs="Times New Roman"/>
                <w:sz w:val="21"/>
                <w:szCs w:val="21"/>
                <w:highlight w:val="none"/>
                <w14:ligatures w14:val="none"/>
              </w:rPr>
              <w:t>、加油作业区、配电柜等</w:t>
            </w:r>
            <w:r>
              <w:rPr>
                <w:rFonts w:ascii="Times New Roman" w:hAnsi="Times New Roman" w:eastAsia="宋体" w:cs="Times New Roman"/>
                <w:sz w:val="21"/>
                <w:szCs w:val="21"/>
                <w:highlight w:val="none"/>
                <w14:ligatures w14:val="none"/>
              </w:rPr>
              <w:t>。</w:t>
            </w:r>
          </w:p>
        </w:tc>
      </w:tr>
      <w:tr w14:paraId="5FA14DB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024B5DE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中毒和窒息</w:t>
            </w:r>
          </w:p>
        </w:tc>
        <w:tc>
          <w:tcPr>
            <w:tcW w:w="3843" w:type="pct"/>
            <w:vAlign w:val="center"/>
          </w:tcPr>
          <w:p w14:paraId="205E604E">
            <w:pPr>
              <w:adjustRightInd/>
              <w:snapToGrid/>
              <w:spacing w:line="240" w:lineRule="auto"/>
              <w:ind w:firstLine="0" w:firstLineChars="0"/>
              <w:jc w:val="left"/>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储罐内清罐作业、加油作业时油品泄漏、卸油作业时油品泄漏挥发</w:t>
            </w:r>
            <w:r>
              <w:rPr>
                <w:rFonts w:hint="eastAsia" w:ascii="Times New Roman" w:hAnsi="Times New Roman" w:eastAsia="宋体" w:cs="Times New Roman"/>
                <w:sz w:val="21"/>
                <w:szCs w:val="21"/>
                <w:highlight w:val="none"/>
                <w14:ligatures w14:val="none"/>
              </w:rPr>
              <w:t>、操作井内进行计量作业时油品泄漏</w:t>
            </w:r>
            <w:r>
              <w:rPr>
                <w:rFonts w:ascii="Times New Roman" w:hAnsi="Times New Roman" w:eastAsia="宋体" w:cs="Times New Roman"/>
                <w:sz w:val="21"/>
                <w:szCs w:val="21"/>
                <w:highlight w:val="none"/>
                <w14:ligatures w14:val="none"/>
              </w:rPr>
              <w:t>等。</w:t>
            </w:r>
          </w:p>
        </w:tc>
      </w:tr>
      <w:tr w14:paraId="478865D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4A2EDA2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触电</w:t>
            </w:r>
          </w:p>
        </w:tc>
        <w:tc>
          <w:tcPr>
            <w:tcW w:w="3843" w:type="pct"/>
            <w:vAlign w:val="center"/>
          </w:tcPr>
          <w:p w14:paraId="02746D0E">
            <w:pPr>
              <w:adjustRightInd/>
              <w:snapToGrid/>
              <w:spacing w:line="240" w:lineRule="auto"/>
              <w:ind w:firstLine="0" w:firstLineChars="0"/>
              <w:jc w:val="left"/>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用电设备、电线、电缆等。</w:t>
            </w:r>
          </w:p>
        </w:tc>
      </w:tr>
      <w:tr w14:paraId="5183708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56B8967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车辆伤害</w:t>
            </w:r>
          </w:p>
        </w:tc>
        <w:tc>
          <w:tcPr>
            <w:tcW w:w="3843" w:type="pct"/>
            <w:vAlign w:val="center"/>
          </w:tcPr>
          <w:p w14:paraId="02715982">
            <w:pPr>
              <w:adjustRightInd/>
              <w:snapToGrid/>
              <w:spacing w:line="240" w:lineRule="auto"/>
              <w:ind w:firstLine="0" w:firstLineChars="0"/>
              <w:jc w:val="left"/>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过往频繁的</w:t>
            </w:r>
            <w:r>
              <w:rPr>
                <w:rFonts w:hint="eastAsia" w:ascii="Times New Roman" w:hAnsi="Times New Roman" w:eastAsia="宋体" w:cs="Times New Roman"/>
                <w:sz w:val="21"/>
                <w:szCs w:val="21"/>
                <w:highlight w:val="none"/>
                <w14:ligatures w14:val="none"/>
              </w:rPr>
              <w:t>加油</w:t>
            </w:r>
            <w:r>
              <w:rPr>
                <w:rFonts w:ascii="Times New Roman" w:hAnsi="Times New Roman" w:eastAsia="宋体" w:cs="Times New Roman"/>
                <w:sz w:val="21"/>
                <w:szCs w:val="21"/>
                <w:highlight w:val="none"/>
                <w14:ligatures w14:val="none"/>
              </w:rPr>
              <w:t>车辆</w:t>
            </w:r>
            <w:r>
              <w:rPr>
                <w:rFonts w:hint="eastAsia" w:ascii="Times New Roman" w:hAnsi="Times New Roman" w:eastAsia="宋体" w:cs="Times New Roman"/>
                <w:sz w:val="21"/>
                <w:szCs w:val="21"/>
                <w:highlight w:val="none"/>
                <w14:ligatures w14:val="none"/>
              </w:rPr>
              <w:t>、卸油区进行卸油作业时</w:t>
            </w:r>
            <w:r>
              <w:rPr>
                <w:rFonts w:ascii="Times New Roman" w:hAnsi="Times New Roman" w:eastAsia="宋体" w:cs="Times New Roman"/>
                <w:sz w:val="21"/>
                <w:szCs w:val="21"/>
                <w:highlight w:val="none"/>
                <w14:ligatures w14:val="none"/>
              </w:rPr>
              <w:t>。</w:t>
            </w:r>
          </w:p>
        </w:tc>
      </w:tr>
      <w:tr w14:paraId="6121B28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3A80832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高处坠落</w:t>
            </w:r>
          </w:p>
        </w:tc>
        <w:tc>
          <w:tcPr>
            <w:tcW w:w="3843" w:type="pct"/>
            <w:vAlign w:val="center"/>
          </w:tcPr>
          <w:p w14:paraId="6F350C31">
            <w:pPr>
              <w:adjustRightInd/>
              <w:snapToGrid/>
              <w:spacing w:line="240" w:lineRule="auto"/>
              <w:ind w:firstLine="0" w:firstLineChars="0"/>
              <w:jc w:val="left"/>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罩棚等高处作业场所。</w:t>
            </w:r>
          </w:p>
        </w:tc>
      </w:tr>
      <w:tr w14:paraId="2599AD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64C9DEB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物体打击</w:t>
            </w:r>
          </w:p>
        </w:tc>
        <w:tc>
          <w:tcPr>
            <w:tcW w:w="3843" w:type="pct"/>
            <w:vAlign w:val="center"/>
          </w:tcPr>
          <w:p w14:paraId="2F7138B8">
            <w:pPr>
              <w:adjustRightInd/>
              <w:snapToGrid/>
              <w:spacing w:line="240" w:lineRule="auto"/>
              <w:ind w:firstLine="0" w:firstLineChars="0"/>
              <w:jc w:val="left"/>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卸油区作业过程、</w:t>
            </w:r>
            <w:r>
              <w:rPr>
                <w:rFonts w:ascii="Times New Roman" w:hAnsi="Times New Roman" w:eastAsia="宋体" w:cs="Times New Roman"/>
                <w:sz w:val="21"/>
                <w:szCs w:val="21"/>
                <w:highlight w:val="none"/>
                <w14:ligatures w14:val="none"/>
              </w:rPr>
              <w:t>罩棚等高处作业场所维修处。</w:t>
            </w:r>
          </w:p>
        </w:tc>
      </w:tr>
      <w:tr w14:paraId="05AAAC2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13A0275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坍塌</w:t>
            </w:r>
          </w:p>
        </w:tc>
        <w:tc>
          <w:tcPr>
            <w:tcW w:w="3843" w:type="pct"/>
            <w:vAlign w:val="center"/>
          </w:tcPr>
          <w:p w14:paraId="0211F32D">
            <w:pPr>
              <w:adjustRightInd/>
              <w:snapToGrid/>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罩棚等建（构）筑物。</w:t>
            </w:r>
          </w:p>
        </w:tc>
      </w:tr>
      <w:tr w14:paraId="62E1D9D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7F9B7E2E">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机械伤害</w:t>
            </w:r>
          </w:p>
        </w:tc>
        <w:tc>
          <w:tcPr>
            <w:tcW w:w="3843" w:type="pct"/>
            <w:vAlign w:val="center"/>
          </w:tcPr>
          <w:p w14:paraId="0B44A104">
            <w:pPr>
              <w:adjustRightInd/>
              <w:snapToGrid/>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加油机、油泵等操作不当、</w:t>
            </w:r>
            <w:r>
              <w:rPr>
                <w:rFonts w:ascii="Times New Roman" w:hAnsi="Times New Roman" w:eastAsia="宋体" w:cs="Times New Roman"/>
                <w:sz w:val="21"/>
                <w:szCs w:val="21"/>
                <w:highlight w:val="none"/>
                <w14:ligatures w14:val="none"/>
              </w:rPr>
              <w:t>检维修过程中使用机械设备的场所。</w:t>
            </w:r>
          </w:p>
        </w:tc>
      </w:tr>
      <w:tr w14:paraId="7CB4883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0D6DE5B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噪声及振动</w:t>
            </w:r>
          </w:p>
        </w:tc>
        <w:tc>
          <w:tcPr>
            <w:tcW w:w="3843" w:type="pct"/>
            <w:vAlign w:val="center"/>
          </w:tcPr>
          <w:p w14:paraId="4C127F90">
            <w:pPr>
              <w:adjustRightInd/>
              <w:snapToGrid/>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卸油、加油场所。</w:t>
            </w:r>
          </w:p>
        </w:tc>
      </w:tr>
    </w:tbl>
    <w:p w14:paraId="224D7B88">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47" w:name="_Toc4543"/>
      <w:bookmarkStart w:id="48" w:name="_Toc187309999"/>
      <w:bookmarkStart w:id="49" w:name="_Toc18025"/>
      <w:r>
        <w:rPr>
          <w:rFonts w:ascii="Times New Roman" w:hAnsi="Times New Roman" w:eastAsia="楷体" w:cs="宋体"/>
          <w:b/>
          <w:bCs/>
          <w:sz w:val="32"/>
          <w:szCs w:val="28"/>
          <w:highlight w:val="none"/>
          <w:lang w:bidi="ar"/>
          <w14:ligatures w14:val="none"/>
        </w:rPr>
        <w:t>3.3</w:t>
      </w:r>
      <w:bookmarkEnd w:id="47"/>
      <w:r>
        <w:rPr>
          <w:rFonts w:hint="eastAsia" w:ascii="Times New Roman" w:hAnsi="Times New Roman" w:eastAsia="楷体" w:cs="宋体"/>
          <w:b/>
          <w:bCs/>
          <w:sz w:val="32"/>
          <w:szCs w:val="28"/>
          <w:highlight w:val="none"/>
          <w:lang w:bidi="ar"/>
          <w14:ligatures w14:val="none"/>
        </w:rPr>
        <w:t>“</w:t>
      </w:r>
      <w:r>
        <w:rPr>
          <w:rFonts w:ascii="Times New Roman" w:hAnsi="Times New Roman" w:eastAsia="楷体" w:cs="宋体"/>
          <w:b/>
          <w:bCs/>
          <w:sz w:val="32"/>
          <w:szCs w:val="28"/>
          <w:highlight w:val="none"/>
          <w:lang w:bidi="ar"/>
          <w14:ligatures w14:val="none"/>
        </w:rPr>
        <w:t>两重点、一重大</w:t>
      </w:r>
      <w:r>
        <w:rPr>
          <w:rFonts w:hint="eastAsia" w:ascii="Times New Roman" w:hAnsi="Times New Roman" w:eastAsia="楷体" w:cs="宋体"/>
          <w:b/>
          <w:bCs/>
          <w:sz w:val="32"/>
          <w:szCs w:val="28"/>
          <w:highlight w:val="none"/>
          <w:lang w:bidi="ar"/>
          <w14:ligatures w14:val="none"/>
        </w:rPr>
        <w:t>”</w:t>
      </w:r>
      <w:r>
        <w:rPr>
          <w:rFonts w:ascii="Times New Roman" w:hAnsi="Times New Roman" w:eastAsia="楷体" w:cs="宋体"/>
          <w:b/>
          <w:bCs/>
          <w:sz w:val="32"/>
          <w:szCs w:val="28"/>
          <w:highlight w:val="none"/>
          <w:lang w:bidi="ar"/>
          <w14:ligatures w14:val="none"/>
        </w:rPr>
        <w:t>情况</w:t>
      </w:r>
      <w:bookmarkEnd w:id="48"/>
      <w:bookmarkEnd w:id="49"/>
    </w:p>
    <w:p w14:paraId="1188C72F">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3.3.1重点监管危险化学品情况及其它重要物质辨识结果</w:t>
      </w:r>
    </w:p>
    <w:p w14:paraId="474E0115">
      <w:pPr>
        <w:ind w:firstLine="560"/>
        <w:rPr>
          <w:rFonts w:ascii="Times New Roman" w:hAnsi="Times New Roman" w:eastAsia="宋体" w:cs="Times New Roman"/>
          <w:szCs w:val="28"/>
          <w:highlight w:val="none"/>
          <w:lang w:bidi="en-US"/>
          <w14:ligatures w14:val="none"/>
        </w:rPr>
      </w:pPr>
      <w:r>
        <w:rPr>
          <w:rFonts w:ascii="Times New Roman" w:hAnsi="Times New Roman" w:eastAsia="宋体" w:cs="Times New Roman"/>
          <w:szCs w:val="28"/>
          <w:highlight w:val="none"/>
          <w:lang w:bidi="en-US"/>
          <w14:ligatures w14:val="none"/>
        </w:rPr>
        <w:t>根据《国家安全监管总局关于公布首批重点监管的危险化学品名录的通知》（安监总管三[2011]95号）和《国家安全监管总局关于公布第二批重点监管危险化学品名录的通知》（安监总管三[2013]12号），</w:t>
      </w:r>
      <w:r>
        <w:rPr>
          <w:rFonts w:ascii="Times New Roman" w:hAnsi="Times New Roman" w:eastAsia="宋体" w:cs="Times New Roman"/>
          <w:szCs w:val="20"/>
          <w:highlight w:val="none"/>
          <w14:ligatures w14:val="none"/>
        </w:rPr>
        <w:t>车用乙醇汽油为国家重点监</w:t>
      </w:r>
      <w:r>
        <w:rPr>
          <w:rFonts w:ascii="Times New Roman" w:hAnsi="Times New Roman" w:eastAsia="宋体" w:cs="Times New Roman"/>
          <w:szCs w:val="28"/>
          <w:highlight w:val="none"/>
          <w:lang w:bidi="en-US"/>
          <w14:ligatures w14:val="none"/>
        </w:rPr>
        <w:t>管的危险化学品。</w:t>
      </w:r>
    </w:p>
    <w:p w14:paraId="168C6683">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8"/>
          <w:highlight w:val="none"/>
          <w:lang w:bidi="en-US"/>
          <w14:ligatures w14:val="none"/>
        </w:rPr>
        <w:t>根据《特别管控危险化学品目录（第一版）》（应急管理部工业和信息化部 公安部 交通运输部[2020]第3号），</w:t>
      </w:r>
      <w:r>
        <w:rPr>
          <w:rFonts w:ascii="Times New Roman" w:hAnsi="Times New Roman" w:eastAsia="宋体" w:cs="Times New Roman"/>
          <w:szCs w:val="20"/>
          <w:highlight w:val="none"/>
          <w14:ligatures w14:val="none"/>
        </w:rPr>
        <w:t>车用乙醇汽油</w:t>
      </w:r>
      <w:r>
        <w:rPr>
          <w:rFonts w:ascii="Times New Roman" w:hAnsi="Times New Roman" w:eastAsia="宋体" w:cs="Times New Roman"/>
          <w:szCs w:val="28"/>
          <w:highlight w:val="none"/>
          <w:lang w:bidi="en-US"/>
          <w14:ligatures w14:val="none"/>
        </w:rPr>
        <w:t>是特别管控危险化学品。</w:t>
      </w:r>
    </w:p>
    <w:p w14:paraId="234567F0">
      <w:pPr>
        <w:ind w:firstLine="560"/>
        <w:rPr>
          <w:rFonts w:ascii="Times New Roman" w:hAnsi="Times New Roman" w:eastAsia="宋体" w:cs="Times New Roman"/>
          <w:szCs w:val="28"/>
          <w:highlight w:val="none"/>
          <w:lang w:bidi="en-US"/>
          <w14:ligatures w14:val="none"/>
        </w:rPr>
      </w:pPr>
      <w:r>
        <w:rPr>
          <w:rFonts w:ascii="Times New Roman" w:hAnsi="Times New Roman" w:eastAsia="宋体" w:cs="Times New Roman"/>
          <w:szCs w:val="28"/>
          <w:highlight w:val="none"/>
          <w:lang w:bidi="en-US"/>
          <w14:ligatures w14:val="none"/>
        </w:rPr>
        <w:t>根据《易制爆危险化学品名录（2017年版）》（中华人民共和国公安部公告，2017年05月11日），</w:t>
      </w:r>
      <w:r>
        <w:rPr>
          <w:rFonts w:hint="eastAsia" w:ascii="Times New Roman" w:hAnsi="Times New Roman" w:eastAsia="宋体" w:cs="Times New Roman"/>
          <w:szCs w:val="28"/>
          <w:highlight w:val="none"/>
          <w:lang w:bidi="en-US"/>
          <w14:ligatures w14:val="none"/>
        </w:rPr>
        <w:t>该站</w:t>
      </w:r>
      <w:r>
        <w:rPr>
          <w:rFonts w:ascii="Times New Roman" w:hAnsi="Times New Roman" w:eastAsia="宋体" w:cs="Times New Roman"/>
          <w:szCs w:val="28"/>
          <w:highlight w:val="none"/>
          <w:lang w:bidi="en-US"/>
          <w14:ligatures w14:val="none"/>
        </w:rPr>
        <w:t>未涉及易制爆危险化学品。</w:t>
      </w:r>
    </w:p>
    <w:p w14:paraId="38B12C71">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根据《</w:t>
      </w:r>
      <w:r>
        <w:rPr>
          <w:rFonts w:ascii="Times New Roman" w:hAnsi="Times New Roman" w:eastAsia="宋体" w:cs="Times New Roman"/>
          <w:bCs/>
          <w:szCs w:val="28"/>
          <w:highlight w:val="none"/>
          <w14:ligatures w14:val="none"/>
        </w:rPr>
        <w:t>易制毒化学品的分类和品种目录</w:t>
      </w:r>
      <w:r>
        <w:rPr>
          <w:rFonts w:ascii="Times New Roman" w:hAnsi="Times New Roman" w:eastAsia="宋体" w:cs="Times New Roman"/>
          <w:szCs w:val="20"/>
          <w:highlight w:val="none"/>
          <w14:ligatures w14:val="none"/>
        </w:rPr>
        <w:t>（</w:t>
      </w:r>
      <w:r>
        <w:rPr>
          <w:rFonts w:hint="eastAsia" w:ascii="Times New Roman" w:hAnsi="Times New Roman" w:eastAsia="宋体" w:cs="Times New Roman"/>
          <w:szCs w:val="20"/>
          <w:highlight w:val="none"/>
          <w14:ligatures w14:val="none"/>
        </w:rPr>
        <w:t>2021</w:t>
      </w:r>
      <w:r>
        <w:rPr>
          <w:rFonts w:ascii="Times New Roman" w:hAnsi="Times New Roman" w:eastAsia="宋体" w:cs="Times New Roman"/>
          <w:szCs w:val="20"/>
          <w:highlight w:val="none"/>
          <w14:ligatures w14:val="none"/>
        </w:rPr>
        <w:t>年版）》（国办函</w:t>
      </w:r>
      <w:r>
        <w:rPr>
          <w:rFonts w:ascii="Times New Roman" w:hAnsi="Times New Roman" w:eastAsia="宋体" w:cs="Times New Roman"/>
          <w:szCs w:val="28"/>
          <w:highlight w:val="none"/>
          <w:lang w:bidi="en-US"/>
          <w14:ligatures w14:val="none"/>
        </w:rPr>
        <w:t>[2021]58号</w:t>
      </w:r>
      <w:r>
        <w:rPr>
          <w:rFonts w:ascii="Times New Roman" w:hAnsi="Times New Roman" w:eastAsia="宋体" w:cs="Times New Roman"/>
          <w:szCs w:val="20"/>
          <w:highlight w:val="none"/>
          <w14:ligatures w14:val="none"/>
        </w:rPr>
        <w:t>）的规定，</w:t>
      </w:r>
      <w:r>
        <w:rPr>
          <w:rFonts w:hint="eastAsia" w:ascii="Times New Roman" w:hAnsi="Times New Roman" w:eastAsia="宋体" w:cs="Times New Roman"/>
          <w:szCs w:val="28"/>
          <w:highlight w:val="none"/>
          <w:lang w:bidi="en-US"/>
          <w14:ligatures w14:val="none"/>
        </w:rPr>
        <w:t>该站</w:t>
      </w:r>
      <w:r>
        <w:rPr>
          <w:rFonts w:ascii="Times New Roman" w:hAnsi="Times New Roman" w:eastAsia="宋体" w:cs="Times New Roman"/>
          <w:szCs w:val="28"/>
          <w:highlight w:val="none"/>
          <w:lang w:bidi="en-US"/>
          <w14:ligatures w14:val="none"/>
        </w:rPr>
        <w:t>未涉及易制毒危险化学品。</w:t>
      </w:r>
    </w:p>
    <w:p w14:paraId="0002C51E">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3.3.2重点监管危险化工工艺情况</w:t>
      </w:r>
    </w:p>
    <w:p w14:paraId="0550D01E">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Pr>
          <w:rFonts w:hint="eastAsia" w:ascii="Times New Roman" w:hAnsi="Times New Roman" w:eastAsia="宋体" w:cs="Times New Roman"/>
          <w:szCs w:val="28"/>
          <w:highlight w:val="none"/>
          <w:lang w:bidi="en-US"/>
          <w14:ligatures w14:val="none"/>
        </w:rPr>
        <w:t>该站</w:t>
      </w:r>
      <w:r>
        <w:rPr>
          <w:rFonts w:ascii="Times New Roman" w:hAnsi="Times New Roman" w:eastAsia="宋体" w:cs="Times New Roman"/>
          <w:szCs w:val="20"/>
          <w:highlight w:val="none"/>
          <w14:ligatures w14:val="none"/>
        </w:rPr>
        <w:t>未涉及重点监管危险化工工艺。</w:t>
      </w:r>
    </w:p>
    <w:p w14:paraId="084CB591">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3.3.3重大危险源情况</w:t>
      </w:r>
    </w:p>
    <w:p w14:paraId="01DE3280">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根据《危险化学品重大危险源辨识》（GB 18218-2018）辨识，</w:t>
      </w:r>
      <w:r>
        <w:rPr>
          <w:rFonts w:hint="eastAsia" w:ascii="Times New Roman" w:hAnsi="Times New Roman" w:eastAsia="宋体" w:cs="Times New Roman"/>
          <w:szCs w:val="28"/>
          <w:highlight w:val="none"/>
          <w:lang w:bidi="en-US"/>
          <w14:ligatures w14:val="none"/>
        </w:rPr>
        <w:t>本项目</w:t>
      </w:r>
      <w:r>
        <w:rPr>
          <w:rFonts w:ascii="Times New Roman" w:hAnsi="Times New Roman" w:eastAsia="宋体" w:cs="Times New Roman"/>
          <w:szCs w:val="28"/>
          <w:highlight w:val="none"/>
          <w14:ligatures w14:val="none"/>
        </w:rPr>
        <w:t>生产单元、储存单元均未构成危险化学品重大危险源。具体辨识过程详见附件F3.4。</w:t>
      </w:r>
      <w:r>
        <w:rPr>
          <w:rFonts w:ascii="Times New Roman" w:hAnsi="Times New Roman" w:eastAsia="宋体" w:cs="Times New Roman"/>
          <w:szCs w:val="28"/>
          <w:highlight w:val="none"/>
          <w14:ligatures w14:val="none"/>
        </w:rPr>
        <w:br w:type="page"/>
      </w:r>
    </w:p>
    <w:p w14:paraId="7D36D8D4">
      <w:pPr>
        <w:spacing w:before="468" w:beforeLines="150" w:after="468" w:afterLines="150"/>
        <w:ind w:firstLine="0" w:firstLineChars="0"/>
        <w:jc w:val="center"/>
        <w:outlineLvl w:val="0"/>
        <w:rPr>
          <w:rFonts w:ascii="Times New Roman" w:hAnsi="Times New Roman" w:eastAsia="黑体" w:cs="宋体"/>
          <w:b/>
          <w:bCs/>
          <w:sz w:val="32"/>
          <w:szCs w:val="28"/>
          <w:highlight w:val="none"/>
          <w:lang w:bidi="ar"/>
          <w14:ligatures w14:val="none"/>
        </w:rPr>
      </w:pPr>
      <w:bookmarkStart w:id="50" w:name="_Toc187310000"/>
      <w:r>
        <w:rPr>
          <w:rFonts w:ascii="Times New Roman" w:hAnsi="Times New Roman" w:eastAsia="黑体" w:cs="宋体"/>
          <w:b/>
          <w:bCs/>
          <w:sz w:val="32"/>
          <w:szCs w:val="28"/>
          <w:highlight w:val="none"/>
          <w:lang w:bidi="ar"/>
          <w14:ligatures w14:val="none"/>
        </w:rPr>
        <w:t>4评价单元的划分与评价方法的选择</w:t>
      </w:r>
      <w:bookmarkEnd w:id="50"/>
    </w:p>
    <w:p w14:paraId="3C29265E">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51" w:name="_Toc187310001"/>
      <w:r>
        <w:rPr>
          <w:rFonts w:ascii="Times New Roman" w:hAnsi="Times New Roman" w:eastAsia="楷体" w:cs="宋体"/>
          <w:b/>
          <w:bCs/>
          <w:sz w:val="32"/>
          <w:szCs w:val="28"/>
          <w:highlight w:val="none"/>
          <w:lang w:bidi="ar"/>
          <w14:ligatures w14:val="none"/>
        </w:rPr>
        <w:t>4.1评价单元的划分</w:t>
      </w:r>
      <w:bookmarkEnd w:id="51"/>
    </w:p>
    <w:p w14:paraId="11B1A69D">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评价单元的划分是为评价目标和评价方法服务的。为便于评价工作的进行，提高评价工作的准确性，评价单元一般根据生产工艺装置、物料的特点和特征与危险、有害因素的类别、分布等因素进行划分，还可以按评价的需求将一个评价单元再划分为若干子评价单元。</w:t>
      </w:r>
    </w:p>
    <w:p w14:paraId="67518CEE">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根据本项目的实际情况，将评价对象划分成以下5个评价单元：选址及总平面布置、加油工艺设备及设施、公用工程及辅助设施以及安全管理、重大生产安全事故隐患判定单元。</w:t>
      </w:r>
    </w:p>
    <w:p w14:paraId="3E9873A2">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52" w:name="_Toc187310002"/>
      <w:r>
        <w:rPr>
          <w:rFonts w:ascii="Times New Roman" w:hAnsi="Times New Roman" w:eastAsia="楷体" w:cs="宋体"/>
          <w:b/>
          <w:bCs/>
          <w:sz w:val="32"/>
          <w:szCs w:val="28"/>
          <w:highlight w:val="none"/>
          <w:lang w:bidi="ar"/>
          <w14:ligatures w14:val="none"/>
        </w:rPr>
        <w:t>4.2安全评价方法的选择</w:t>
      </w:r>
      <w:bookmarkEnd w:id="52"/>
    </w:p>
    <w:p w14:paraId="7998DA46">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4.2.1采用的安全评价方法</w:t>
      </w:r>
    </w:p>
    <w:p w14:paraId="74959F6A">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表4.2-1  各单元评价方法的选择</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3629"/>
        <w:gridCol w:w="5777"/>
      </w:tblGrid>
      <w:tr w14:paraId="363926B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PrEx>
        <w:trPr>
          <w:trHeight w:val="503" w:hRule="atLeast"/>
          <w:jc w:val="center"/>
        </w:trPr>
        <w:tc>
          <w:tcPr>
            <w:tcW w:w="1929" w:type="pct"/>
            <w:vAlign w:val="center"/>
          </w:tcPr>
          <w:p w14:paraId="35FF63C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单元</w:t>
            </w:r>
          </w:p>
        </w:tc>
        <w:tc>
          <w:tcPr>
            <w:tcW w:w="3071" w:type="pct"/>
            <w:vAlign w:val="center"/>
          </w:tcPr>
          <w:p w14:paraId="21A446B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评价方法</w:t>
            </w:r>
          </w:p>
        </w:tc>
      </w:tr>
      <w:tr w14:paraId="185BB1F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498EB3E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选址及总平面布置单元</w:t>
            </w:r>
          </w:p>
        </w:tc>
        <w:tc>
          <w:tcPr>
            <w:tcW w:w="3071" w:type="pct"/>
            <w:vAlign w:val="center"/>
          </w:tcPr>
          <w:p w14:paraId="0297E5E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安全检查表法</w:t>
            </w:r>
          </w:p>
        </w:tc>
      </w:tr>
      <w:tr w14:paraId="34D218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10C77C3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加油</w:t>
            </w:r>
            <w:r>
              <w:rPr>
                <w:rFonts w:ascii="Times New Roman" w:hAnsi="Times New Roman" w:eastAsia="宋体" w:cs="Times New Roman"/>
                <w:sz w:val="21"/>
                <w:szCs w:val="21"/>
                <w:highlight w:val="none"/>
                <w14:ligatures w14:val="none"/>
              </w:rPr>
              <w:t>工艺及设施单元</w:t>
            </w:r>
          </w:p>
        </w:tc>
        <w:tc>
          <w:tcPr>
            <w:tcW w:w="3071" w:type="pct"/>
            <w:vAlign w:val="center"/>
          </w:tcPr>
          <w:p w14:paraId="4FF63EB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安全检查表法、</w:t>
            </w:r>
            <w:r>
              <w:rPr>
                <w:rFonts w:hint="eastAsia" w:ascii="Times New Roman" w:hAnsi="Times New Roman" w:eastAsia="宋体" w:cs="Times New Roman"/>
                <w:sz w:val="21"/>
                <w:szCs w:val="21"/>
                <w:highlight w:val="none"/>
                <w14:ligatures w14:val="none"/>
              </w:rPr>
              <w:t>作业条件危险性分析</w:t>
            </w:r>
            <w:r>
              <w:rPr>
                <w:rFonts w:ascii="Times New Roman" w:hAnsi="Times New Roman" w:eastAsia="宋体" w:cs="Times New Roman"/>
                <w:sz w:val="21"/>
                <w:szCs w:val="21"/>
                <w:highlight w:val="none"/>
                <w14:ligatures w14:val="none"/>
              </w:rPr>
              <w:t>法、TNT当量法</w:t>
            </w:r>
          </w:p>
        </w:tc>
      </w:tr>
      <w:tr w14:paraId="6088BC7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7B0799E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公辅工程及辅助设施单元</w:t>
            </w:r>
          </w:p>
        </w:tc>
        <w:tc>
          <w:tcPr>
            <w:tcW w:w="3071" w:type="pct"/>
            <w:vAlign w:val="center"/>
          </w:tcPr>
          <w:p w14:paraId="6DA7FC5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安全检查表法</w:t>
            </w:r>
          </w:p>
        </w:tc>
      </w:tr>
      <w:tr w14:paraId="2F96F35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78B3353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安全管理单元</w:t>
            </w:r>
          </w:p>
        </w:tc>
        <w:tc>
          <w:tcPr>
            <w:tcW w:w="3071" w:type="pct"/>
            <w:vAlign w:val="center"/>
          </w:tcPr>
          <w:p w14:paraId="0E0D4ED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安全检查表法</w:t>
            </w:r>
          </w:p>
        </w:tc>
      </w:tr>
      <w:tr w14:paraId="403F0C7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4D01100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重大生产安全事故隐患判定单元</w:t>
            </w:r>
          </w:p>
        </w:tc>
        <w:tc>
          <w:tcPr>
            <w:tcW w:w="3071" w:type="pct"/>
            <w:vAlign w:val="center"/>
          </w:tcPr>
          <w:p w14:paraId="3CD1308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安全检查表法</w:t>
            </w:r>
          </w:p>
        </w:tc>
      </w:tr>
    </w:tbl>
    <w:p w14:paraId="2AEFEE0A">
      <w:pPr>
        <w:spacing w:before="156" w:beforeLines="50" w:after="156" w:afterLines="50"/>
        <w:ind w:firstLine="562"/>
        <w:outlineLvl w:val="2"/>
        <w:rPr>
          <w:rFonts w:ascii="Times New Roman" w:hAnsi="Times New Roman" w:eastAsia="黑体" w:cs="Times New Roman"/>
          <w:b/>
          <w:bCs/>
          <w:kern w:val="0"/>
          <w:szCs w:val="20"/>
          <w:highlight w:val="none"/>
          <w14:ligatures w14:val="none"/>
        </w:rPr>
      </w:pPr>
      <w:r>
        <w:rPr>
          <w:rFonts w:ascii="Times New Roman" w:hAnsi="Times New Roman" w:eastAsia="黑体" w:cs="Times New Roman"/>
          <w:b/>
          <w:bCs/>
          <w:kern w:val="0"/>
          <w:szCs w:val="20"/>
          <w:highlight w:val="none"/>
          <w14:ligatures w14:val="none"/>
        </w:rPr>
        <w:t>4.2.2评价方法选择的理由说明</w:t>
      </w:r>
    </w:p>
    <w:p w14:paraId="518BAFB4">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本评价采取定性、定量评价方法对各单元进行评价，对项目可能存在的危险因素进行定性分析评价，对具有火灾、爆炸等危险性的单元进行定量分析评价。</w:t>
      </w:r>
    </w:p>
    <w:p w14:paraId="76E05D76">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（1）安全检查表法选择说明</w:t>
      </w:r>
    </w:p>
    <w:p w14:paraId="186E663D">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安全检查表分析可适用于工程、系统的各个阶段。安全检查表可以评价物质、设备和工艺，常用于专门设计的评价，检查表法也能用在新工艺（装置）的早期开发阶段，判定和估测危险，还可以对已经运行多年的在役装置的危险进行检查，安全检查表常用于设立安全评价、安全现状评价、安全设施竣工验收评价。因此，本评价采用安全检查表法对本项目的选址及总平面布置、加油工艺设备及设施、公用工程及辅助设施以及安全管理、重大生产安全事故隐患判定单元进行定性评价。</w:t>
      </w:r>
    </w:p>
    <w:p w14:paraId="5E54FB10">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（2）</w:t>
      </w:r>
      <w:r>
        <w:rPr>
          <w:rFonts w:hint="eastAsia" w:ascii="Times New Roman" w:hAnsi="Times New Roman" w:eastAsia="宋体" w:cs="Times New Roman"/>
          <w:szCs w:val="28"/>
          <w:highlight w:val="none"/>
          <w14:ligatures w14:val="none"/>
        </w:rPr>
        <w:t>作业条件危险性分析</w:t>
      </w:r>
      <w:r>
        <w:rPr>
          <w:rFonts w:ascii="Times New Roman" w:hAnsi="Times New Roman" w:eastAsia="宋体" w:cs="Times New Roman"/>
          <w:szCs w:val="28"/>
          <w:highlight w:val="none"/>
          <w14:ligatures w14:val="none"/>
        </w:rPr>
        <w:t>法选择说明</w:t>
      </w:r>
    </w:p>
    <w:p w14:paraId="7D308AE5">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作业条件</w:t>
      </w:r>
      <w:r>
        <w:rPr>
          <w:rFonts w:hint="eastAsia" w:ascii="Times New Roman" w:hAnsi="Times New Roman" w:eastAsia="宋体" w:cs="Times New Roman"/>
          <w:szCs w:val="28"/>
          <w:highlight w:val="none"/>
          <w14:ligatures w14:val="none"/>
        </w:rPr>
        <w:t>危险性</w:t>
      </w:r>
      <w:r>
        <w:rPr>
          <w:rFonts w:ascii="Times New Roman" w:hAnsi="Times New Roman" w:eastAsia="宋体" w:cs="Times New Roman"/>
          <w:szCs w:val="28"/>
          <w:highlight w:val="none"/>
          <w14:ligatures w14:val="none"/>
        </w:rPr>
        <w:t>分析法是对危险物质或危险作业场所中可能发生的事故事件进行综合评价和分析，以确定其引发事故的频率和后果的程度，并通过评价结果来加强危险物质或危险作业场所的安全措施的安全评价方法。其评价步骤是</w:t>
      </w:r>
      <w:r>
        <w:rPr>
          <w:rFonts w:hint="eastAsia" w:ascii="Times New Roman" w:hAnsi="Times New Roman" w:eastAsia="宋体" w:cs="Times New Roman"/>
          <w:szCs w:val="28"/>
          <w:highlight w:val="none"/>
          <w14:ligatures w14:val="none"/>
        </w:rPr>
        <w:t>首先</w:t>
      </w:r>
      <w:r>
        <w:rPr>
          <w:rFonts w:ascii="Times New Roman" w:hAnsi="Times New Roman" w:eastAsia="宋体" w:cs="Times New Roman"/>
          <w:szCs w:val="28"/>
          <w:highlight w:val="none"/>
          <w14:ligatures w14:val="none"/>
        </w:rPr>
        <w:t>确定损失事件</w:t>
      </w:r>
      <w:r>
        <w:rPr>
          <w:rFonts w:hint="eastAsia" w:ascii="Times New Roman" w:hAnsi="Times New Roman" w:eastAsia="宋体" w:cs="Times New Roman"/>
          <w:szCs w:val="28"/>
          <w:highlight w:val="none"/>
          <w14:ligatures w14:val="none"/>
        </w:rPr>
        <w:t>、其次</w:t>
      </w:r>
      <w:r>
        <w:rPr>
          <w:rFonts w:ascii="Times New Roman" w:hAnsi="Times New Roman" w:eastAsia="宋体" w:cs="Times New Roman"/>
          <w:szCs w:val="28"/>
          <w:highlight w:val="none"/>
          <w14:ligatures w14:val="none"/>
        </w:rPr>
        <w:t>确定发生的频率和影响损失事件的因素</w:t>
      </w:r>
      <w:r>
        <w:rPr>
          <w:rFonts w:hint="eastAsia" w:ascii="Times New Roman" w:hAnsi="Times New Roman" w:eastAsia="宋体" w:cs="Times New Roman"/>
          <w:szCs w:val="28"/>
          <w:highlight w:val="none"/>
          <w14:ligatures w14:val="none"/>
        </w:rPr>
        <w:t>、再</w:t>
      </w:r>
      <w:r>
        <w:rPr>
          <w:rFonts w:ascii="Times New Roman" w:hAnsi="Times New Roman" w:eastAsia="宋体" w:cs="Times New Roman"/>
          <w:szCs w:val="28"/>
          <w:highlight w:val="none"/>
          <w14:ligatures w14:val="none"/>
        </w:rPr>
        <w:t>进行LEC分析</w:t>
      </w:r>
      <w:r>
        <w:rPr>
          <w:rFonts w:hint="eastAsia" w:ascii="Times New Roman" w:hAnsi="Times New Roman" w:eastAsia="宋体" w:cs="Times New Roman"/>
          <w:szCs w:val="28"/>
          <w:highlight w:val="none"/>
          <w14:ligatures w14:val="none"/>
        </w:rPr>
        <w:t>，最后</w:t>
      </w:r>
      <w:r>
        <w:rPr>
          <w:rFonts w:ascii="Times New Roman" w:hAnsi="Times New Roman" w:eastAsia="宋体" w:cs="Times New Roman"/>
          <w:szCs w:val="28"/>
          <w:highlight w:val="none"/>
          <w14:ligatures w14:val="none"/>
        </w:rPr>
        <w:t>确定减轻或消除危险的措施。</w:t>
      </w:r>
    </w:p>
    <w:p w14:paraId="4A4D7D95">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（3）</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TNT当量法</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选择说明</w:t>
      </w:r>
    </w:p>
    <w:p w14:paraId="19D7A9DA">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生产经营及储存过程中涉及的易燃性化学品，贯穿于整个工艺过程当中，如果发生火灾爆炸事故，装置内的各种可燃物质均会同时燃烧放热，化学品燃烧后形成蒸汽云，蒸汽云爆炸的能量常用TNT当量描述，即将参与爆炸的可燃气体释放的能量折合为能释放相同能量的TNT炸药描述。</w:t>
      </w:r>
    </w:p>
    <w:p w14:paraId="3B540C1B">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安全评价方法简介详见附件2。</w:t>
      </w:r>
      <w:r>
        <w:rPr>
          <w:rFonts w:ascii="Times New Roman" w:hAnsi="Times New Roman" w:eastAsia="宋体" w:cs="Times New Roman"/>
          <w:szCs w:val="28"/>
          <w:highlight w:val="none"/>
          <w14:ligatures w14:val="none"/>
        </w:rPr>
        <w:br w:type="page"/>
      </w:r>
    </w:p>
    <w:p w14:paraId="206614D7">
      <w:pPr>
        <w:spacing w:before="468" w:beforeLines="150" w:after="468" w:afterLines="150"/>
        <w:ind w:firstLine="0" w:firstLineChars="0"/>
        <w:jc w:val="center"/>
        <w:outlineLvl w:val="0"/>
        <w:rPr>
          <w:rFonts w:ascii="Times New Roman" w:hAnsi="Times New Roman" w:eastAsia="黑体" w:cs="宋体"/>
          <w:b/>
          <w:bCs/>
          <w:sz w:val="32"/>
          <w:szCs w:val="28"/>
          <w:highlight w:val="none"/>
          <w:lang w:bidi="ar"/>
          <w14:ligatures w14:val="none"/>
        </w:rPr>
      </w:pPr>
      <w:bookmarkStart w:id="53" w:name="_Toc187310003"/>
      <w:r>
        <w:rPr>
          <w:rFonts w:ascii="Times New Roman" w:hAnsi="Times New Roman" w:eastAsia="黑体" w:cs="宋体"/>
          <w:b/>
          <w:bCs/>
          <w:sz w:val="32"/>
          <w:szCs w:val="28"/>
          <w:highlight w:val="none"/>
          <w:lang w:bidi="ar"/>
          <w14:ligatures w14:val="none"/>
        </w:rPr>
        <w:t>5定性、定量分析危险、有害程度的结果</w:t>
      </w:r>
      <w:bookmarkEnd w:id="53"/>
    </w:p>
    <w:p w14:paraId="69E19BB7">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54" w:name="_Toc187310004"/>
      <w:r>
        <w:rPr>
          <w:rFonts w:hint="eastAsia" w:ascii="Times New Roman" w:hAnsi="Times New Roman" w:eastAsia="楷体" w:cs="宋体"/>
          <w:b/>
          <w:bCs/>
          <w:sz w:val="32"/>
          <w:szCs w:val="28"/>
          <w:highlight w:val="none"/>
          <w:lang w:bidi="ar"/>
          <w14:ligatures w14:val="none"/>
        </w:rPr>
        <w:t>5.1固有危险程度的</w:t>
      </w:r>
      <w:r>
        <w:rPr>
          <w:rFonts w:ascii="Times New Roman" w:hAnsi="Times New Roman" w:eastAsia="楷体" w:cs="宋体"/>
          <w:b/>
          <w:bCs/>
          <w:sz w:val="32"/>
          <w:szCs w:val="28"/>
          <w:highlight w:val="none"/>
          <w:lang w:bidi="ar"/>
          <w14:ligatures w14:val="none"/>
        </w:rPr>
        <w:t>分析</w:t>
      </w:r>
      <w:bookmarkEnd w:id="54"/>
    </w:p>
    <w:p w14:paraId="4CE30F5D">
      <w:pPr>
        <w:ind w:firstLine="560"/>
        <w:rPr>
          <w:rFonts w:ascii="Times New Roman" w:hAnsi="Times New Roman" w:eastAsia="宋体"/>
          <w:highlight w:val="none"/>
        </w:rPr>
      </w:pPr>
      <w:r>
        <w:rPr>
          <w:rFonts w:hint="eastAsia" w:ascii="Times New Roman" w:hAnsi="Times New Roman" w:eastAsia="宋体"/>
          <w:highlight w:val="none"/>
        </w:rPr>
        <w:t>（1）定量分析建设项目中具有爆炸性、可燃性、毒性、腐蚀性的化学品数量、浓度（含量）、状态和所在的作业场所（部位）及其状况（温度、压力）</w:t>
      </w:r>
    </w:p>
    <w:p w14:paraId="3DD14145">
      <w:pPr>
        <w:ind w:firstLine="560"/>
        <w:rPr>
          <w:rFonts w:ascii="Times New Roman" w:hAnsi="Times New Roman" w:eastAsia="宋体"/>
          <w:highlight w:val="none"/>
        </w:rPr>
      </w:pPr>
      <w:r>
        <w:rPr>
          <w:rFonts w:hint="eastAsia" w:ascii="Times New Roman" w:hAnsi="Times New Roman" w:eastAsia="宋体"/>
          <w:highlight w:val="none"/>
        </w:rPr>
        <w:t>该项目具有爆炸性、可燃性、毒性的化学品数量、浓度（含量）、状态和所在的作业场所（部位）及其状况（温度、压力），见表5.1-1。</w:t>
      </w:r>
    </w:p>
    <w:p w14:paraId="1FC1CFC8">
      <w:pPr>
        <w:keepNext/>
        <w:keepLines/>
        <w:spacing w:before="156" w:beforeLines="50" w:after="156" w:afterLines="50" w:line="240" w:lineRule="auto"/>
        <w:ind w:firstLine="0" w:firstLineChars="0"/>
        <w:jc w:val="center"/>
        <w:rPr>
          <w:rFonts w:hint="eastAsia" w:ascii="黑体" w:hAnsi="黑体" w:eastAsia="黑体"/>
          <w:sz w:val="24"/>
          <w:highlight w:val="none"/>
        </w:rPr>
      </w:pPr>
      <w:r>
        <w:rPr>
          <w:rFonts w:hint="eastAsia" w:ascii="黑体" w:hAnsi="黑体" w:eastAsia="黑体"/>
          <w:sz w:val="24"/>
          <w:highlight w:val="none"/>
        </w:rPr>
        <w:t>表</w:t>
      </w:r>
      <w:r>
        <w:rPr>
          <w:rFonts w:hint="eastAsia" w:ascii="Times New Roman" w:hAnsi="Times New Roman" w:eastAsia="黑体" w:cs="Times New Roman"/>
          <w:sz w:val="24"/>
          <w:highlight w:val="none"/>
        </w:rPr>
        <w:t>5.1</w:t>
      </w:r>
      <w:r>
        <w:rPr>
          <w:rFonts w:ascii="Times New Roman" w:hAnsi="Times New Roman" w:eastAsia="黑体" w:cs="Times New Roman"/>
          <w:sz w:val="24"/>
          <w:highlight w:val="none"/>
        </w:rPr>
        <w:t>-1</w:t>
      </w:r>
      <w:r>
        <w:rPr>
          <w:rFonts w:hint="eastAsia" w:ascii="黑体" w:hAnsi="黑体" w:eastAsia="黑体"/>
          <w:sz w:val="24"/>
          <w:highlight w:val="none"/>
        </w:rPr>
        <w:t xml:space="preserve">  具有爆炸性、可燃性、毒性的化学品统计表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993"/>
        <w:gridCol w:w="1089"/>
        <w:gridCol w:w="553"/>
        <w:gridCol w:w="1479"/>
        <w:gridCol w:w="1701"/>
        <w:gridCol w:w="771"/>
        <w:gridCol w:w="2145"/>
      </w:tblGrid>
      <w:tr w14:paraId="31709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359" w:type="pct"/>
            <w:vAlign w:val="center"/>
          </w:tcPr>
          <w:p w14:paraId="694CEBB8">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序号</w:t>
            </w:r>
          </w:p>
        </w:tc>
        <w:tc>
          <w:tcPr>
            <w:tcW w:w="528" w:type="pct"/>
            <w:vAlign w:val="center"/>
          </w:tcPr>
          <w:p w14:paraId="46FBD74C">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名称</w:t>
            </w:r>
          </w:p>
        </w:tc>
        <w:tc>
          <w:tcPr>
            <w:tcW w:w="579" w:type="pct"/>
            <w:vAlign w:val="center"/>
          </w:tcPr>
          <w:p w14:paraId="467F5633">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最大</w:t>
            </w:r>
            <w:r>
              <w:rPr>
                <w:rFonts w:ascii="Times New Roman" w:hAnsi="Times New Roman" w:eastAsia="宋体" w:cs="Times New Roman"/>
                <w:bCs/>
                <w:sz w:val="21"/>
                <w:szCs w:val="21"/>
                <w:highlight w:val="none"/>
                <w14:ligatures w14:val="none"/>
              </w:rPr>
              <w:t>储存量（t）</w:t>
            </w:r>
          </w:p>
        </w:tc>
        <w:tc>
          <w:tcPr>
            <w:tcW w:w="294" w:type="pct"/>
            <w:vAlign w:val="center"/>
          </w:tcPr>
          <w:p w14:paraId="1E1AC955">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状态</w:t>
            </w:r>
          </w:p>
        </w:tc>
        <w:tc>
          <w:tcPr>
            <w:tcW w:w="786" w:type="pct"/>
            <w:vAlign w:val="center"/>
          </w:tcPr>
          <w:p w14:paraId="04AA7D73">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所在场所（部位）</w:t>
            </w:r>
          </w:p>
        </w:tc>
        <w:tc>
          <w:tcPr>
            <w:tcW w:w="904" w:type="pct"/>
            <w:vAlign w:val="center"/>
          </w:tcPr>
          <w:p w14:paraId="1B9B67C4">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状态（温度、压力）</w:t>
            </w:r>
          </w:p>
        </w:tc>
        <w:tc>
          <w:tcPr>
            <w:tcW w:w="410" w:type="pct"/>
            <w:vAlign w:val="center"/>
          </w:tcPr>
          <w:p w14:paraId="33E88C84">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浓度</w:t>
            </w:r>
          </w:p>
        </w:tc>
        <w:tc>
          <w:tcPr>
            <w:tcW w:w="1140" w:type="pct"/>
            <w:vAlign w:val="center"/>
          </w:tcPr>
          <w:p w14:paraId="7B637446">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备注</w:t>
            </w:r>
          </w:p>
        </w:tc>
      </w:tr>
      <w:tr w14:paraId="5C455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359" w:type="pct"/>
            <w:vAlign w:val="center"/>
          </w:tcPr>
          <w:p w14:paraId="4757A83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w:t>
            </w:r>
          </w:p>
        </w:tc>
        <w:tc>
          <w:tcPr>
            <w:tcW w:w="528" w:type="pct"/>
            <w:vAlign w:val="center"/>
          </w:tcPr>
          <w:p w14:paraId="08DD5EB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车用乙醇汽油</w:t>
            </w:r>
          </w:p>
        </w:tc>
        <w:tc>
          <w:tcPr>
            <w:tcW w:w="579" w:type="pct"/>
            <w:vAlign w:val="center"/>
          </w:tcPr>
          <w:p w14:paraId="2F864075">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48</w:t>
            </w:r>
          </w:p>
        </w:tc>
        <w:tc>
          <w:tcPr>
            <w:tcW w:w="294" w:type="pct"/>
            <w:vAlign w:val="center"/>
          </w:tcPr>
          <w:p w14:paraId="4C639D0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液态</w:t>
            </w:r>
          </w:p>
        </w:tc>
        <w:tc>
          <w:tcPr>
            <w:tcW w:w="786" w:type="pct"/>
            <w:vAlign w:val="center"/>
          </w:tcPr>
          <w:p w14:paraId="248BC4D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加油区、卸油区和储罐区</w:t>
            </w:r>
          </w:p>
        </w:tc>
        <w:tc>
          <w:tcPr>
            <w:tcW w:w="904" w:type="pct"/>
            <w:vAlign w:val="center"/>
          </w:tcPr>
          <w:p w14:paraId="210A9DB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常温、常压</w:t>
            </w:r>
          </w:p>
        </w:tc>
        <w:tc>
          <w:tcPr>
            <w:tcW w:w="410" w:type="pct"/>
            <w:vAlign w:val="center"/>
          </w:tcPr>
          <w:p w14:paraId="2F51E8EC">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w:t>
            </w:r>
          </w:p>
        </w:tc>
        <w:tc>
          <w:tcPr>
            <w:tcW w:w="1140" w:type="pct"/>
            <w:vAlign w:val="center"/>
          </w:tcPr>
          <w:p w14:paraId="7461855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bCs/>
                <w:sz w:val="21"/>
                <w:szCs w:val="21"/>
                <w:highlight w:val="none"/>
                <w14:ligatures w14:val="none"/>
              </w:rPr>
              <w:t>爆炸性、可燃性、毒性</w:t>
            </w:r>
          </w:p>
        </w:tc>
      </w:tr>
      <w:tr w14:paraId="5BCFD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359" w:type="pct"/>
            <w:vAlign w:val="center"/>
          </w:tcPr>
          <w:p w14:paraId="6A6C17F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p>
        </w:tc>
        <w:tc>
          <w:tcPr>
            <w:tcW w:w="528" w:type="pct"/>
            <w:vAlign w:val="center"/>
          </w:tcPr>
          <w:p w14:paraId="4FDF90F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柴油</w:t>
            </w:r>
          </w:p>
        </w:tc>
        <w:tc>
          <w:tcPr>
            <w:tcW w:w="579" w:type="pct"/>
            <w:vAlign w:val="center"/>
          </w:tcPr>
          <w:p w14:paraId="4EC8CC0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102</w:t>
            </w:r>
          </w:p>
        </w:tc>
        <w:tc>
          <w:tcPr>
            <w:tcW w:w="294" w:type="pct"/>
            <w:vAlign w:val="center"/>
          </w:tcPr>
          <w:p w14:paraId="0847741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液态</w:t>
            </w:r>
          </w:p>
        </w:tc>
        <w:tc>
          <w:tcPr>
            <w:tcW w:w="786" w:type="pct"/>
            <w:vAlign w:val="center"/>
          </w:tcPr>
          <w:p w14:paraId="383D90D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加油区、卸油区和储罐区</w:t>
            </w:r>
          </w:p>
        </w:tc>
        <w:tc>
          <w:tcPr>
            <w:tcW w:w="904" w:type="pct"/>
            <w:vAlign w:val="center"/>
          </w:tcPr>
          <w:p w14:paraId="2CEB477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常温、常压</w:t>
            </w:r>
          </w:p>
        </w:tc>
        <w:tc>
          <w:tcPr>
            <w:tcW w:w="410" w:type="pct"/>
            <w:vAlign w:val="center"/>
          </w:tcPr>
          <w:p w14:paraId="5920E676">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w:t>
            </w:r>
          </w:p>
        </w:tc>
        <w:tc>
          <w:tcPr>
            <w:tcW w:w="1140" w:type="pct"/>
            <w:vAlign w:val="center"/>
          </w:tcPr>
          <w:p w14:paraId="5E3614F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bCs/>
                <w:sz w:val="21"/>
                <w:szCs w:val="21"/>
                <w:highlight w:val="none"/>
                <w14:ligatures w14:val="none"/>
              </w:rPr>
              <w:t>可燃性、毒性</w:t>
            </w:r>
          </w:p>
        </w:tc>
      </w:tr>
    </w:tbl>
    <w:p w14:paraId="4EC77E80">
      <w:pPr>
        <w:ind w:firstLine="560"/>
        <w:rPr>
          <w:rFonts w:ascii="Times New Roman" w:hAnsi="Times New Roman" w:eastAsia="宋体"/>
          <w:highlight w:val="none"/>
        </w:rPr>
      </w:pPr>
      <w:r>
        <w:rPr>
          <w:rFonts w:hint="eastAsia" w:ascii="Times New Roman" w:hAnsi="Times New Roman" w:eastAsia="宋体"/>
          <w:highlight w:val="none"/>
        </w:rPr>
        <w:t>（2）定性分析建设项目总的和各个作业场所的固有危险程度</w:t>
      </w:r>
    </w:p>
    <w:p w14:paraId="544B0EFD">
      <w:pPr>
        <w:ind w:firstLine="560"/>
        <w:rPr>
          <w:rFonts w:ascii="Times New Roman" w:hAnsi="Times New Roman" w:eastAsia="宋体"/>
          <w:highlight w:val="none"/>
        </w:rPr>
      </w:pPr>
      <w:r>
        <w:rPr>
          <w:rFonts w:ascii="Times New Roman" w:hAnsi="Times New Roman" w:eastAsia="宋体"/>
          <w:highlight w:val="none"/>
        </w:rPr>
        <w:t>采用</w:t>
      </w:r>
      <w:r>
        <w:rPr>
          <w:rFonts w:hint="eastAsia" w:ascii="Times New Roman" w:hAnsi="Times New Roman" w:eastAsia="宋体"/>
          <w:highlight w:val="none"/>
        </w:rPr>
        <w:t>“</w:t>
      </w:r>
      <w:r>
        <w:rPr>
          <w:rFonts w:ascii="Times New Roman" w:hAnsi="Times New Roman" w:eastAsia="宋体"/>
          <w:highlight w:val="none"/>
        </w:rPr>
        <w:t>安全检查表法</w:t>
      </w:r>
      <w:r>
        <w:rPr>
          <w:rFonts w:hint="eastAsia" w:ascii="Times New Roman" w:hAnsi="Times New Roman" w:eastAsia="宋体"/>
          <w:highlight w:val="none"/>
        </w:rPr>
        <w:t>”</w:t>
      </w:r>
      <w:r>
        <w:rPr>
          <w:rFonts w:ascii="Times New Roman" w:hAnsi="Times New Roman" w:eastAsia="宋体"/>
          <w:highlight w:val="none"/>
        </w:rPr>
        <w:t>对</w:t>
      </w:r>
      <w:r>
        <w:rPr>
          <w:rFonts w:hint="eastAsia" w:ascii="Times New Roman" w:hAnsi="Times New Roman" w:eastAsia="宋体"/>
          <w:highlight w:val="none"/>
        </w:rPr>
        <w:t>该</w:t>
      </w:r>
      <w:r>
        <w:rPr>
          <w:rFonts w:ascii="Times New Roman" w:hAnsi="Times New Roman" w:eastAsia="宋体"/>
          <w:highlight w:val="none"/>
        </w:rPr>
        <w:t>项目的选址及总平面布置、加油工艺设备及设施、公用工程及辅助设施以及安全管理、重大生产安全事故隐患判定单元进行评价，具体评价过程见附件4（F4.1）</w:t>
      </w:r>
      <w:r>
        <w:rPr>
          <w:rFonts w:hint="eastAsia" w:ascii="Times New Roman" w:hAnsi="Times New Roman" w:eastAsia="宋体"/>
          <w:highlight w:val="none"/>
        </w:rPr>
        <w:t>。</w:t>
      </w:r>
    </w:p>
    <w:p w14:paraId="714B2BA5">
      <w:pPr>
        <w:ind w:firstLine="560"/>
        <w:rPr>
          <w:rFonts w:ascii="Times New Roman" w:hAnsi="Times New Roman" w:eastAsia="宋体"/>
          <w:highlight w:val="none"/>
        </w:rPr>
      </w:pPr>
      <w:r>
        <w:rPr>
          <w:rFonts w:ascii="Times New Roman" w:hAnsi="Times New Roman" w:eastAsia="宋体"/>
          <w:highlight w:val="none"/>
        </w:rPr>
        <w:t>采用</w:t>
      </w:r>
      <w:r>
        <w:rPr>
          <w:rFonts w:hint="eastAsia" w:ascii="Times New Roman" w:hAnsi="Times New Roman" w:eastAsia="宋体"/>
          <w:highlight w:val="none"/>
        </w:rPr>
        <w:t>“</w:t>
      </w:r>
      <w:r>
        <w:rPr>
          <w:rFonts w:ascii="Times New Roman" w:hAnsi="Times New Roman" w:eastAsia="宋体"/>
          <w:highlight w:val="none"/>
        </w:rPr>
        <w:t>作业条件危险性分析法</w:t>
      </w:r>
      <w:r>
        <w:rPr>
          <w:rFonts w:hint="eastAsia" w:ascii="Times New Roman" w:hAnsi="Times New Roman" w:eastAsia="宋体"/>
          <w:highlight w:val="none"/>
        </w:rPr>
        <w:t>”</w:t>
      </w:r>
      <w:r>
        <w:rPr>
          <w:rFonts w:ascii="Times New Roman" w:hAnsi="Times New Roman" w:eastAsia="宋体"/>
          <w:highlight w:val="none"/>
        </w:rPr>
        <w:t>对工艺及设施单元进行危险度评价，评价结果见下表5.1-2。具体分析过程见附件4（F4.2）。</w:t>
      </w:r>
    </w:p>
    <w:p w14:paraId="2F107AF5">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表5.1-2  作业条件危险性评价结果表</w:t>
      </w:r>
    </w:p>
    <w:tbl>
      <w:tblPr>
        <w:tblStyle w:val="32"/>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80"/>
        <w:gridCol w:w="782"/>
        <w:gridCol w:w="1415"/>
        <w:gridCol w:w="1099"/>
        <w:gridCol w:w="1415"/>
        <w:gridCol w:w="1413"/>
        <w:gridCol w:w="1371"/>
        <w:gridCol w:w="1131"/>
      </w:tblGrid>
      <w:tr w14:paraId="3691B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blHeader/>
        </w:trPr>
        <w:tc>
          <w:tcPr>
            <w:tcW w:w="415" w:type="pct"/>
            <w:vAlign w:val="center"/>
          </w:tcPr>
          <w:p w14:paraId="7176B573">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作业场所</w:t>
            </w:r>
          </w:p>
        </w:tc>
        <w:tc>
          <w:tcPr>
            <w:tcW w:w="416" w:type="pct"/>
            <w:vAlign w:val="center"/>
          </w:tcPr>
          <w:p w14:paraId="721BF9C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作业岗位</w:t>
            </w:r>
          </w:p>
        </w:tc>
        <w:tc>
          <w:tcPr>
            <w:tcW w:w="752" w:type="pct"/>
            <w:vAlign w:val="center"/>
          </w:tcPr>
          <w:p w14:paraId="3649606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危险、有害因素</w:t>
            </w:r>
          </w:p>
        </w:tc>
        <w:tc>
          <w:tcPr>
            <w:tcW w:w="584" w:type="pct"/>
            <w:vAlign w:val="center"/>
          </w:tcPr>
          <w:p w14:paraId="3804B3BA">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可能性（</w:t>
            </w:r>
            <w:r>
              <w:rPr>
                <w:rFonts w:ascii="Times New Roman" w:hAnsi="Times New Roman" w:eastAsia="宋体" w:cs="Times New Roman"/>
                <w:sz w:val="21"/>
                <w:highlight w:val="none"/>
                <w:lang w:val="zh-CN"/>
                <w14:ligatures w14:val="none"/>
              </w:rPr>
              <w:t>L</w:t>
            </w:r>
            <w:r>
              <w:rPr>
                <w:rFonts w:hint="eastAsia" w:ascii="Times New Roman" w:hAnsi="Times New Roman" w:eastAsia="宋体" w:cs="Times New Roman"/>
                <w:sz w:val="21"/>
                <w:highlight w:val="none"/>
                <w:lang w:val="zh-CN"/>
                <w14:ligatures w14:val="none"/>
              </w:rPr>
              <w:t>）</w:t>
            </w:r>
          </w:p>
        </w:tc>
        <w:tc>
          <w:tcPr>
            <w:tcW w:w="752" w:type="pct"/>
            <w:vAlign w:val="center"/>
          </w:tcPr>
          <w:p w14:paraId="276FABA8">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频繁程度（E）</w:t>
            </w:r>
          </w:p>
        </w:tc>
        <w:tc>
          <w:tcPr>
            <w:tcW w:w="751" w:type="pct"/>
            <w:vAlign w:val="center"/>
          </w:tcPr>
          <w:p w14:paraId="021911A5">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事故后果（C）</w:t>
            </w:r>
          </w:p>
        </w:tc>
        <w:tc>
          <w:tcPr>
            <w:tcW w:w="729" w:type="pct"/>
            <w:vAlign w:val="center"/>
          </w:tcPr>
          <w:p w14:paraId="16C6909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危险性等级（D）</w:t>
            </w:r>
          </w:p>
        </w:tc>
        <w:tc>
          <w:tcPr>
            <w:tcW w:w="601" w:type="pct"/>
            <w:vAlign w:val="center"/>
          </w:tcPr>
          <w:p w14:paraId="5AA63D7C">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危险程度</w:t>
            </w:r>
          </w:p>
        </w:tc>
      </w:tr>
      <w:tr w14:paraId="19993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0E48456E">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卸油区</w:t>
            </w:r>
          </w:p>
        </w:tc>
        <w:tc>
          <w:tcPr>
            <w:tcW w:w="416" w:type="pct"/>
            <w:vMerge w:val="restart"/>
            <w:vAlign w:val="center"/>
          </w:tcPr>
          <w:p w14:paraId="059C342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卸油作业</w:t>
            </w:r>
          </w:p>
        </w:tc>
        <w:tc>
          <w:tcPr>
            <w:tcW w:w="752" w:type="pct"/>
            <w:vAlign w:val="center"/>
          </w:tcPr>
          <w:p w14:paraId="54896F91">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3789FEB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43FE9C8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19C8019F">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29" w:type="pct"/>
            <w:vAlign w:val="center"/>
          </w:tcPr>
          <w:p w14:paraId="28F3000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0D5539D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58C61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71A9405">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41AD4D6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307F03C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中毒和窒息</w:t>
            </w:r>
          </w:p>
        </w:tc>
        <w:tc>
          <w:tcPr>
            <w:tcW w:w="584" w:type="pct"/>
            <w:vAlign w:val="center"/>
          </w:tcPr>
          <w:p w14:paraId="13C05B8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558353E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2A35CDC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6D2452D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258ACC23">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57BBD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3C1A0F4">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76487C8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55DEBA6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5CA226C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53B6C24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25485F7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6483E04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9</w:t>
            </w:r>
          </w:p>
        </w:tc>
        <w:tc>
          <w:tcPr>
            <w:tcW w:w="601" w:type="pct"/>
            <w:vAlign w:val="center"/>
          </w:tcPr>
          <w:p w14:paraId="323FE188">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74D40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5CC5AD62">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26996A4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66902D2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车辆伤害</w:t>
            </w:r>
          </w:p>
        </w:tc>
        <w:tc>
          <w:tcPr>
            <w:tcW w:w="584" w:type="pct"/>
            <w:vAlign w:val="center"/>
          </w:tcPr>
          <w:p w14:paraId="4420B31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3584551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30C179B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096684C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9</w:t>
            </w:r>
          </w:p>
        </w:tc>
        <w:tc>
          <w:tcPr>
            <w:tcW w:w="601" w:type="pct"/>
            <w:vAlign w:val="center"/>
          </w:tcPr>
          <w:p w14:paraId="3D01458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4FC19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5F44644">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restart"/>
            <w:vAlign w:val="center"/>
          </w:tcPr>
          <w:p w14:paraId="07385BC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检维修作业</w:t>
            </w:r>
          </w:p>
        </w:tc>
        <w:tc>
          <w:tcPr>
            <w:tcW w:w="752" w:type="pct"/>
            <w:vAlign w:val="center"/>
          </w:tcPr>
          <w:p w14:paraId="18256FD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6F3FFAF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048CE075">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2B8B977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lang w:val="zh-CN"/>
                <w14:ligatures w14:val="none"/>
              </w:rPr>
              <w:t>1</w:t>
            </w:r>
          </w:p>
        </w:tc>
        <w:tc>
          <w:tcPr>
            <w:tcW w:w="729" w:type="pct"/>
            <w:vAlign w:val="center"/>
          </w:tcPr>
          <w:p w14:paraId="253F459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601" w:type="pct"/>
            <w:vAlign w:val="center"/>
          </w:tcPr>
          <w:p w14:paraId="075E8283">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0C6AD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503E297A">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7BCA01F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0FBB2A7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1A59E6B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05F3A94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6FB2039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1B40F99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26B5181D">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61947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78FC8118">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加油作业区（罩棚、加油机附近）</w:t>
            </w:r>
          </w:p>
        </w:tc>
        <w:tc>
          <w:tcPr>
            <w:tcW w:w="416" w:type="pct"/>
            <w:vMerge w:val="restart"/>
            <w:vAlign w:val="center"/>
          </w:tcPr>
          <w:p w14:paraId="09F15C3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加油作业</w:t>
            </w:r>
          </w:p>
        </w:tc>
        <w:tc>
          <w:tcPr>
            <w:tcW w:w="752" w:type="pct"/>
            <w:vAlign w:val="center"/>
          </w:tcPr>
          <w:p w14:paraId="0B6BBCC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3F357EA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024973AA">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56E6F8C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75E3CB9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36</w:t>
            </w:r>
          </w:p>
        </w:tc>
        <w:tc>
          <w:tcPr>
            <w:tcW w:w="601" w:type="pct"/>
            <w:vAlign w:val="center"/>
          </w:tcPr>
          <w:p w14:paraId="3F05EE5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比较危险</w:t>
            </w:r>
          </w:p>
        </w:tc>
      </w:tr>
      <w:tr w14:paraId="36B8F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176D057F">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4C78A9F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4C1E020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中毒和窒息</w:t>
            </w:r>
          </w:p>
        </w:tc>
        <w:tc>
          <w:tcPr>
            <w:tcW w:w="584" w:type="pct"/>
            <w:vAlign w:val="center"/>
          </w:tcPr>
          <w:p w14:paraId="3640024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50A47226">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4FBC0E8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7C85E1A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36</w:t>
            </w:r>
          </w:p>
        </w:tc>
        <w:tc>
          <w:tcPr>
            <w:tcW w:w="601" w:type="pct"/>
            <w:vAlign w:val="center"/>
          </w:tcPr>
          <w:p w14:paraId="372F902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比较危险</w:t>
            </w:r>
          </w:p>
        </w:tc>
      </w:tr>
      <w:tr w14:paraId="23DCA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0576BC8">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64CEB99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69B298E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03A138A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5B072AD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3D047C7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70269CD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145BE13D">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78714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238EC20">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3CC7649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486B9E7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车辆伤害</w:t>
            </w:r>
          </w:p>
        </w:tc>
        <w:tc>
          <w:tcPr>
            <w:tcW w:w="584" w:type="pct"/>
            <w:vAlign w:val="center"/>
          </w:tcPr>
          <w:p w14:paraId="63AB4DB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3DD1437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2015175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642D8E3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42B6C35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0073C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C482BC6">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67C41FD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6A05B3C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ascii="Times New Roman" w:hAnsi="Times New Roman" w:eastAsia="宋体" w:cs="Times New Roman"/>
                <w:sz w:val="21"/>
                <w:highlight w:val="none"/>
                <w14:ligatures w14:val="none"/>
              </w:rPr>
              <w:t>机械伤害</w:t>
            </w:r>
          </w:p>
        </w:tc>
        <w:tc>
          <w:tcPr>
            <w:tcW w:w="584" w:type="pct"/>
            <w:vAlign w:val="center"/>
          </w:tcPr>
          <w:p w14:paraId="77CE8FC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4A6E2E1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7FEA105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51812B4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601" w:type="pct"/>
            <w:vAlign w:val="center"/>
          </w:tcPr>
          <w:p w14:paraId="6366F938">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35E0D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4C4602E">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2CAAAFB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2B23A6D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噪声与振动</w:t>
            </w:r>
          </w:p>
        </w:tc>
        <w:tc>
          <w:tcPr>
            <w:tcW w:w="584" w:type="pct"/>
            <w:vAlign w:val="center"/>
          </w:tcPr>
          <w:p w14:paraId="11C387A1">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1536EDF4">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7753618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54D1B1F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0BA4370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659A6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DF272DB">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restart"/>
            <w:vAlign w:val="center"/>
          </w:tcPr>
          <w:p w14:paraId="292CED7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ascii="Times New Roman" w:hAnsi="Times New Roman" w:eastAsia="宋体" w:cs="Times New Roman"/>
                <w:sz w:val="21"/>
                <w:highlight w:val="none"/>
                <w14:ligatures w14:val="none"/>
              </w:rPr>
              <w:t>检维修作业</w:t>
            </w:r>
          </w:p>
        </w:tc>
        <w:tc>
          <w:tcPr>
            <w:tcW w:w="752" w:type="pct"/>
            <w:vAlign w:val="center"/>
          </w:tcPr>
          <w:p w14:paraId="3B9EA0A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4F86303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69F55A84">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049E694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lang w:val="zh-CN"/>
                <w14:ligatures w14:val="none"/>
              </w:rPr>
              <w:t>1</w:t>
            </w:r>
          </w:p>
        </w:tc>
        <w:tc>
          <w:tcPr>
            <w:tcW w:w="729" w:type="pct"/>
            <w:vAlign w:val="center"/>
          </w:tcPr>
          <w:p w14:paraId="4C3A5F4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601" w:type="pct"/>
            <w:vAlign w:val="center"/>
          </w:tcPr>
          <w:p w14:paraId="7666ECE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5876A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E7ED767">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131A7DF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7A5EFD7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292D9EE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56370A5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1895A64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4019658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29590DE4">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506BB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5A91463F">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1240BBE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587443C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物体打击</w:t>
            </w:r>
          </w:p>
        </w:tc>
        <w:tc>
          <w:tcPr>
            <w:tcW w:w="584" w:type="pct"/>
            <w:vAlign w:val="center"/>
          </w:tcPr>
          <w:p w14:paraId="7F5A4851">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45954FC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0C214A3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74284B0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48D28CA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78FED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FC82385">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4C07732B">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54DA07E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高处坠落</w:t>
            </w:r>
          </w:p>
        </w:tc>
        <w:tc>
          <w:tcPr>
            <w:tcW w:w="584" w:type="pct"/>
            <w:vAlign w:val="center"/>
          </w:tcPr>
          <w:p w14:paraId="4B6DBCC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4BEFD6F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4B159B5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16F43C0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32AEDA7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6036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4E3DCED">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149F5F3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4114A92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坍塌</w:t>
            </w:r>
          </w:p>
        </w:tc>
        <w:tc>
          <w:tcPr>
            <w:tcW w:w="584" w:type="pct"/>
            <w:vAlign w:val="center"/>
          </w:tcPr>
          <w:p w14:paraId="50A9434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088626E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1D8E286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71B1E19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50296C8C">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18403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181C92D2">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站房</w:t>
            </w:r>
          </w:p>
        </w:tc>
        <w:tc>
          <w:tcPr>
            <w:tcW w:w="416" w:type="pct"/>
            <w:vMerge w:val="restart"/>
            <w:vAlign w:val="center"/>
          </w:tcPr>
          <w:p w14:paraId="1B392FC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检维修作业</w:t>
            </w:r>
          </w:p>
        </w:tc>
        <w:tc>
          <w:tcPr>
            <w:tcW w:w="752" w:type="pct"/>
            <w:vAlign w:val="center"/>
          </w:tcPr>
          <w:p w14:paraId="7BEA7C3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6DAC608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08FF584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46EAA22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325B0CB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6A03361F">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2F8EF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1863F23">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4631126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639C00D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物体打击</w:t>
            </w:r>
          </w:p>
        </w:tc>
        <w:tc>
          <w:tcPr>
            <w:tcW w:w="584" w:type="pct"/>
            <w:vAlign w:val="center"/>
          </w:tcPr>
          <w:p w14:paraId="72D80E0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659EA337">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11E8674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1BCDB5C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3DC4521D">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4188D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1AC56870">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224458E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33140D1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高处坠落</w:t>
            </w:r>
          </w:p>
        </w:tc>
        <w:tc>
          <w:tcPr>
            <w:tcW w:w="584" w:type="pct"/>
            <w:vAlign w:val="center"/>
          </w:tcPr>
          <w:p w14:paraId="2347A791">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0EF42897">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47C5E43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0DD04CF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0B25BB23">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0A98F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99BB8D6">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260ECCE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20D66CC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坍塌</w:t>
            </w:r>
          </w:p>
        </w:tc>
        <w:tc>
          <w:tcPr>
            <w:tcW w:w="584" w:type="pct"/>
            <w:vAlign w:val="center"/>
          </w:tcPr>
          <w:p w14:paraId="5D17684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66094EA7">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0E1B401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4676DA5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58A344F3">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bl>
    <w:p w14:paraId="666B5025">
      <w:pPr>
        <w:ind w:firstLine="560"/>
        <w:rPr>
          <w:rFonts w:ascii="Times New Roman" w:hAnsi="Times New Roman" w:eastAsia="宋体"/>
          <w:highlight w:val="none"/>
        </w:rPr>
      </w:pPr>
      <w:r>
        <w:rPr>
          <w:rFonts w:ascii="Times New Roman" w:hAnsi="Times New Roman" w:eastAsia="宋体"/>
          <w:highlight w:val="none"/>
        </w:rPr>
        <w:t>通过作业条件危险性评价可知，该站在卸油区进行卸油作业时发生火灾、爆炸、中毒和窒息、触电及车辆伤害的危险程度为</w:t>
      </w:r>
      <w:r>
        <w:rPr>
          <w:rFonts w:hint="eastAsia" w:ascii="Times New Roman" w:hAnsi="Times New Roman" w:eastAsia="宋体"/>
          <w:highlight w:val="none"/>
        </w:rPr>
        <w:t>“</w:t>
      </w:r>
      <w:r>
        <w:rPr>
          <w:rFonts w:ascii="Times New Roman" w:hAnsi="Times New Roman" w:eastAsia="宋体"/>
          <w:highlight w:val="none"/>
        </w:rPr>
        <w:t>稍有危险</w:t>
      </w:r>
      <w:r>
        <w:rPr>
          <w:rFonts w:hint="eastAsia" w:ascii="Times New Roman" w:hAnsi="Times New Roman" w:eastAsia="宋体"/>
          <w:highlight w:val="none"/>
        </w:rPr>
        <w:t>”</w:t>
      </w:r>
      <w:r>
        <w:rPr>
          <w:rFonts w:ascii="Times New Roman" w:hAnsi="Times New Roman" w:eastAsia="宋体"/>
          <w:highlight w:val="none"/>
        </w:rPr>
        <w:t>；进行检维修作业时发生火灾、爆炸及触电的危险程度为</w:t>
      </w:r>
      <w:r>
        <w:rPr>
          <w:rFonts w:hint="eastAsia" w:ascii="Times New Roman" w:hAnsi="Times New Roman" w:eastAsia="宋体"/>
          <w:highlight w:val="none"/>
        </w:rPr>
        <w:t>“</w:t>
      </w:r>
      <w:r>
        <w:rPr>
          <w:rFonts w:ascii="Times New Roman" w:hAnsi="Times New Roman" w:eastAsia="宋体"/>
          <w:highlight w:val="none"/>
        </w:rPr>
        <w:t>稍有危险</w:t>
      </w:r>
      <w:r>
        <w:rPr>
          <w:rFonts w:hint="eastAsia" w:ascii="Times New Roman" w:hAnsi="Times New Roman" w:eastAsia="宋体"/>
          <w:highlight w:val="none"/>
        </w:rPr>
        <w:t>”</w:t>
      </w:r>
      <w:r>
        <w:rPr>
          <w:rFonts w:ascii="Times New Roman" w:hAnsi="Times New Roman" w:eastAsia="宋体"/>
          <w:highlight w:val="none"/>
        </w:rPr>
        <w:t>；在加油作业区进行加油作业时发生火灾、爆炸及中毒和窒息的危险程度为</w:t>
      </w:r>
      <w:r>
        <w:rPr>
          <w:rFonts w:hint="eastAsia" w:ascii="Times New Roman" w:hAnsi="Times New Roman" w:eastAsia="宋体"/>
          <w:highlight w:val="none"/>
        </w:rPr>
        <w:t>“</w:t>
      </w:r>
      <w:r>
        <w:rPr>
          <w:rFonts w:ascii="Times New Roman" w:hAnsi="Times New Roman" w:eastAsia="宋体"/>
          <w:highlight w:val="none"/>
        </w:rPr>
        <w:t>比较危险</w:t>
      </w:r>
      <w:r>
        <w:rPr>
          <w:rFonts w:hint="eastAsia" w:ascii="Times New Roman" w:hAnsi="Times New Roman" w:eastAsia="宋体"/>
          <w:highlight w:val="none"/>
        </w:rPr>
        <w:t>”</w:t>
      </w:r>
      <w:r>
        <w:rPr>
          <w:rFonts w:ascii="Times New Roman" w:hAnsi="Times New Roman" w:eastAsia="宋体"/>
          <w:highlight w:val="none"/>
        </w:rPr>
        <w:t>、发生触电、车辆伤害、机械伤害及噪声与振动的危险程度为</w:t>
      </w:r>
      <w:r>
        <w:rPr>
          <w:rFonts w:hint="eastAsia" w:ascii="Times New Roman" w:hAnsi="Times New Roman" w:eastAsia="宋体"/>
          <w:highlight w:val="none"/>
        </w:rPr>
        <w:t>“</w:t>
      </w:r>
      <w:r>
        <w:rPr>
          <w:rFonts w:ascii="Times New Roman" w:hAnsi="Times New Roman" w:eastAsia="宋体"/>
          <w:highlight w:val="none"/>
        </w:rPr>
        <w:t>稍有危险</w:t>
      </w:r>
      <w:r>
        <w:rPr>
          <w:rFonts w:hint="eastAsia" w:ascii="Times New Roman" w:hAnsi="Times New Roman" w:eastAsia="宋体"/>
          <w:highlight w:val="none"/>
        </w:rPr>
        <w:t>”</w:t>
      </w:r>
      <w:r>
        <w:rPr>
          <w:rFonts w:ascii="Times New Roman" w:hAnsi="Times New Roman" w:eastAsia="宋体"/>
          <w:highlight w:val="none"/>
        </w:rPr>
        <w:t>；进行检维修作业时发生火灾、爆炸、触电、物体打击、高处坠落及坍塌的危险程度为</w:t>
      </w:r>
      <w:r>
        <w:rPr>
          <w:rFonts w:hint="eastAsia" w:ascii="Times New Roman" w:hAnsi="Times New Roman" w:eastAsia="宋体"/>
          <w:highlight w:val="none"/>
        </w:rPr>
        <w:t>“</w:t>
      </w:r>
      <w:r>
        <w:rPr>
          <w:rFonts w:ascii="Times New Roman" w:hAnsi="Times New Roman" w:eastAsia="宋体"/>
          <w:highlight w:val="none"/>
        </w:rPr>
        <w:t>稍有危险</w:t>
      </w:r>
      <w:r>
        <w:rPr>
          <w:rFonts w:hint="eastAsia" w:ascii="Times New Roman" w:hAnsi="Times New Roman" w:eastAsia="宋体"/>
          <w:highlight w:val="none"/>
        </w:rPr>
        <w:t>”</w:t>
      </w:r>
      <w:r>
        <w:rPr>
          <w:rFonts w:ascii="Times New Roman" w:hAnsi="Times New Roman" w:eastAsia="宋体"/>
          <w:highlight w:val="none"/>
        </w:rPr>
        <w:t>；在站房进行检维修作业时发生火灾、爆炸、物体打击、高处坠落及坍塌的危险程度为</w:t>
      </w:r>
      <w:r>
        <w:rPr>
          <w:rFonts w:hint="eastAsia" w:ascii="Times New Roman" w:hAnsi="Times New Roman" w:eastAsia="宋体"/>
          <w:highlight w:val="none"/>
        </w:rPr>
        <w:t>“</w:t>
      </w:r>
      <w:r>
        <w:rPr>
          <w:rFonts w:ascii="Times New Roman" w:hAnsi="Times New Roman" w:eastAsia="宋体"/>
          <w:highlight w:val="none"/>
        </w:rPr>
        <w:t>稍有危险</w:t>
      </w:r>
      <w:r>
        <w:rPr>
          <w:rFonts w:hint="eastAsia" w:ascii="Times New Roman" w:hAnsi="Times New Roman" w:eastAsia="宋体"/>
          <w:highlight w:val="none"/>
        </w:rPr>
        <w:t>”。</w:t>
      </w:r>
    </w:p>
    <w:p w14:paraId="5E4C51FB">
      <w:pPr>
        <w:ind w:firstLine="560"/>
        <w:rPr>
          <w:rFonts w:ascii="Times New Roman" w:hAnsi="Times New Roman" w:eastAsia="宋体"/>
          <w:highlight w:val="none"/>
        </w:rPr>
      </w:pPr>
      <w:r>
        <w:rPr>
          <w:rFonts w:hint="eastAsia" w:ascii="Times New Roman" w:hAnsi="Times New Roman" w:eastAsia="宋体"/>
          <w:highlight w:val="none"/>
        </w:rPr>
        <w:t>（3）定量分析建设项目安全评价范围内和各个评价单元的固有危险程度</w:t>
      </w:r>
    </w:p>
    <w:p w14:paraId="30F1E3B9">
      <w:pPr>
        <w:ind w:firstLine="560"/>
        <w:rPr>
          <w:rFonts w:ascii="Times New Roman" w:hAnsi="Times New Roman" w:eastAsia="宋体"/>
          <w:highlight w:val="none"/>
        </w:rPr>
      </w:pPr>
      <w:r>
        <w:rPr>
          <w:rFonts w:hint="eastAsia" w:ascii="宋体" w:hAnsi="宋体" w:eastAsia="宋体"/>
          <w:highlight w:val="none"/>
        </w:rPr>
        <w:t>①</w:t>
      </w:r>
      <w:r>
        <w:rPr>
          <w:rFonts w:hint="eastAsia" w:ascii="Times New Roman" w:hAnsi="Times New Roman" w:eastAsia="宋体"/>
          <w:highlight w:val="none"/>
        </w:rPr>
        <w:t>具有爆炸性化学品的质量及相当于梯恩梯（TNT）的摩尔量</w:t>
      </w:r>
    </w:p>
    <w:p w14:paraId="4ABA0C5E">
      <w:pPr>
        <w:ind w:firstLine="560"/>
        <w:rPr>
          <w:rFonts w:ascii="Times New Roman" w:hAnsi="Times New Roman" w:eastAsia="宋体"/>
          <w:highlight w:val="none"/>
        </w:rPr>
      </w:pPr>
      <w:r>
        <w:rPr>
          <w:rFonts w:hint="eastAsia" w:ascii="Times New Roman" w:hAnsi="Times New Roman" w:eastAsia="宋体"/>
          <w:highlight w:val="none"/>
        </w:rPr>
        <w:t>该项目不涉及爆炸性物质。</w:t>
      </w:r>
    </w:p>
    <w:p w14:paraId="5E795C05">
      <w:pPr>
        <w:ind w:firstLine="560"/>
        <w:rPr>
          <w:rFonts w:ascii="Times New Roman" w:hAnsi="Times New Roman" w:eastAsia="宋体"/>
          <w:highlight w:val="none"/>
        </w:rPr>
      </w:pPr>
      <w:r>
        <w:rPr>
          <w:rFonts w:hint="eastAsia" w:ascii="宋体" w:hAnsi="宋体" w:eastAsia="宋体"/>
          <w:highlight w:val="none"/>
        </w:rPr>
        <w:t>②</w:t>
      </w:r>
      <w:r>
        <w:rPr>
          <w:rFonts w:hint="eastAsia" w:ascii="Times New Roman" w:hAnsi="Times New Roman" w:eastAsia="宋体"/>
          <w:highlight w:val="none"/>
        </w:rPr>
        <w:t>具有可燃性的化学品的质量及燃烧后放出的热量</w:t>
      </w:r>
    </w:p>
    <w:p w14:paraId="70CC1EE7">
      <w:pPr>
        <w:keepNext/>
        <w:keepLines/>
        <w:spacing w:before="156" w:beforeLines="50" w:after="156" w:afterLines="50" w:line="240" w:lineRule="auto"/>
        <w:ind w:firstLine="0" w:firstLineChars="0"/>
        <w:jc w:val="center"/>
        <w:rPr>
          <w:rFonts w:hint="eastAsia" w:ascii="黑体" w:hAnsi="黑体" w:eastAsia="黑体"/>
          <w:sz w:val="24"/>
          <w:highlight w:val="none"/>
        </w:rPr>
      </w:pPr>
      <w:r>
        <w:rPr>
          <w:rFonts w:hint="eastAsia" w:ascii="黑体" w:hAnsi="黑体" w:eastAsia="黑体"/>
          <w:sz w:val="24"/>
          <w:highlight w:val="none"/>
        </w:rPr>
        <w:t>表</w:t>
      </w:r>
      <w:r>
        <w:rPr>
          <w:rFonts w:hint="eastAsia" w:ascii="Times New Roman" w:hAnsi="Times New Roman" w:eastAsia="黑体" w:cs="Times New Roman"/>
          <w:sz w:val="24"/>
          <w:highlight w:val="none"/>
        </w:rPr>
        <w:t>5.1</w:t>
      </w:r>
      <w:r>
        <w:rPr>
          <w:rFonts w:ascii="Times New Roman" w:hAnsi="Times New Roman" w:eastAsia="黑体" w:cs="Times New Roman"/>
          <w:sz w:val="24"/>
          <w:highlight w:val="none"/>
        </w:rPr>
        <w:t>-</w:t>
      </w:r>
      <w:r>
        <w:rPr>
          <w:rFonts w:hint="eastAsia" w:ascii="Times New Roman" w:hAnsi="Times New Roman" w:eastAsia="黑体" w:cs="Times New Roman"/>
          <w:sz w:val="24"/>
          <w:highlight w:val="none"/>
        </w:rPr>
        <w:t>3</w:t>
      </w:r>
      <w:r>
        <w:rPr>
          <w:rFonts w:hint="eastAsia" w:ascii="黑体" w:hAnsi="黑体" w:eastAsia="黑体"/>
          <w:sz w:val="24"/>
          <w:highlight w:val="none"/>
        </w:rPr>
        <w:t xml:space="preserve">  可燃性的化学品的质量及燃烧后放出的热量</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6"/>
        <w:gridCol w:w="1894"/>
        <w:gridCol w:w="1881"/>
        <w:gridCol w:w="1821"/>
        <w:gridCol w:w="2794"/>
      </w:tblGrid>
      <w:tr w14:paraId="5191E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540" w:type="pct"/>
            <w:vAlign w:val="center"/>
          </w:tcPr>
          <w:p w14:paraId="61CA841E">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序号</w:t>
            </w:r>
          </w:p>
        </w:tc>
        <w:tc>
          <w:tcPr>
            <w:tcW w:w="1007" w:type="pct"/>
            <w:vAlign w:val="center"/>
          </w:tcPr>
          <w:p w14:paraId="313B6B02">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物质名称</w:t>
            </w:r>
          </w:p>
        </w:tc>
        <w:tc>
          <w:tcPr>
            <w:tcW w:w="1000" w:type="pct"/>
            <w:vAlign w:val="center"/>
          </w:tcPr>
          <w:p w14:paraId="4F850C15">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最大</w:t>
            </w:r>
            <w:r>
              <w:rPr>
                <w:rFonts w:ascii="Times New Roman" w:hAnsi="Times New Roman" w:eastAsia="宋体" w:cs="Times New Roman"/>
                <w:bCs/>
                <w:sz w:val="21"/>
                <w:szCs w:val="21"/>
                <w:highlight w:val="none"/>
                <w14:ligatures w14:val="none"/>
              </w:rPr>
              <w:t>储存量（t）</w:t>
            </w:r>
          </w:p>
        </w:tc>
        <w:tc>
          <w:tcPr>
            <w:tcW w:w="968" w:type="pct"/>
            <w:vAlign w:val="center"/>
          </w:tcPr>
          <w:p w14:paraId="3E2D7219">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燃烧热（</w:t>
            </w:r>
            <w:r>
              <w:rPr>
                <w:rFonts w:hint="eastAsia" w:ascii="Times New Roman" w:hAnsi="Times New Roman" w:eastAsia="宋体" w:cs="Times New Roman"/>
                <w:bCs/>
                <w:sz w:val="21"/>
                <w:szCs w:val="21"/>
                <w:highlight w:val="none"/>
                <w14:ligatures w14:val="none"/>
              </w:rPr>
              <w:t>kJ/kg</w:t>
            </w:r>
            <w:r>
              <w:rPr>
                <w:rFonts w:ascii="Times New Roman" w:hAnsi="Times New Roman" w:eastAsia="宋体" w:cs="Times New Roman"/>
                <w:bCs/>
                <w:sz w:val="21"/>
                <w:szCs w:val="21"/>
                <w:highlight w:val="none"/>
                <w14:ligatures w14:val="none"/>
              </w:rPr>
              <w:t>）</w:t>
            </w:r>
          </w:p>
        </w:tc>
        <w:tc>
          <w:tcPr>
            <w:tcW w:w="1485" w:type="pct"/>
            <w:vAlign w:val="center"/>
          </w:tcPr>
          <w:p w14:paraId="707EF535">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燃烧后</w:t>
            </w:r>
            <w:r>
              <w:rPr>
                <w:rFonts w:hint="eastAsia" w:ascii="Times New Roman" w:hAnsi="Times New Roman" w:eastAsia="宋体" w:cs="Times New Roman"/>
                <w:bCs/>
                <w:sz w:val="21"/>
                <w:szCs w:val="21"/>
                <w:highlight w:val="none"/>
                <w14:ligatures w14:val="none"/>
              </w:rPr>
              <w:t>放出</w:t>
            </w:r>
            <w:r>
              <w:rPr>
                <w:rFonts w:ascii="Times New Roman" w:hAnsi="Times New Roman" w:eastAsia="宋体" w:cs="Times New Roman"/>
                <w:bCs/>
                <w:sz w:val="21"/>
                <w:szCs w:val="21"/>
                <w:highlight w:val="none"/>
                <w14:ligatures w14:val="none"/>
              </w:rPr>
              <w:t>的热量（</w:t>
            </w:r>
            <w:r>
              <w:rPr>
                <w:rFonts w:hint="eastAsia" w:ascii="Times New Roman" w:hAnsi="Times New Roman" w:eastAsia="宋体" w:cs="Times New Roman"/>
                <w:bCs/>
                <w:sz w:val="21"/>
                <w:szCs w:val="21"/>
                <w:highlight w:val="none"/>
                <w14:ligatures w14:val="none"/>
              </w:rPr>
              <w:t>kJ</w:t>
            </w:r>
            <w:r>
              <w:rPr>
                <w:rFonts w:ascii="Times New Roman" w:hAnsi="Times New Roman" w:eastAsia="宋体" w:cs="Times New Roman"/>
                <w:bCs/>
                <w:sz w:val="21"/>
                <w:szCs w:val="21"/>
                <w:highlight w:val="none"/>
                <w14:ligatures w14:val="none"/>
              </w:rPr>
              <w:t>）</w:t>
            </w:r>
          </w:p>
        </w:tc>
      </w:tr>
      <w:tr w14:paraId="2873E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540" w:type="pct"/>
            <w:vAlign w:val="center"/>
          </w:tcPr>
          <w:p w14:paraId="64746241">
            <w:pPr>
              <w:numPr>
                <w:ilvl w:val="0"/>
                <w:numId w:val="3"/>
              </w:numPr>
              <w:tabs>
                <w:tab w:val="left" w:pos="1200"/>
                <w:tab w:val="left" w:pos="1276"/>
              </w:tabs>
              <w:spacing w:line="240" w:lineRule="auto"/>
              <w:ind w:left="0" w:firstLine="0" w:firstLineChars="0"/>
              <w:jc w:val="center"/>
              <w:rPr>
                <w:rFonts w:ascii="Calibri" w:hAnsi="Calibri" w:eastAsia="宋体" w:cs="Times New Roman"/>
                <w:kern w:val="0"/>
                <w:sz w:val="24"/>
                <w:highlight w:val="none"/>
                <w14:ligatures w14:val="none"/>
              </w:rPr>
            </w:pPr>
          </w:p>
        </w:tc>
        <w:tc>
          <w:tcPr>
            <w:tcW w:w="1007" w:type="pct"/>
            <w:vAlign w:val="center"/>
          </w:tcPr>
          <w:p w14:paraId="5FEA34F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车用乙醇汽油</w:t>
            </w:r>
          </w:p>
        </w:tc>
        <w:tc>
          <w:tcPr>
            <w:tcW w:w="1000" w:type="pct"/>
            <w:vAlign w:val="center"/>
          </w:tcPr>
          <w:p w14:paraId="36FF1ABC">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48</w:t>
            </w:r>
          </w:p>
        </w:tc>
        <w:tc>
          <w:tcPr>
            <w:tcW w:w="968" w:type="pct"/>
            <w:vAlign w:val="center"/>
          </w:tcPr>
          <w:p w14:paraId="73B175CF">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45980</w:t>
            </w:r>
          </w:p>
        </w:tc>
        <w:tc>
          <w:tcPr>
            <w:tcW w:w="1485" w:type="pct"/>
            <w:vAlign w:val="center"/>
          </w:tcPr>
          <w:p w14:paraId="7A018C6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2.2</w:t>
            </w:r>
            <w:r>
              <w:rPr>
                <w:rFonts w:hint="eastAsia" w:ascii="Times New Roman" w:hAnsi="Times New Roman" w:eastAsia="宋体" w:cs="Times New Roman"/>
                <w:sz w:val="21"/>
                <w:szCs w:val="21"/>
                <w:highlight w:val="none"/>
                <w14:ligatures w14:val="none"/>
              </w:rPr>
              <w:t>×10</w:t>
            </w:r>
            <w:r>
              <w:rPr>
                <w:rFonts w:hint="eastAsia" w:ascii="Times New Roman" w:hAnsi="Times New Roman" w:eastAsia="宋体" w:cs="Times New Roman"/>
                <w:sz w:val="21"/>
                <w:szCs w:val="21"/>
                <w:highlight w:val="none"/>
                <w:vertAlign w:val="superscript"/>
                <w14:ligatures w14:val="none"/>
              </w:rPr>
              <w:t>9</w:t>
            </w:r>
          </w:p>
        </w:tc>
      </w:tr>
      <w:tr w14:paraId="040D2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540" w:type="pct"/>
            <w:vAlign w:val="center"/>
          </w:tcPr>
          <w:p w14:paraId="011E15F3">
            <w:pPr>
              <w:numPr>
                <w:ilvl w:val="0"/>
                <w:numId w:val="3"/>
              </w:numPr>
              <w:tabs>
                <w:tab w:val="left" w:pos="1200"/>
                <w:tab w:val="left" w:pos="1276"/>
              </w:tabs>
              <w:spacing w:line="240" w:lineRule="auto"/>
              <w:ind w:left="0" w:firstLine="0" w:firstLineChars="0"/>
              <w:jc w:val="center"/>
              <w:rPr>
                <w:rFonts w:ascii="Calibri" w:hAnsi="Calibri" w:eastAsia="宋体" w:cs="Times New Roman"/>
                <w:kern w:val="0"/>
                <w:sz w:val="24"/>
                <w:highlight w:val="none"/>
                <w:lang w:eastAsia="en-US"/>
                <w14:ligatures w14:val="none"/>
              </w:rPr>
            </w:pPr>
          </w:p>
        </w:tc>
        <w:tc>
          <w:tcPr>
            <w:tcW w:w="1007" w:type="pct"/>
            <w:vAlign w:val="center"/>
          </w:tcPr>
          <w:p w14:paraId="7A3CAD9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柴油</w:t>
            </w:r>
          </w:p>
        </w:tc>
        <w:tc>
          <w:tcPr>
            <w:tcW w:w="1000" w:type="pct"/>
            <w:vAlign w:val="center"/>
          </w:tcPr>
          <w:p w14:paraId="04DC816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102</w:t>
            </w:r>
          </w:p>
        </w:tc>
        <w:tc>
          <w:tcPr>
            <w:tcW w:w="968" w:type="pct"/>
            <w:vAlign w:val="center"/>
          </w:tcPr>
          <w:p w14:paraId="1A5D221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bCs/>
                <w:sz w:val="21"/>
                <w:szCs w:val="21"/>
                <w:highlight w:val="none"/>
                <w14:ligatures w14:val="none"/>
              </w:rPr>
              <w:t>40184</w:t>
            </w:r>
          </w:p>
        </w:tc>
        <w:tc>
          <w:tcPr>
            <w:tcW w:w="1485" w:type="pct"/>
            <w:vAlign w:val="center"/>
          </w:tcPr>
          <w:p w14:paraId="01F08AE5">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4.1×10</w:t>
            </w:r>
            <w:r>
              <w:rPr>
                <w:rFonts w:hint="eastAsia" w:ascii="Times New Roman" w:hAnsi="Times New Roman" w:eastAsia="宋体" w:cs="Times New Roman"/>
                <w:sz w:val="21"/>
                <w:szCs w:val="21"/>
                <w:highlight w:val="none"/>
                <w:vertAlign w:val="superscript"/>
                <w14:ligatures w14:val="none"/>
              </w:rPr>
              <w:t>9</w:t>
            </w:r>
          </w:p>
        </w:tc>
      </w:tr>
    </w:tbl>
    <w:p w14:paraId="0796FF8A">
      <w:pPr>
        <w:ind w:firstLine="560"/>
        <w:rPr>
          <w:rFonts w:ascii="Times New Roman" w:hAnsi="Times New Roman" w:eastAsia="宋体"/>
          <w:highlight w:val="none"/>
        </w:rPr>
      </w:pPr>
      <w:r>
        <w:rPr>
          <w:rFonts w:hint="eastAsia" w:ascii="宋体" w:hAnsi="宋体" w:eastAsia="宋体"/>
          <w:highlight w:val="none"/>
        </w:rPr>
        <w:t>③</w:t>
      </w:r>
      <w:r>
        <w:rPr>
          <w:rFonts w:hint="eastAsia" w:ascii="Times New Roman" w:hAnsi="Times New Roman" w:eastAsia="宋体"/>
          <w:highlight w:val="none"/>
        </w:rPr>
        <w:t>具有毒性的化学品的浓度及质量</w:t>
      </w:r>
    </w:p>
    <w:p w14:paraId="46D612E9">
      <w:pPr>
        <w:ind w:firstLine="560"/>
        <w:rPr>
          <w:rFonts w:ascii="Times New Roman" w:hAnsi="Times New Roman" w:eastAsia="宋体"/>
          <w:highlight w:val="none"/>
        </w:rPr>
      </w:pPr>
      <w:r>
        <w:rPr>
          <w:rFonts w:hint="eastAsia" w:ascii="Times New Roman" w:hAnsi="Times New Roman" w:eastAsia="宋体"/>
          <w:highlight w:val="none"/>
        </w:rPr>
        <w:t>该项目不涉及高毒及剧毒化学品，车用乙醇汽油职业接触限值：PC-TWA：300mg/m³。</w:t>
      </w:r>
    </w:p>
    <w:p w14:paraId="1DA051A9">
      <w:pPr>
        <w:ind w:firstLine="560"/>
        <w:rPr>
          <w:rFonts w:ascii="Times New Roman" w:hAnsi="Times New Roman" w:eastAsia="宋体"/>
          <w:highlight w:val="none"/>
        </w:rPr>
      </w:pPr>
      <w:r>
        <w:rPr>
          <w:rFonts w:hint="eastAsia" w:ascii="宋体" w:hAnsi="宋体" w:eastAsia="宋体"/>
          <w:highlight w:val="none"/>
        </w:rPr>
        <w:t>④</w:t>
      </w:r>
      <w:r>
        <w:rPr>
          <w:rFonts w:hint="eastAsia" w:ascii="Times New Roman" w:hAnsi="Times New Roman" w:eastAsia="宋体"/>
          <w:highlight w:val="none"/>
        </w:rPr>
        <w:t>具有腐蚀性的化学品的浓度及质量</w:t>
      </w:r>
    </w:p>
    <w:p w14:paraId="2A698B40">
      <w:pPr>
        <w:ind w:firstLine="560"/>
        <w:rPr>
          <w:rFonts w:ascii="Times New Roman" w:hAnsi="Times New Roman" w:eastAsia="宋体"/>
          <w:highlight w:val="none"/>
        </w:rPr>
      </w:pPr>
      <w:r>
        <w:rPr>
          <w:rFonts w:hint="eastAsia" w:ascii="Times New Roman" w:hAnsi="Times New Roman" w:eastAsia="宋体"/>
          <w:highlight w:val="none"/>
        </w:rPr>
        <w:t>该项目不涉及腐蚀性化学品。</w:t>
      </w:r>
    </w:p>
    <w:p w14:paraId="4474C5E0">
      <w:pPr>
        <w:spacing w:before="312" w:beforeLines="100" w:after="312" w:afterLines="100"/>
        <w:ind w:firstLine="0" w:firstLineChars="0"/>
        <w:jc w:val="center"/>
        <w:outlineLvl w:val="1"/>
        <w:rPr>
          <w:rFonts w:ascii="Times New Roman" w:hAnsi="Times New Roman" w:eastAsia="楷体" w:cs="宋体"/>
          <w:b/>
          <w:bCs/>
          <w:sz w:val="32"/>
          <w:szCs w:val="28"/>
          <w:highlight w:val="none"/>
          <w:lang w:bidi="ar"/>
          <w14:ligatures w14:val="none"/>
        </w:rPr>
      </w:pPr>
      <w:bookmarkStart w:id="55" w:name="_Toc187310005"/>
      <w:r>
        <w:rPr>
          <w:rFonts w:hint="eastAsia" w:ascii="Times New Roman" w:hAnsi="Times New Roman" w:eastAsia="楷体" w:cs="宋体"/>
          <w:b/>
          <w:bCs/>
          <w:sz w:val="32"/>
          <w:szCs w:val="28"/>
          <w:highlight w:val="none"/>
          <w:lang w:bidi="ar"/>
          <w14:ligatures w14:val="none"/>
        </w:rPr>
        <w:t>5.2</w:t>
      </w:r>
      <w:r>
        <w:rPr>
          <w:rFonts w:ascii="Times New Roman" w:hAnsi="Times New Roman" w:eastAsia="楷体" w:cs="宋体"/>
          <w:b/>
          <w:bCs/>
          <w:sz w:val="32"/>
          <w:szCs w:val="28"/>
          <w:highlight w:val="none"/>
          <w:lang w:bidi="ar"/>
          <w14:ligatures w14:val="none"/>
        </w:rPr>
        <w:t>风险程度的分析</w:t>
      </w:r>
      <w:bookmarkEnd w:id="55"/>
    </w:p>
    <w:p w14:paraId="6DF94C2B">
      <w:pPr>
        <w:ind w:firstLine="560"/>
        <w:rPr>
          <w:rFonts w:ascii="Times New Roman" w:hAnsi="Times New Roman" w:eastAsia="宋体"/>
          <w:highlight w:val="none"/>
        </w:rPr>
      </w:pPr>
      <w:r>
        <w:rPr>
          <w:rFonts w:hint="eastAsia" w:ascii="Times New Roman" w:hAnsi="Times New Roman" w:eastAsia="宋体"/>
          <w:highlight w:val="none"/>
        </w:rPr>
        <w:t>根据选定的安全评价方法对该项目进行相关的分析评价。具体评价结果，见表5.2-1。评价过程，见报告附录4。</w:t>
      </w:r>
      <w:r>
        <w:rPr>
          <w:rFonts w:ascii="Times New Roman" w:hAnsi="Times New Roman" w:eastAsia="宋体"/>
          <w:highlight w:val="none"/>
        </w:rPr>
        <w:br w:type="page"/>
      </w:r>
    </w:p>
    <w:p w14:paraId="0FEBFFAA">
      <w:pPr>
        <w:keepNext/>
        <w:keepLines/>
        <w:spacing w:before="156" w:beforeLines="50" w:after="156" w:afterLines="50" w:line="240" w:lineRule="auto"/>
        <w:ind w:firstLine="0" w:firstLineChars="0"/>
        <w:jc w:val="center"/>
        <w:rPr>
          <w:rFonts w:hint="eastAsia" w:ascii="黑体" w:hAnsi="黑体" w:eastAsia="黑体"/>
          <w:sz w:val="24"/>
          <w:highlight w:val="none"/>
        </w:rPr>
      </w:pPr>
      <w:r>
        <w:rPr>
          <w:rFonts w:hint="eastAsia" w:ascii="黑体" w:hAnsi="黑体" w:eastAsia="黑体"/>
          <w:sz w:val="24"/>
          <w:highlight w:val="none"/>
        </w:rPr>
        <w:t>表</w:t>
      </w:r>
      <w:r>
        <w:rPr>
          <w:rFonts w:hint="eastAsia" w:ascii="Times New Roman" w:hAnsi="Times New Roman" w:eastAsia="黑体" w:cs="Times New Roman"/>
          <w:sz w:val="24"/>
          <w:highlight w:val="none"/>
        </w:rPr>
        <w:t>5.2-1</w:t>
      </w:r>
      <w:r>
        <w:rPr>
          <w:rFonts w:hint="eastAsia" w:ascii="黑体" w:hAnsi="黑体" w:eastAsia="黑体"/>
          <w:sz w:val="24"/>
          <w:highlight w:val="none"/>
        </w:rPr>
        <w:t xml:space="preserve">  风险评价结果汇总表</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2449"/>
        <w:gridCol w:w="6237"/>
      </w:tblGrid>
      <w:tr w14:paraId="7442D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3" w:type="pct"/>
            <w:vAlign w:val="center"/>
          </w:tcPr>
          <w:p w14:paraId="348D1B5D">
            <w:pPr>
              <w:autoSpaceDE w:val="0"/>
              <w:autoSpaceDN w:val="0"/>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序号</w:t>
            </w:r>
          </w:p>
        </w:tc>
        <w:tc>
          <w:tcPr>
            <w:tcW w:w="1302" w:type="pct"/>
            <w:vAlign w:val="center"/>
          </w:tcPr>
          <w:p w14:paraId="245F8E5C">
            <w:pPr>
              <w:autoSpaceDE w:val="0"/>
              <w:autoSpaceDN w:val="0"/>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评价方法</w:t>
            </w:r>
          </w:p>
        </w:tc>
        <w:tc>
          <w:tcPr>
            <w:tcW w:w="3315" w:type="pct"/>
            <w:vAlign w:val="center"/>
          </w:tcPr>
          <w:p w14:paraId="00E53585">
            <w:pPr>
              <w:autoSpaceDE w:val="0"/>
              <w:autoSpaceDN w:val="0"/>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评价结果</w:t>
            </w:r>
          </w:p>
        </w:tc>
      </w:tr>
      <w:tr w14:paraId="16D23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383" w:type="pct"/>
            <w:vAlign w:val="center"/>
          </w:tcPr>
          <w:p w14:paraId="43514AF3">
            <w:pPr>
              <w:autoSpaceDE w:val="0"/>
              <w:autoSpaceDN w:val="0"/>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w:t>
            </w:r>
          </w:p>
        </w:tc>
        <w:tc>
          <w:tcPr>
            <w:tcW w:w="1302" w:type="pct"/>
            <w:vAlign w:val="center"/>
          </w:tcPr>
          <w:p w14:paraId="20B51363">
            <w:pPr>
              <w:adjustRightInd/>
              <w:snapToGrid/>
              <w:spacing w:line="240" w:lineRule="auto"/>
              <w:ind w:firstLine="42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安全检查表法</w:t>
            </w:r>
          </w:p>
        </w:tc>
        <w:tc>
          <w:tcPr>
            <w:tcW w:w="6237" w:type="dxa"/>
            <w:vAlign w:val="center"/>
          </w:tcPr>
          <w:p w14:paraId="5DB57EE6">
            <w:pPr>
              <w:autoSpaceDE w:val="0"/>
              <w:autoSpaceDN w:val="0"/>
              <w:snapToGrid/>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通过对</w:t>
            </w:r>
            <w:r>
              <w:rPr>
                <w:rFonts w:hint="eastAsia" w:ascii="Times New Roman" w:hAnsi="Times New Roman" w:eastAsia="宋体" w:cs="Times New Roman"/>
                <w:sz w:val="21"/>
                <w:szCs w:val="21"/>
                <w:highlight w:val="none"/>
                <w14:ligatures w14:val="none"/>
              </w:rPr>
              <w:t>该项目</w:t>
            </w:r>
            <w:r>
              <w:rPr>
                <w:rFonts w:ascii="Times New Roman" w:hAnsi="Times New Roman" w:eastAsia="宋体" w:cs="Times New Roman"/>
                <w:sz w:val="21"/>
                <w:szCs w:val="21"/>
                <w:highlight w:val="none"/>
                <w14:ligatures w14:val="none"/>
              </w:rPr>
              <w:t>的选址及总平面布置、加油工艺设备及设施、公用工程及辅助设施以及安全管理、重大生产安全事故隐患判定5个单元共检查项目共1</w:t>
            </w:r>
            <w:r>
              <w:rPr>
                <w:rFonts w:hint="eastAsia" w:ascii="Times New Roman" w:hAnsi="Times New Roman" w:eastAsia="宋体" w:cs="Times New Roman"/>
                <w:sz w:val="21"/>
                <w:szCs w:val="21"/>
                <w:highlight w:val="none"/>
                <w14:ligatures w14:val="none"/>
              </w:rPr>
              <w:t>33</w:t>
            </w:r>
            <w:r>
              <w:rPr>
                <w:rFonts w:ascii="Times New Roman" w:hAnsi="Times New Roman" w:eastAsia="宋体" w:cs="Times New Roman"/>
                <w:sz w:val="21"/>
                <w:szCs w:val="21"/>
                <w:highlight w:val="none"/>
                <w14:ligatures w14:val="none"/>
              </w:rPr>
              <w:t>项，其中符合项为1</w:t>
            </w:r>
            <w:r>
              <w:rPr>
                <w:rFonts w:hint="eastAsia" w:ascii="Times New Roman" w:hAnsi="Times New Roman" w:eastAsia="宋体" w:cs="Times New Roman"/>
                <w:sz w:val="21"/>
                <w:szCs w:val="21"/>
                <w:highlight w:val="none"/>
                <w14:ligatures w14:val="none"/>
              </w:rPr>
              <w:t>26</w:t>
            </w:r>
            <w:r>
              <w:rPr>
                <w:rFonts w:ascii="Times New Roman" w:hAnsi="Times New Roman" w:eastAsia="宋体" w:cs="Times New Roman"/>
                <w:sz w:val="21"/>
                <w:szCs w:val="21"/>
                <w:highlight w:val="none"/>
                <w14:ligatures w14:val="none"/>
              </w:rPr>
              <w:t>项</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无关项为</w:t>
            </w:r>
            <w:r>
              <w:rPr>
                <w:rFonts w:hint="eastAsia" w:ascii="Times New Roman" w:hAnsi="Times New Roman" w:eastAsia="宋体" w:cs="Times New Roman"/>
                <w:sz w:val="21"/>
                <w:szCs w:val="21"/>
                <w:highlight w:val="none"/>
                <w14:ligatures w14:val="none"/>
              </w:rPr>
              <w:t>7</w:t>
            </w:r>
            <w:r>
              <w:rPr>
                <w:rFonts w:ascii="Times New Roman" w:hAnsi="Times New Roman" w:eastAsia="宋体" w:cs="Times New Roman"/>
                <w:sz w:val="21"/>
                <w:szCs w:val="21"/>
                <w:highlight w:val="none"/>
                <w14:ligatures w14:val="none"/>
              </w:rPr>
              <w:t>项。</w:t>
            </w:r>
          </w:p>
        </w:tc>
      </w:tr>
      <w:tr w14:paraId="0FCE7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 w:hRule="atLeast"/>
        </w:trPr>
        <w:tc>
          <w:tcPr>
            <w:tcW w:w="383" w:type="pct"/>
            <w:vAlign w:val="center"/>
          </w:tcPr>
          <w:p w14:paraId="19B2177F">
            <w:pPr>
              <w:autoSpaceDE w:val="0"/>
              <w:autoSpaceDN w:val="0"/>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w:t>
            </w:r>
          </w:p>
        </w:tc>
        <w:tc>
          <w:tcPr>
            <w:tcW w:w="1302" w:type="pct"/>
            <w:vAlign w:val="center"/>
          </w:tcPr>
          <w:p w14:paraId="603C2CF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作业条件危险性分析法</w:t>
            </w:r>
          </w:p>
        </w:tc>
        <w:tc>
          <w:tcPr>
            <w:tcW w:w="6237" w:type="dxa"/>
            <w:vAlign w:val="center"/>
          </w:tcPr>
          <w:p w14:paraId="7F94F02A">
            <w:pPr>
              <w:autoSpaceDE w:val="0"/>
              <w:autoSpaceDN w:val="0"/>
              <w:snapToGrid/>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通过作业条件危险性评价可知，该站在卸油区进行卸油作业时发生火灾、爆炸、中毒和窒息、触电及车辆伤害的危险程度为</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稍有危险</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；进行检维修作业时发生火灾、爆炸及触电的危险程度为</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稍有危险</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；在加油作业区进行加油作业时发生火灾、爆炸及中毒和窒息的危险程度为</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比较危险</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、发生触电、车辆伤害、机械伤害及噪声与振动的危险程度为</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稍有危险</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；进行检维修作业时发生火灾、爆炸、触电、物体打击、高处坠落及坍塌的危险程度为</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稍有危险</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；在站房进行检维修作业时发生火灾、爆炸、物体打击、高处坠落及坍塌的危险程度为</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稍有危险</w:t>
            </w:r>
            <w:r>
              <w:rPr>
                <w:rFonts w:hint="eastAsia" w:ascii="Times New Roman" w:hAnsi="Times New Roman" w:eastAsia="宋体" w:cs="Times New Roman"/>
                <w:sz w:val="21"/>
                <w:szCs w:val="21"/>
                <w:highlight w:val="none"/>
                <w14:ligatures w14:val="none"/>
              </w:rPr>
              <w:t>”。</w:t>
            </w:r>
          </w:p>
        </w:tc>
      </w:tr>
      <w:tr w14:paraId="091B8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383" w:type="pct"/>
            <w:vAlign w:val="center"/>
          </w:tcPr>
          <w:p w14:paraId="7F40B12A">
            <w:pPr>
              <w:autoSpaceDE w:val="0"/>
              <w:autoSpaceDN w:val="0"/>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3</w:t>
            </w:r>
          </w:p>
        </w:tc>
        <w:tc>
          <w:tcPr>
            <w:tcW w:w="1302" w:type="pct"/>
            <w:vAlign w:val="center"/>
          </w:tcPr>
          <w:p w14:paraId="6FD983B4">
            <w:pPr>
              <w:adjustRightInd/>
              <w:snapToGrid/>
              <w:spacing w:line="240" w:lineRule="auto"/>
              <w:ind w:firstLine="42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TNT当量法</w:t>
            </w:r>
          </w:p>
        </w:tc>
        <w:tc>
          <w:tcPr>
            <w:tcW w:w="6237" w:type="dxa"/>
            <w:vAlign w:val="center"/>
          </w:tcPr>
          <w:p w14:paraId="069E7C84">
            <w:pPr>
              <w:autoSpaceDE w:val="0"/>
              <w:autoSpaceDN w:val="0"/>
              <w:snapToGrid/>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本项目</w:t>
            </w:r>
            <w:r>
              <w:rPr>
                <w:rFonts w:ascii="Times New Roman" w:hAnsi="Times New Roman" w:eastAsia="宋体" w:cs="Times New Roman"/>
                <w:sz w:val="21"/>
                <w:szCs w:val="21"/>
                <w:highlight w:val="none"/>
                <w14:ligatures w14:val="none"/>
              </w:rPr>
              <w:t>单个埋地汽油罐的最大储存量为</w:t>
            </w:r>
            <w:r>
              <w:rPr>
                <w:rFonts w:hint="eastAsia" w:ascii="Times New Roman" w:hAnsi="Times New Roman" w:eastAsia="宋体" w:cs="Times New Roman"/>
                <w:sz w:val="21"/>
                <w:szCs w:val="21"/>
                <w:highlight w:val="none"/>
                <w14:ligatures w14:val="none"/>
              </w:rPr>
              <w:t>24</w:t>
            </w:r>
            <w:r>
              <w:rPr>
                <w:rFonts w:ascii="Times New Roman" w:hAnsi="Times New Roman" w:eastAsia="宋体" w:cs="Times New Roman"/>
                <w:sz w:val="21"/>
                <w:szCs w:val="21"/>
                <w:highlight w:val="none"/>
                <w14:ligatures w14:val="none"/>
              </w:rPr>
              <w:t>t，假设参加蒸气云爆炸的量为最大储存量的10%，则相当于梯恩梯（TNT）的摩尔量：</w:t>
            </w:r>
            <w:r>
              <w:rPr>
                <w:rFonts w:hint="eastAsia" w:ascii="Times New Roman" w:hAnsi="Times New Roman" w:eastAsia="宋体" w:cs="Times New Roman"/>
                <w:sz w:val="21"/>
                <w:szCs w:val="21"/>
                <w:highlight w:val="none"/>
                <w14:ligatures w14:val="none"/>
              </w:rPr>
              <w:t>7.78</w:t>
            </w:r>
            <w:r>
              <w:rPr>
                <w:rFonts w:ascii="Times New Roman" w:hAnsi="Times New Roman" w:eastAsia="宋体" w:cs="Times New Roman"/>
                <w:sz w:val="21"/>
                <w:szCs w:val="21"/>
                <w:highlight w:val="none"/>
                <w14:ligatures w14:val="none"/>
              </w:rPr>
              <w:t>kmol</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根据超压-冲量准则和概率模型得出的死亡半径R</w:t>
            </w:r>
            <w:r>
              <w:rPr>
                <w:rFonts w:ascii="Times New Roman" w:hAnsi="Times New Roman" w:eastAsia="宋体" w:cs="Times New Roman"/>
                <w:sz w:val="21"/>
                <w:szCs w:val="21"/>
                <w:highlight w:val="none"/>
                <w:vertAlign w:val="subscript"/>
                <w14:ligatures w14:val="none"/>
              </w:rPr>
              <w:t>0.5</w:t>
            </w:r>
            <w:r>
              <w:rPr>
                <w:rFonts w:ascii="Times New Roman" w:hAnsi="Times New Roman" w:eastAsia="宋体" w:cs="Times New Roman"/>
                <w:sz w:val="21"/>
                <w:szCs w:val="21"/>
                <w:highlight w:val="none"/>
                <w14:ligatures w14:val="none"/>
              </w:rPr>
              <w:t>=</w:t>
            </w:r>
            <w:r>
              <w:rPr>
                <w:rFonts w:hint="eastAsia" w:ascii="Times New Roman" w:hAnsi="Times New Roman" w:eastAsia="宋体" w:cs="Times New Roman"/>
                <w:sz w:val="21"/>
                <w:szCs w:val="21"/>
                <w:highlight w:val="none"/>
                <w14:ligatures w14:val="none"/>
              </w:rPr>
              <w:t>16.7</w:t>
            </w:r>
            <w:r>
              <w:rPr>
                <w:rFonts w:hint="eastAsia" w:ascii="Times New Roman" w:hAnsi="Times New Roman" w:eastAsia="宋体" w:cs="Times New Roman"/>
                <w:sz w:val="21"/>
                <w:szCs w:val="21"/>
                <w:highlight w:val="none"/>
                <w:lang w:val="en-US" w:eastAsia="zh-CN"/>
                <w14:ligatures w14:val="none"/>
              </w:rPr>
              <w:t>6</w:t>
            </w:r>
            <w:r>
              <w:rPr>
                <w:rFonts w:ascii="Times New Roman" w:hAnsi="Times New Roman" w:eastAsia="宋体" w:cs="Times New Roman"/>
                <w:sz w:val="21"/>
                <w:szCs w:val="21"/>
                <w:highlight w:val="none"/>
                <w14:ligatures w14:val="none"/>
              </w:rPr>
              <w:t>m</w:t>
            </w:r>
          </w:p>
        </w:tc>
      </w:tr>
    </w:tbl>
    <w:p w14:paraId="13213E1F">
      <w:pPr>
        <w:ind w:firstLine="560"/>
        <w:rPr>
          <w:rFonts w:hint="eastAsia" w:eastAsia="黑体"/>
          <w:highlight w:val="none"/>
        </w:rPr>
      </w:pPr>
      <w:r>
        <w:rPr>
          <w:rFonts w:hint="eastAsia" w:eastAsia="黑体"/>
          <w:highlight w:val="none"/>
        </w:rPr>
        <w:br w:type="page"/>
      </w:r>
    </w:p>
    <w:p w14:paraId="6FB1D22D">
      <w:pPr>
        <w:spacing w:before="468" w:beforeLines="150" w:after="468" w:afterLines="150"/>
        <w:ind w:firstLine="0" w:firstLineChars="0"/>
        <w:jc w:val="center"/>
        <w:outlineLvl w:val="0"/>
        <w:rPr>
          <w:rFonts w:hint="eastAsia" w:ascii="黑体" w:hAnsi="黑体" w:eastAsia="黑体"/>
          <w:b/>
          <w:bCs/>
          <w:sz w:val="32"/>
          <w:szCs w:val="32"/>
          <w:highlight w:val="none"/>
        </w:rPr>
      </w:pPr>
      <w:bookmarkStart w:id="56" w:name="_Toc179746348"/>
      <w:bookmarkStart w:id="57" w:name="_Toc187310006"/>
      <w:r>
        <w:rPr>
          <w:rFonts w:ascii="Times New Roman" w:hAnsi="Times New Roman" w:eastAsia="黑体" w:cs="Times New Roman"/>
          <w:b/>
          <w:bCs/>
          <w:sz w:val="32"/>
          <w:szCs w:val="32"/>
          <w:highlight w:val="none"/>
        </w:rPr>
        <w:t>6</w:t>
      </w:r>
      <w:r>
        <w:rPr>
          <w:rFonts w:hint="eastAsia" w:ascii="黑体" w:hAnsi="黑体" w:eastAsia="黑体"/>
          <w:b/>
          <w:bCs/>
          <w:sz w:val="32"/>
          <w:szCs w:val="32"/>
          <w:highlight w:val="none"/>
        </w:rPr>
        <w:t>建设项目的安全条件</w:t>
      </w:r>
      <w:bookmarkEnd w:id="56"/>
      <w:bookmarkEnd w:id="57"/>
    </w:p>
    <w:p w14:paraId="13D8EAA8">
      <w:pPr>
        <w:spacing w:before="312" w:beforeLines="100" w:after="312" w:afterLines="100"/>
        <w:ind w:firstLine="0" w:firstLineChars="0"/>
        <w:jc w:val="center"/>
        <w:outlineLvl w:val="1"/>
        <w:rPr>
          <w:rFonts w:hint="eastAsia" w:ascii="楷体" w:hAnsi="楷体" w:eastAsia="楷体"/>
          <w:b/>
          <w:bCs/>
          <w:sz w:val="32"/>
          <w:szCs w:val="32"/>
          <w:highlight w:val="none"/>
        </w:rPr>
      </w:pPr>
      <w:bookmarkStart w:id="58" w:name="_Toc187310007"/>
      <w:bookmarkStart w:id="59" w:name="_Toc179746349"/>
      <w:r>
        <w:rPr>
          <w:rFonts w:ascii="Times New Roman" w:hAnsi="Times New Roman" w:eastAsia="楷体" w:cs="Times New Roman"/>
          <w:b/>
          <w:bCs/>
          <w:sz w:val="32"/>
          <w:szCs w:val="32"/>
          <w:highlight w:val="none"/>
        </w:rPr>
        <w:t>6.1</w:t>
      </w:r>
      <w:r>
        <w:rPr>
          <w:rFonts w:hint="eastAsia" w:ascii="楷体" w:hAnsi="楷体" w:eastAsia="楷体"/>
          <w:b/>
          <w:bCs/>
          <w:sz w:val="32"/>
          <w:szCs w:val="32"/>
          <w:highlight w:val="none"/>
        </w:rPr>
        <w:t>建设项目的外部情况</w:t>
      </w:r>
      <w:bookmarkEnd w:id="58"/>
      <w:bookmarkEnd w:id="59"/>
    </w:p>
    <w:p w14:paraId="03AEEE80">
      <w:pPr>
        <w:spacing w:before="156" w:beforeLines="50" w:after="156" w:afterLines="50"/>
        <w:ind w:firstLine="562"/>
        <w:outlineLvl w:val="2"/>
        <w:rPr>
          <w:rFonts w:hint="eastAsia" w:ascii="黑体" w:hAnsi="黑体" w:eastAsia="黑体"/>
          <w:b/>
          <w:bCs/>
          <w:highlight w:val="none"/>
        </w:rPr>
      </w:pPr>
      <w:r>
        <w:rPr>
          <w:rFonts w:ascii="Times New Roman" w:hAnsi="Times New Roman" w:eastAsia="黑体" w:cs="Times New Roman"/>
          <w:b/>
          <w:bCs/>
          <w:highlight w:val="none"/>
        </w:rPr>
        <w:t>6.1.1</w:t>
      </w:r>
      <w:r>
        <w:rPr>
          <w:rFonts w:hint="eastAsia" w:ascii="黑体" w:hAnsi="黑体" w:eastAsia="黑体"/>
          <w:b/>
          <w:bCs/>
          <w:highlight w:val="none"/>
        </w:rPr>
        <w:t>建设项目周边24小时内生产经营活动和居民生活的情况</w:t>
      </w:r>
    </w:p>
    <w:p w14:paraId="69005234">
      <w:pPr>
        <w:ind w:firstLine="560"/>
        <w:rPr>
          <w:rFonts w:ascii="Times New Roman" w:hAnsi="Times New Roman" w:eastAsia="宋体"/>
          <w:highlight w:val="none"/>
        </w:rPr>
      </w:pPr>
      <w:r>
        <w:rPr>
          <w:rFonts w:hint="eastAsia" w:ascii="Times New Roman" w:hAnsi="Times New Roman" w:eastAsia="宋体"/>
          <w:highlight w:val="none"/>
        </w:rPr>
        <w:t>八里甸子北侧加油站位于本溪至集安高速公路本溪至桓仁（辽吉界）段工程101.22公里处八里甸子北侧服务区。该站东侧为服务区内停车场（三类保护物）；南侧为服务区内道路（次干路）；西侧为空地；北侧为充电桩停车位、服务区宿舍楼（三类保护物）、服务区综合楼（三类保护物）</w:t>
      </w:r>
      <w:r>
        <w:rPr>
          <w:rFonts w:hint="eastAsia" w:ascii="Times New Roman" w:hAnsi="Times New Roman" w:eastAsia="宋体"/>
          <w:highlight w:val="none"/>
          <w:lang w:val="en-US" w:eastAsia="zh-CN"/>
        </w:rPr>
        <w:t>以及消防水泵房（三类保护物）</w:t>
      </w:r>
      <w:r>
        <w:rPr>
          <w:rFonts w:ascii="Times New Roman" w:hAnsi="Times New Roman" w:eastAsia="宋体"/>
          <w:highlight w:val="none"/>
        </w:rPr>
        <w:t>。该站周边无重要公共设施，交通便利，且站址所在区域内没有重点文物等保护单位、风景名胜区和珍稀动植物资源等敏感点，</w:t>
      </w:r>
      <w:r>
        <w:rPr>
          <w:rFonts w:hint="eastAsia" w:ascii="Times New Roman" w:hAnsi="Times New Roman" w:eastAsia="宋体"/>
          <w:highlight w:val="none"/>
        </w:rPr>
        <w:t>站</w:t>
      </w:r>
      <w:r>
        <w:rPr>
          <w:rFonts w:ascii="Times New Roman" w:hAnsi="Times New Roman" w:eastAsia="宋体"/>
          <w:highlight w:val="none"/>
        </w:rPr>
        <w:t>区地势平坦</w:t>
      </w:r>
      <w:r>
        <w:rPr>
          <w:rFonts w:hint="eastAsia" w:ascii="Times New Roman" w:hAnsi="Times New Roman" w:eastAsia="宋体"/>
          <w:highlight w:val="none"/>
        </w:rPr>
        <w:t>，</w:t>
      </w:r>
      <w:r>
        <w:rPr>
          <w:rFonts w:ascii="Times New Roman" w:hAnsi="Times New Roman" w:eastAsia="宋体"/>
          <w:highlight w:val="none"/>
        </w:rPr>
        <w:t>该站未建于城市中心区</w:t>
      </w:r>
      <w:r>
        <w:rPr>
          <w:rFonts w:hint="eastAsia" w:ascii="Times New Roman" w:hAnsi="Times New Roman" w:eastAsia="宋体"/>
          <w:highlight w:val="none"/>
        </w:rPr>
        <w:t>。</w:t>
      </w:r>
    </w:p>
    <w:p w14:paraId="4C5E8D73">
      <w:pPr>
        <w:spacing w:before="156" w:beforeLines="50" w:after="156" w:afterLines="50"/>
        <w:ind w:firstLine="562"/>
        <w:outlineLvl w:val="2"/>
        <w:rPr>
          <w:rFonts w:hint="eastAsia" w:ascii="黑体" w:hAnsi="黑体" w:eastAsia="黑体"/>
          <w:b/>
          <w:bCs/>
          <w:highlight w:val="none"/>
        </w:rPr>
      </w:pPr>
      <w:r>
        <w:rPr>
          <w:rFonts w:ascii="Times New Roman" w:hAnsi="Times New Roman" w:eastAsia="黑体" w:cs="Times New Roman"/>
          <w:b/>
          <w:bCs/>
          <w:highlight w:val="none"/>
        </w:rPr>
        <w:t>6.1.2</w:t>
      </w:r>
      <w:r>
        <w:rPr>
          <w:rFonts w:hint="eastAsia" w:ascii="黑体" w:hAnsi="黑体" w:eastAsia="黑体"/>
          <w:b/>
          <w:bCs/>
          <w:highlight w:val="none"/>
        </w:rPr>
        <w:t>所在地的自然条件</w:t>
      </w:r>
    </w:p>
    <w:p w14:paraId="62655894">
      <w:pPr>
        <w:ind w:firstLine="560"/>
        <w:rPr>
          <w:rFonts w:ascii="Times New Roman" w:hAnsi="Times New Roman" w:eastAsia="宋体"/>
          <w:highlight w:val="none"/>
        </w:rPr>
      </w:pPr>
      <w:r>
        <w:rPr>
          <w:rFonts w:hint="eastAsia" w:ascii="Times New Roman" w:hAnsi="Times New Roman" w:eastAsia="宋体"/>
          <w:highlight w:val="none"/>
        </w:rPr>
        <w:t>（1）气候条件</w:t>
      </w:r>
    </w:p>
    <w:p w14:paraId="4814E1D0">
      <w:pPr>
        <w:ind w:firstLine="560"/>
        <w:rPr>
          <w:rFonts w:hint="eastAsia" w:ascii="Times New Roman" w:hAnsi="Times New Roman" w:eastAsia="宋体"/>
          <w:highlight w:val="none"/>
        </w:rPr>
      </w:pPr>
      <w:r>
        <w:rPr>
          <w:rFonts w:hint="eastAsia" w:ascii="Times New Roman" w:hAnsi="Times New Roman" w:eastAsia="宋体"/>
          <w:highlight w:val="none"/>
        </w:rPr>
        <w:t>该站位于</w:t>
      </w:r>
      <w:r>
        <w:rPr>
          <w:rFonts w:hint="eastAsia" w:ascii="Times New Roman" w:hAnsi="Times New Roman" w:eastAsia="宋体"/>
          <w:highlight w:val="none"/>
          <w:lang w:val="en-US" w:eastAsia="zh-CN"/>
        </w:rPr>
        <w:t>本溪市恒仁满族自治县</w:t>
      </w:r>
      <w:r>
        <w:rPr>
          <w:rFonts w:hint="eastAsia" w:ascii="Times New Roman" w:hAnsi="Times New Roman" w:eastAsia="宋体"/>
          <w:highlight w:val="none"/>
        </w:rPr>
        <w:t>，自然条件如下。</w:t>
      </w:r>
    </w:p>
    <w:p w14:paraId="3C27DAA4">
      <w:pPr>
        <w:ind w:firstLine="560"/>
        <w:rPr>
          <w:rFonts w:ascii="Times New Roman" w:hAnsi="Times New Roman" w:eastAsia="宋体"/>
          <w:highlight w:val="none"/>
        </w:rPr>
      </w:pPr>
      <w:r>
        <w:rPr>
          <w:rFonts w:ascii="Times New Roman" w:hAnsi="Times New Roman" w:eastAsia="宋体"/>
          <w:highlight w:val="none"/>
        </w:rPr>
        <w:t>年平均气温</w:t>
      </w:r>
      <w:r>
        <w:rPr>
          <w:rFonts w:hint="eastAsia" w:ascii="Times New Roman" w:hAnsi="Times New Roman" w:eastAsia="宋体"/>
          <w:highlight w:val="none"/>
        </w:rPr>
        <w:t xml:space="preserve">                      </w:t>
      </w:r>
      <w:r>
        <w:rPr>
          <w:rFonts w:ascii="Times New Roman" w:hAnsi="Times New Roman" w:eastAsia="宋体"/>
          <w:highlight w:val="none"/>
        </w:rPr>
        <w:t>7.1℃。</w:t>
      </w:r>
    </w:p>
    <w:p w14:paraId="44A1457D">
      <w:pPr>
        <w:ind w:firstLine="560"/>
        <w:rPr>
          <w:rFonts w:ascii="Times New Roman" w:hAnsi="Times New Roman" w:eastAsia="宋体"/>
          <w:highlight w:val="none"/>
        </w:rPr>
      </w:pPr>
      <w:r>
        <w:rPr>
          <w:rFonts w:ascii="Times New Roman" w:hAnsi="Times New Roman" w:eastAsia="宋体"/>
          <w:highlight w:val="none"/>
        </w:rPr>
        <w:t>极端最低气温</w:t>
      </w:r>
      <w:r>
        <w:rPr>
          <w:rFonts w:hint="eastAsia" w:ascii="Times New Roman" w:hAnsi="Times New Roman" w:eastAsia="宋体"/>
          <w:highlight w:val="none"/>
        </w:rPr>
        <w:t xml:space="preserve">                    </w:t>
      </w:r>
      <w:r>
        <w:rPr>
          <w:rFonts w:ascii="Times New Roman" w:hAnsi="Times New Roman" w:eastAsia="宋体"/>
          <w:highlight w:val="none"/>
        </w:rPr>
        <w:t>-35.7℃</w:t>
      </w:r>
    </w:p>
    <w:p w14:paraId="3D29BA90">
      <w:pPr>
        <w:ind w:firstLine="560"/>
        <w:rPr>
          <w:rFonts w:ascii="Times New Roman" w:hAnsi="Times New Roman" w:eastAsia="宋体"/>
          <w:highlight w:val="none"/>
        </w:rPr>
      </w:pPr>
      <w:r>
        <w:rPr>
          <w:rFonts w:ascii="Times New Roman" w:hAnsi="Times New Roman" w:eastAsia="宋体"/>
          <w:highlight w:val="none"/>
        </w:rPr>
        <w:t>极端最高气温</w:t>
      </w:r>
      <w:r>
        <w:rPr>
          <w:rFonts w:hint="eastAsia" w:ascii="Times New Roman" w:hAnsi="Times New Roman" w:eastAsia="宋体"/>
          <w:highlight w:val="none"/>
        </w:rPr>
        <w:t xml:space="preserve">                    </w:t>
      </w:r>
      <w:r>
        <w:rPr>
          <w:rFonts w:ascii="Times New Roman" w:hAnsi="Times New Roman" w:eastAsia="宋体"/>
          <w:highlight w:val="none"/>
        </w:rPr>
        <w:t>37.2℃</w:t>
      </w:r>
    </w:p>
    <w:p w14:paraId="71863545">
      <w:pPr>
        <w:ind w:firstLine="560"/>
        <w:rPr>
          <w:rFonts w:hint="eastAsia" w:ascii="Times New Roman" w:hAnsi="Times New Roman" w:eastAsia="宋体"/>
          <w:highlight w:val="none"/>
        </w:rPr>
      </w:pPr>
      <w:r>
        <w:rPr>
          <w:rFonts w:ascii="Times New Roman" w:hAnsi="Times New Roman" w:eastAsia="宋体"/>
          <w:highlight w:val="none"/>
        </w:rPr>
        <w:t>年降水量</w:t>
      </w:r>
      <w:r>
        <w:rPr>
          <w:rFonts w:hint="eastAsia" w:ascii="Times New Roman" w:hAnsi="Times New Roman" w:eastAsia="宋体"/>
          <w:highlight w:val="none"/>
        </w:rPr>
        <w:t xml:space="preserve">                        </w:t>
      </w:r>
      <w:r>
        <w:rPr>
          <w:rFonts w:ascii="Times New Roman" w:hAnsi="Times New Roman" w:eastAsia="宋体"/>
          <w:highlight w:val="none"/>
        </w:rPr>
        <w:t>833.1</w:t>
      </w:r>
      <w:r>
        <w:rPr>
          <w:rFonts w:hint="eastAsia" w:ascii="Times New Roman" w:hAnsi="Times New Roman" w:eastAsia="宋体"/>
          <w:highlight w:val="none"/>
        </w:rPr>
        <w:t>mm</w:t>
      </w:r>
    </w:p>
    <w:p w14:paraId="659036FB">
      <w:pPr>
        <w:ind w:firstLine="560"/>
        <w:rPr>
          <w:rFonts w:hint="eastAsia" w:ascii="Times New Roman" w:hAnsi="Times New Roman" w:eastAsia="宋体"/>
          <w:highlight w:val="none"/>
        </w:rPr>
      </w:pPr>
      <w:r>
        <w:rPr>
          <w:rFonts w:ascii="Times New Roman" w:hAnsi="Times New Roman" w:eastAsia="宋体"/>
          <w:highlight w:val="none"/>
        </w:rPr>
        <w:t>年日照时数</w:t>
      </w:r>
      <w:r>
        <w:rPr>
          <w:rFonts w:hint="eastAsia" w:ascii="Times New Roman" w:hAnsi="Times New Roman" w:eastAsia="宋体"/>
          <w:highlight w:val="none"/>
        </w:rPr>
        <w:t xml:space="preserve">                      </w:t>
      </w:r>
      <w:r>
        <w:rPr>
          <w:rFonts w:ascii="Times New Roman" w:hAnsi="Times New Roman" w:eastAsia="宋体"/>
          <w:highlight w:val="none"/>
        </w:rPr>
        <w:t>2260.9</w:t>
      </w:r>
      <w:r>
        <w:rPr>
          <w:rFonts w:hint="eastAsia" w:ascii="Times New Roman" w:hAnsi="Times New Roman" w:eastAsia="宋体"/>
          <w:highlight w:val="none"/>
        </w:rPr>
        <w:t>h</w:t>
      </w:r>
    </w:p>
    <w:p w14:paraId="1140860C">
      <w:pPr>
        <w:ind w:firstLine="560"/>
        <w:rPr>
          <w:rFonts w:ascii="Times New Roman" w:hAnsi="Times New Roman" w:eastAsia="宋体"/>
          <w:highlight w:val="none"/>
        </w:rPr>
      </w:pPr>
      <w:r>
        <w:rPr>
          <w:rFonts w:ascii="Times New Roman" w:hAnsi="Times New Roman" w:eastAsia="宋体"/>
          <w:highlight w:val="none"/>
        </w:rPr>
        <w:t>年主导风向</w:t>
      </w:r>
      <w:r>
        <w:rPr>
          <w:rFonts w:hint="eastAsia" w:ascii="Times New Roman" w:hAnsi="Times New Roman" w:eastAsia="宋体"/>
          <w:highlight w:val="none"/>
        </w:rPr>
        <w:t xml:space="preserve">                      </w:t>
      </w:r>
      <w:r>
        <w:rPr>
          <w:rFonts w:ascii="Times New Roman" w:hAnsi="Times New Roman" w:eastAsia="宋体"/>
          <w:highlight w:val="none"/>
        </w:rPr>
        <w:t>偏南风</w:t>
      </w:r>
    </w:p>
    <w:p w14:paraId="3B353ADC">
      <w:pPr>
        <w:ind w:firstLine="560"/>
        <w:rPr>
          <w:rFonts w:hint="eastAsia" w:ascii="Times New Roman" w:hAnsi="Times New Roman" w:eastAsia="宋体"/>
          <w:highlight w:val="none"/>
        </w:rPr>
      </w:pPr>
      <w:r>
        <w:rPr>
          <w:rFonts w:ascii="Times New Roman" w:hAnsi="Times New Roman" w:eastAsia="宋体"/>
          <w:highlight w:val="none"/>
        </w:rPr>
        <w:t>最大风速</w:t>
      </w:r>
      <w:r>
        <w:rPr>
          <w:rFonts w:hint="eastAsia" w:ascii="Times New Roman" w:hAnsi="Times New Roman" w:eastAsia="宋体"/>
          <w:highlight w:val="none"/>
        </w:rPr>
        <w:t xml:space="preserve">                        </w:t>
      </w:r>
      <w:r>
        <w:rPr>
          <w:rFonts w:ascii="Times New Roman" w:hAnsi="Times New Roman" w:eastAsia="宋体"/>
          <w:highlight w:val="none"/>
        </w:rPr>
        <w:t>18.5</w:t>
      </w:r>
      <w:r>
        <w:rPr>
          <w:rFonts w:hint="eastAsia" w:ascii="Times New Roman" w:hAnsi="Times New Roman" w:eastAsia="宋体"/>
          <w:highlight w:val="none"/>
        </w:rPr>
        <w:t>m</w:t>
      </w:r>
      <w:r>
        <w:rPr>
          <w:rFonts w:ascii="Times New Roman" w:hAnsi="Times New Roman" w:eastAsia="宋体"/>
          <w:highlight w:val="none"/>
        </w:rPr>
        <w:t>/</w:t>
      </w:r>
      <w:r>
        <w:rPr>
          <w:rFonts w:hint="eastAsia" w:ascii="Times New Roman" w:hAnsi="Times New Roman" w:eastAsia="宋体"/>
          <w:highlight w:val="none"/>
        </w:rPr>
        <w:t>s</w:t>
      </w:r>
    </w:p>
    <w:p w14:paraId="5457F9B2">
      <w:pPr>
        <w:ind w:firstLine="560"/>
        <w:rPr>
          <w:rFonts w:ascii="Times New Roman" w:hAnsi="Times New Roman" w:eastAsia="宋体"/>
          <w:highlight w:val="none"/>
        </w:rPr>
      </w:pPr>
      <w:r>
        <w:rPr>
          <w:rFonts w:ascii="Times New Roman" w:hAnsi="Times New Roman" w:eastAsia="宋体"/>
          <w:highlight w:val="none"/>
        </w:rPr>
        <w:t>年平均相对湿度</w:t>
      </w:r>
      <w:r>
        <w:rPr>
          <w:rFonts w:hint="eastAsia" w:ascii="Times New Roman" w:hAnsi="Times New Roman" w:eastAsia="宋体"/>
          <w:highlight w:val="none"/>
        </w:rPr>
        <w:t xml:space="preserve">                  </w:t>
      </w:r>
      <w:r>
        <w:rPr>
          <w:rFonts w:ascii="Times New Roman" w:hAnsi="Times New Roman" w:eastAsia="宋体"/>
          <w:highlight w:val="none"/>
        </w:rPr>
        <w:t>68%</w:t>
      </w:r>
    </w:p>
    <w:p w14:paraId="08FC2508">
      <w:pPr>
        <w:ind w:firstLine="560"/>
        <w:rPr>
          <w:rFonts w:hint="eastAsia" w:ascii="Times New Roman" w:hAnsi="Times New Roman" w:eastAsia="宋体"/>
          <w:highlight w:val="none"/>
        </w:rPr>
      </w:pPr>
      <w:r>
        <w:rPr>
          <w:rFonts w:ascii="Times New Roman" w:hAnsi="Times New Roman" w:eastAsia="宋体"/>
          <w:highlight w:val="none"/>
        </w:rPr>
        <w:t>平均无霜期</w:t>
      </w:r>
      <w:r>
        <w:rPr>
          <w:rFonts w:hint="eastAsia" w:ascii="Times New Roman" w:hAnsi="Times New Roman" w:eastAsia="宋体"/>
          <w:highlight w:val="none"/>
        </w:rPr>
        <w:t xml:space="preserve">                      </w:t>
      </w:r>
      <w:r>
        <w:rPr>
          <w:rFonts w:ascii="Times New Roman" w:hAnsi="Times New Roman" w:eastAsia="宋体"/>
          <w:highlight w:val="none"/>
        </w:rPr>
        <w:t>200</w:t>
      </w:r>
      <w:r>
        <w:rPr>
          <w:rFonts w:hint="eastAsia" w:ascii="Times New Roman" w:hAnsi="Times New Roman" w:eastAsia="宋体"/>
          <w:highlight w:val="none"/>
        </w:rPr>
        <w:t>d</w:t>
      </w:r>
    </w:p>
    <w:p w14:paraId="76A40F3A">
      <w:pPr>
        <w:ind w:firstLine="560"/>
        <w:rPr>
          <w:rFonts w:hint="eastAsia" w:ascii="Times New Roman" w:hAnsi="Times New Roman" w:eastAsia="宋体"/>
          <w:highlight w:val="none"/>
        </w:rPr>
      </w:pPr>
      <w:r>
        <w:rPr>
          <w:rFonts w:ascii="Times New Roman" w:hAnsi="Times New Roman" w:eastAsia="宋体"/>
          <w:highlight w:val="none"/>
        </w:rPr>
        <w:t>年最大冻土深度</w:t>
      </w:r>
      <w:r>
        <w:rPr>
          <w:rFonts w:hint="eastAsia" w:ascii="Times New Roman" w:hAnsi="Times New Roman" w:eastAsia="宋体"/>
          <w:highlight w:val="none"/>
        </w:rPr>
        <w:t xml:space="preserve">                  </w:t>
      </w:r>
      <w:r>
        <w:rPr>
          <w:rFonts w:ascii="Times New Roman" w:hAnsi="Times New Roman" w:eastAsia="宋体"/>
          <w:highlight w:val="none"/>
        </w:rPr>
        <w:t>149</w:t>
      </w:r>
      <w:r>
        <w:rPr>
          <w:rFonts w:hint="eastAsia" w:ascii="Times New Roman" w:hAnsi="Times New Roman" w:eastAsia="宋体"/>
          <w:highlight w:val="none"/>
        </w:rPr>
        <w:t>cm</w:t>
      </w:r>
    </w:p>
    <w:p w14:paraId="75FEF5FC">
      <w:pPr>
        <w:ind w:firstLine="560"/>
        <w:rPr>
          <w:rFonts w:hint="eastAsia" w:ascii="Times New Roman" w:hAnsi="Times New Roman" w:eastAsia="宋体"/>
          <w:highlight w:val="none"/>
        </w:rPr>
      </w:pPr>
      <w:r>
        <w:rPr>
          <w:rFonts w:ascii="Times New Roman" w:hAnsi="Times New Roman" w:eastAsia="宋体"/>
          <w:highlight w:val="none"/>
        </w:rPr>
        <w:t>最大积雪深度</w:t>
      </w:r>
      <w:r>
        <w:rPr>
          <w:rFonts w:hint="eastAsia" w:ascii="Times New Roman" w:hAnsi="Times New Roman" w:eastAsia="宋体"/>
          <w:highlight w:val="none"/>
        </w:rPr>
        <w:t xml:space="preserve">                    </w:t>
      </w:r>
      <w:r>
        <w:rPr>
          <w:rFonts w:ascii="Times New Roman" w:hAnsi="Times New Roman" w:eastAsia="宋体"/>
          <w:highlight w:val="none"/>
        </w:rPr>
        <w:t>34</w:t>
      </w:r>
      <w:r>
        <w:rPr>
          <w:rFonts w:hint="eastAsia" w:ascii="Times New Roman" w:hAnsi="Times New Roman" w:eastAsia="宋体"/>
          <w:highlight w:val="none"/>
        </w:rPr>
        <w:t>cm</w:t>
      </w:r>
    </w:p>
    <w:p w14:paraId="3E8457D4">
      <w:pPr>
        <w:ind w:firstLine="560"/>
        <w:rPr>
          <w:rFonts w:ascii="Times New Roman" w:hAnsi="Times New Roman" w:eastAsia="宋体"/>
          <w:highlight w:val="none"/>
        </w:rPr>
      </w:pPr>
      <w:r>
        <w:rPr>
          <w:rFonts w:hint="eastAsia" w:ascii="Times New Roman" w:hAnsi="Times New Roman" w:eastAsia="宋体"/>
          <w:highlight w:val="none"/>
        </w:rPr>
        <w:t>（2）地震烈度</w:t>
      </w:r>
    </w:p>
    <w:p w14:paraId="762A4384">
      <w:pPr>
        <w:ind w:firstLine="560"/>
        <w:rPr>
          <w:rFonts w:ascii="Times New Roman" w:hAnsi="Times New Roman" w:eastAsia="宋体"/>
          <w:highlight w:val="none"/>
        </w:rPr>
      </w:pPr>
      <w:r>
        <w:rPr>
          <w:rFonts w:hint="eastAsia" w:ascii="Times New Roman" w:hAnsi="Times New Roman" w:eastAsia="宋体"/>
          <w:highlight w:val="none"/>
        </w:rPr>
        <w:t>根据《建筑抗震设计标准（2024年版）》（</w:t>
      </w:r>
      <w:r>
        <w:rPr>
          <w:rFonts w:ascii="Times New Roman" w:hAnsi="Times New Roman" w:eastAsia="宋体"/>
          <w:highlight w:val="none"/>
        </w:rPr>
        <w:t>GB/T 50011-2010</w:t>
      </w:r>
      <w:r>
        <w:rPr>
          <w:rFonts w:hint="eastAsia" w:ascii="Times New Roman" w:hAnsi="Times New Roman" w:eastAsia="宋体"/>
          <w:highlight w:val="none"/>
        </w:rPr>
        <w:t>）中附A.0.6的规定，该项目所在地区的抗震设防烈度为6度，设计基本地震加速度值为0.05g，所属的设计地震分组为第</w:t>
      </w:r>
      <w:r>
        <w:rPr>
          <w:rFonts w:hint="eastAsia" w:ascii="Times New Roman" w:hAnsi="Times New Roman" w:eastAsia="宋体"/>
          <w:highlight w:val="none"/>
          <w:lang w:val="en-US" w:eastAsia="zh-CN"/>
        </w:rPr>
        <w:t>一</w:t>
      </w:r>
      <w:r>
        <w:rPr>
          <w:rFonts w:hint="eastAsia" w:ascii="Times New Roman" w:hAnsi="Times New Roman" w:eastAsia="宋体"/>
          <w:highlight w:val="none"/>
        </w:rPr>
        <w:t>组。</w:t>
      </w:r>
    </w:p>
    <w:p w14:paraId="4E6D278C">
      <w:pPr>
        <w:spacing w:before="156" w:beforeLines="50" w:after="156" w:afterLines="50"/>
        <w:ind w:firstLine="562"/>
        <w:outlineLvl w:val="2"/>
        <w:rPr>
          <w:rFonts w:hint="eastAsia" w:ascii="黑体" w:hAnsi="黑体" w:eastAsia="黑体"/>
          <w:b/>
          <w:bCs/>
          <w:highlight w:val="none"/>
        </w:rPr>
      </w:pPr>
      <w:r>
        <w:rPr>
          <w:rFonts w:ascii="Times New Roman" w:hAnsi="Times New Roman" w:eastAsia="黑体" w:cs="Times New Roman"/>
          <w:b/>
          <w:bCs/>
          <w:highlight w:val="none"/>
        </w:rPr>
        <w:t>6.1.3</w:t>
      </w:r>
      <w:r>
        <w:rPr>
          <w:rFonts w:hint="eastAsia" w:ascii="黑体" w:hAnsi="黑体" w:eastAsia="黑体"/>
          <w:b/>
          <w:bCs/>
          <w:highlight w:val="none"/>
        </w:rPr>
        <w:t>建设项目中危险化学品生产装置和储存数量构成重大危险源的储存设施与下列场所、区域的距离</w:t>
      </w:r>
    </w:p>
    <w:p w14:paraId="4C9304CB">
      <w:pPr>
        <w:ind w:firstLine="560"/>
        <w:rPr>
          <w:rFonts w:ascii="Times New Roman" w:hAnsi="Times New Roman" w:eastAsia="宋体"/>
          <w:highlight w:val="none"/>
        </w:rPr>
      </w:pPr>
      <w:r>
        <w:rPr>
          <w:rFonts w:hint="eastAsia" w:ascii="Times New Roman" w:hAnsi="Times New Roman" w:eastAsia="宋体"/>
          <w:highlight w:val="none"/>
        </w:rPr>
        <w:t>该项目危险化学品储存设施的储存数量未构成重大危险源。</w:t>
      </w:r>
    </w:p>
    <w:p w14:paraId="3F2BBEE8">
      <w:pPr>
        <w:spacing w:before="312" w:beforeLines="100" w:after="312" w:afterLines="100"/>
        <w:ind w:firstLine="0" w:firstLineChars="0"/>
        <w:jc w:val="center"/>
        <w:outlineLvl w:val="1"/>
        <w:rPr>
          <w:rFonts w:hint="eastAsia" w:ascii="楷体" w:hAnsi="楷体" w:eastAsia="楷体"/>
          <w:b/>
          <w:bCs/>
          <w:sz w:val="32"/>
          <w:szCs w:val="32"/>
          <w:highlight w:val="none"/>
        </w:rPr>
      </w:pPr>
      <w:bookmarkStart w:id="60" w:name="_Toc179746350"/>
      <w:bookmarkStart w:id="61" w:name="_Toc187310008"/>
      <w:r>
        <w:rPr>
          <w:rFonts w:ascii="Times New Roman" w:hAnsi="Times New Roman" w:eastAsia="楷体" w:cs="Times New Roman"/>
          <w:b/>
          <w:bCs/>
          <w:sz w:val="32"/>
          <w:szCs w:val="32"/>
          <w:highlight w:val="none"/>
        </w:rPr>
        <w:t>6.2</w:t>
      </w:r>
      <w:r>
        <w:rPr>
          <w:rFonts w:hint="eastAsia" w:ascii="楷体" w:hAnsi="楷体" w:eastAsia="楷体"/>
          <w:b/>
          <w:bCs/>
          <w:sz w:val="32"/>
          <w:szCs w:val="32"/>
          <w:highlight w:val="none"/>
        </w:rPr>
        <w:t>建设项目的安全条件</w:t>
      </w:r>
      <w:bookmarkEnd w:id="60"/>
      <w:bookmarkEnd w:id="61"/>
    </w:p>
    <w:p w14:paraId="0C4797FC">
      <w:pPr>
        <w:spacing w:before="156" w:beforeLines="50" w:after="156" w:afterLines="50"/>
        <w:ind w:firstLine="562"/>
        <w:outlineLvl w:val="2"/>
        <w:rPr>
          <w:rFonts w:hint="eastAsia" w:ascii="黑体" w:hAnsi="黑体" w:eastAsia="黑体"/>
          <w:b/>
          <w:bCs/>
          <w:highlight w:val="none"/>
        </w:rPr>
      </w:pPr>
      <w:r>
        <w:rPr>
          <w:rFonts w:ascii="Times New Roman" w:hAnsi="Times New Roman" w:eastAsia="黑体" w:cs="Times New Roman"/>
          <w:b/>
          <w:bCs/>
          <w:highlight w:val="none"/>
        </w:rPr>
        <w:t>6.2.1</w:t>
      </w:r>
      <w:r>
        <w:rPr>
          <w:rFonts w:hint="eastAsia" w:ascii="黑体" w:hAnsi="黑体" w:eastAsia="黑体"/>
          <w:b/>
          <w:bCs/>
          <w:highlight w:val="none"/>
        </w:rPr>
        <w:t>建设项目内在的危险、有害因素和建设项目可能发生的各类事故，对建设项目周边单位生产、经营活动或者居民生活的影响</w:t>
      </w:r>
    </w:p>
    <w:p w14:paraId="319E5FE3">
      <w:pPr>
        <w:ind w:firstLine="560"/>
        <w:rPr>
          <w:rFonts w:ascii="Times New Roman" w:hAnsi="Times New Roman" w:eastAsia="宋体"/>
          <w:highlight w:val="none"/>
        </w:rPr>
      </w:pPr>
      <w:r>
        <w:rPr>
          <w:rFonts w:hint="eastAsia" w:ascii="Times New Roman" w:hAnsi="Times New Roman" w:eastAsia="宋体"/>
          <w:highlight w:val="none"/>
        </w:rPr>
        <w:t>从附表4.1-3可以看出，该站站内工艺设施与站外建（构）筑物的间距满足《汽车加油加气加氢站技术标准》（GB 50156-2021）表4.0.4的规范要求。根据埋地车用乙醇汽油罐TNT当量计算结论，站外设施不在死亡半径内，不会受到死亡和重伤威胁，可能受到轻微伤害。</w:t>
      </w:r>
    </w:p>
    <w:p w14:paraId="23D149EE">
      <w:pPr>
        <w:ind w:firstLine="560"/>
        <w:rPr>
          <w:rFonts w:ascii="Times New Roman" w:hAnsi="Times New Roman" w:eastAsia="宋体"/>
          <w:highlight w:val="none"/>
        </w:rPr>
      </w:pPr>
      <w:r>
        <w:rPr>
          <w:rFonts w:hint="eastAsia" w:ascii="Times New Roman" w:hAnsi="Times New Roman" w:eastAsia="宋体"/>
          <w:highlight w:val="none"/>
        </w:rPr>
        <w:t>同时，该项目选用双层管道及油罐，油罐安装有液位仪及测漏仪等安全技术手段，发生油品泄漏的概率较小，因此，对周边造成的影响较小。</w:t>
      </w:r>
    </w:p>
    <w:p w14:paraId="2F0DE75C">
      <w:pPr>
        <w:keepNext/>
        <w:keepLines/>
        <w:spacing w:before="156" w:beforeLines="50" w:after="156" w:afterLines="50"/>
        <w:ind w:firstLine="562"/>
        <w:outlineLvl w:val="2"/>
        <w:rPr>
          <w:rFonts w:hint="eastAsia" w:ascii="黑体" w:hAnsi="黑体" w:eastAsia="黑体"/>
          <w:b/>
          <w:bCs/>
          <w:highlight w:val="none"/>
        </w:rPr>
      </w:pPr>
      <w:r>
        <w:rPr>
          <w:rFonts w:ascii="Times New Roman" w:hAnsi="Times New Roman" w:eastAsia="黑体" w:cs="Times New Roman"/>
          <w:b/>
          <w:bCs/>
          <w:highlight w:val="none"/>
        </w:rPr>
        <w:t>6.2.2</w:t>
      </w:r>
      <w:r>
        <w:rPr>
          <w:rFonts w:hint="eastAsia" w:ascii="黑体" w:hAnsi="黑体" w:eastAsia="黑体"/>
          <w:b/>
          <w:bCs/>
          <w:highlight w:val="none"/>
        </w:rPr>
        <w:t>建设项目周边单位生产、经营活动或者居民生活对建设项目的影响</w:t>
      </w:r>
    </w:p>
    <w:p w14:paraId="43717B3B">
      <w:pPr>
        <w:ind w:firstLine="560"/>
        <w:rPr>
          <w:rFonts w:ascii="Times New Roman" w:hAnsi="Times New Roman" w:eastAsia="宋体"/>
          <w:highlight w:val="none"/>
        </w:rPr>
      </w:pPr>
      <w:r>
        <w:rPr>
          <w:rFonts w:hint="eastAsia" w:ascii="Times New Roman" w:hAnsi="Times New Roman" w:eastAsia="宋体"/>
          <w:highlight w:val="none"/>
        </w:rPr>
        <w:t>由于该项目在总平面布置等方面充分考虑了与站外周边建（构）筑物安全间距，其建成后站内主要设施与周边距离能够达到国家现行规范标准要求。</w:t>
      </w:r>
    </w:p>
    <w:p w14:paraId="739152DC">
      <w:pPr>
        <w:ind w:firstLine="560"/>
        <w:rPr>
          <w:rFonts w:ascii="Times New Roman" w:hAnsi="Times New Roman" w:eastAsia="宋体"/>
          <w:highlight w:val="none"/>
        </w:rPr>
      </w:pPr>
      <w:r>
        <w:rPr>
          <w:rFonts w:hint="eastAsia" w:ascii="Times New Roman" w:hAnsi="Times New Roman" w:eastAsia="宋体"/>
          <w:highlight w:val="none"/>
        </w:rPr>
        <w:t>建设项目周边的建（构）筑物如果发生火灾事故，可能会对该项目产生影响。进站加油的车辆不熄火、人员吸烟、打手机等行为可能会对该项目产生一定的影响。周边道路上行驶车辆行驶不规范，行人在站外吸烟等行为可能会对该项目产生影响。因此，员工应加强与周边人员的交流，使其了解该项目存在的危险性和在该项目周边日常活动的注意事项，以保障该项目的安全运营。</w:t>
      </w:r>
    </w:p>
    <w:p w14:paraId="2924A641">
      <w:pPr>
        <w:keepNext/>
        <w:keepLines/>
        <w:spacing w:before="156" w:beforeLines="50" w:after="156" w:afterLines="50"/>
        <w:ind w:firstLine="562"/>
        <w:outlineLvl w:val="2"/>
        <w:rPr>
          <w:rFonts w:hint="eastAsia" w:ascii="黑体" w:hAnsi="黑体" w:eastAsia="黑体"/>
          <w:b/>
          <w:bCs/>
          <w:highlight w:val="none"/>
        </w:rPr>
      </w:pPr>
      <w:r>
        <w:rPr>
          <w:rFonts w:ascii="Times New Roman" w:hAnsi="Times New Roman" w:eastAsia="黑体" w:cs="Times New Roman"/>
          <w:b/>
          <w:bCs/>
          <w:highlight w:val="none"/>
        </w:rPr>
        <w:t>6.2.3</w:t>
      </w:r>
      <w:r>
        <w:rPr>
          <w:rFonts w:hint="eastAsia" w:ascii="黑体" w:hAnsi="黑体" w:eastAsia="黑体"/>
          <w:b/>
          <w:bCs/>
          <w:highlight w:val="none"/>
        </w:rPr>
        <w:t>建设项目所在地的自然条件对建设项目投入生产或者使用后的影响</w:t>
      </w:r>
    </w:p>
    <w:p w14:paraId="7E0AC77A">
      <w:pPr>
        <w:ind w:firstLine="560"/>
        <w:rPr>
          <w:rFonts w:ascii="Times New Roman" w:hAnsi="Times New Roman" w:eastAsia="宋体"/>
          <w:highlight w:val="none"/>
        </w:rPr>
      </w:pPr>
      <w:r>
        <w:rPr>
          <w:rFonts w:hint="eastAsia" w:ascii="Times New Roman" w:hAnsi="Times New Roman" w:eastAsia="宋体"/>
          <w:highlight w:val="none"/>
        </w:rPr>
        <w:t>自然环境危险有害因素主要包括雷击、地震、高低气温和洪水、台风、雨雪等。</w:t>
      </w:r>
    </w:p>
    <w:p w14:paraId="7E93988A">
      <w:pPr>
        <w:ind w:firstLine="560"/>
        <w:rPr>
          <w:rFonts w:ascii="Times New Roman" w:hAnsi="Times New Roman" w:eastAsia="宋体"/>
          <w:highlight w:val="none"/>
        </w:rPr>
      </w:pPr>
      <w:r>
        <w:rPr>
          <w:rFonts w:hint="eastAsia" w:ascii="Times New Roman" w:hAnsi="Times New Roman" w:eastAsia="宋体"/>
          <w:highlight w:val="none"/>
        </w:rPr>
        <w:t>（1）雷击</w:t>
      </w:r>
    </w:p>
    <w:p w14:paraId="7F4FE4D5">
      <w:pPr>
        <w:ind w:firstLine="560"/>
        <w:rPr>
          <w:rFonts w:ascii="Times New Roman" w:hAnsi="Times New Roman" w:eastAsia="宋体"/>
          <w:highlight w:val="none"/>
        </w:rPr>
      </w:pPr>
      <w:r>
        <w:rPr>
          <w:rFonts w:hint="eastAsia" w:ascii="Times New Roman" w:hAnsi="Times New Roman" w:eastAsia="宋体"/>
          <w:highlight w:val="none"/>
        </w:rPr>
        <w:t>加油机、罩棚和电气线路等有可能遭受雷电侵袭破坏，引起泄漏、火灾、爆炸、人身伤害等事故。本区域夏季汛期雷暴雨较多，属雷击危险区域，建议项目的重点建筑物、构筑物、电力设备和设施应作好防雷电设计，并采取有效避雷措施。</w:t>
      </w:r>
    </w:p>
    <w:p w14:paraId="370AC594">
      <w:pPr>
        <w:ind w:firstLine="560"/>
        <w:rPr>
          <w:rFonts w:ascii="Times New Roman" w:hAnsi="Times New Roman" w:eastAsia="宋体"/>
          <w:highlight w:val="none"/>
        </w:rPr>
      </w:pPr>
      <w:r>
        <w:rPr>
          <w:rFonts w:hint="eastAsia" w:ascii="Times New Roman" w:hAnsi="Times New Roman" w:eastAsia="宋体"/>
          <w:highlight w:val="none"/>
        </w:rPr>
        <w:t>（2）地震</w:t>
      </w:r>
    </w:p>
    <w:p w14:paraId="334A7E88">
      <w:pPr>
        <w:ind w:firstLine="560"/>
        <w:rPr>
          <w:rFonts w:ascii="Times New Roman" w:hAnsi="Times New Roman" w:eastAsia="宋体"/>
          <w:highlight w:val="none"/>
        </w:rPr>
      </w:pPr>
      <w:r>
        <w:rPr>
          <w:rFonts w:hint="eastAsia" w:ascii="Times New Roman" w:hAnsi="Times New Roman" w:eastAsia="宋体"/>
          <w:highlight w:val="none"/>
        </w:rPr>
        <w:t>该站所在区域抗震设防烈度为6度。强烈地震可能造成建（构）筑物和设备、管道的破坏，同时会造成危险物质大量泄漏，进而可能引发火灾、爆炸等灾害事故，造成人员伤亡。</w:t>
      </w:r>
    </w:p>
    <w:p w14:paraId="4BE4F0FC">
      <w:pPr>
        <w:ind w:firstLine="560"/>
        <w:rPr>
          <w:rFonts w:ascii="Times New Roman" w:hAnsi="Times New Roman" w:eastAsia="宋体"/>
          <w:highlight w:val="none"/>
        </w:rPr>
      </w:pPr>
      <w:r>
        <w:rPr>
          <w:rFonts w:hint="eastAsia" w:ascii="Times New Roman" w:hAnsi="Times New Roman" w:eastAsia="宋体"/>
          <w:highlight w:val="none"/>
        </w:rPr>
        <w:t>（3）高温、低温</w:t>
      </w:r>
    </w:p>
    <w:p w14:paraId="28FDDBA0">
      <w:pPr>
        <w:ind w:firstLine="560"/>
        <w:rPr>
          <w:rFonts w:ascii="Times New Roman" w:hAnsi="Times New Roman" w:eastAsia="宋体"/>
          <w:highlight w:val="none"/>
        </w:rPr>
      </w:pPr>
      <w:r>
        <w:rPr>
          <w:rFonts w:hint="eastAsia" w:ascii="Times New Roman" w:hAnsi="Times New Roman" w:eastAsia="宋体"/>
          <w:highlight w:val="none"/>
        </w:rPr>
        <w:t>该区域年极端最高气温</w:t>
      </w:r>
      <w:r>
        <w:rPr>
          <w:rFonts w:hint="eastAsia" w:ascii="Times New Roman" w:hAnsi="Times New Roman" w:eastAsia="宋体"/>
          <w:highlight w:val="none"/>
          <w:lang w:val="en-US" w:eastAsia="zh-CN"/>
        </w:rPr>
        <w:t>37.2</w:t>
      </w:r>
      <w:r>
        <w:rPr>
          <w:rFonts w:hint="eastAsia" w:ascii="Times New Roman" w:hAnsi="Times New Roman" w:eastAsia="宋体"/>
          <w:highlight w:val="none"/>
        </w:rPr>
        <w:t>℃，冬季最低温度在-</w:t>
      </w:r>
      <w:r>
        <w:rPr>
          <w:rFonts w:hint="eastAsia" w:ascii="Times New Roman" w:hAnsi="Times New Roman" w:eastAsia="宋体"/>
          <w:highlight w:val="none"/>
          <w:lang w:val="en-US" w:eastAsia="zh-CN"/>
        </w:rPr>
        <w:t>35.7</w:t>
      </w:r>
      <w:r>
        <w:rPr>
          <w:rFonts w:hint="eastAsia" w:ascii="Times New Roman" w:hAnsi="Times New Roman" w:eastAsia="宋体"/>
          <w:highlight w:val="none"/>
        </w:rPr>
        <w:t>℃左右。操作人员在高温及低温环境中易出现操作失误。严寒有可能导致设备、管道、阀门冻坏破裂。</w:t>
      </w:r>
    </w:p>
    <w:p w14:paraId="2DDF4811">
      <w:pPr>
        <w:ind w:firstLine="560"/>
        <w:rPr>
          <w:rFonts w:ascii="Times New Roman" w:hAnsi="Times New Roman" w:eastAsia="宋体"/>
          <w:highlight w:val="none"/>
        </w:rPr>
      </w:pPr>
      <w:r>
        <w:rPr>
          <w:rFonts w:hint="eastAsia" w:ascii="Times New Roman" w:hAnsi="Times New Roman" w:eastAsia="宋体"/>
          <w:highlight w:val="none"/>
        </w:rPr>
        <w:t>（4）洪水、台风</w:t>
      </w:r>
    </w:p>
    <w:p w14:paraId="69DC7DD4">
      <w:pPr>
        <w:ind w:firstLine="560"/>
        <w:rPr>
          <w:rFonts w:ascii="Times New Roman" w:hAnsi="Times New Roman" w:eastAsia="宋体"/>
          <w:highlight w:val="none"/>
        </w:rPr>
      </w:pPr>
      <w:r>
        <w:rPr>
          <w:rFonts w:hint="eastAsia" w:ascii="Times New Roman" w:hAnsi="Times New Roman" w:eastAsia="宋体"/>
          <w:highlight w:val="none"/>
        </w:rPr>
        <w:t>该区域年降雨集中于夏季。一旦发生洪水或雨量过大时，会发生水淹等事故，造成有害物质外泄，污染周围环境。电力、电气设备受潮，环境湿度增大，可能进一步引发电气事故、电气故障。</w:t>
      </w:r>
    </w:p>
    <w:p w14:paraId="4AD41D0F">
      <w:pPr>
        <w:ind w:firstLine="560"/>
        <w:rPr>
          <w:rFonts w:ascii="Times New Roman" w:hAnsi="Times New Roman" w:eastAsia="宋体"/>
          <w:highlight w:val="none"/>
        </w:rPr>
      </w:pPr>
      <w:r>
        <w:rPr>
          <w:rFonts w:hint="eastAsia" w:ascii="Times New Roman" w:hAnsi="Times New Roman" w:eastAsia="宋体"/>
          <w:highlight w:val="none"/>
        </w:rPr>
        <w:t>（5）雨雪</w:t>
      </w:r>
    </w:p>
    <w:p w14:paraId="466BA9A2">
      <w:pPr>
        <w:ind w:firstLine="560"/>
        <w:rPr>
          <w:rFonts w:ascii="Times New Roman" w:hAnsi="Times New Roman" w:eastAsia="宋体"/>
          <w:highlight w:val="none"/>
        </w:rPr>
      </w:pPr>
      <w:r>
        <w:rPr>
          <w:rFonts w:hint="eastAsia" w:ascii="Times New Roman" w:hAnsi="Times New Roman" w:eastAsia="宋体"/>
          <w:highlight w:val="none"/>
        </w:rPr>
        <w:t>罩棚和站房在雨水和雪荷载下有可能发生坍塌事故，对站内设施、加油人员造成伤害。</w:t>
      </w:r>
    </w:p>
    <w:p w14:paraId="27A5CD87">
      <w:pPr>
        <w:ind w:firstLine="560"/>
        <w:rPr>
          <w:rFonts w:ascii="Times New Roman" w:hAnsi="Times New Roman" w:eastAsia="宋体"/>
          <w:highlight w:val="none"/>
        </w:rPr>
      </w:pPr>
      <w:r>
        <w:rPr>
          <w:rFonts w:hint="eastAsia" w:ascii="Times New Roman" w:hAnsi="Times New Roman" w:eastAsia="宋体"/>
          <w:highlight w:val="none"/>
        </w:rPr>
        <w:t>由上分析可知，该地区自然条件对该站的运营会造成一定的影响，但采取有效防范措施后，其影响可消除或减弱到不会影响该项目的正常运营。</w:t>
      </w:r>
    </w:p>
    <w:p w14:paraId="5B99BFBC">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62" w:name="_Toc187310009"/>
      <w:r>
        <w:rPr>
          <w:rFonts w:ascii="Times New Roman" w:hAnsi="Times New Roman" w:eastAsia="楷体" w:cs="Times New Roman"/>
          <w:b/>
          <w:bCs/>
          <w:sz w:val="32"/>
          <w:szCs w:val="32"/>
          <w:highlight w:val="none"/>
        </w:rPr>
        <w:t>6.3建设项目的安全生产条件分析</w:t>
      </w:r>
      <w:bookmarkEnd w:id="62"/>
    </w:p>
    <w:p w14:paraId="345D8888">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6.3.1建设项目采用的安全设施情况</w:t>
      </w:r>
    </w:p>
    <w:p w14:paraId="2BB22251">
      <w:pPr>
        <w:ind w:firstLine="560"/>
        <w:rPr>
          <w:rFonts w:ascii="Times New Roman" w:hAnsi="Times New Roman" w:eastAsia="宋体"/>
          <w:highlight w:val="none"/>
        </w:rPr>
      </w:pPr>
      <w:r>
        <w:rPr>
          <w:rFonts w:ascii="Times New Roman" w:hAnsi="Times New Roman" w:eastAsia="宋体"/>
          <w:highlight w:val="none"/>
        </w:rPr>
        <w:t>（1）本项目的安全设施按安全设施设计专篇中确定的安全设施建成并投用，投用情况详见下表6.3-1。</w:t>
      </w:r>
    </w:p>
    <w:p w14:paraId="7F990CED">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表6.3-1</w:t>
      </w:r>
      <w:r>
        <w:rPr>
          <w:rFonts w:hint="eastAsia" w:ascii="Times New Roman" w:hAnsi="Times New Roman" w:eastAsia="黑体"/>
          <w:sz w:val="24"/>
          <w:highlight w:val="none"/>
        </w:rPr>
        <w:t xml:space="preserve">  </w:t>
      </w:r>
      <w:r>
        <w:rPr>
          <w:rFonts w:ascii="Times New Roman" w:hAnsi="Times New Roman" w:eastAsia="黑体"/>
          <w:sz w:val="24"/>
          <w:highlight w:val="none"/>
        </w:rPr>
        <w:t>采用的安全专篇中安全设施汇总一览表</w:t>
      </w:r>
    </w:p>
    <w:tbl>
      <w:tblPr>
        <w:tblStyle w:val="32"/>
        <w:tblW w:w="5000" w:type="pct"/>
        <w:jc w:val="center"/>
        <w:tblLayout w:type="fixed"/>
        <w:tblCellMar>
          <w:top w:w="0" w:type="dxa"/>
          <w:left w:w="108" w:type="dxa"/>
          <w:bottom w:w="0" w:type="dxa"/>
          <w:right w:w="108" w:type="dxa"/>
        </w:tblCellMar>
      </w:tblPr>
      <w:tblGrid>
        <w:gridCol w:w="625"/>
        <w:gridCol w:w="967"/>
        <w:gridCol w:w="459"/>
        <w:gridCol w:w="1866"/>
        <w:gridCol w:w="2034"/>
        <w:gridCol w:w="1453"/>
        <w:gridCol w:w="1017"/>
        <w:gridCol w:w="986"/>
      </w:tblGrid>
      <w:tr w14:paraId="0F3B8A8A">
        <w:tblPrEx>
          <w:tblCellMar>
            <w:top w:w="0" w:type="dxa"/>
            <w:left w:w="108" w:type="dxa"/>
            <w:bottom w:w="0" w:type="dxa"/>
            <w:right w:w="108" w:type="dxa"/>
          </w:tblCellMar>
        </w:tblPrEx>
        <w:trPr>
          <w:trHeight w:val="454" w:hRule="atLeast"/>
          <w:tblHeader/>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4B6BDA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序号</w:t>
            </w:r>
          </w:p>
        </w:tc>
        <w:tc>
          <w:tcPr>
            <w:tcW w:w="1749" w:type="pct"/>
            <w:gridSpan w:val="3"/>
            <w:tcBorders>
              <w:top w:val="single" w:color="auto" w:sz="4" w:space="0"/>
              <w:left w:val="nil"/>
              <w:bottom w:val="single" w:color="auto" w:sz="4" w:space="0"/>
              <w:right w:val="single" w:color="auto" w:sz="4" w:space="0"/>
            </w:tcBorders>
            <w:noWrap/>
            <w:vAlign w:val="center"/>
          </w:tcPr>
          <w:p w14:paraId="5F9A607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安全设施类别</w:t>
            </w:r>
          </w:p>
        </w:tc>
        <w:tc>
          <w:tcPr>
            <w:tcW w:w="1081" w:type="pct"/>
            <w:tcBorders>
              <w:top w:val="single" w:color="auto" w:sz="4" w:space="0"/>
              <w:left w:val="nil"/>
              <w:bottom w:val="single" w:color="auto" w:sz="4" w:space="0"/>
              <w:right w:val="single" w:color="auto" w:sz="4" w:space="0"/>
            </w:tcBorders>
            <w:noWrap/>
            <w:vAlign w:val="center"/>
          </w:tcPr>
          <w:p w14:paraId="1EC432B5">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备注</w:t>
            </w:r>
          </w:p>
        </w:tc>
        <w:tc>
          <w:tcPr>
            <w:tcW w:w="772" w:type="pct"/>
            <w:tcBorders>
              <w:top w:val="single" w:color="auto" w:sz="4" w:space="0"/>
              <w:left w:val="nil"/>
              <w:bottom w:val="single" w:color="auto" w:sz="4" w:space="0"/>
              <w:right w:val="single" w:color="auto" w:sz="4" w:space="0"/>
            </w:tcBorders>
            <w:noWrap/>
            <w:vAlign w:val="center"/>
          </w:tcPr>
          <w:p w14:paraId="27359A7A">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安装位置</w:t>
            </w:r>
          </w:p>
        </w:tc>
        <w:tc>
          <w:tcPr>
            <w:tcW w:w="540" w:type="pct"/>
            <w:tcBorders>
              <w:top w:val="single" w:color="auto" w:sz="4" w:space="0"/>
              <w:left w:val="nil"/>
              <w:bottom w:val="single" w:color="auto" w:sz="4" w:space="0"/>
              <w:right w:val="single" w:color="auto" w:sz="4" w:space="0"/>
            </w:tcBorders>
            <w:noWrap/>
            <w:vAlign w:val="center"/>
          </w:tcPr>
          <w:p w14:paraId="440151B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数量</w:t>
            </w:r>
          </w:p>
        </w:tc>
        <w:tc>
          <w:tcPr>
            <w:tcW w:w="524" w:type="pct"/>
            <w:tcBorders>
              <w:top w:val="single" w:color="auto" w:sz="4" w:space="0"/>
              <w:left w:val="nil"/>
              <w:bottom w:val="single" w:color="auto" w:sz="4" w:space="0"/>
              <w:right w:val="single" w:color="auto" w:sz="4" w:space="0"/>
            </w:tcBorders>
            <w:noWrap/>
            <w:vAlign w:val="center"/>
          </w:tcPr>
          <w:p w14:paraId="2A7CCF3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备注</w:t>
            </w:r>
          </w:p>
        </w:tc>
      </w:tr>
      <w:tr w14:paraId="189E773F">
        <w:tblPrEx>
          <w:tblCellMar>
            <w:top w:w="0" w:type="dxa"/>
            <w:left w:w="108" w:type="dxa"/>
            <w:bottom w:w="0" w:type="dxa"/>
            <w:right w:w="108" w:type="dxa"/>
          </w:tblCellMar>
        </w:tblPrEx>
        <w:trPr>
          <w:trHeight w:val="454" w:hRule="atLeast"/>
          <w:jc w:val="center"/>
        </w:trPr>
        <w:tc>
          <w:tcPr>
            <w:tcW w:w="5000" w:type="pct"/>
            <w:gridSpan w:val="8"/>
            <w:tcBorders>
              <w:top w:val="single" w:color="auto" w:sz="4" w:space="0"/>
              <w:left w:val="single" w:color="auto" w:sz="4" w:space="0"/>
              <w:bottom w:val="single" w:color="auto" w:sz="4" w:space="0"/>
              <w:right w:val="single" w:color="auto" w:sz="4" w:space="0"/>
            </w:tcBorders>
            <w:noWrap/>
            <w:vAlign w:val="center"/>
          </w:tcPr>
          <w:p w14:paraId="06908AB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一、预防事故设施</w:t>
            </w:r>
          </w:p>
        </w:tc>
      </w:tr>
      <w:tr w14:paraId="0D81FC29">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38E2CC48">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restart"/>
            <w:tcBorders>
              <w:top w:val="single" w:color="auto" w:sz="4" w:space="0"/>
              <w:left w:val="single" w:color="auto" w:sz="4" w:space="0"/>
              <w:right w:val="single" w:color="auto" w:sz="4" w:space="0"/>
            </w:tcBorders>
            <w:noWrap/>
            <w:vAlign w:val="center"/>
          </w:tcPr>
          <w:p w14:paraId="2B86F88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油罐</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5FEDD71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防爆型磁致伸缩液位探棒</w:t>
            </w:r>
          </w:p>
        </w:tc>
        <w:tc>
          <w:tcPr>
            <w:tcW w:w="1081" w:type="pct"/>
            <w:tcBorders>
              <w:top w:val="single" w:color="auto" w:sz="4" w:space="0"/>
              <w:left w:val="nil"/>
              <w:bottom w:val="single" w:color="auto" w:sz="4" w:space="0"/>
              <w:right w:val="single" w:color="auto" w:sz="4" w:space="0"/>
            </w:tcBorders>
            <w:noWrap/>
            <w:vAlign w:val="center"/>
          </w:tcPr>
          <w:p w14:paraId="371C9E3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液位监测</w:t>
            </w:r>
          </w:p>
        </w:tc>
        <w:tc>
          <w:tcPr>
            <w:tcW w:w="772" w:type="pct"/>
            <w:tcBorders>
              <w:top w:val="single" w:color="auto" w:sz="4" w:space="0"/>
              <w:left w:val="nil"/>
              <w:bottom w:val="single" w:color="auto" w:sz="4" w:space="0"/>
              <w:right w:val="single" w:color="auto" w:sz="4" w:space="0"/>
            </w:tcBorders>
            <w:noWrap/>
            <w:vAlign w:val="center"/>
          </w:tcPr>
          <w:p w14:paraId="7A14B68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21CFF48A">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1493CBA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2872451C">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64C55A50">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bottom w:val="single" w:color="auto" w:sz="4" w:space="0"/>
              <w:right w:val="single" w:color="auto" w:sz="4" w:space="0"/>
            </w:tcBorders>
            <w:vAlign w:val="center"/>
          </w:tcPr>
          <w:p w14:paraId="0A660D8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1916A73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带锁量油器</w:t>
            </w:r>
          </w:p>
        </w:tc>
        <w:tc>
          <w:tcPr>
            <w:tcW w:w="1081" w:type="pct"/>
            <w:tcBorders>
              <w:top w:val="single" w:color="auto" w:sz="4" w:space="0"/>
              <w:left w:val="nil"/>
              <w:bottom w:val="single" w:color="auto" w:sz="4" w:space="0"/>
              <w:right w:val="single" w:color="auto" w:sz="4" w:space="0"/>
            </w:tcBorders>
            <w:noWrap/>
            <w:vAlign w:val="center"/>
          </w:tcPr>
          <w:p w14:paraId="4D16596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液位控制</w:t>
            </w:r>
          </w:p>
        </w:tc>
        <w:tc>
          <w:tcPr>
            <w:tcW w:w="772" w:type="pct"/>
            <w:tcBorders>
              <w:top w:val="single" w:color="auto" w:sz="4" w:space="0"/>
              <w:left w:val="nil"/>
              <w:bottom w:val="single" w:color="auto" w:sz="4" w:space="0"/>
              <w:right w:val="single" w:color="auto" w:sz="4" w:space="0"/>
            </w:tcBorders>
            <w:noWrap/>
            <w:vAlign w:val="center"/>
          </w:tcPr>
          <w:p w14:paraId="1A9E225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26F79C5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6F3DDE6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7D5F0CDD">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739968A">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restart"/>
            <w:tcBorders>
              <w:top w:val="single" w:color="auto" w:sz="4" w:space="0"/>
              <w:left w:val="single" w:color="auto" w:sz="4" w:space="0"/>
              <w:right w:val="single" w:color="auto" w:sz="4" w:space="0"/>
            </w:tcBorders>
            <w:vAlign w:val="center"/>
          </w:tcPr>
          <w:p w14:paraId="2C329AB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加油机</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41FF884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接油盆</w:t>
            </w:r>
          </w:p>
        </w:tc>
        <w:tc>
          <w:tcPr>
            <w:tcW w:w="1081" w:type="pct"/>
            <w:tcBorders>
              <w:top w:val="single" w:color="auto" w:sz="4" w:space="0"/>
              <w:left w:val="nil"/>
              <w:bottom w:val="single" w:color="auto" w:sz="4" w:space="0"/>
              <w:right w:val="single" w:color="auto" w:sz="4" w:space="0"/>
            </w:tcBorders>
            <w:noWrap/>
            <w:vAlign w:val="center"/>
          </w:tcPr>
          <w:p w14:paraId="40544C0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加油机底座</w:t>
            </w:r>
          </w:p>
        </w:tc>
        <w:tc>
          <w:tcPr>
            <w:tcW w:w="772" w:type="pct"/>
            <w:tcBorders>
              <w:top w:val="single" w:color="auto" w:sz="4" w:space="0"/>
              <w:left w:val="nil"/>
              <w:bottom w:val="single" w:color="auto" w:sz="4" w:space="0"/>
              <w:right w:val="single" w:color="auto" w:sz="4" w:space="0"/>
            </w:tcBorders>
            <w:noWrap/>
            <w:vAlign w:val="center"/>
          </w:tcPr>
          <w:p w14:paraId="5693D9B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0935E81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49B2C71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65B2316B">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5D8B3C3">
            <w:pPr>
              <w:pStyle w:val="46"/>
              <w:widowControl/>
              <w:numPr>
                <w:ilvl w:val="0"/>
                <w:numId w:val="4"/>
              </w:numPr>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right w:val="single" w:color="auto" w:sz="4" w:space="0"/>
            </w:tcBorders>
            <w:vAlign w:val="center"/>
          </w:tcPr>
          <w:p w14:paraId="10CA70B9">
            <w:pPr>
              <w:widowControl/>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50A1360B">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测试三通</w:t>
            </w:r>
          </w:p>
        </w:tc>
        <w:tc>
          <w:tcPr>
            <w:tcW w:w="1081" w:type="pct"/>
            <w:tcBorders>
              <w:top w:val="single" w:color="auto" w:sz="4" w:space="0"/>
              <w:left w:val="nil"/>
              <w:bottom w:val="single" w:color="auto" w:sz="4" w:space="0"/>
              <w:right w:val="single" w:color="auto" w:sz="4" w:space="0"/>
            </w:tcBorders>
            <w:noWrap/>
            <w:vAlign w:val="center"/>
          </w:tcPr>
          <w:p w14:paraId="09285A1A">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检测用三通</w:t>
            </w:r>
          </w:p>
        </w:tc>
        <w:tc>
          <w:tcPr>
            <w:tcW w:w="772" w:type="pct"/>
            <w:tcBorders>
              <w:top w:val="single" w:color="auto" w:sz="4" w:space="0"/>
              <w:left w:val="nil"/>
              <w:bottom w:val="single" w:color="auto" w:sz="4" w:space="0"/>
              <w:right w:val="single" w:color="auto" w:sz="4" w:space="0"/>
            </w:tcBorders>
            <w:vAlign w:val="center"/>
          </w:tcPr>
          <w:p w14:paraId="71B6AF1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6BE3DC91">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3个</w:t>
            </w:r>
          </w:p>
        </w:tc>
        <w:tc>
          <w:tcPr>
            <w:tcW w:w="524" w:type="pct"/>
            <w:tcBorders>
              <w:top w:val="single" w:color="auto" w:sz="4" w:space="0"/>
              <w:left w:val="nil"/>
              <w:bottom w:val="single" w:color="auto" w:sz="4" w:space="0"/>
              <w:right w:val="single" w:color="auto" w:sz="4" w:space="0"/>
            </w:tcBorders>
            <w:noWrap/>
            <w:vAlign w:val="center"/>
          </w:tcPr>
          <w:p w14:paraId="710464A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4D13740B">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4D964443">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bottom w:val="single" w:color="auto" w:sz="4" w:space="0"/>
              <w:right w:val="single" w:color="auto" w:sz="4" w:space="0"/>
            </w:tcBorders>
            <w:vAlign w:val="center"/>
          </w:tcPr>
          <w:p w14:paraId="49FA8C3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7801642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丝堵</w:t>
            </w:r>
          </w:p>
        </w:tc>
        <w:tc>
          <w:tcPr>
            <w:tcW w:w="1081" w:type="pct"/>
            <w:tcBorders>
              <w:top w:val="single" w:color="auto" w:sz="4" w:space="0"/>
              <w:left w:val="nil"/>
              <w:bottom w:val="single" w:color="auto" w:sz="4" w:space="0"/>
              <w:right w:val="single" w:color="auto" w:sz="4" w:space="0"/>
            </w:tcBorders>
            <w:noWrap/>
            <w:vAlign w:val="center"/>
          </w:tcPr>
          <w:p w14:paraId="67FF5AE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检测用丝堵</w:t>
            </w:r>
          </w:p>
        </w:tc>
        <w:tc>
          <w:tcPr>
            <w:tcW w:w="772" w:type="pct"/>
            <w:tcBorders>
              <w:top w:val="single" w:color="auto" w:sz="4" w:space="0"/>
              <w:left w:val="nil"/>
              <w:bottom w:val="single" w:color="auto" w:sz="4" w:space="0"/>
              <w:right w:val="single" w:color="auto" w:sz="4" w:space="0"/>
            </w:tcBorders>
            <w:noWrap/>
            <w:vAlign w:val="center"/>
          </w:tcPr>
          <w:p w14:paraId="68C61F0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43FEC99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5个</w:t>
            </w:r>
          </w:p>
        </w:tc>
        <w:tc>
          <w:tcPr>
            <w:tcW w:w="524" w:type="pct"/>
            <w:tcBorders>
              <w:top w:val="single" w:color="auto" w:sz="4" w:space="0"/>
              <w:left w:val="nil"/>
              <w:bottom w:val="single" w:color="auto" w:sz="4" w:space="0"/>
              <w:right w:val="single" w:color="auto" w:sz="4" w:space="0"/>
            </w:tcBorders>
            <w:noWrap/>
            <w:vAlign w:val="center"/>
          </w:tcPr>
          <w:p w14:paraId="06D51E05">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63F88527">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2E6848A">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restart"/>
            <w:tcBorders>
              <w:top w:val="single" w:color="auto" w:sz="4" w:space="0"/>
              <w:left w:val="single" w:color="auto" w:sz="4" w:space="0"/>
              <w:right w:val="single" w:color="auto" w:sz="4" w:space="0"/>
            </w:tcBorders>
            <w:vAlign w:val="center"/>
          </w:tcPr>
          <w:p w14:paraId="49BF1E0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加油、卸油工艺管道</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4DCA3DF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双层管道防渗漏监测</w:t>
            </w:r>
          </w:p>
        </w:tc>
        <w:tc>
          <w:tcPr>
            <w:tcW w:w="1081" w:type="pct"/>
            <w:tcBorders>
              <w:top w:val="single" w:color="auto" w:sz="4" w:space="0"/>
              <w:left w:val="nil"/>
              <w:bottom w:val="single" w:color="auto" w:sz="4" w:space="0"/>
              <w:right w:val="single" w:color="auto" w:sz="4" w:space="0"/>
            </w:tcBorders>
            <w:noWrap/>
            <w:vAlign w:val="center"/>
          </w:tcPr>
          <w:p w14:paraId="59CD994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防渗漏</w:t>
            </w:r>
          </w:p>
        </w:tc>
        <w:tc>
          <w:tcPr>
            <w:tcW w:w="772" w:type="pct"/>
            <w:tcBorders>
              <w:top w:val="single" w:color="auto" w:sz="4" w:space="0"/>
              <w:left w:val="nil"/>
              <w:bottom w:val="single" w:color="auto" w:sz="4" w:space="0"/>
              <w:right w:val="single" w:color="auto" w:sz="4" w:space="0"/>
            </w:tcBorders>
            <w:noWrap/>
            <w:vAlign w:val="center"/>
          </w:tcPr>
          <w:p w14:paraId="28B6C8B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2D5CE19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2</w:t>
            </w:r>
            <w:r>
              <w:rPr>
                <w:rFonts w:hint="eastAsia" w:ascii="Times New Roman" w:hAnsi="Times New Roman" w:eastAsia="宋体" w:cs="宋体"/>
                <w:kern w:val="0"/>
                <w:sz w:val="21"/>
                <w:szCs w:val="21"/>
                <w:highlight w:val="none"/>
                <w14:ligatures w14:val="none"/>
              </w:rPr>
              <w:t>套</w:t>
            </w:r>
          </w:p>
        </w:tc>
        <w:tc>
          <w:tcPr>
            <w:tcW w:w="524" w:type="pct"/>
            <w:tcBorders>
              <w:top w:val="single" w:color="auto" w:sz="4" w:space="0"/>
              <w:left w:val="nil"/>
              <w:bottom w:val="single" w:color="auto" w:sz="4" w:space="0"/>
              <w:right w:val="single" w:color="auto" w:sz="4" w:space="0"/>
            </w:tcBorders>
            <w:noWrap/>
            <w:vAlign w:val="center"/>
          </w:tcPr>
          <w:p w14:paraId="48E6184B">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5E3A4BE3">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0E6D9A22">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right w:val="single" w:color="auto" w:sz="4" w:space="0"/>
            </w:tcBorders>
            <w:vAlign w:val="center"/>
          </w:tcPr>
          <w:p w14:paraId="44388B6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6F6FEAC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快速阳接头</w:t>
            </w:r>
          </w:p>
        </w:tc>
        <w:tc>
          <w:tcPr>
            <w:tcW w:w="1081" w:type="pct"/>
            <w:tcBorders>
              <w:top w:val="single" w:color="auto" w:sz="4" w:space="0"/>
              <w:left w:val="nil"/>
              <w:bottom w:val="single" w:color="auto" w:sz="4" w:space="0"/>
              <w:right w:val="single" w:color="auto" w:sz="4" w:space="0"/>
            </w:tcBorders>
            <w:noWrap/>
            <w:vAlign w:val="center"/>
          </w:tcPr>
          <w:p w14:paraId="17D20FB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汽油卸油快速接头</w:t>
            </w:r>
          </w:p>
        </w:tc>
        <w:tc>
          <w:tcPr>
            <w:tcW w:w="772" w:type="pct"/>
            <w:tcBorders>
              <w:top w:val="single" w:color="auto" w:sz="4" w:space="0"/>
              <w:left w:val="nil"/>
              <w:bottom w:val="single" w:color="auto" w:sz="4" w:space="0"/>
              <w:right w:val="single" w:color="auto" w:sz="4" w:space="0"/>
            </w:tcBorders>
            <w:noWrap/>
            <w:vAlign w:val="center"/>
          </w:tcPr>
          <w:p w14:paraId="18C21C2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1165D3A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3</w:t>
            </w:r>
            <w:r>
              <w:rPr>
                <w:rFonts w:hint="eastAsia" w:ascii="Times New Roman" w:hAnsi="Times New Roman" w:eastAsia="宋体" w:cs="宋体"/>
                <w:kern w:val="0"/>
                <w:sz w:val="21"/>
                <w:szCs w:val="21"/>
                <w:highlight w:val="none"/>
                <w14:ligatures w14:val="none"/>
              </w:rPr>
              <w:t>个</w:t>
            </w:r>
          </w:p>
        </w:tc>
        <w:tc>
          <w:tcPr>
            <w:tcW w:w="524" w:type="pct"/>
            <w:tcBorders>
              <w:top w:val="single" w:color="auto" w:sz="4" w:space="0"/>
              <w:left w:val="nil"/>
              <w:bottom w:val="single" w:color="auto" w:sz="4" w:space="0"/>
              <w:right w:val="single" w:color="auto" w:sz="4" w:space="0"/>
            </w:tcBorders>
            <w:noWrap/>
            <w:vAlign w:val="center"/>
          </w:tcPr>
          <w:p w14:paraId="441AAF41">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5942A675">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39AB0F48">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bottom w:val="single" w:color="auto" w:sz="4" w:space="0"/>
              <w:right w:val="single" w:color="auto" w:sz="4" w:space="0"/>
            </w:tcBorders>
            <w:vAlign w:val="center"/>
          </w:tcPr>
          <w:p w14:paraId="743FE33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3541CFC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快速阴接头</w:t>
            </w:r>
          </w:p>
        </w:tc>
        <w:tc>
          <w:tcPr>
            <w:tcW w:w="1081" w:type="pct"/>
            <w:tcBorders>
              <w:top w:val="single" w:color="auto" w:sz="4" w:space="0"/>
              <w:left w:val="nil"/>
              <w:bottom w:val="single" w:color="auto" w:sz="4" w:space="0"/>
              <w:right w:val="single" w:color="auto" w:sz="4" w:space="0"/>
            </w:tcBorders>
            <w:noWrap/>
            <w:vAlign w:val="center"/>
          </w:tcPr>
          <w:p w14:paraId="51CD4F5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柴油卸油快速接头</w:t>
            </w:r>
          </w:p>
        </w:tc>
        <w:tc>
          <w:tcPr>
            <w:tcW w:w="772" w:type="pct"/>
            <w:tcBorders>
              <w:top w:val="single" w:color="auto" w:sz="4" w:space="0"/>
              <w:left w:val="nil"/>
              <w:bottom w:val="single" w:color="auto" w:sz="4" w:space="0"/>
              <w:right w:val="single" w:color="auto" w:sz="4" w:space="0"/>
            </w:tcBorders>
            <w:noWrap/>
            <w:vAlign w:val="center"/>
          </w:tcPr>
          <w:p w14:paraId="52B4625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1DCF5FD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4个</w:t>
            </w:r>
          </w:p>
        </w:tc>
        <w:tc>
          <w:tcPr>
            <w:tcW w:w="524" w:type="pct"/>
            <w:tcBorders>
              <w:top w:val="single" w:color="auto" w:sz="4" w:space="0"/>
              <w:left w:val="nil"/>
              <w:bottom w:val="single" w:color="auto" w:sz="4" w:space="0"/>
              <w:right w:val="single" w:color="auto" w:sz="4" w:space="0"/>
            </w:tcBorders>
            <w:noWrap/>
            <w:vAlign w:val="center"/>
          </w:tcPr>
          <w:p w14:paraId="264A8F0F">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0502615D">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697A6646">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restart"/>
            <w:tcBorders>
              <w:top w:val="single" w:color="auto" w:sz="4" w:space="0"/>
              <w:left w:val="single" w:color="auto" w:sz="4" w:space="0"/>
              <w:right w:val="single" w:color="auto" w:sz="4" w:space="0"/>
            </w:tcBorders>
            <w:vAlign w:val="center"/>
          </w:tcPr>
          <w:p w14:paraId="51BF62F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通气管</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297F37C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机械呼吸阀</w:t>
            </w:r>
          </w:p>
        </w:tc>
        <w:tc>
          <w:tcPr>
            <w:tcW w:w="1081" w:type="pct"/>
            <w:tcBorders>
              <w:top w:val="single" w:color="auto" w:sz="4" w:space="0"/>
              <w:left w:val="nil"/>
              <w:bottom w:val="single" w:color="auto" w:sz="4" w:space="0"/>
              <w:right w:val="single" w:color="auto" w:sz="4" w:space="0"/>
            </w:tcBorders>
            <w:noWrap/>
            <w:vAlign w:val="center"/>
          </w:tcPr>
          <w:p w14:paraId="206105F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阻火</w:t>
            </w:r>
            <w:r>
              <w:rPr>
                <w:rFonts w:ascii="Times New Roman" w:hAnsi="Times New Roman" w:eastAsia="宋体" w:cs="宋体"/>
                <w:kern w:val="0"/>
                <w:sz w:val="21"/>
                <w:szCs w:val="21"/>
                <w:highlight w:val="none"/>
                <w14:ligatures w14:val="none"/>
              </w:rPr>
              <w:t>呼吸阀</w:t>
            </w:r>
          </w:p>
        </w:tc>
        <w:tc>
          <w:tcPr>
            <w:tcW w:w="772" w:type="pct"/>
            <w:tcBorders>
              <w:top w:val="single" w:color="auto" w:sz="4" w:space="0"/>
              <w:left w:val="nil"/>
              <w:bottom w:val="single" w:color="auto" w:sz="4" w:space="0"/>
              <w:right w:val="single" w:color="auto" w:sz="4" w:space="0"/>
            </w:tcBorders>
            <w:noWrap/>
            <w:vAlign w:val="center"/>
          </w:tcPr>
          <w:p w14:paraId="02CC237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21281D8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1个</w:t>
            </w:r>
          </w:p>
        </w:tc>
        <w:tc>
          <w:tcPr>
            <w:tcW w:w="524" w:type="pct"/>
            <w:tcBorders>
              <w:top w:val="single" w:color="auto" w:sz="4" w:space="0"/>
              <w:left w:val="nil"/>
              <w:bottom w:val="single" w:color="auto" w:sz="4" w:space="0"/>
              <w:right w:val="single" w:color="auto" w:sz="4" w:space="0"/>
            </w:tcBorders>
            <w:noWrap/>
            <w:vAlign w:val="center"/>
          </w:tcPr>
          <w:p w14:paraId="58F25174">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12CB0C42">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011B3219">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bottom w:val="single" w:color="auto" w:sz="4" w:space="0"/>
              <w:right w:val="single" w:color="auto" w:sz="4" w:space="0"/>
            </w:tcBorders>
            <w:vAlign w:val="center"/>
          </w:tcPr>
          <w:p w14:paraId="79ECC92A">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6216592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防雨型阻火器</w:t>
            </w:r>
          </w:p>
        </w:tc>
        <w:tc>
          <w:tcPr>
            <w:tcW w:w="1081" w:type="pct"/>
            <w:tcBorders>
              <w:top w:val="single" w:color="auto" w:sz="4" w:space="0"/>
              <w:left w:val="nil"/>
              <w:bottom w:val="single" w:color="auto" w:sz="4" w:space="0"/>
              <w:right w:val="single" w:color="auto" w:sz="4" w:space="0"/>
            </w:tcBorders>
            <w:noWrap/>
            <w:vAlign w:val="center"/>
          </w:tcPr>
          <w:p w14:paraId="321CBC5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阻火器</w:t>
            </w:r>
          </w:p>
        </w:tc>
        <w:tc>
          <w:tcPr>
            <w:tcW w:w="772" w:type="pct"/>
            <w:tcBorders>
              <w:top w:val="single" w:color="auto" w:sz="4" w:space="0"/>
              <w:left w:val="nil"/>
              <w:bottom w:val="single" w:color="auto" w:sz="4" w:space="0"/>
              <w:right w:val="single" w:color="auto" w:sz="4" w:space="0"/>
            </w:tcBorders>
            <w:noWrap/>
            <w:vAlign w:val="center"/>
          </w:tcPr>
          <w:p w14:paraId="1630483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61B60A5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5个</w:t>
            </w:r>
          </w:p>
        </w:tc>
        <w:tc>
          <w:tcPr>
            <w:tcW w:w="524" w:type="pct"/>
            <w:tcBorders>
              <w:top w:val="single" w:color="auto" w:sz="4" w:space="0"/>
              <w:left w:val="nil"/>
              <w:bottom w:val="single" w:color="auto" w:sz="4" w:space="0"/>
              <w:right w:val="single" w:color="auto" w:sz="4" w:space="0"/>
            </w:tcBorders>
            <w:noWrap/>
            <w:vAlign w:val="center"/>
          </w:tcPr>
          <w:p w14:paraId="28378927">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5E3610D2">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7FDF0A4E">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restart"/>
            <w:tcBorders>
              <w:top w:val="single" w:color="auto" w:sz="4" w:space="0"/>
              <w:left w:val="single" w:color="auto" w:sz="4" w:space="0"/>
              <w:right w:val="single" w:color="auto" w:sz="4" w:space="0"/>
            </w:tcBorders>
            <w:vAlign w:val="center"/>
          </w:tcPr>
          <w:p w14:paraId="75995E9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阀门</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3A4BE93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球阀</w:t>
            </w:r>
          </w:p>
        </w:tc>
        <w:tc>
          <w:tcPr>
            <w:tcW w:w="1081" w:type="pct"/>
            <w:tcBorders>
              <w:top w:val="single" w:color="auto" w:sz="4" w:space="0"/>
              <w:left w:val="nil"/>
              <w:bottom w:val="single" w:color="auto" w:sz="4" w:space="0"/>
              <w:right w:val="single" w:color="auto" w:sz="4" w:space="0"/>
            </w:tcBorders>
            <w:noWrap/>
            <w:vAlign w:val="center"/>
          </w:tcPr>
          <w:p w14:paraId="4DEA090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Q41F-10P球阀</w:t>
            </w:r>
          </w:p>
        </w:tc>
        <w:tc>
          <w:tcPr>
            <w:tcW w:w="772" w:type="pct"/>
            <w:tcBorders>
              <w:top w:val="single" w:color="auto" w:sz="4" w:space="0"/>
              <w:left w:val="nil"/>
              <w:bottom w:val="single" w:color="auto" w:sz="4" w:space="0"/>
              <w:right w:val="single" w:color="auto" w:sz="4" w:space="0"/>
            </w:tcBorders>
            <w:noWrap/>
            <w:vAlign w:val="center"/>
          </w:tcPr>
          <w:p w14:paraId="7B584C6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674B36E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9个</w:t>
            </w:r>
          </w:p>
        </w:tc>
        <w:tc>
          <w:tcPr>
            <w:tcW w:w="524" w:type="pct"/>
            <w:tcBorders>
              <w:top w:val="single" w:color="auto" w:sz="4" w:space="0"/>
              <w:left w:val="nil"/>
              <w:bottom w:val="single" w:color="auto" w:sz="4" w:space="0"/>
              <w:right w:val="single" w:color="auto" w:sz="4" w:space="0"/>
            </w:tcBorders>
            <w:noWrap/>
            <w:vAlign w:val="center"/>
          </w:tcPr>
          <w:p w14:paraId="43A0DA09">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44D60988">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6FF8190F">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bottom w:val="single" w:color="auto" w:sz="4" w:space="0"/>
              <w:right w:val="single" w:color="auto" w:sz="4" w:space="0"/>
            </w:tcBorders>
            <w:vAlign w:val="center"/>
          </w:tcPr>
          <w:p w14:paraId="1BE6453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6BFA370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卸油防溢阀</w:t>
            </w:r>
          </w:p>
        </w:tc>
        <w:tc>
          <w:tcPr>
            <w:tcW w:w="1081" w:type="pct"/>
            <w:tcBorders>
              <w:top w:val="single" w:color="auto" w:sz="4" w:space="0"/>
              <w:left w:val="nil"/>
              <w:bottom w:val="single" w:color="auto" w:sz="4" w:space="0"/>
              <w:right w:val="single" w:color="auto" w:sz="4" w:space="0"/>
            </w:tcBorders>
            <w:noWrap/>
            <w:vAlign w:val="center"/>
          </w:tcPr>
          <w:p w14:paraId="791EF96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加油防溢</w:t>
            </w:r>
          </w:p>
        </w:tc>
        <w:tc>
          <w:tcPr>
            <w:tcW w:w="772" w:type="pct"/>
            <w:tcBorders>
              <w:top w:val="single" w:color="auto" w:sz="4" w:space="0"/>
              <w:left w:val="nil"/>
              <w:bottom w:val="single" w:color="auto" w:sz="4" w:space="0"/>
              <w:right w:val="single" w:color="auto" w:sz="4" w:space="0"/>
            </w:tcBorders>
            <w:noWrap/>
            <w:vAlign w:val="center"/>
          </w:tcPr>
          <w:p w14:paraId="34523AFC">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51AD9E4D">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0C9ED820">
            <w:pPr>
              <w:adjustRightInd/>
              <w:snapToGrid/>
              <w:spacing w:line="240" w:lineRule="auto"/>
              <w:ind w:firstLine="0" w:firstLineChars="0"/>
              <w:jc w:val="center"/>
              <w:rPr>
                <w:rFonts w:hint="eastAsia"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241EFE64">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706A4DA7">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restart"/>
            <w:tcBorders>
              <w:top w:val="single" w:color="auto" w:sz="4" w:space="0"/>
              <w:left w:val="single" w:color="auto" w:sz="4" w:space="0"/>
              <w:right w:val="single" w:color="auto" w:sz="4" w:space="0"/>
            </w:tcBorders>
            <w:vAlign w:val="center"/>
          </w:tcPr>
          <w:p w14:paraId="3932019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防雷防静电</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4E73FCD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防雷设施</w:t>
            </w:r>
          </w:p>
        </w:tc>
        <w:tc>
          <w:tcPr>
            <w:tcW w:w="1081" w:type="pct"/>
            <w:tcBorders>
              <w:top w:val="single" w:color="auto" w:sz="4" w:space="0"/>
              <w:left w:val="nil"/>
              <w:bottom w:val="single" w:color="auto" w:sz="4" w:space="0"/>
              <w:right w:val="single" w:color="auto" w:sz="4" w:space="0"/>
            </w:tcBorders>
            <w:noWrap/>
            <w:vAlign w:val="center"/>
          </w:tcPr>
          <w:p w14:paraId="52B8593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罩棚防雷</w:t>
            </w:r>
          </w:p>
        </w:tc>
        <w:tc>
          <w:tcPr>
            <w:tcW w:w="772" w:type="pct"/>
            <w:tcBorders>
              <w:top w:val="single" w:color="auto" w:sz="4" w:space="0"/>
              <w:left w:val="nil"/>
              <w:bottom w:val="single" w:color="auto" w:sz="4" w:space="0"/>
              <w:right w:val="single" w:color="auto" w:sz="4" w:space="0"/>
            </w:tcBorders>
            <w:noWrap/>
            <w:vAlign w:val="center"/>
          </w:tcPr>
          <w:p w14:paraId="05427B68">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罩棚</w:t>
            </w:r>
          </w:p>
        </w:tc>
        <w:tc>
          <w:tcPr>
            <w:tcW w:w="540" w:type="pct"/>
            <w:tcBorders>
              <w:top w:val="single" w:color="auto" w:sz="4" w:space="0"/>
              <w:left w:val="nil"/>
              <w:bottom w:val="single" w:color="auto" w:sz="4" w:space="0"/>
              <w:right w:val="single" w:color="auto" w:sz="4" w:space="0"/>
            </w:tcBorders>
            <w:noWrap/>
            <w:vAlign w:val="center"/>
          </w:tcPr>
          <w:p w14:paraId="6284E6A6">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罩棚彩钢板厚度大于0.5mm</w:t>
            </w:r>
          </w:p>
        </w:tc>
        <w:tc>
          <w:tcPr>
            <w:tcW w:w="524" w:type="pct"/>
            <w:tcBorders>
              <w:top w:val="single" w:color="auto" w:sz="4" w:space="0"/>
              <w:left w:val="nil"/>
              <w:bottom w:val="single" w:color="auto" w:sz="4" w:space="0"/>
              <w:right w:val="single" w:color="auto" w:sz="4" w:space="0"/>
            </w:tcBorders>
            <w:noWrap/>
            <w:vAlign w:val="center"/>
          </w:tcPr>
          <w:p w14:paraId="1F914C0B">
            <w:pPr>
              <w:adjustRightInd/>
              <w:snapToGrid/>
              <w:spacing w:line="240" w:lineRule="auto"/>
              <w:ind w:firstLine="0" w:firstLineChars="0"/>
              <w:jc w:val="center"/>
              <w:rPr>
                <w:rFonts w:hint="eastAsia"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15E10F77">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5412053D">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right w:val="single" w:color="auto" w:sz="4" w:space="0"/>
            </w:tcBorders>
            <w:vAlign w:val="center"/>
          </w:tcPr>
          <w:p w14:paraId="525FD6D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vMerge w:val="restart"/>
            <w:tcBorders>
              <w:top w:val="single" w:color="auto" w:sz="4" w:space="0"/>
              <w:left w:val="single" w:color="auto" w:sz="4" w:space="0"/>
              <w:right w:val="single" w:color="auto" w:sz="4" w:space="0"/>
            </w:tcBorders>
            <w:vAlign w:val="center"/>
          </w:tcPr>
          <w:p w14:paraId="41C2D71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静电接地设施</w:t>
            </w:r>
          </w:p>
        </w:tc>
        <w:tc>
          <w:tcPr>
            <w:tcW w:w="1081" w:type="pct"/>
            <w:tcBorders>
              <w:top w:val="single" w:color="auto" w:sz="4" w:space="0"/>
              <w:left w:val="nil"/>
              <w:bottom w:val="single" w:color="auto" w:sz="4" w:space="0"/>
              <w:right w:val="single" w:color="auto" w:sz="4" w:space="0"/>
            </w:tcBorders>
            <w:noWrap/>
            <w:vAlign w:val="center"/>
          </w:tcPr>
          <w:p w14:paraId="6AC2826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接地线、跨接线</w:t>
            </w:r>
          </w:p>
        </w:tc>
        <w:tc>
          <w:tcPr>
            <w:tcW w:w="772" w:type="pct"/>
            <w:tcBorders>
              <w:top w:val="single" w:color="auto" w:sz="4" w:space="0"/>
              <w:left w:val="nil"/>
              <w:bottom w:val="single" w:color="auto" w:sz="4" w:space="0"/>
              <w:right w:val="single" w:color="auto" w:sz="4" w:space="0"/>
            </w:tcBorders>
            <w:noWrap/>
            <w:vAlign w:val="center"/>
          </w:tcPr>
          <w:p w14:paraId="43112BE4">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加油机</w:t>
            </w:r>
            <w:r>
              <w:rPr>
                <w:rFonts w:hint="eastAsia" w:ascii="Times New Roman" w:hAnsi="Times New Roman" w:eastAsia="宋体" w:cs="宋体"/>
                <w:kern w:val="0"/>
                <w:sz w:val="21"/>
                <w:szCs w:val="21"/>
                <w:highlight w:val="none"/>
                <w14:ligatures w14:val="none"/>
              </w:rPr>
              <w:t>、</w:t>
            </w:r>
            <w:r>
              <w:rPr>
                <w:rFonts w:ascii="Times New Roman" w:hAnsi="Times New Roman" w:eastAsia="宋体" w:cs="宋体"/>
                <w:kern w:val="0"/>
                <w:sz w:val="21"/>
                <w:szCs w:val="21"/>
                <w:highlight w:val="none"/>
                <w14:ligatures w14:val="none"/>
              </w:rPr>
              <w:t>油罐</w:t>
            </w:r>
          </w:p>
        </w:tc>
        <w:tc>
          <w:tcPr>
            <w:tcW w:w="540" w:type="pct"/>
            <w:tcBorders>
              <w:top w:val="single" w:color="auto" w:sz="4" w:space="0"/>
              <w:left w:val="nil"/>
              <w:bottom w:val="single" w:color="auto" w:sz="4" w:space="0"/>
              <w:right w:val="single" w:color="auto" w:sz="4" w:space="0"/>
            </w:tcBorders>
            <w:noWrap/>
            <w:vAlign w:val="center"/>
          </w:tcPr>
          <w:p w14:paraId="04CDA372">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212</w:t>
            </w:r>
            <w:r>
              <w:rPr>
                <w:rFonts w:hint="eastAsia" w:ascii="Times New Roman" w:hAnsi="Times New Roman" w:eastAsia="宋体" w:cs="宋体"/>
                <w:kern w:val="0"/>
                <w:sz w:val="21"/>
                <w:szCs w:val="21"/>
                <w:highlight w:val="none"/>
                <w14:ligatures w14:val="none"/>
              </w:rPr>
              <w:t>m</w:t>
            </w:r>
          </w:p>
        </w:tc>
        <w:tc>
          <w:tcPr>
            <w:tcW w:w="524" w:type="pct"/>
            <w:tcBorders>
              <w:top w:val="single" w:color="auto" w:sz="4" w:space="0"/>
              <w:left w:val="nil"/>
              <w:bottom w:val="single" w:color="auto" w:sz="4" w:space="0"/>
              <w:right w:val="single" w:color="auto" w:sz="4" w:space="0"/>
            </w:tcBorders>
            <w:noWrap/>
            <w:vAlign w:val="center"/>
          </w:tcPr>
          <w:p w14:paraId="6004092E">
            <w:pPr>
              <w:adjustRightInd/>
              <w:snapToGrid/>
              <w:spacing w:line="240" w:lineRule="auto"/>
              <w:ind w:firstLine="0" w:firstLineChars="0"/>
              <w:jc w:val="center"/>
              <w:rPr>
                <w:rFonts w:hint="eastAsia"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2A3C604D">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50BEA439">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513" w:type="pct"/>
            <w:vMerge w:val="continue"/>
            <w:tcBorders>
              <w:left w:val="single" w:color="auto" w:sz="4" w:space="0"/>
              <w:bottom w:val="single" w:color="auto" w:sz="4" w:space="0"/>
              <w:right w:val="single" w:color="auto" w:sz="4" w:space="0"/>
            </w:tcBorders>
            <w:vAlign w:val="center"/>
          </w:tcPr>
          <w:p w14:paraId="3CAF017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235" w:type="pct"/>
            <w:gridSpan w:val="2"/>
            <w:vMerge w:val="continue"/>
            <w:tcBorders>
              <w:left w:val="single" w:color="auto" w:sz="4" w:space="0"/>
              <w:bottom w:val="single" w:color="auto" w:sz="4" w:space="0"/>
              <w:right w:val="single" w:color="auto" w:sz="4" w:space="0"/>
            </w:tcBorders>
            <w:vAlign w:val="center"/>
          </w:tcPr>
          <w:p w14:paraId="20D7F52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081" w:type="pct"/>
            <w:tcBorders>
              <w:top w:val="single" w:color="auto" w:sz="4" w:space="0"/>
              <w:left w:val="nil"/>
              <w:bottom w:val="single" w:color="auto" w:sz="4" w:space="0"/>
              <w:right w:val="single" w:color="auto" w:sz="4" w:space="0"/>
            </w:tcBorders>
            <w:noWrap/>
            <w:vAlign w:val="center"/>
          </w:tcPr>
          <w:p w14:paraId="17E447CA">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静电接地报警器</w:t>
            </w:r>
          </w:p>
        </w:tc>
        <w:tc>
          <w:tcPr>
            <w:tcW w:w="772" w:type="pct"/>
            <w:tcBorders>
              <w:top w:val="single" w:color="auto" w:sz="4" w:space="0"/>
              <w:left w:val="nil"/>
              <w:bottom w:val="single" w:color="auto" w:sz="4" w:space="0"/>
              <w:right w:val="single" w:color="auto" w:sz="4" w:space="0"/>
            </w:tcBorders>
            <w:noWrap/>
            <w:vAlign w:val="center"/>
          </w:tcPr>
          <w:p w14:paraId="2BA2BE77">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1D71A9E8">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1个</w:t>
            </w:r>
          </w:p>
        </w:tc>
        <w:tc>
          <w:tcPr>
            <w:tcW w:w="524" w:type="pct"/>
            <w:tcBorders>
              <w:top w:val="single" w:color="auto" w:sz="4" w:space="0"/>
              <w:left w:val="nil"/>
              <w:bottom w:val="single" w:color="auto" w:sz="4" w:space="0"/>
              <w:right w:val="single" w:color="auto" w:sz="4" w:space="0"/>
            </w:tcBorders>
            <w:noWrap/>
            <w:vAlign w:val="center"/>
          </w:tcPr>
          <w:p w14:paraId="2C8FF87B">
            <w:pPr>
              <w:adjustRightInd/>
              <w:snapToGrid/>
              <w:spacing w:line="240" w:lineRule="auto"/>
              <w:ind w:firstLine="0" w:firstLineChars="0"/>
              <w:jc w:val="center"/>
              <w:rPr>
                <w:rFonts w:hint="eastAsia"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5208E11B">
        <w:tblPrEx>
          <w:tblCellMar>
            <w:top w:w="0" w:type="dxa"/>
            <w:left w:w="108" w:type="dxa"/>
            <w:bottom w:w="0" w:type="dxa"/>
            <w:right w:w="108" w:type="dxa"/>
          </w:tblCellMar>
        </w:tblPrEx>
        <w:trPr>
          <w:trHeight w:val="454" w:hRule="atLeast"/>
          <w:jc w:val="center"/>
        </w:trPr>
        <w:tc>
          <w:tcPr>
            <w:tcW w:w="5000" w:type="pct"/>
            <w:gridSpan w:val="8"/>
            <w:tcBorders>
              <w:top w:val="single" w:color="auto" w:sz="4" w:space="0"/>
              <w:left w:val="single" w:color="auto" w:sz="4" w:space="0"/>
              <w:bottom w:val="single" w:color="auto" w:sz="4" w:space="0"/>
              <w:right w:val="single" w:color="000000" w:sz="4" w:space="0"/>
            </w:tcBorders>
            <w:noWrap/>
            <w:vAlign w:val="center"/>
          </w:tcPr>
          <w:p w14:paraId="688632D9">
            <w:pPr>
              <w:pStyle w:val="46"/>
              <w:widowControl/>
              <w:adjustRightInd/>
              <w:snapToGrid/>
              <w:spacing w:line="240" w:lineRule="auto"/>
              <w:ind w:left="440"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二、控制事故设施</w:t>
            </w:r>
          </w:p>
        </w:tc>
      </w:tr>
      <w:tr w14:paraId="47746492">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62D4E80A">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restart"/>
            <w:tcBorders>
              <w:top w:val="single" w:color="auto" w:sz="4" w:space="0"/>
              <w:left w:val="single" w:color="auto" w:sz="4" w:space="0"/>
              <w:right w:val="single" w:color="auto" w:sz="4" w:space="0"/>
            </w:tcBorders>
            <w:noWrap/>
            <w:vAlign w:val="center"/>
          </w:tcPr>
          <w:p w14:paraId="45FE21B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紧急个体处置设施</w:t>
            </w:r>
          </w:p>
        </w:tc>
        <w:tc>
          <w:tcPr>
            <w:tcW w:w="991" w:type="pct"/>
            <w:tcBorders>
              <w:top w:val="single" w:color="auto" w:sz="4" w:space="0"/>
              <w:left w:val="single" w:color="auto" w:sz="4" w:space="0"/>
              <w:right w:val="single" w:color="auto" w:sz="4" w:space="0"/>
            </w:tcBorders>
            <w:vAlign w:val="center"/>
          </w:tcPr>
          <w:p w14:paraId="333F318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急停措施</w:t>
            </w:r>
          </w:p>
        </w:tc>
        <w:tc>
          <w:tcPr>
            <w:tcW w:w="1081" w:type="pct"/>
            <w:tcBorders>
              <w:top w:val="nil"/>
              <w:left w:val="nil"/>
              <w:bottom w:val="single" w:color="auto" w:sz="4" w:space="0"/>
              <w:right w:val="single" w:color="auto" w:sz="4" w:space="0"/>
            </w:tcBorders>
            <w:noWrap/>
            <w:vAlign w:val="center"/>
          </w:tcPr>
          <w:p w14:paraId="3E54112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急停按钮</w:t>
            </w:r>
          </w:p>
        </w:tc>
        <w:tc>
          <w:tcPr>
            <w:tcW w:w="1453" w:type="dxa"/>
            <w:tcBorders>
              <w:top w:val="nil"/>
              <w:left w:val="nil"/>
              <w:bottom w:val="single" w:color="auto" w:sz="4" w:space="0"/>
              <w:right w:val="single" w:color="auto" w:sz="4" w:space="0"/>
            </w:tcBorders>
            <w:noWrap/>
            <w:vAlign w:val="center"/>
          </w:tcPr>
          <w:p w14:paraId="484ABB90">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站房</w:t>
            </w:r>
            <w:r>
              <w:rPr>
                <w:rFonts w:hint="eastAsia" w:ascii="Times New Roman" w:hAnsi="Times New Roman" w:eastAsia="宋体" w:cs="Times New Roman"/>
                <w:sz w:val="21"/>
                <w:szCs w:val="21"/>
                <w:highlight w:val="none"/>
                <w14:ligatures w14:val="none"/>
              </w:rPr>
              <w:t>内</w:t>
            </w:r>
            <w:r>
              <w:rPr>
                <w:rFonts w:hint="eastAsia" w:ascii="Times New Roman" w:hAnsi="Times New Roman" w:eastAsia="宋体" w:cs="Times New Roman"/>
                <w:sz w:val="21"/>
                <w:szCs w:val="21"/>
                <w:highlight w:val="none"/>
                <w:lang w:eastAsia="zh-CN"/>
                <w14:ligatures w14:val="none"/>
              </w:rPr>
              <w:t>、</w:t>
            </w:r>
            <w:r>
              <w:rPr>
                <w:rFonts w:ascii="Times New Roman" w:hAnsi="Times New Roman" w:eastAsia="宋体" w:cs="Times New Roman"/>
                <w:sz w:val="21"/>
                <w:szCs w:val="21"/>
                <w:highlight w:val="none"/>
                <w14:ligatures w14:val="none"/>
              </w:rPr>
              <w:t>罩棚</w:t>
            </w:r>
            <w:r>
              <w:rPr>
                <w:rFonts w:hint="eastAsia" w:ascii="Times New Roman" w:hAnsi="Times New Roman" w:eastAsia="宋体" w:cs="Times New Roman"/>
                <w:sz w:val="21"/>
                <w:szCs w:val="21"/>
                <w:highlight w:val="none"/>
                <w:lang w:val="en-US" w:eastAsia="zh-CN"/>
                <w14:ligatures w14:val="none"/>
              </w:rPr>
              <w:t>支柱</w:t>
            </w:r>
            <w:r>
              <w:rPr>
                <w:rFonts w:ascii="Times New Roman" w:hAnsi="Times New Roman" w:eastAsia="宋体" w:cs="Times New Roman"/>
                <w:sz w:val="21"/>
                <w:szCs w:val="21"/>
                <w:highlight w:val="none"/>
                <w14:ligatures w14:val="none"/>
              </w:rPr>
              <w:t>、卸油点附近</w:t>
            </w:r>
          </w:p>
        </w:tc>
        <w:tc>
          <w:tcPr>
            <w:tcW w:w="1017" w:type="dxa"/>
            <w:tcBorders>
              <w:top w:val="nil"/>
              <w:left w:val="nil"/>
              <w:bottom w:val="single" w:color="auto" w:sz="4" w:space="0"/>
              <w:right w:val="single" w:color="auto" w:sz="4" w:space="0"/>
            </w:tcBorders>
            <w:noWrap/>
            <w:vAlign w:val="center"/>
          </w:tcPr>
          <w:p w14:paraId="6FE6662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3</w:t>
            </w:r>
            <w:r>
              <w:rPr>
                <w:rFonts w:hint="eastAsia" w:ascii="Times New Roman" w:hAnsi="Times New Roman" w:eastAsia="宋体" w:cs="宋体"/>
                <w:kern w:val="0"/>
                <w:sz w:val="21"/>
                <w:szCs w:val="21"/>
                <w:highlight w:val="none"/>
                <w14:ligatures w14:val="none"/>
              </w:rPr>
              <w:t>个</w:t>
            </w:r>
          </w:p>
        </w:tc>
        <w:tc>
          <w:tcPr>
            <w:tcW w:w="524" w:type="pct"/>
            <w:tcBorders>
              <w:top w:val="nil"/>
              <w:left w:val="nil"/>
              <w:bottom w:val="single" w:color="auto" w:sz="4" w:space="0"/>
              <w:right w:val="single" w:color="auto" w:sz="4" w:space="0"/>
            </w:tcBorders>
            <w:noWrap/>
            <w:vAlign w:val="center"/>
          </w:tcPr>
          <w:p w14:paraId="3ADA975E">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5212334A">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2C295C49">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auto" w:sz="4" w:space="0"/>
              <w:right w:val="single" w:color="auto" w:sz="4" w:space="0"/>
            </w:tcBorders>
            <w:vAlign w:val="center"/>
          </w:tcPr>
          <w:p w14:paraId="0E888B6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vMerge w:val="restart"/>
            <w:tcBorders>
              <w:top w:val="single" w:color="auto" w:sz="4" w:space="0"/>
              <w:left w:val="single" w:color="auto" w:sz="4" w:space="0"/>
              <w:right w:val="single" w:color="auto" w:sz="4" w:space="0"/>
            </w:tcBorders>
            <w:vAlign w:val="center"/>
          </w:tcPr>
          <w:p w14:paraId="2FB175C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应急照明</w:t>
            </w:r>
          </w:p>
        </w:tc>
        <w:tc>
          <w:tcPr>
            <w:tcW w:w="1081" w:type="pct"/>
            <w:tcBorders>
              <w:top w:val="nil"/>
              <w:left w:val="nil"/>
              <w:bottom w:val="single" w:color="auto" w:sz="4" w:space="0"/>
              <w:right w:val="single" w:color="auto" w:sz="4" w:space="0"/>
            </w:tcBorders>
            <w:noWrap/>
            <w:vAlign w:val="center"/>
          </w:tcPr>
          <w:p w14:paraId="650D5D2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应急照明灯</w:t>
            </w:r>
          </w:p>
        </w:tc>
        <w:tc>
          <w:tcPr>
            <w:tcW w:w="772" w:type="pct"/>
            <w:tcBorders>
              <w:top w:val="nil"/>
              <w:left w:val="nil"/>
              <w:bottom w:val="single" w:color="auto" w:sz="4" w:space="0"/>
              <w:right w:val="single" w:color="auto" w:sz="4" w:space="0"/>
            </w:tcBorders>
            <w:noWrap/>
            <w:vAlign w:val="center"/>
          </w:tcPr>
          <w:p w14:paraId="0378434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罩棚</w:t>
            </w:r>
          </w:p>
        </w:tc>
        <w:tc>
          <w:tcPr>
            <w:tcW w:w="540" w:type="pct"/>
            <w:tcBorders>
              <w:top w:val="nil"/>
              <w:left w:val="nil"/>
              <w:bottom w:val="single" w:color="auto" w:sz="4" w:space="0"/>
              <w:right w:val="single" w:color="auto" w:sz="4" w:space="0"/>
            </w:tcBorders>
            <w:noWrap/>
            <w:vAlign w:val="center"/>
          </w:tcPr>
          <w:p w14:paraId="259BD36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4个</w:t>
            </w:r>
          </w:p>
        </w:tc>
        <w:tc>
          <w:tcPr>
            <w:tcW w:w="524" w:type="pct"/>
            <w:tcBorders>
              <w:top w:val="nil"/>
              <w:left w:val="nil"/>
              <w:bottom w:val="single" w:color="auto" w:sz="4" w:space="0"/>
              <w:right w:val="single" w:color="auto" w:sz="4" w:space="0"/>
            </w:tcBorders>
            <w:noWrap/>
            <w:vAlign w:val="center"/>
          </w:tcPr>
          <w:p w14:paraId="4139D44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0C571DD7">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7A2E3C0E">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auto" w:sz="4" w:space="0"/>
              <w:right w:val="single" w:color="auto" w:sz="4" w:space="0"/>
            </w:tcBorders>
            <w:vAlign w:val="center"/>
          </w:tcPr>
          <w:p w14:paraId="0E3D5CE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vMerge w:val="continue"/>
            <w:tcBorders>
              <w:left w:val="single" w:color="auto" w:sz="4" w:space="0"/>
              <w:right w:val="single" w:color="auto" w:sz="4" w:space="0"/>
            </w:tcBorders>
            <w:vAlign w:val="center"/>
          </w:tcPr>
          <w:p w14:paraId="6A0C2AC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081" w:type="pct"/>
            <w:tcBorders>
              <w:top w:val="nil"/>
              <w:left w:val="nil"/>
              <w:bottom w:val="single" w:color="auto" w:sz="4" w:space="0"/>
              <w:right w:val="single" w:color="auto" w:sz="4" w:space="0"/>
            </w:tcBorders>
            <w:noWrap/>
            <w:vAlign w:val="center"/>
          </w:tcPr>
          <w:p w14:paraId="7196D50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应急照明灯</w:t>
            </w:r>
          </w:p>
        </w:tc>
        <w:tc>
          <w:tcPr>
            <w:tcW w:w="772" w:type="pct"/>
            <w:tcBorders>
              <w:top w:val="nil"/>
              <w:left w:val="nil"/>
              <w:bottom w:val="single" w:color="auto" w:sz="4" w:space="0"/>
              <w:right w:val="single" w:color="auto" w:sz="4" w:space="0"/>
            </w:tcBorders>
            <w:noWrap/>
            <w:vAlign w:val="center"/>
          </w:tcPr>
          <w:p w14:paraId="7DF9411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站房</w:t>
            </w:r>
          </w:p>
        </w:tc>
        <w:tc>
          <w:tcPr>
            <w:tcW w:w="540" w:type="pct"/>
            <w:tcBorders>
              <w:top w:val="nil"/>
              <w:left w:val="nil"/>
              <w:bottom w:val="single" w:color="auto" w:sz="4" w:space="0"/>
              <w:right w:val="single" w:color="auto" w:sz="4" w:space="0"/>
            </w:tcBorders>
            <w:noWrap/>
            <w:vAlign w:val="center"/>
          </w:tcPr>
          <w:p w14:paraId="636D9DE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2个</w:t>
            </w:r>
          </w:p>
        </w:tc>
        <w:tc>
          <w:tcPr>
            <w:tcW w:w="524" w:type="pct"/>
            <w:tcBorders>
              <w:top w:val="nil"/>
              <w:left w:val="nil"/>
              <w:bottom w:val="single" w:color="auto" w:sz="4" w:space="0"/>
              <w:right w:val="single" w:color="auto" w:sz="4" w:space="0"/>
            </w:tcBorders>
            <w:noWrap/>
            <w:vAlign w:val="center"/>
          </w:tcPr>
          <w:p w14:paraId="7F23754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2BD0EFA6">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114A48FE">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auto" w:sz="4" w:space="0"/>
              <w:bottom w:val="single" w:color="auto" w:sz="4" w:space="0"/>
              <w:right w:val="single" w:color="auto" w:sz="4" w:space="0"/>
            </w:tcBorders>
            <w:vAlign w:val="center"/>
          </w:tcPr>
          <w:p w14:paraId="0137B10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vMerge w:val="continue"/>
            <w:tcBorders>
              <w:left w:val="single" w:color="auto" w:sz="4" w:space="0"/>
              <w:bottom w:val="single" w:color="auto" w:sz="4" w:space="0"/>
              <w:right w:val="single" w:color="auto" w:sz="4" w:space="0"/>
            </w:tcBorders>
            <w:vAlign w:val="center"/>
          </w:tcPr>
          <w:p w14:paraId="2BA0B08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081" w:type="pct"/>
            <w:tcBorders>
              <w:top w:val="nil"/>
              <w:left w:val="nil"/>
              <w:bottom w:val="single" w:color="auto" w:sz="4" w:space="0"/>
              <w:right w:val="single" w:color="auto" w:sz="4" w:space="0"/>
            </w:tcBorders>
            <w:noWrap/>
            <w:vAlign w:val="center"/>
          </w:tcPr>
          <w:p w14:paraId="4CB7BA9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应急疏散指示灯</w:t>
            </w:r>
          </w:p>
        </w:tc>
        <w:tc>
          <w:tcPr>
            <w:tcW w:w="772" w:type="pct"/>
            <w:tcBorders>
              <w:top w:val="nil"/>
              <w:left w:val="nil"/>
              <w:bottom w:val="single" w:color="auto" w:sz="4" w:space="0"/>
              <w:right w:val="single" w:color="auto" w:sz="4" w:space="0"/>
            </w:tcBorders>
            <w:noWrap/>
            <w:vAlign w:val="center"/>
          </w:tcPr>
          <w:p w14:paraId="5D95C67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站房</w:t>
            </w:r>
          </w:p>
        </w:tc>
        <w:tc>
          <w:tcPr>
            <w:tcW w:w="540" w:type="pct"/>
            <w:tcBorders>
              <w:top w:val="nil"/>
              <w:left w:val="nil"/>
              <w:bottom w:val="single" w:color="auto" w:sz="4" w:space="0"/>
              <w:right w:val="single" w:color="auto" w:sz="4" w:space="0"/>
            </w:tcBorders>
            <w:noWrap/>
            <w:vAlign w:val="center"/>
          </w:tcPr>
          <w:p w14:paraId="6EB7843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2个</w:t>
            </w:r>
          </w:p>
        </w:tc>
        <w:tc>
          <w:tcPr>
            <w:tcW w:w="524" w:type="pct"/>
            <w:tcBorders>
              <w:top w:val="nil"/>
              <w:left w:val="nil"/>
              <w:bottom w:val="single" w:color="auto" w:sz="4" w:space="0"/>
              <w:right w:val="single" w:color="auto" w:sz="4" w:space="0"/>
            </w:tcBorders>
            <w:noWrap/>
            <w:vAlign w:val="center"/>
          </w:tcPr>
          <w:p w14:paraId="3A8B5CA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1DDFCB8F">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507DFBE0">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restart"/>
            <w:tcBorders>
              <w:top w:val="single" w:color="auto" w:sz="4" w:space="0"/>
              <w:left w:val="single" w:color="auto" w:sz="4" w:space="0"/>
              <w:right w:val="single" w:color="auto" w:sz="4" w:space="0"/>
            </w:tcBorders>
            <w:vAlign w:val="center"/>
          </w:tcPr>
          <w:p w14:paraId="70B8B04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安防系统</w:t>
            </w:r>
          </w:p>
        </w:tc>
        <w:tc>
          <w:tcPr>
            <w:tcW w:w="991" w:type="pct"/>
            <w:vMerge w:val="restart"/>
            <w:tcBorders>
              <w:top w:val="single" w:color="auto" w:sz="4" w:space="0"/>
              <w:left w:val="single" w:color="auto" w:sz="4" w:space="0"/>
              <w:right w:val="single" w:color="auto" w:sz="4" w:space="0"/>
            </w:tcBorders>
            <w:vAlign w:val="center"/>
          </w:tcPr>
          <w:p w14:paraId="5CB29A8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视频监控系统</w:t>
            </w:r>
          </w:p>
        </w:tc>
        <w:tc>
          <w:tcPr>
            <w:tcW w:w="1081" w:type="pct"/>
            <w:tcBorders>
              <w:top w:val="nil"/>
              <w:left w:val="nil"/>
              <w:bottom w:val="single" w:color="auto" w:sz="4" w:space="0"/>
              <w:right w:val="single" w:color="auto" w:sz="4" w:space="0"/>
            </w:tcBorders>
            <w:noWrap/>
            <w:vAlign w:val="center"/>
          </w:tcPr>
          <w:p w14:paraId="335D2C2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防爆红外一体机</w:t>
            </w:r>
          </w:p>
        </w:tc>
        <w:tc>
          <w:tcPr>
            <w:tcW w:w="772" w:type="pct"/>
            <w:tcBorders>
              <w:top w:val="nil"/>
              <w:left w:val="nil"/>
              <w:bottom w:val="single" w:color="auto" w:sz="4" w:space="0"/>
              <w:right w:val="single" w:color="auto" w:sz="4" w:space="0"/>
            </w:tcBorders>
            <w:noWrap/>
            <w:vAlign w:val="center"/>
          </w:tcPr>
          <w:p w14:paraId="46FD22A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罩棚</w:t>
            </w:r>
          </w:p>
        </w:tc>
        <w:tc>
          <w:tcPr>
            <w:tcW w:w="540" w:type="pct"/>
            <w:tcBorders>
              <w:top w:val="nil"/>
              <w:left w:val="nil"/>
              <w:bottom w:val="single" w:color="auto" w:sz="4" w:space="0"/>
              <w:right w:val="single" w:color="auto" w:sz="4" w:space="0"/>
            </w:tcBorders>
            <w:noWrap/>
            <w:vAlign w:val="center"/>
          </w:tcPr>
          <w:p w14:paraId="7028556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4台</w:t>
            </w:r>
          </w:p>
        </w:tc>
        <w:tc>
          <w:tcPr>
            <w:tcW w:w="524" w:type="pct"/>
            <w:tcBorders>
              <w:top w:val="nil"/>
              <w:left w:val="nil"/>
              <w:bottom w:val="single" w:color="auto" w:sz="4" w:space="0"/>
              <w:right w:val="single" w:color="auto" w:sz="4" w:space="0"/>
            </w:tcBorders>
            <w:noWrap/>
            <w:vAlign w:val="center"/>
          </w:tcPr>
          <w:p w14:paraId="73D6D62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38E524D3">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706358EE">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auto" w:sz="4" w:space="0"/>
              <w:right w:val="single" w:color="auto" w:sz="4" w:space="0"/>
            </w:tcBorders>
            <w:vAlign w:val="center"/>
          </w:tcPr>
          <w:p w14:paraId="2BBAF08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vMerge w:val="continue"/>
            <w:tcBorders>
              <w:left w:val="single" w:color="auto" w:sz="4" w:space="0"/>
              <w:bottom w:val="single" w:color="auto" w:sz="4" w:space="0"/>
              <w:right w:val="single" w:color="auto" w:sz="4" w:space="0"/>
            </w:tcBorders>
            <w:vAlign w:val="center"/>
          </w:tcPr>
          <w:p w14:paraId="3230E7D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1081" w:type="pct"/>
            <w:tcBorders>
              <w:top w:val="nil"/>
              <w:left w:val="nil"/>
              <w:bottom w:val="single" w:color="auto" w:sz="4" w:space="0"/>
              <w:right w:val="single" w:color="auto" w:sz="4" w:space="0"/>
            </w:tcBorders>
            <w:noWrap/>
            <w:vAlign w:val="center"/>
          </w:tcPr>
          <w:p w14:paraId="799F17BA">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视频监控系统</w:t>
            </w:r>
          </w:p>
        </w:tc>
        <w:tc>
          <w:tcPr>
            <w:tcW w:w="772" w:type="pct"/>
            <w:tcBorders>
              <w:top w:val="nil"/>
              <w:left w:val="nil"/>
              <w:bottom w:val="single" w:color="auto" w:sz="4" w:space="0"/>
              <w:right w:val="single" w:color="auto" w:sz="4" w:space="0"/>
            </w:tcBorders>
            <w:noWrap/>
            <w:vAlign w:val="center"/>
          </w:tcPr>
          <w:p w14:paraId="45B05BE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罩棚</w:t>
            </w:r>
          </w:p>
        </w:tc>
        <w:tc>
          <w:tcPr>
            <w:tcW w:w="540" w:type="pct"/>
            <w:tcBorders>
              <w:top w:val="nil"/>
              <w:left w:val="nil"/>
              <w:bottom w:val="single" w:color="auto" w:sz="4" w:space="0"/>
              <w:right w:val="single" w:color="auto" w:sz="4" w:space="0"/>
            </w:tcBorders>
            <w:noWrap/>
            <w:vAlign w:val="center"/>
          </w:tcPr>
          <w:p w14:paraId="6251D0B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1套</w:t>
            </w:r>
          </w:p>
        </w:tc>
        <w:tc>
          <w:tcPr>
            <w:tcW w:w="524" w:type="pct"/>
            <w:tcBorders>
              <w:top w:val="nil"/>
              <w:left w:val="nil"/>
              <w:bottom w:val="single" w:color="auto" w:sz="4" w:space="0"/>
              <w:right w:val="single" w:color="auto" w:sz="4" w:space="0"/>
            </w:tcBorders>
            <w:noWrap/>
            <w:vAlign w:val="center"/>
          </w:tcPr>
          <w:p w14:paraId="1CFEE3F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0E530CBF">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184F83B0">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auto" w:sz="4" w:space="0"/>
              <w:bottom w:val="single" w:color="auto" w:sz="4" w:space="0"/>
              <w:right w:val="single" w:color="auto" w:sz="4" w:space="0"/>
            </w:tcBorders>
            <w:vAlign w:val="center"/>
          </w:tcPr>
          <w:p w14:paraId="74A05C3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auto" w:sz="4" w:space="0"/>
              <w:left w:val="single" w:color="auto" w:sz="4" w:space="0"/>
              <w:bottom w:val="single" w:color="auto" w:sz="4" w:space="0"/>
              <w:right w:val="single" w:color="auto" w:sz="4" w:space="0"/>
            </w:tcBorders>
            <w:vAlign w:val="center"/>
          </w:tcPr>
          <w:p w14:paraId="5D710C7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报警系统</w:t>
            </w:r>
          </w:p>
        </w:tc>
        <w:tc>
          <w:tcPr>
            <w:tcW w:w="1081" w:type="pct"/>
            <w:tcBorders>
              <w:top w:val="nil"/>
              <w:left w:val="nil"/>
              <w:bottom w:val="single" w:color="auto" w:sz="4" w:space="0"/>
              <w:right w:val="single" w:color="auto" w:sz="4" w:space="0"/>
            </w:tcBorders>
            <w:noWrap/>
            <w:vAlign w:val="center"/>
          </w:tcPr>
          <w:p w14:paraId="5E39549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隔爆型声光报警器</w:t>
            </w:r>
          </w:p>
        </w:tc>
        <w:tc>
          <w:tcPr>
            <w:tcW w:w="772" w:type="pct"/>
            <w:tcBorders>
              <w:top w:val="nil"/>
              <w:left w:val="nil"/>
              <w:bottom w:val="single" w:color="auto" w:sz="4" w:space="0"/>
              <w:right w:val="single" w:color="auto" w:sz="4" w:space="0"/>
            </w:tcBorders>
            <w:noWrap/>
            <w:vAlign w:val="center"/>
          </w:tcPr>
          <w:p w14:paraId="0E98484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站房</w:t>
            </w:r>
          </w:p>
        </w:tc>
        <w:tc>
          <w:tcPr>
            <w:tcW w:w="540" w:type="pct"/>
            <w:tcBorders>
              <w:top w:val="nil"/>
              <w:left w:val="nil"/>
              <w:bottom w:val="single" w:color="auto" w:sz="4" w:space="0"/>
              <w:right w:val="single" w:color="auto" w:sz="4" w:space="0"/>
            </w:tcBorders>
            <w:noWrap/>
            <w:vAlign w:val="center"/>
          </w:tcPr>
          <w:p w14:paraId="6EFB53C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1个</w:t>
            </w:r>
          </w:p>
        </w:tc>
        <w:tc>
          <w:tcPr>
            <w:tcW w:w="524" w:type="pct"/>
            <w:tcBorders>
              <w:top w:val="nil"/>
              <w:left w:val="nil"/>
              <w:bottom w:val="single" w:color="auto" w:sz="4" w:space="0"/>
              <w:right w:val="single" w:color="auto" w:sz="4" w:space="0"/>
            </w:tcBorders>
            <w:noWrap/>
            <w:vAlign w:val="center"/>
          </w:tcPr>
          <w:p w14:paraId="4A57BD0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0E35E809">
        <w:tblPrEx>
          <w:tblCellMar>
            <w:top w:w="0" w:type="dxa"/>
            <w:left w:w="108" w:type="dxa"/>
            <w:bottom w:w="0" w:type="dxa"/>
            <w:right w:w="108" w:type="dxa"/>
          </w:tblCellMar>
        </w:tblPrEx>
        <w:trPr>
          <w:trHeight w:val="454" w:hRule="atLeast"/>
          <w:jc w:val="center"/>
        </w:trPr>
        <w:tc>
          <w:tcPr>
            <w:tcW w:w="5000" w:type="pct"/>
            <w:gridSpan w:val="8"/>
            <w:tcBorders>
              <w:top w:val="single" w:color="auto" w:sz="4" w:space="0"/>
              <w:left w:val="single" w:color="auto" w:sz="4" w:space="0"/>
              <w:bottom w:val="single" w:color="auto" w:sz="4" w:space="0"/>
              <w:right w:val="single" w:color="000000" w:sz="4" w:space="0"/>
            </w:tcBorders>
            <w:noWrap/>
            <w:vAlign w:val="center"/>
          </w:tcPr>
          <w:p w14:paraId="05A75730">
            <w:pPr>
              <w:pStyle w:val="46"/>
              <w:widowControl/>
              <w:adjustRightInd/>
              <w:snapToGrid/>
              <w:spacing w:line="240" w:lineRule="auto"/>
              <w:ind w:left="440"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三、减少与消除事故影响措施</w:t>
            </w:r>
          </w:p>
        </w:tc>
      </w:tr>
      <w:tr w14:paraId="5B319E7D">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1C686D16">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restart"/>
            <w:tcBorders>
              <w:top w:val="nil"/>
              <w:left w:val="single" w:color="auto" w:sz="4" w:space="0"/>
              <w:right w:val="single" w:color="auto" w:sz="4" w:space="0"/>
            </w:tcBorders>
            <w:noWrap/>
            <w:vAlign w:val="center"/>
          </w:tcPr>
          <w:p w14:paraId="6A36256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应急救援设施</w:t>
            </w:r>
          </w:p>
        </w:tc>
        <w:tc>
          <w:tcPr>
            <w:tcW w:w="991" w:type="pct"/>
            <w:tcBorders>
              <w:top w:val="nil"/>
              <w:left w:val="single" w:color="auto" w:sz="4" w:space="0"/>
              <w:bottom w:val="single" w:color="000000" w:sz="4" w:space="0"/>
              <w:right w:val="single" w:color="auto" w:sz="4" w:space="0"/>
            </w:tcBorders>
            <w:vAlign w:val="center"/>
          </w:tcPr>
          <w:p w14:paraId="479EF31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现场受伤人员医疗抢救装备</w:t>
            </w:r>
          </w:p>
        </w:tc>
        <w:tc>
          <w:tcPr>
            <w:tcW w:w="1081" w:type="pct"/>
            <w:tcBorders>
              <w:top w:val="nil"/>
              <w:left w:val="nil"/>
              <w:bottom w:val="single" w:color="auto" w:sz="4" w:space="0"/>
              <w:right w:val="single" w:color="auto" w:sz="4" w:space="0"/>
            </w:tcBorders>
            <w:noWrap/>
            <w:vAlign w:val="center"/>
          </w:tcPr>
          <w:p w14:paraId="35C70BB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急救箱</w:t>
            </w:r>
          </w:p>
        </w:tc>
        <w:tc>
          <w:tcPr>
            <w:tcW w:w="772" w:type="pct"/>
            <w:tcBorders>
              <w:top w:val="nil"/>
              <w:left w:val="nil"/>
              <w:bottom w:val="single" w:color="auto" w:sz="4" w:space="0"/>
              <w:right w:val="single" w:color="auto" w:sz="4" w:space="0"/>
            </w:tcBorders>
            <w:noWrap/>
            <w:vAlign w:val="center"/>
          </w:tcPr>
          <w:p w14:paraId="288AA2B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70C3540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1个</w:t>
            </w:r>
          </w:p>
        </w:tc>
        <w:tc>
          <w:tcPr>
            <w:tcW w:w="524" w:type="pct"/>
            <w:tcBorders>
              <w:top w:val="nil"/>
              <w:left w:val="nil"/>
              <w:bottom w:val="single" w:color="auto" w:sz="4" w:space="0"/>
              <w:right w:val="single" w:color="auto" w:sz="4" w:space="0"/>
            </w:tcBorders>
            <w:noWrap/>
            <w:vAlign w:val="center"/>
          </w:tcPr>
          <w:p w14:paraId="0B32BD9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713884A8">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42EC6D04">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auto" w:sz="4" w:space="0"/>
              <w:right w:val="single" w:color="auto" w:sz="4" w:space="0"/>
            </w:tcBorders>
            <w:noWrap/>
            <w:vAlign w:val="center"/>
          </w:tcPr>
          <w:p w14:paraId="031F020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nil"/>
              <w:left w:val="single" w:color="auto" w:sz="4" w:space="0"/>
              <w:bottom w:val="single" w:color="000000" w:sz="4" w:space="0"/>
              <w:right w:val="single" w:color="auto" w:sz="4" w:space="0"/>
            </w:tcBorders>
            <w:vAlign w:val="center"/>
          </w:tcPr>
          <w:p w14:paraId="579D9CA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防化手套</w:t>
            </w:r>
          </w:p>
        </w:tc>
        <w:tc>
          <w:tcPr>
            <w:tcW w:w="1081" w:type="pct"/>
            <w:tcBorders>
              <w:top w:val="nil"/>
              <w:left w:val="nil"/>
              <w:bottom w:val="single" w:color="auto" w:sz="4" w:space="0"/>
              <w:right w:val="single" w:color="auto" w:sz="4" w:space="0"/>
            </w:tcBorders>
            <w:noWrap/>
            <w:vAlign w:val="center"/>
          </w:tcPr>
          <w:p w14:paraId="548EE7BE">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p>
        </w:tc>
        <w:tc>
          <w:tcPr>
            <w:tcW w:w="772" w:type="pct"/>
            <w:tcBorders>
              <w:top w:val="nil"/>
              <w:left w:val="nil"/>
              <w:bottom w:val="single" w:color="auto" w:sz="4" w:space="0"/>
              <w:right w:val="single" w:color="auto" w:sz="4" w:space="0"/>
            </w:tcBorders>
            <w:noWrap/>
            <w:vAlign w:val="center"/>
          </w:tcPr>
          <w:p w14:paraId="095D3C4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58DEBBAC">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9副</w:t>
            </w:r>
          </w:p>
        </w:tc>
        <w:tc>
          <w:tcPr>
            <w:tcW w:w="524" w:type="pct"/>
            <w:tcBorders>
              <w:top w:val="nil"/>
              <w:left w:val="nil"/>
              <w:bottom w:val="single" w:color="auto" w:sz="4" w:space="0"/>
              <w:right w:val="single" w:color="auto" w:sz="4" w:space="0"/>
            </w:tcBorders>
            <w:noWrap/>
            <w:vAlign w:val="center"/>
          </w:tcPr>
          <w:p w14:paraId="73D298B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已落实</w:t>
            </w:r>
          </w:p>
        </w:tc>
      </w:tr>
      <w:tr w14:paraId="116F2385">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3053F920">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auto" w:sz="4" w:space="0"/>
              <w:bottom w:val="single" w:color="000000" w:sz="4" w:space="0"/>
              <w:right w:val="single" w:color="auto" w:sz="4" w:space="0"/>
            </w:tcBorders>
            <w:noWrap/>
            <w:vAlign w:val="center"/>
          </w:tcPr>
          <w:p w14:paraId="2089060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nil"/>
              <w:left w:val="single" w:color="auto" w:sz="4" w:space="0"/>
              <w:bottom w:val="single" w:color="000000" w:sz="4" w:space="0"/>
              <w:right w:val="single" w:color="auto" w:sz="4" w:space="0"/>
            </w:tcBorders>
            <w:vAlign w:val="center"/>
          </w:tcPr>
          <w:p w14:paraId="43B85C3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绝缘鞋、绝缘手套</w:t>
            </w:r>
          </w:p>
        </w:tc>
        <w:tc>
          <w:tcPr>
            <w:tcW w:w="1081" w:type="pct"/>
            <w:tcBorders>
              <w:top w:val="nil"/>
              <w:left w:val="nil"/>
              <w:bottom w:val="single" w:color="auto" w:sz="4" w:space="0"/>
              <w:right w:val="single" w:color="auto" w:sz="4" w:space="0"/>
            </w:tcBorders>
            <w:noWrap/>
            <w:vAlign w:val="center"/>
          </w:tcPr>
          <w:p w14:paraId="12B64329">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p>
        </w:tc>
        <w:tc>
          <w:tcPr>
            <w:tcW w:w="772" w:type="pct"/>
            <w:tcBorders>
              <w:top w:val="nil"/>
              <w:left w:val="nil"/>
              <w:bottom w:val="single" w:color="auto" w:sz="4" w:space="0"/>
              <w:right w:val="single" w:color="auto" w:sz="4" w:space="0"/>
            </w:tcBorders>
            <w:noWrap/>
            <w:vAlign w:val="center"/>
          </w:tcPr>
          <w:p w14:paraId="753B309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7AC31F1C">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9副</w:t>
            </w:r>
          </w:p>
        </w:tc>
        <w:tc>
          <w:tcPr>
            <w:tcW w:w="524" w:type="pct"/>
            <w:tcBorders>
              <w:top w:val="nil"/>
              <w:left w:val="nil"/>
              <w:bottom w:val="single" w:color="auto" w:sz="4" w:space="0"/>
              <w:right w:val="single" w:color="auto" w:sz="4" w:space="0"/>
            </w:tcBorders>
            <w:noWrap/>
            <w:vAlign w:val="center"/>
          </w:tcPr>
          <w:p w14:paraId="2A8D7FDE">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已落实</w:t>
            </w:r>
          </w:p>
        </w:tc>
      </w:tr>
      <w:tr w14:paraId="30719535">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5ADB1A2C">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restart"/>
            <w:tcBorders>
              <w:top w:val="single" w:color="000000" w:sz="4" w:space="0"/>
              <w:left w:val="single" w:color="000000" w:sz="4" w:space="0"/>
              <w:right w:val="single" w:color="000000" w:sz="4" w:space="0"/>
            </w:tcBorders>
            <w:noWrap/>
            <w:vAlign w:val="center"/>
          </w:tcPr>
          <w:p w14:paraId="0EFA749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劳动防护用品和装备</w:t>
            </w:r>
          </w:p>
        </w:tc>
        <w:tc>
          <w:tcPr>
            <w:tcW w:w="991" w:type="pct"/>
            <w:tcBorders>
              <w:top w:val="single" w:color="000000" w:sz="4" w:space="0"/>
              <w:left w:val="single" w:color="000000" w:sz="4" w:space="0"/>
              <w:bottom w:val="single" w:color="000000" w:sz="4" w:space="0"/>
              <w:right w:val="single" w:color="000000" w:sz="4" w:space="0"/>
            </w:tcBorders>
            <w:vAlign w:val="center"/>
          </w:tcPr>
          <w:p w14:paraId="53ADDE9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化学品防护服、棉布工作服</w:t>
            </w:r>
          </w:p>
        </w:tc>
        <w:tc>
          <w:tcPr>
            <w:tcW w:w="1081" w:type="pct"/>
            <w:tcBorders>
              <w:top w:val="nil"/>
              <w:left w:val="single" w:color="000000" w:sz="4" w:space="0"/>
              <w:bottom w:val="single" w:color="auto" w:sz="4" w:space="0"/>
              <w:right w:val="single" w:color="auto" w:sz="4" w:space="0"/>
            </w:tcBorders>
            <w:noWrap/>
            <w:vAlign w:val="center"/>
          </w:tcPr>
          <w:p w14:paraId="44382F1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防静电工作服、防止烧伤</w:t>
            </w:r>
            <w:r>
              <w:rPr>
                <w:rFonts w:hint="eastAsia" w:ascii="Times New Roman" w:hAnsi="Times New Roman" w:eastAsia="宋体" w:cs="宋体"/>
                <w:kern w:val="0"/>
                <w:sz w:val="21"/>
                <w:szCs w:val="21"/>
                <w:highlight w:val="none"/>
                <w14:ligatures w14:val="none"/>
              </w:rPr>
              <w:t>伤害</w:t>
            </w:r>
          </w:p>
        </w:tc>
        <w:tc>
          <w:tcPr>
            <w:tcW w:w="772" w:type="pct"/>
            <w:tcBorders>
              <w:top w:val="nil"/>
              <w:left w:val="nil"/>
              <w:bottom w:val="single" w:color="auto" w:sz="4" w:space="0"/>
              <w:right w:val="single" w:color="auto" w:sz="4" w:space="0"/>
            </w:tcBorders>
            <w:noWrap/>
            <w:vAlign w:val="center"/>
          </w:tcPr>
          <w:p w14:paraId="536548A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2DE459F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9件</w:t>
            </w:r>
          </w:p>
        </w:tc>
        <w:tc>
          <w:tcPr>
            <w:tcW w:w="524" w:type="pct"/>
            <w:tcBorders>
              <w:top w:val="nil"/>
              <w:left w:val="nil"/>
              <w:bottom w:val="single" w:color="auto" w:sz="4" w:space="0"/>
              <w:right w:val="single" w:color="auto" w:sz="4" w:space="0"/>
            </w:tcBorders>
            <w:noWrap/>
            <w:vAlign w:val="center"/>
          </w:tcPr>
          <w:p w14:paraId="3345DC2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2CA57B66">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778B7E87">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noWrap/>
            <w:vAlign w:val="center"/>
          </w:tcPr>
          <w:p w14:paraId="5FC8FA7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7A72073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防静电工作帽</w:t>
            </w:r>
          </w:p>
        </w:tc>
        <w:tc>
          <w:tcPr>
            <w:tcW w:w="1081" w:type="pct"/>
            <w:tcBorders>
              <w:top w:val="nil"/>
              <w:left w:val="single" w:color="000000" w:sz="4" w:space="0"/>
              <w:bottom w:val="single" w:color="auto" w:sz="4" w:space="0"/>
              <w:right w:val="single" w:color="auto" w:sz="4" w:space="0"/>
            </w:tcBorders>
            <w:noWrap/>
            <w:vAlign w:val="center"/>
          </w:tcPr>
          <w:p w14:paraId="56B0117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防静电工作帽</w:t>
            </w:r>
          </w:p>
        </w:tc>
        <w:tc>
          <w:tcPr>
            <w:tcW w:w="772" w:type="pct"/>
            <w:tcBorders>
              <w:top w:val="nil"/>
              <w:left w:val="nil"/>
              <w:bottom w:val="single" w:color="auto" w:sz="4" w:space="0"/>
              <w:right w:val="single" w:color="auto" w:sz="4" w:space="0"/>
            </w:tcBorders>
            <w:noWrap/>
            <w:vAlign w:val="center"/>
          </w:tcPr>
          <w:p w14:paraId="2A5DFD0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3C774F1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9顶</w:t>
            </w:r>
          </w:p>
        </w:tc>
        <w:tc>
          <w:tcPr>
            <w:tcW w:w="524" w:type="pct"/>
            <w:tcBorders>
              <w:top w:val="nil"/>
              <w:left w:val="nil"/>
              <w:bottom w:val="single" w:color="auto" w:sz="4" w:space="0"/>
              <w:right w:val="single" w:color="auto" w:sz="4" w:space="0"/>
            </w:tcBorders>
            <w:noWrap/>
            <w:vAlign w:val="center"/>
          </w:tcPr>
          <w:p w14:paraId="12CD544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6B2B8EC5">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6E69D33E">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noWrap/>
            <w:vAlign w:val="center"/>
          </w:tcPr>
          <w:p w14:paraId="2CCC375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24CCFD9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防静电鞋</w:t>
            </w:r>
          </w:p>
        </w:tc>
        <w:tc>
          <w:tcPr>
            <w:tcW w:w="1081" w:type="pct"/>
            <w:tcBorders>
              <w:top w:val="nil"/>
              <w:left w:val="single" w:color="000000" w:sz="4" w:space="0"/>
              <w:bottom w:val="single" w:color="auto" w:sz="4" w:space="0"/>
              <w:right w:val="single" w:color="auto" w:sz="4" w:space="0"/>
            </w:tcBorders>
            <w:noWrap/>
            <w:vAlign w:val="center"/>
          </w:tcPr>
          <w:p w14:paraId="39428D5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防砸、耐油、防静电工作鞋</w:t>
            </w:r>
          </w:p>
        </w:tc>
        <w:tc>
          <w:tcPr>
            <w:tcW w:w="772" w:type="pct"/>
            <w:tcBorders>
              <w:top w:val="nil"/>
              <w:left w:val="nil"/>
              <w:bottom w:val="single" w:color="auto" w:sz="4" w:space="0"/>
              <w:right w:val="single" w:color="auto" w:sz="4" w:space="0"/>
            </w:tcBorders>
            <w:noWrap/>
            <w:vAlign w:val="center"/>
          </w:tcPr>
          <w:p w14:paraId="2467749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2EF7E75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9双</w:t>
            </w:r>
          </w:p>
        </w:tc>
        <w:tc>
          <w:tcPr>
            <w:tcW w:w="524" w:type="pct"/>
            <w:tcBorders>
              <w:top w:val="nil"/>
              <w:left w:val="nil"/>
              <w:bottom w:val="single" w:color="auto" w:sz="4" w:space="0"/>
              <w:right w:val="single" w:color="auto" w:sz="4" w:space="0"/>
            </w:tcBorders>
            <w:noWrap/>
            <w:vAlign w:val="center"/>
          </w:tcPr>
          <w:p w14:paraId="08A7AA3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7D641904">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158EBCB9">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63991AE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5257882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防静电手套</w:t>
            </w:r>
          </w:p>
        </w:tc>
        <w:tc>
          <w:tcPr>
            <w:tcW w:w="1081" w:type="pct"/>
            <w:tcBorders>
              <w:top w:val="nil"/>
              <w:left w:val="single" w:color="000000" w:sz="4" w:space="0"/>
              <w:bottom w:val="single" w:color="auto" w:sz="4" w:space="0"/>
              <w:right w:val="single" w:color="auto" w:sz="4" w:space="0"/>
            </w:tcBorders>
            <w:noWrap/>
            <w:vAlign w:val="center"/>
          </w:tcPr>
          <w:p w14:paraId="3B60ADA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nil"/>
              <w:left w:val="nil"/>
              <w:bottom w:val="single" w:color="auto" w:sz="4" w:space="0"/>
              <w:right w:val="single" w:color="auto" w:sz="4" w:space="0"/>
            </w:tcBorders>
            <w:noWrap/>
            <w:vAlign w:val="center"/>
          </w:tcPr>
          <w:p w14:paraId="43DD472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77D88EE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9副</w:t>
            </w:r>
          </w:p>
        </w:tc>
        <w:tc>
          <w:tcPr>
            <w:tcW w:w="524" w:type="pct"/>
            <w:tcBorders>
              <w:top w:val="nil"/>
              <w:left w:val="nil"/>
              <w:bottom w:val="single" w:color="auto" w:sz="4" w:space="0"/>
              <w:right w:val="single" w:color="auto" w:sz="4" w:space="0"/>
            </w:tcBorders>
            <w:noWrap/>
            <w:vAlign w:val="center"/>
          </w:tcPr>
          <w:p w14:paraId="367F368A">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503E029F">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5C7395E7">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0489FAB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59A3599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防寒服</w:t>
            </w:r>
          </w:p>
        </w:tc>
        <w:tc>
          <w:tcPr>
            <w:tcW w:w="1081" w:type="pct"/>
            <w:tcBorders>
              <w:top w:val="nil"/>
              <w:left w:val="single" w:color="000000" w:sz="4" w:space="0"/>
              <w:bottom w:val="single" w:color="auto" w:sz="4" w:space="0"/>
              <w:right w:val="single" w:color="auto" w:sz="4" w:space="0"/>
            </w:tcBorders>
            <w:noWrap/>
            <w:vAlign w:val="center"/>
          </w:tcPr>
          <w:p w14:paraId="0880A84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防静电防寒服</w:t>
            </w:r>
          </w:p>
        </w:tc>
        <w:tc>
          <w:tcPr>
            <w:tcW w:w="772" w:type="pct"/>
            <w:tcBorders>
              <w:top w:val="nil"/>
              <w:left w:val="nil"/>
              <w:bottom w:val="single" w:color="auto" w:sz="4" w:space="0"/>
              <w:right w:val="single" w:color="auto" w:sz="4" w:space="0"/>
            </w:tcBorders>
            <w:noWrap/>
            <w:vAlign w:val="center"/>
          </w:tcPr>
          <w:p w14:paraId="27B8B46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13F353A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9件</w:t>
            </w:r>
          </w:p>
        </w:tc>
        <w:tc>
          <w:tcPr>
            <w:tcW w:w="524" w:type="pct"/>
            <w:tcBorders>
              <w:top w:val="nil"/>
              <w:left w:val="nil"/>
              <w:bottom w:val="single" w:color="auto" w:sz="4" w:space="0"/>
              <w:right w:val="single" w:color="auto" w:sz="4" w:space="0"/>
            </w:tcBorders>
            <w:noWrap/>
            <w:vAlign w:val="center"/>
          </w:tcPr>
          <w:p w14:paraId="4E31521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172AE814">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69DE44BC">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53843B5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30802EF7">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阻燃防护服</w:t>
            </w:r>
          </w:p>
        </w:tc>
        <w:tc>
          <w:tcPr>
            <w:tcW w:w="1081" w:type="pct"/>
            <w:tcBorders>
              <w:top w:val="nil"/>
              <w:left w:val="single" w:color="000000" w:sz="4" w:space="0"/>
              <w:bottom w:val="single" w:color="auto" w:sz="4" w:space="0"/>
              <w:right w:val="single" w:color="auto" w:sz="4" w:space="0"/>
            </w:tcBorders>
            <w:noWrap/>
            <w:vAlign w:val="center"/>
          </w:tcPr>
          <w:p w14:paraId="786E5AF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nil"/>
              <w:left w:val="nil"/>
              <w:bottom w:val="single" w:color="auto" w:sz="4" w:space="0"/>
              <w:right w:val="single" w:color="auto" w:sz="4" w:space="0"/>
            </w:tcBorders>
            <w:noWrap/>
            <w:vAlign w:val="center"/>
          </w:tcPr>
          <w:p w14:paraId="2F23567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nil"/>
              <w:left w:val="nil"/>
              <w:bottom w:val="single" w:color="auto" w:sz="4" w:space="0"/>
              <w:right w:val="single" w:color="auto" w:sz="4" w:space="0"/>
            </w:tcBorders>
            <w:noWrap/>
            <w:vAlign w:val="center"/>
          </w:tcPr>
          <w:p w14:paraId="30F7EF1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9件</w:t>
            </w:r>
          </w:p>
        </w:tc>
        <w:tc>
          <w:tcPr>
            <w:tcW w:w="524" w:type="pct"/>
            <w:tcBorders>
              <w:top w:val="nil"/>
              <w:left w:val="nil"/>
              <w:bottom w:val="single" w:color="auto" w:sz="4" w:space="0"/>
              <w:right w:val="single" w:color="auto" w:sz="4" w:space="0"/>
            </w:tcBorders>
            <w:noWrap/>
            <w:vAlign w:val="center"/>
          </w:tcPr>
          <w:p w14:paraId="7618B88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09307ED5">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417D8206">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558269BC">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4BDAFA1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防静电鞋</w:t>
            </w:r>
          </w:p>
        </w:tc>
        <w:tc>
          <w:tcPr>
            <w:tcW w:w="1081" w:type="pct"/>
            <w:tcBorders>
              <w:top w:val="single" w:color="auto" w:sz="4" w:space="0"/>
              <w:left w:val="single" w:color="000000" w:sz="4" w:space="0"/>
              <w:bottom w:val="single" w:color="auto" w:sz="4" w:space="0"/>
              <w:right w:val="single" w:color="auto" w:sz="4" w:space="0"/>
            </w:tcBorders>
            <w:noWrap/>
            <w:vAlign w:val="center"/>
          </w:tcPr>
          <w:p w14:paraId="6A49D22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防静电、耐油胶鞋</w:t>
            </w:r>
          </w:p>
        </w:tc>
        <w:tc>
          <w:tcPr>
            <w:tcW w:w="772" w:type="pct"/>
            <w:tcBorders>
              <w:top w:val="single" w:color="auto" w:sz="4" w:space="0"/>
              <w:left w:val="nil"/>
              <w:bottom w:val="single" w:color="auto" w:sz="4" w:space="0"/>
              <w:right w:val="single" w:color="auto" w:sz="4" w:space="0"/>
            </w:tcBorders>
            <w:noWrap/>
            <w:vAlign w:val="center"/>
          </w:tcPr>
          <w:p w14:paraId="4856835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single" w:color="auto" w:sz="4" w:space="0"/>
              <w:left w:val="nil"/>
              <w:bottom w:val="single" w:color="auto" w:sz="4" w:space="0"/>
              <w:right w:val="single" w:color="auto" w:sz="4" w:space="0"/>
            </w:tcBorders>
            <w:noWrap/>
            <w:vAlign w:val="center"/>
          </w:tcPr>
          <w:p w14:paraId="641DF35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9双</w:t>
            </w:r>
          </w:p>
        </w:tc>
        <w:tc>
          <w:tcPr>
            <w:tcW w:w="524" w:type="pct"/>
            <w:tcBorders>
              <w:top w:val="single" w:color="auto" w:sz="4" w:space="0"/>
              <w:left w:val="nil"/>
              <w:bottom w:val="single" w:color="auto" w:sz="4" w:space="0"/>
              <w:right w:val="single" w:color="auto" w:sz="4" w:space="0"/>
            </w:tcBorders>
            <w:noWrap/>
            <w:vAlign w:val="center"/>
          </w:tcPr>
          <w:p w14:paraId="081ADE3D">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7E2FCA04">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6CEC5DD6">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7883903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174A691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防尘口罩</w:t>
            </w:r>
          </w:p>
        </w:tc>
        <w:tc>
          <w:tcPr>
            <w:tcW w:w="1081" w:type="pct"/>
            <w:tcBorders>
              <w:top w:val="single" w:color="auto" w:sz="4" w:space="0"/>
              <w:left w:val="single" w:color="000000" w:sz="4" w:space="0"/>
              <w:bottom w:val="single" w:color="auto" w:sz="4" w:space="0"/>
              <w:right w:val="single" w:color="auto" w:sz="4" w:space="0"/>
            </w:tcBorders>
            <w:noWrap/>
            <w:vAlign w:val="center"/>
          </w:tcPr>
          <w:p w14:paraId="1A32B74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single" w:color="auto" w:sz="4" w:space="0"/>
              <w:left w:val="nil"/>
              <w:bottom w:val="single" w:color="auto" w:sz="4" w:space="0"/>
              <w:right w:val="single" w:color="auto" w:sz="4" w:space="0"/>
            </w:tcBorders>
            <w:noWrap/>
            <w:vAlign w:val="center"/>
          </w:tcPr>
          <w:p w14:paraId="40E2CAE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single" w:color="auto" w:sz="4" w:space="0"/>
              <w:left w:val="nil"/>
              <w:bottom w:val="single" w:color="auto" w:sz="4" w:space="0"/>
              <w:right w:val="single" w:color="auto" w:sz="4" w:space="0"/>
            </w:tcBorders>
            <w:noWrap/>
            <w:vAlign w:val="center"/>
          </w:tcPr>
          <w:p w14:paraId="405B43CD">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9只</w:t>
            </w:r>
          </w:p>
        </w:tc>
        <w:tc>
          <w:tcPr>
            <w:tcW w:w="524" w:type="pct"/>
            <w:tcBorders>
              <w:top w:val="single" w:color="auto" w:sz="4" w:space="0"/>
              <w:left w:val="nil"/>
              <w:bottom w:val="single" w:color="auto" w:sz="4" w:space="0"/>
              <w:right w:val="single" w:color="auto" w:sz="4" w:space="0"/>
            </w:tcBorders>
            <w:noWrap/>
            <w:vAlign w:val="center"/>
          </w:tcPr>
          <w:p w14:paraId="4F651A34">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ascii="Times New Roman" w:hAnsi="Times New Roman" w:eastAsia="宋体" w:cs="Times New Roman"/>
                <w:kern w:val="0"/>
                <w:sz w:val="21"/>
                <w:szCs w:val="21"/>
                <w:highlight w:val="none"/>
                <w14:ligatures w14:val="none"/>
              </w:rPr>
              <w:t>已落实</w:t>
            </w:r>
          </w:p>
        </w:tc>
      </w:tr>
      <w:tr w14:paraId="66393CED">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7BFCB42B">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bottom w:val="single" w:color="auto" w:sz="4" w:space="0"/>
              <w:right w:val="single" w:color="000000" w:sz="4" w:space="0"/>
            </w:tcBorders>
            <w:vAlign w:val="center"/>
          </w:tcPr>
          <w:p w14:paraId="2898DE7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auto" w:sz="4" w:space="0"/>
              <w:right w:val="single" w:color="000000" w:sz="4" w:space="0"/>
            </w:tcBorders>
            <w:vAlign w:val="center"/>
          </w:tcPr>
          <w:p w14:paraId="0B9A629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防毒面具</w:t>
            </w:r>
          </w:p>
        </w:tc>
        <w:tc>
          <w:tcPr>
            <w:tcW w:w="1081" w:type="pct"/>
            <w:tcBorders>
              <w:top w:val="single" w:color="auto" w:sz="4" w:space="0"/>
              <w:left w:val="single" w:color="000000" w:sz="4" w:space="0"/>
              <w:bottom w:val="single" w:color="auto" w:sz="4" w:space="0"/>
              <w:right w:val="single" w:color="auto" w:sz="4" w:space="0"/>
            </w:tcBorders>
            <w:noWrap/>
            <w:vAlign w:val="center"/>
          </w:tcPr>
          <w:p w14:paraId="3CC587B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single" w:color="auto" w:sz="4" w:space="0"/>
              <w:left w:val="nil"/>
              <w:bottom w:val="single" w:color="auto" w:sz="4" w:space="0"/>
              <w:right w:val="single" w:color="auto" w:sz="4" w:space="0"/>
            </w:tcBorders>
            <w:noWrap/>
            <w:vAlign w:val="center"/>
          </w:tcPr>
          <w:p w14:paraId="00F41BD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single" w:color="auto" w:sz="4" w:space="0"/>
              <w:left w:val="nil"/>
              <w:bottom w:val="single" w:color="auto" w:sz="4" w:space="0"/>
              <w:right w:val="single" w:color="auto" w:sz="4" w:space="0"/>
            </w:tcBorders>
            <w:noWrap/>
            <w:vAlign w:val="center"/>
          </w:tcPr>
          <w:p w14:paraId="2FDC24CD">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9副</w:t>
            </w:r>
          </w:p>
        </w:tc>
        <w:tc>
          <w:tcPr>
            <w:tcW w:w="524" w:type="pct"/>
            <w:tcBorders>
              <w:top w:val="single" w:color="auto" w:sz="4" w:space="0"/>
              <w:left w:val="nil"/>
              <w:bottom w:val="single" w:color="auto" w:sz="4" w:space="0"/>
              <w:right w:val="single" w:color="auto" w:sz="4" w:space="0"/>
            </w:tcBorders>
            <w:noWrap/>
            <w:vAlign w:val="center"/>
          </w:tcPr>
          <w:p w14:paraId="2B7C9A53">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14AA3F17">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3CE33F54">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top w:val="single" w:color="auto" w:sz="4" w:space="0"/>
              <w:left w:val="single" w:color="auto" w:sz="4" w:space="0"/>
              <w:bottom w:val="single" w:color="auto" w:sz="4" w:space="0"/>
              <w:right w:val="single" w:color="auto" w:sz="4" w:space="0"/>
            </w:tcBorders>
            <w:vAlign w:val="center"/>
          </w:tcPr>
          <w:p w14:paraId="750158F9">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auto" w:sz="4" w:space="0"/>
              <w:left w:val="single" w:color="auto" w:sz="4" w:space="0"/>
              <w:bottom w:val="single" w:color="auto" w:sz="4" w:space="0"/>
              <w:right w:val="single" w:color="auto" w:sz="4" w:space="0"/>
            </w:tcBorders>
            <w:vAlign w:val="center"/>
          </w:tcPr>
          <w:p w14:paraId="4FBF3208">
            <w:pPr>
              <w:keepNext w:val="0"/>
              <w:keepLines w:val="0"/>
              <w:pageBreakBefore w:val="0"/>
              <w:widowControl/>
              <w:kinsoku/>
              <w:wordWrap/>
              <w:overflowPunct/>
              <w:topLinePunct w:val="0"/>
              <w:autoSpaceDE/>
              <w:autoSpaceDN/>
              <w:bidi w:val="0"/>
              <w:adjustRightInd w:val="0"/>
              <w:snapToGrid w:val="0"/>
              <w:spacing w:before="157" w:beforeLines="50" w:line="240" w:lineRule="auto"/>
              <w:ind w:firstLine="0" w:firstLineChars="0"/>
              <w:jc w:val="center"/>
              <w:textAlignment w:val="auto"/>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防尘服</w:t>
            </w:r>
          </w:p>
        </w:tc>
        <w:tc>
          <w:tcPr>
            <w:tcW w:w="1081" w:type="pct"/>
            <w:tcBorders>
              <w:top w:val="single" w:color="auto" w:sz="4" w:space="0"/>
              <w:left w:val="single" w:color="auto" w:sz="4" w:space="0"/>
              <w:bottom w:val="single" w:color="auto" w:sz="4" w:space="0"/>
              <w:right w:val="single" w:color="auto" w:sz="4" w:space="0"/>
            </w:tcBorders>
            <w:noWrap/>
            <w:vAlign w:val="center"/>
          </w:tcPr>
          <w:p w14:paraId="74EF343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single" w:color="auto" w:sz="4" w:space="0"/>
              <w:left w:val="single" w:color="auto" w:sz="4" w:space="0"/>
              <w:bottom w:val="single" w:color="auto" w:sz="4" w:space="0"/>
              <w:right w:val="single" w:color="auto" w:sz="4" w:space="0"/>
            </w:tcBorders>
            <w:noWrap/>
            <w:vAlign w:val="center"/>
          </w:tcPr>
          <w:p w14:paraId="17B2537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single" w:color="auto" w:sz="4" w:space="0"/>
              <w:left w:val="single" w:color="auto" w:sz="4" w:space="0"/>
              <w:bottom w:val="single" w:color="auto" w:sz="4" w:space="0"/>
              <w:right w:val="single" w:color="auto" w:sz="4" w:space="0"/>
            </w:tcBorders>
            <w:noWrap/>
            <w:vAlign w:val="center"/>
          </w:tcPr>
          <w:p w14:paraId="2F387B8F">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9件</w:t>
            </w:r>
          </w:p>
        </w:tc>
        <w:tc>
          <w:tcPr>
            <w:tcW w:w="524" w:type="pct"/>
            <w:tcBorders>
              <w:top w:val="single" w:color="auto" w:sz="4" w:space="0"/>
              <w:left w:val="single" w:color="auto" w:sz="4" w:space="0"/>
              <w:bottom w:val="single" w:color="auto" w:sz="4" w:space="0"/>
              <w:right w:val="single" w:color="auto" w:sz="4" w:space="0"/>
            </w:tcBorders>
            <w:noWrap/>
            <w:vAlign w:val="center"/>
          </w:tcPr>
          <w:p w14:paraId="24E8DE70">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2C8D0EAC">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62430502">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top w:val="single" w:color="auto" w:sz="4" w:space="0"/>
              <w:left w:val="single" w:color="000000" w:sz="4" w:space="0"/>
              <w:right w:val="single" w:color="000000" w:sz="4" w:space="0"/>
            </w:tcBorders>
            <w:vAlign w:val="center"/>
          </w:tcPr>
          <w:p w14:paraId="40240BA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auto" w:sz="4" w:space="0"/>
              <w:left w:val="single" w:color="000000" w:sz="4" w:space="0"/>
              <w:bottom w:val="single" w:color="000000" w:sz="4" w:space="0"/>
              <w:right w:val="single" w:color="000000" w:sz="4" w:space="0"/>
            </w:tcBorders>
            <w:vAlign w:val="center"/>
          </w:tcPr>
          <w:p w14:paraId="41DFA4B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35kg推车式干粉灭火器</w:t>
            </w:r>
          </w:p>
        </w:tc>
        <w:tc>
          <w:tcPr>
            <w:tcW w:w="1081" w:type="pct"/>
            <w:tcBorders>
              <w:top w:val="single" w:color="auto" w:sz="4" w:space="0"/>
              <w:left w:val="single" w:color="000000" w:sz="4" w:space="0"/>
              <w:bottom w:val="single" w:color="auto" w:sz="4" w:space="0"/>
              <w:right w:val="single" w:color="auto" w:sz="4" w:space="0"/>
            </w:tcBorders>
            <w:noWrap/>
            <w:vAlign w:val="center"/>
          </w:tcPr>
          <w:p w14:paraId="3BBDD56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灭火器</w:t>
            </w:r>
          </w:p>
        </w:tc>
        <w:tc>
          <w:tcPr>
            <w:tcW w:w="772" w:type="pct"/>
            <w:tcBorders>
              <w:top w:val="single" w:color="auto" w:sz="4" w:space="0"/>
              <w:left w:val="nil"/>
              <w:bottom w:val="single" w:color="auto" w:sz="4" w:space="0"/>
              <w:right w:val="single" w:color="auto" w:sz="4" w:space="0"/>
            </w:tcBorders>
            <w:noWrap/>
            <w:vAlign w:val="center"/>
          </w:tcPr>
          <w:p w14:paraId="7CB14FC5">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储</w:t>
            </w:r>
            <w:r>
              <w:rPr>
                <w:rFonts w:ascii="Times New Roman" w:hAnsi="Times New Roman" w:eastAsia="宋体" w:cs="宋体"/>
                <w:kern w:val="0"/>
                <w:sz w:val="21"/>
                <w:szCs w:val="21"/>
                <w:highlight w:val="none"/>
                <w14:ligatures w14:val="none"/>
              </w:rPr>
              <w:t>罐区</w:t>
            </w:r>
          </w:p>
        </w:tc>
        <w:tc>
          <w:tcPr>
            <w:tcW w:w="540" w:type="pct"/>
            <w:tcBorders>
              <w:top w:val="single" w:color="auto" w:sz="4" w:space="0"/>
              <w:left w:val="nil"/>
              <w:bottom w:val="single" w:color="auto" w:sz="4" w:space="0"/>
              <w:right w:val="single" w:color="auto" w:sz="4" w:space="0"/>
            </w:tcBorders>
            <w:noWrap/>
            <w:vAlign w:val="center"/>
          </w:tcPr>
          <w:p w14:paraId="394E39F8">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2台</w:t>
            </w:r>
          </w:p>
        </w:tc>
        <w:tc>
          <w:tcPr>
            <w:tcW w:w="524" w:type="pct"/>
            <w:tcBorders>
              <w:top w:val="single" w:color="auto" w:sz="4" w:space="0"/>
              <w:left w:val="nil"/>
              <w:bottom w:val="single" w:color="auto" w:sz="4" w:space="0"/>
              <w:right w:val="single" w:color="auto" w:sz="4" w:space="0"/>
            </w:tcBorders>
            <w:noWrap/>
            <w:vAlign w:val="center"/>
          </w:tcPr>
          <w:p w14:paraId="0912AD3F">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3CA4EF36">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3A78AC95">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4281B0A3">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0462354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5kg手提式干粉灭火器</w:t>
            </w:r>
          </w:p>
        </w:tc>
        <w:tc>
          <w:tcPr>
            <w:tcW w:w="1081" w:type="pct"/>
            <w:tcBorders>
              <w:top w:val="single" w:color="auto" w:sz="4" w:space="0"/>
              <w:left w:val="single" w:color="000000" w:sz="4" w:space="0"/>
              <w:bottom w:val="single" w:color="auto" w:sz="4" w:space="0"/>
              <w:right w:val="single" w:color="auto" w:sz="4" w:space="0"/>
            </w:tcBorders>
            <w:noWrap/>
            <w:vAlign w:val="center"/>
          </w:tcPr>
          <w:p w14:paraId="46A1E8D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灭火器</w:t>
            </w:r>
          </w:p>
        </w:tc>
        <w:tc>
          <w:tcPr>
            <w:tcW w:w="772" w:type="pct"/>
            <w:tcBorders>
              <w:top w:val="single" w:color="auto" w:sz="4" w:space="0"/>
              <w:left w:val="nil"/>
              <w:bottom w:val="single" w:color="auto" w:sz="4" w:space="0"/>
              <w:right w:val="single" w:color="auto" w:sz="4" w:space="0"/>
            </w:tcBorders>
            <w:noWrap/>
            <w:vAlign w:val="center"/>
          </w:tcPr>
          <w:p w14:paraId="4C6F2F7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储罐区、加油区、卸油区、站房内</w:t>
            </w:r>
          </w:p>
        </w:tc>
        <w:tc>
          <w:tcPr>
            <w:tcW w:w="540" w:type="pct"/>
            <w:tcBorders>
              <w:top w:val="single" w:color="auto" w:sz="4" w:space="0"/>
              <w:left w:val="nil"/>
              <w:bottom w:val="single" w:color="auto" w:sz="4" w:space="0"/>
              <w:right w:val="single" w:color="auto" w:sz="4" w:space="0"/>
            </w:tcBorders>
            <w:noWrap/>
            <w:vAlign w:val="center"/>
          </w:tcPr>
          <w:p w14:paraId="607DBA01">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1</w:t>
            </w:r>
            <w:r>
              <w:rPr>
                <w:rFonts w:hint="eastAsia" w:ascii="Times New Roman" w:hAnsi="Times New Roman" w:eastAsia="宋体" w:cs="宋体"/>
                <w:kern w:val="0"/>
                <w:sz w:val="21"/>
                <w:szCs w:val="21"/>
                <w:highlight w:val="none"/>
                <w:lang w:val="en-US" w:eastAsia="zh-CN"/>
                <w14:ligatures w14:val="none"/>
              </w:rPr>
              <w:t>0</w:t>
            </w:r>
            <w:r>
              <w:rPr>
                <w:rFonts w:hint="eastAsia" w:ascii="Times New Roman" w:hAnsi="Times New Roman" w:eastAsia="宋体" w:cs="宋体"/>
                <w:kern w:val="0"/>
                <w:sz w:val="21"/>
                <w:szCs w:val="21"/>
                <w:highlight w:val="none"/>
                <w14:ligatures w14:val="none"/>
              </w:rPr>
              <w:t>具</w:t>
            </w:r>
          </w:p>
        </w:tc>
        <w:tc>
          <w:tcPr>
            <w:tcW w:w="524" w:type="pct"/>
            <w:tcBorders>
              <w:top w:val="single" w:color="auto" w:sz="4" w:space="0"/>
              <w:left w:val="nil"/>
              <w:bottom w:val="single" w:color="auto" w:sz="4" w:space="0"/>
              <w:right w:val="single" w:color="auto" w:sz="4" w:space="0"/>
            </w:tcBorders>
            <w:noWrap/>
            <w:vAlign w:val="center"/>
          </w:tcPr>
          <w:p w14:paraId="5255B245">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276B739E">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1E79C4E8">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4083CD66">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1B6BA915">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灭火毯</w:t>
            </w:r>
          </w:p>
        </w:tc>
        <w:tc>
          <w:tcPr>
            <w:tcW w:w="1081" w:type="pct"/>
            <w:tcBorders>
              <w:top w:val="single" w:color="auto" w:sz="4" w:space="0"/>
              <w:left w:val="single" w:color="000000" w:sz="4" w:space="0"/>
              <w:bottom w:val="single" w:color="auto" w:sz="4" w:space="0"/>
              <w:right w:val="single" w:color="auto" w:sz="4" w:space="0"/>
            </w:tcBorders>
            <w:noWrap/>
            <w:vAlign w:val="center"/>
          </w:tcPr>
          <w:p w14:paraId="0C425B1B">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single" w:color="auto" w:sz="4" w:space="0"/>
              <w:left w:val="nil"/>
              <w:bottom w:val="single" w:color="auto" w:sz="4" w:space="0"/>
              <w:right w:val="single" w:color="auto" w:sz="4" w:space="0"/>
            </w:tcBorders>
            <w:noWrap/>
            <w:vAlign w:val="center"/>
          </w:tcPr>
          <w:p w14:paraId="68ADD16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消防器材箱内</w:t>
            </w:r>
          </w:p>
        </w:tc>
        <w:tc>
          <w:tcPr>
            <w:tcW w:w="540" w:type="pct"/>
            <w:tcBorders>
              <w:top w:val="single" w:color="auto" w:sz="4" w:space="0"/>
              <w:left w:val="nil"/>
              <w:bottom w:val="single" w:color="auto" w:sz="4" w:space="0"/>
              <w:right w:val="single" w:color="auto" w:sz="4" w:space="0"/>
            </w:tcBorders>
            <w:noWrap/>
            <w:vAlign w:val="center"/>
          </w:tcPr>
          <w:p w14:paraId="6F4852C2">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5块</w:t>
            </w:r>
          </w:p>
        </w:tc>
        <w:tc>
          <w:tcPr>
            <w:tcW w:w="524" w:type="pct"/>
            <w:tcBorders>
              <w:top w:val="single" w:color="auto" w:sz="4" w:space="0"/>
              <w:left w:val="nil"/>
              <w:bottom w:val="single" w:color="auto" w:sz="4" w:space="0"/>
              <w:right w:val="single" w:color="auto" w:sz="4" w:space="0"/>
            </w:tcBorders>
            <w:noWrap/>
            <w:vAlign w:val="center"/>
          </w:tcPr>
          <w:p w14:paraId="449BC899">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12FB3C8B">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040111FB">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381B6D8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0F4689E0">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消防沙箱</w:t>
            </w:r>
          </w:p>
        </w:tc>
        <w:tc>
          <w:tcPr>
            <w:tcW w:w="1081" w:type="pct"/>
            <w:tcBorders>
              <w:top w:val="single" w:color="auto" w:sz="4" w:space="0"/>
              <w:left w:val="single" w:color="000000" w:sz="4" w:space="0"/>
              <w:bottom w:val="single" w:color="auto" w:sz="4" w:space="0"/>
              <w:right w:val="single" w:color="auto" w:sz="4" w:space="0"/>
            </w:tcBorders>
            <w:noWrap/>
            <w:vAlign w:val="center"/>
          </w:tcPr>
          <w:p w14:paraId="20240D13">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内置消防沙2m</w:t>
            </w:r>
            <w:r>
              <w:rPr>
                <w:rFonts w:hint="eastAsia" w:ascii="Times New Roman" w:hAnsi="Times New Roman" w:eastAsia="宋体" w:cs="宋体"/>
                <w:kern w:val="0"/>
                <w:sz w:val="21"/>
                <w:szCs w:val="21"/>
                <w:highlight w:val="none"/>
                <w:vertAlign w:val="superscript"/>
                <w14:ligatures w14:val="none"/>
              </w:rPr>
              <w:t>3</w:t>
            </w:r>
          </w:p>
        </w:tc>
        <w:tc>
          <w:tcPr>
            <w:tcW w:w="772" w:type="pct"/>
            <w:tcBorders>
              <w:top w:val="single" w:color="auto" w:sz="4" w:space="0"/>
              <w:left w:val="nil"/>
              <w:bottom w:val="single" w:color="auto" w:sz="4" w:space="0"/>
              <w:right w:val="single" w:color="auto" w:sz="4" w:space="0"/>
            </w:tcBorders>
            <w:noWrap/>
            <w:vAlign w:val="center"/>
          </w:tcPr>
          <w:p w14:paraId="22165C4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卸油口附近</w:t>
            </w:r>
          </w:p>
        </w:tc>
        <w:tc>
          <w:tcPr>
            <w:tcW w:w="540" w:type="pct"/>
            <w:tcBorders>
              <w:top w:val="single" w:color="auto" w:sz="4" w:space="0"/>
              <w:left w:val="nil"/>
              <w:bottom w:val="single" w:color="auto" w:sz="4" w:space="0"/>
              <w:right w:val="single" w:color="auto" w:sz="4" w:space="0"/>
            </w:tcBorders>
            <w:noWrap/>
            <w:vAlign w:val="center"/>
          </w:tcPr>
          <w:p w14:paraId="4EE00456">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1个</w:t>
            </w:r>
          </w:p>
        </w:tc>
        <w:tc>
          <w:tcPr>
            <w:tcW w:w="524" w:type="pct"/>
            <w:tcBorders>
              <w:top w:val="single" w:color="auto" w:sz="4" w:space="0"/>
              <w:left w:val="nil"/>
              <w:bottom w:val="single" w:color="auto" w:sz="4" w:space="0"/>
              <w:right w:val="single" w:color="auto" w:sz="4" w:space="0"/>
            </w:tcBorders>
            <w:noWrap/>
            <w:vAlign w:val="center"/>
          </w:tcPr>
          <w:p w14:paraId="03133595">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2DAF2006">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4B4E68CE">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right w:val="single" w:color="000000" w:sz="4" w:space="0"/>
            </w:tcBorders>
            <w:vAlign w:val="center"/>
          </w:tcPr>
          <w:p w14:paraId="1A177C2F">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1203C64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灭火锹</w:t>
            </w:r>
          </w:p>
        </w:tc>
        <w:tc>
          <w:tcPr>
            <w:tcW w:w="1081" w:type="pct"/>
            <w:tcBorders>
              <w:top w:val="single" w:color="auto" w:sz="4" w:space="0"/>
              <w:left w:val="single" w:color="000000" w:sz="4" w:space="0"/>
              <w:bottom w:val="single" w:color="auto" w:sz="4" w:space="0"/>
              <w:right w:val="single" w:color="auto" w:sz="4" w:space="0"/>
            </w:tcBorders>
            <w:noWrap/>
            <w:vAlign w:val="center"/>
          </w:tcPr>
          <w:p w14:paraId="35DA7C4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single" w:color="auto" w:sz="4" w:space="0"/>
              <w:left w:val="nil"/>
              <w:bottom w:val="single" w:color="auto" w:sz="4" w:space="0"/>
              <w:right w:val="single" w:color="auto" w:sz="4" w:space="0"/>
            </w:tcBorders>
            <w:noWrap/>
            <w:vAlign w:val="center"/>
          </w:tcPr>
          <w:p w14:paraId="19DE1AD1">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single" w:color="auto" w:sz="4" w:space="0"/>
              <w:left w:val="nil"/>
              <w:bottom w:val="single" w:color="auto" w:sz="4" w:space="0"/>
              <w:right w:val="single" w:color="auto" w:sz="4" w:space="0"/>
            </w:tcBorders>
            <w:noWrap/>
            <w:vAlign w:val="center"/>
          </w:tcPr>
          <w:p w14:paraId="78B77CCB">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5把</w:t>
            </w:r>
          </w:p>
        </w:tc>
        <w:tc>
          <w:tcPr>
            <w:tcW w:w="524" w:type="pct"/>
            <w:tcBorders>
              <w:top w:val="single" w:color="auto" w:sz="4" w:space="0"/>
              <w:left w:val="nil"/>
              <w:bottom w:val="single" w:color="auto" w:sz="4" w:space="0"/>
              <w:right w:val="single" w:color="auto" w:sz="4" w:space="0"/>
            </w:tcBorders>
            <w:noWrap/>
            <w:vAlign w:val="center"/>
          </w:tcPr>
          <w:p w14:paraId="323B72C8">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r w14:paraId="46ABBF60">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326C56F4">
            <w:pPr>
              <w:pStyle w:val="46"/>
              <w:widowControl/>
              <w:numPr>
                <w:ilvl w:val="0"/>
                <w:numId w:val="4"/>
              </w:numPr>
              <w:adjustRightInd/>
              <w:snapToGrid/>
              <w:spacing w:line="240" w:lineRule="auto"/>
              <w:ind w:firstLineChars="0"/>
              <w:jc w:val="center"/>
              <w:rPr>
                <w:rFonts w:ascii="Times New Roman" w:hAnsi="Times New Roman" w:eastAsia="宋体" w:cs="宋体"/>
                <w:kern w:val="0"/>
                <w:sz w:val="21"/>
                <w:szCs w:val="21"/>
                <w:highlight w:val="none"/>
                <w14:ligatures w14:val="none"/>
              </w:rPr>
            </w:pPr>
          </w:p>
        </w:tc>
        <w:tc>
          <w:tcPr>
            <w:tcW w:w="757" w:type="pct"/>
            <w:gridSpan w:val="2"/>
            <w:vMerge w:val="continue"/>
            <w:tcBorders>
              <w:left w:val="single" w:color="000000" w:sz="4" w:space="0"/>
              <w:bottom w:val="single" w:color="000000" w:sz="4" w:space="0"/>
              <w:right w:val="single" w:color="000000" w:sz="4" w:space="0"/>
            </w:tcBorders>
            <w:vAlign w:val="center"/>
          </w:tcPr>
          <w:p w14:paraId="0150A124">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0D429508">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装沙桶</w:t>
            </w:r>
          </w:p>
        </w:tc>
        <w:tc>
          <w:tcPr>
            <w:tcW w:w="1081" w:type="pct"/>
            <w:tcBorders>
              <w:top w:val="single" w:color="auto" w:sz="4" w:space="0"/>
              <w:left w:val="single" w:color="000000" w:sz="4" w:space="0"/>
              <w:bottom w:val="single" w:color="auto" w:sz="4" w:space="0"/>
              <w:right w:val="single" w:color="auto" w:sz="4" w:space="0"/>
            </w:tcBorders>
            <w:noWrap/>
            <w:vAlign w:val="center"/>
          </w:tcPr>
          <w:p w14:paraId="4E5C1B2A">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772" w:type="pct"/>
            <w:tcBorders>
              <w:top w:val="single" w:color="auto" w:sz="4" w:space="0"/>
              <w:left w:val="nil"/>
              <w:bottom w:val="single" w:color="auto" w:sz="4" w:space="0"/>
              <w:right w:val="single" w:color="auto" w:sz="4" w:space="0"/>
            </w:tcBorders>
            <w:noWrap/>
            <w:vAlign w:val="center"/>
          </w:tcPr>
          <w:p w14:paraId="3E8AF5A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c>
          <w:tcPr>
            <w:tcW w:w="540" w:type="pct"/>
            <w:tcBorders>
              <w:top w:val="single" w:color="auto" w:sz="4" w:space="0"/>
              <w:left w:val="nil"/>
              <w:bottom w:val="single" w:color="auto" w:sz="4" w:space="0"/>
              <w:right w:val="single" w:color="auto" w:sz="4" w:space="0"/>
            </w:tcBorders>
            <w:noWrap/>
            <w:vAlign w:val="center"/>
          </w:tcPr>
          <w:p w14:paraId="73FE2210">
            <w:pPr>
              <w:widowControl/>
              <w:adjustRightInd/>
              <w:snapToGrid/>
              <w:spacing w:line="240" w:lineRule="auto"/>
              <w:ind w:firstLine="0" w:firstLineChars="0"/>
              <w:jc w:val="center"/>
              <w:rPr>
                <w:rFonts w:hint="eastAsia"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14:ligatures w14:val="none"/>
              </w:rPr>
              <w:t>5个</w:t>
            </w:r>
          </w:p>
        </w:tc>
        <w:tc>
          <w:tcPr>
            <w:tcW w:w="524" w:type="pct"/>
            <w:tcBorders>
              <w:top w:val="single" w:color="auto" w:sz="4" w:space="0"/>
              <w:left w:val="nil"/>
              <w:bottom w:val="single" w:color="auto" w:sz="4" w:space="0"/>
              <w:right w:val="single" w:color="auto" w:sz="4" w:space="0"/>
            </w:tcBorders>
            <w:noWrap/>
            <w:vAlign w:val="center"/>
          </w:tcPr>
          <w:p w14:paraId="776DB453">
            <w:pPr>
              <w:adjustRightInd/>
              <w:snapToGrid/>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Times New Roman"/>
                <w:kern w:val="0"/>
                <w:sz w:val="21"/>
                <w:szCs w:val="21"/>
                <w:highlight w:val="none"/>
                <w14:ligatures w14:val="none"/>
              </w:rPr>
              <w:t>已落实</w:t>
            </w:r>
          </w:p>
        </w:tc>
      </w:tr>
    </w:tbl>
    <w:p w14:paraId="2B34110B">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ascii="Times New Roman" w:hAnsi="Times New Roman" w:eastAsia="宋体"/>
          <w:highlight w:val="none"/>
        </w:rPr>
      </w:pPr>
      <w:r>
        <w:rPr>
          <w:rFonts w:ascii="Times New Roman" w:hAnsi="Times New Roman" w:eastAsia="宋体"/>
          <w:highlight w:val="none"/>
        </w:rPr>
        <w:t>（2）借鉴国内外同类建设项目所采取（用）的安全设施</w:t>
      </w:r>
    </w:p>
    <w:p w14:paraId="077E8CC5">
      <w:pPr>
        <w:ind w:firstLine="560"/>
        <w:rPr>
          <w:rFonts w:ascii="Times New Roman" w:hAnsi="Times New Roman" w:eastAsia="宋体"/>
          <w:highlight w:val="none"/>
        </w:rPr>
      </w:pPr>
      <w:r>
        <w:rPr>
          <w:rFonts w:ascii="Times New Roman" w:hAnsi="Times New Roman" w:eastAsia="宋体"/>
          <w:highlight w:val="none"/>
        </w:rPr>
        <w:t>目前，国内外加油站主要采用的工艺大多为密闭卸油、</w:t>
      </w:r>
      <w:r>
        <w:rPr>
          <w:rFonts w:hint="eastAsia" w:ascii="Times New Roman" w:hAnsi="Times New Roman" w:eastAsia="宋体"/>
          <w:highlight w:val="none"/>
        </w:rPr>
        <w:t>潜油泵</w:t>
      </w:r>
      <w:r>
        <w:rPr>
          <w:rFonts w:ascii="Times New Roman" w:hAnsi="Times New Roman" w:eastAsia="宋体"/>
          <w:highlight w:val="none"/>
        </w:rPr>
        <w:t>式加油工艺、SF型双层埋地储油罐，本项目与同类项目相比，采取的安全设施齐全，较为先进。</w:t>
      </w:r>
    </w:p>
    <w:p w14:paraId="1CEB16C5">
      <w:pPr>
        <w:ind w:firstLine="560"/>
        <w:rPr>
          <w:rFonts w:ascii="Times New Roman" w:hAnsi="Times New Roman" w:eastAsia="宋体"/>
          <w:highlight w:val="none"/>
        </w:rPr>
      </w:pPr>
      <w:r>
        <w:rPr>
          <w:rFonts w:ascii="Times New Roman" w:hAnsi="Times New Roman" w:eastAsia="宋体"/>
          <w:highlight w:val="none"/>
        </w:rPr>
        <w:t>（3）未采取（用）设计的安全设施</w:t>
      </w:r>
    </w:p>
    <w:p w14:paraId="176D860A">
      <w:pPr>
        <w:ind w:firstLine="560"/>
        <w:rPr>
          <w:rFonts w:ascii="Times New Roman" w:hAnsi="Times New Roman" w:eastAsia="宋体"/>
          <w:highlight w:val="none"/>
        </w:rPr>
      </w:pPr>
      <w:r>
        <w:rPr>
          <w:rFonts w:ascii="Times New Roman" w:hAnsi="Times New Roman" w:eastAsia="宋体"/>
          <w:highlight w:val="none"/>
        </w:rPr>
        <w:t>本项目的施工全部采纳了安全设施设计专篇提出的要求，安全设施设置较为完善，安全状态良好，需要检验检测的安全设施经检验检测合格，处于有效期内。</w:t>
      </w:r>
    </w:p>
    <w:p w14:paraId="16E798D1">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6.3.2安全生产管理情况</w:t>
      </w:r>
    </w:p>
    <w:p w14:paraId="4DDE51A2">
      <w:pPr>
        <w:ind w:firstLine="560"/>
        <w:rPr>
          <w:rFonts w:ascii="Times New Roman" w:hAnsi="Times New Roman" w:eastAsia="宋体"/>
          <w:highlight w:val="none"/>
        </w:rPr>
      </w:pPr>
      <w:r>
        <w:rPr>
          <w:rFonts w:ascii="Times New Roman" w:hAnsi="Times New Roman" w:eastAsia="宋体"/>
          <w:highlight w:val="none"/>
        </w:rPr>
        <w:t>（1）安全生产责任制的建立和执行情况</w:t>
      </w:r>
    </w:p>
    <w:p w14:paraId="64EE9E2C">
      <w:pPr>
        <w:ind w:firstLine="560"/>
        <w:rPr>
          <w:rFonts w:ascii="Times New Roman" w:hAnsi="Times New Roman" w:eastAsia="宋体"/>
          <w:highlight w:val="none"/>
        </w:rPr>
      </w:pPr>
      <w:r>
        <w:rPr>
          <w:rFonts w:ascii="Times New Roman" w:hAnsi="Times New Roman" w:eastAsia="宋体"/>
          <w:highlight w:val="none"/>
        </w:rPr>
        <w:t>站内建立了主要负责人、安全管理人员、岗位安全责任制度，并组织相关人员进行学习。通过现场询问相关人员，本项目各岗位人员熟知自己的安全职责。</w:t>
      </w:r>
    </w:p>
    <w:p w14:paraId="3136F486">
      <w:pPr>
        <w:ind w:firstLine="560"/>
        <w:rPr>
          <w:rFonts w:ascii="Times New Roman" w:hAnsi="Times New Roman" w:eastAsia="宋体"/>
          <w:highlight w:val="none"/>
        </w:rPr>
      </w:pPr>
      <w:r>
        <w:rPr>
          <w:rFonts w:ascii="Times New Roman" w:hAnsi="Times New Roman" w:eastAsia="宋体"/>
          <w:highlight w:val="none"/>
        </w:rPr>
        <w:t>（2）安全生产管理制度的制定和执行情况</w:t>
      </w:r>
    </w:p>
    <w:p w14:paraId="244F79CB">
      <w:pPr>
        <w:ind w:firstLine="560"/>
        <w:rPr>
          <w:rFonts w:ascii="Times New Roman" w:hAnsi="Times New Roman" w:eastAsia="宋体"/>
          <w:highlight w:val="none"/>
        </w:rPr>
      </w:pPr>
      <w:r>
        <w:rPr>
          <w:rFonts w:ascii="Times New Roman" w:hAnsi="Times New Roman" w:eastAsia="宋体"/>
          <w:highlight w:val="none"/>
        </w:rPr>
        <w:t>站内针对运营特点并按照国家相应的法律、标准和规范要求，制订了安全生产管理制度，并贯彻执行，使工作人员熟悉掌握各项安全生产管理制度。通过现场询问及调查了解，本项目的人员熟知本单位的各项安全管理制度。</w:t>
      </w:r>
    </w:p>
    <w:p w14:paraId="180034AB">
      <w:pPr>
        <w:ind w:firstLine="560"/>
        <w:rPr>
          <w:rFonts w:ascii="Times New Roman" w:hAnsi="Times New Roman" w:eastAsia="宋体"/>
          <w:highlight w:val="none"/>
        </w:rPr>
      </w:pPr>
      <w:r>
        <w:rPr>
          <w:rFonts w:ascii="Times New Roman" w:hAnsi="Times New Roman" w:eastAsia="宋体"/>
          <w:highlight w:val="none"/>
        </w:rPr>
        <w:t>（3）安全技术规程和作业安全规程的制定和执行情况</w:t>
      </w:r>
    </w:p>
    <w:p w14:paraId="5AF14861">
      <w:pPr>
        <w:ind w:firstLine="560"/>
        <w:rPr>
          <w:rFonts w:ascii="Times New Roman" w:hAnsi="Times New Roman" w:eastAsia="宋体"/>
          <w:highlight w:val="none"/>
        </w:rPr>
      </w:pPr>
      <w:r>
        <w:rPr>
          <w:rFonts w:ascii="Times New Roman" w:hAnsi="Times New Roman" w:eastAsia="宋体"/>
          <w:highlight w:val="none"/>
        </w:rPr>
        <w:t>站内针对危险作业岗位，如加油、卸油和计量作业，制订了安全技术规程，并集中对各岗位人员按照操作规程要求，采用理论培训和模拟操作的形式进行反复培训，通过现场询问及调查了解，岗位人员熟练掌握本岗位操作技能，熟记本岗位生产操作规程和作业规程，能够达到正常生产操作，并熟知异常情况的紧急处理措施，并对储存经营过程中的危险有害因素有深刻的认识，能够掌握本岗位的灭火、自救常识。</w:t>
      </w:r>
    </w:p>
    <w:p w14:paraId="75729D48">
      <w:pPr>
        <w:ind w:firstLine="560"/>
        <w:rPr>
          <w:rFonts w:ascii="Times New Roman" w:hAnsi="Times New Roman" w:eastAsia="宋体"/>
          <w:highlight w:val="none"/>
        </w:rPr>
      </w:pPr>
      <w:r>
        <w:rPr>
          <w:rFonts w:ascii="Times New Roman" w:hAnsi="Times New Roman" w:eastAsia="宋体"/>
          <w:highlight w:val="none"/>
        </w:rPr>
        <w:t>（4）安全生产管理机构的设置和专职安全生产管理人员的配备情况</w:t>
      </w:r>
    </w:p>
    <w:p w14:paraId="4908D083">
      <w:pPr>
        <w:ind w:firstLine="560"/>
        <w:rPr>
          <w:rFonts w:ascii="Times New Roman" w:hAnsi="Times New Roman" w:eastAsia="宋体"/>
          <w:highlight w:val="none"/>
        </w:rPr>
      </w:pPr>
      <w:r>
        <w:rPr>
          <w:rFonts w:ascii="Times New Roman" w:hAnsi="Times New Roman" w:eastAsia="宋体"/>
          <w:highlight w:val="none"/>
        </w:rPr>
        <w:t>站内成立了安全管理领导小组，有专职安全管理人员。</w:t>
      </w:r>
    </w:p>
    <w:p w14:paraId="72340715">
      <w:pPr>
        <w:ind w:firstLine="560"/>
        <w:rPr>
          <w:rFonts w:ascii="Times New Roman" w:hAnsi="Times New Roman" w:eastAsia="宋体"/>
          <w:highlight w:val="none"/>
        </w:rPr>
      </w:pPr>
      <w:r>
        <w:rPr>
          <w:rFonts w:ascii="Times New Roman" w:hAnsi="Times New Roman" w:eastAsia="宋体"/>
          <w:highlight w:val="none"/>
        </w:rPr>
        <w:t>（5）主要负责人和安全管理人员管理能力</w:t>
      </w:r>
    </w:p>
    <w:p w14:paraId="51009422">
      <w:pPr>
        <w:ind w:firstLine="560"/>
        <w:rPr>
          <w:rFonts w:ascii="Times New Roman" w:hAnsi="Times New Roman" w:eastAsia="宋体"/>
          <w:highlight w:val="none"/>
        </w:rPr>
      </w:pPr>
      <w:r>
        <w:rPr>
          <w:rFonts w:ascii="Times New Roman" w:hAnsi="Times New Roman" w:eastAsia="宋体"/>
          <w:highlight w:val="none"/>
        </w:rPr>
        <w:t>站内主要负责人、安全生产管理人员取得了相应的考核合格证（安全生产知识和管理能力），具有一定的管理能力和安全素养。通过现场询问及调查了解，他们熟悉国家相关的法律、法规，具有良好的管理能力和素质，能够保证安全有效运行。</w:t>
      </w:r>
    </w:p>
    <w:p w14:paraId="1E3FBE96">
      <w:pPr>
        <w:ind w:firstLine="560"/>
        <w:rPr>
          <w:rFonts w:ascii="Times New Roman" w:hAnsi="Times New Roman" w:eastAsia="宋体"/>
          <w:highlight w:val="none"/>
        </w:rPr>
      </w:pPr>
      <w:r>
        <w:rPr>
          <w:rFonts w:ascii="Times New Roman" w:hAnsi="Times New Roman" w:eastAsia="宋体"/>
          <w:highlight w:val="none"/>
        </w:rPr>
        <w:t>（6）其他从业人员掌握安全知识、专业技术和应急救援知识的情况</w:t>
      </w:r>
    </w:p>
    <w:p w14:paraId="0E7F38FE">
      <w:pPr>
        <w:ind w:firstLine="560"/>
        <w:rPr>
          <w:rFonts w:ascii="Times New Roman" w:hAnsi="Times New Roman" w:eastAsia="宋体"/>
          <w:highlight w:val="none"/>
        </w:rPr>
      </w:pPr>
      <w:r>
        <w:rPr>
          <w:rFonts w:ascii="Times New Roman" w:hAnsi="Times New Roman" w:eastAsia="宋体"/>
          <w:highlight w:val="none"/>
        </w:rPr>
        <w:t>站内其他从业人员均经安全教育培训，具有本岗位的安全知识、专业技术应急救援知识。经调查了解得知，他们了解国家相关的法律、法规，熟悉本岗位安全经营知识，掌握本岗位的专业技能。并参加加油站组织的安全教育培训，不断加强安全管理及安全经营方面的知识学习。</w:t>
      </w:r>
    </w:p>
    <w:p w14:paraId="41BA1A1A">
      <w:pPr>
        <w:ind w:firstLine="560"/>
        <w:rPr>
          <w:rFonts w:ascii="Times New Roman" w:hAnsi="Times New Roman" w:eastAsia="宋体"/>
          <w:highlight w:val="none"/>
        </w:rPr>
      </w:pPr>
      <w:r>
        <w:rPr>
          <w:rFonts w:ascii="Times New Roman" w:hAnsi="Times New Roman" w:eastAsia="宋体"/>
          <w:highlight w:val="none"/>
        </w:rPr>
        <w:t>（7）安全投入的情况</w:t>
      </w:r>
    </w:p>
    <w:p w14:paraId="1B882945">
      <w:pPr>
        <w:ind w:firstLine="560"/>
        <w:rPr>
          <w:rFonts w:ascii="Times New Roman" w:hAnsi="Times New Roman" w:eastAsia="宋体"/>
          <w:highlight w:val="none"/>
        </w:rPr>
      </w:pPr>
      <w:r>
        <w:rPr>
          <w:rFonts w:ascii="Times New Roman" w:hAnsi="Times New Roman" w:eastAsia="宋体"/>
          <w:highlight w:val="none"/>
        </w:rPr>
        <w:t>本项目安全投入费用为</w:t>
      </w:r>
      <w:r>
        <w:rPr>
          <w:rFonts w:hint="eastAsia" w:ascii="Times New Roman" w:hAnsi="Times New Roman" w:eastAsia="宋体"/>
          <w:highlight w:val="none"/>
          <w:lang w:val="en-US" w:eastAsia="zh-CN"/>
        </w:rPr>
        <w:t>24</w:t>
      </w:r>
      <w:r>
        <w:rPr>
          <w:rFonts w:ascii="Times New Roman" w:hAnsi="Times New Roman" w:eastAsia="宋体"/>
          <w:highlight w:val="none"/>
        </w:rPr>
        <w:t>万元，占比项目投资5%，其中一部分用于人员培训，一部分用于检测检验设施，一部分用于消防器材、避雷、防静电设施、安全报警设备设施的建设，一部分用于劳动防护用品的购买等。</w:t>
      </w:r>
    </w:p>
    <w:p w14:paraId="51A3FD07">
      <w:pPr>
        <w:ind w:firstLine="560"/>
        <w:rPr>
          <w:rFonts w:ascii="Times New Roman" w:hAnsi="Times New Roman" w:eastAsia="宋体"/>
          <w:highlight w:val="none"/>
        </w:rPr>
      </w:pPr>
      <w:r>
        <w:rPr>
          <w:rFonts w:ascii="Times New Roman" w:hAnsi="Times New Roman" w:eastAsia="宋体"/>
          <w:highlight w:val="none"/>
        </w:rPr>
        <w:t>（8）安全生产的检查情况</w:t>
      </w:r>
    </w:p>
    <w:p w14:paraId="1B2EE1E4">
      <w:pPr>
        <w:ind w:firstLine="560"/>
        <w:rPr>
          <w:rFonts w:ascii="Times New Roman" w:hAnsi="Times New Roman" w:eastAsia="宋体"/>
          <w:highlight w:val="none"/>
        </w:rPr>
      </w:pPr>
      <w:r>
        <w:rPr>
          <w:rFonts w:ascii="Times New Roman" w:hAnsi="Times New Roman" w:eastAsia="宋体"/>
          <w:highlight w:val="none"/>
        </w:rPr>
        <w:t>本项目制定了安全风险管理制度，包括：加油站卸油、加油前安全条件检查。根据安全经营检查的规定，如期进行了检查，并形成了安全记录，对在检查中发现的问题提出了整改的意见和要求，及时跟踪整改情况，安全检查能够有效实施，起到了良好的监督和促进的作用。</w:t>
      </w:r>
    </w:p>
    <w:p w14:paraId="709CB454">
      <w:pPr>
        <w:ind w:firstLine="560"/>
        <w:rPr>
          <w:rFonts w:ascii="Times New Roman" w:hAnsi="Times New Roman" w:eastAsia="宋体"/>
          <w:highlight w:val="none"/>
        </w:rPr>
      </w:pPr>
      <w:r>
        <w:rPr>
          <w:rFonts w:ascii="Times New Roman" w:hAnsi="Times New Roman" w:eastAsia="宋体"/>
          <w:highlight w:val="none"/>
        </w:rPr>
        <w:t>（9）重大危险源的辨识和已确定的重大危险源检测、评估和监控情况</w:t>
      </w:r>
    </w:p>
    <w:p w14:paraId="46BEE5D0">
      <w:pPr>
        <w:ind w:firstLine="560"/>
        <w:rPr>
          <w:rFonts w:ascii="Times New Roman" w:hAnsi="Times New Roman" w:eastAsia="宋体"/>
          <w:highlight w:val="none"/>
        </w:rPr>
      </w:pPr>
      <w:r>
        <w:rPr>
          <w:rFonts w:ascii="Times New Roman" w:hAnsi="Times New Roman" w:eastAsia="宋体"/>
          <w:highlight w:val="none"/>
        </w:rPr>
        <w:t>由本报告第三章中重大危险源辨识可知，本项目未构成危险化学品重大危险源，具体辨识过程详见附件F3.4。</w:t>
      </w:r>
    </w:p>
    <w:p w14:paraId="24833A99">
      <w:pPr>
        <w:ind w:firstLine="560"/>
        <w:rPr>
          <w:rFonts w:ascii="Times New Roman" w:hAnsi="Times New Roman" w:eastAsia="宋体"/>
          <w:highlight w:val="none"/>
        </w:rPr>
      </w:pPr>
      <w:r>
        <w:rPr>
          <w:rFonts w:ascii="Times New Roman" w:hAnsi="Times New Roman" w:eastAsia="宋体"/>
          <w:highlight w:val="none"/>
        </w:rPr>
        <w:t>（10）从业人员劳动防护用品的配备及检修、维护和法定检验、检测情况</w:t>
      </w:r>
    </w:p>
    <w:p w14:paraId="596BD7D9">
      <w:pPr>
        <w:ind w:firstLine="560"/>
        <w:rPr>
          <w:rFonts w:ascii="Times New Roman" w:hAnsi="Times New Roman" w:eastAsia="宋体"/>
          <w:highlight w:val="none"/>
        </w:rPr>
      </w:pPr>
      <w:r>
        <w:rPr>
          <w:rFonts w:ascii="Times New Roman" w:hAnsi="Times New Roman" w:eastAsia="宋体"/>
          <w:highlight w:val="none"/>
        </w:rPr>
        <w:t>站内依据国家有关规定及相关岗位要求，为从业人员配备了工作服、手套、工作鞋等劳动保护用品，定期对从业人员的劳动防护用品进行</w:t>
      </w:r>
      <w:r>
        <w:rPr>
          <w:rFonts w:hint="eastAsia" w:ascii="Times New Roman" w:hAnsi="Times New Roman" w:eastAsia="宋体"/>
          <w:highlight w:val="none"/>
        </w:rPr>
        <w:t>更换</w:t>
      </w:r>
      <w:r>
        <w:rPr>
          <w:rFonts w:ascii="Times New Roman" w:hAnsi="Times New Roman" w:eastAsia="宋体"/>
          <w:highlight w:val="none"/>
        </w:rPr>
        <w:t>。并做了定期发放、监督佩戴的规定。对需要检验的劳动防护用品已进行检测。</w:t>
      </w:r>
    </w:p>
    <w:p w14:paraId="194478A0">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6.3.3技术、工艺情况分析</w:t>
      </w:r>
    </w:p>
    <w:p w14:paraId="72D44EF7">
      <w:pPr>
        <w:ind w:firstLine="560"/>
        <w:rPr>
          <w:rFonts w:ascii="Times New Roman" w:hAnsi="Times New Roman" w:eastAsia="宋体"/>
          <w:highlight w:val="none"/>
        </w:rPr>
      </w:pPr>
      <w:r>
        <w:rPr>
          <w:rFonts w:ascii="Times New Roman" w:hAnsi="Times New Roman" w:eastAsia="宋体"/>
          <w:highlight w:val="none"/>
        </w:rPr>
        <w:t>（1）建设项目试运</w:t>
      </w:r>
      <w:r>
        <w:rPr>
          <w:rFonts w:hint="eastAsia" w:ascii="Times New Roman" w:hAnsi="Times New Roman" w:eastAsia="宋体"/>
          <w:highlight w:val="none"/>
        </w:rPr>
        <w:t>行</w:t>
      </w:r>
      <w:r>
        <w:rPr>
          <w:rFonts w:ascii="Times New Roman" w:hAnsi="Times New Roman" w:eastAsia="宋体"/>
          <w:highlight w:val="none"/>
        </w:rPr>
        <w:t>的情况</w:t>
      </w:r>
    </w:p>
    <w:p w14:paraId="55E64673">
      <w:pPr>
        <w:ind w:firstLine="560"/>
        <w:rPr>
          <w:rFonts w:ascii="Times New Roman" w:hAnsi="Times New Roman" w:eastAsia="宋体"/>
          <w:highlight w:val="none"/>
        </w:rPr>
      </w:pPr>
      <w:r>
        <w:rPr>
          <w:rFonts w:ascii="Times New Roman" w:hAnsi="Times New Roman" w:eastAsia="宋体"/>
          <w:highlight w:val="none"/>
        </w:rPr>
        <w:t>站内从人员组织、职工培训、安全管理、经营设备、紧急切断系统</w:t>
      </w:r>
      <w:r>
        <w:rPr>
          <w:rFonts w:hint="eastAsia" w:ascii="Times New Roman" w:hAnsi="Times New Roman" w:eastAsia="宋体"/>
          <w:highlight w:val="none"/>
        </w:rPr>
        <w:t>等</w:t>
      </w:r>
      <w:r>
        <w:rPr>
          <w:rFonts w:ascii="Times New Roman" w:hAnsi="Times New Roman" w:eastAsia="宋体"/>
          <w:highlight w:val="none"/>
        </w:rPr>
        <w:t>调试</w:t>
      </w:r>
      <w:r>
        <w:rPr>
          <w:rFonts w:hint="eastAsia" w:ascii="Times New Roman" w:hAnsi="Times New Roman" w:eastAsia="宋体"/>
          <w:highlight w:val="none"/>
        </w:rPr>
        <w:t>、</w:t>
      </w:r>
      <w:r>
        <w:rPr>
          <w:rFonts w:ascii="Times New Roman" w:hAnsi="Times New Roman" w:eastAsia="宋体"/>
          <w:highlight w:val="none"/>
        </w:rPr>
        <w:t>公用工程和应急预案等方面做了充分的准备，按操作规程进行试操作，对</w:t>
      </w:r>
      <w:r>
        <w:rPr>
          <w:rFonts w:hint="eastAsia" w:ascii="Times New Roman" w:hAnsi="Times New Roman" w:eastAsia="宋体"/>
          <w:highlight w:val="none"/>
        </w:rPr>
        <w:t>加油机、</w:t>
      </w:r>
      <w:r>
        <w:rPr>
          <w:rFonts w:ascii="Times New Roman" w:hAnsi="Times New Roman" w:eastAsia="宋体"/>
          <w:highlight w:val="none"/>
        </w:rPr>
        <w:t>油罐液位监测系统、防渗检测系统及安全设施进行试运行，试</w:t>
      </w:r>
      <w:r>
        <w:rPr>
          <w:rFonts w:hint="eastAsia" w:ascii="Times New Roman" w:hAnsi="Times New Roman" w:eastAsia="宋体"/>
          <w:highlight w:val="none"/>
        </w:rPr>
        <w:t>运行</w:t>
      </w:r>
      <w:r>
        <w:rPr>
          <w:rFonts w:ascii="Times New Roman" w:hAnsi="Times New Roman" w:eastAsia="宋体"/>
          <w:highlight w:val="none"/>
        </w:rPr>
        <w:t>过程持续稳定。</w:t>
      </w:r>
      <w:r>
        <w:rPr>
          <w:rFonts w:hint="eastAsia" w:ascii="Times New Roman" w:hAnsi="Times New Roman" w:eastAsia="宋体"/>
          <w:highlight w:val="none"/>
        </w:rPr>
        <w:t>设备试运行调试记录详见附件。</w:t>
      </w:r>
    </w:p>
    <w:p w14:paraId="7E299931">
      <w:pPr>
        <w:ind w:firstLine="560"/>
        <w:rPr>
          <w:rFonts w:ascii="Times New Roman" w:hAnsi="Times New Roman" w:eastAsia="宋体"/>
          <w:highlight w:val="none"/>
        </w:rPr>
      </w:pPr>
      <w:r>
        <w:rPr>
          <w:rFonts w:ascii="Times New Roman" w:hAnsi="Times New Roman" w:eastAsia="宋体"/>
          <w:highlight w:val="none"/>
        </w:rPr>
        <w:t>（2）经营、储存过程控制系统及安全联锁系统等运行情况</w:t>
      </w:r>
    </w:p>
    <w:p w14:paraId="1CE6F0D4">
      <w:pPr>
        <w:ind w:firstLine="560"/>
        <w:rPr>
          <w:rFonts w:ascii="Times New Roman" w:hAnsi="Times New Roman" w:eastAsia="宋体"/>
          <w:highlight w:val="none"/>
        </w:rPr>
      </w:pPr>
      <w:r>
        <w:rPr>
          <w:rFonts w:ascii="Times New Roman" w:hAnsi="Times New Roman" w:eastAsia="宋体"/>
          <w:highlight w:val="none"/>
        </w:rPr>
        <w:t>站内不构成重大危险源，储存经营的危险化学品为车用乙醇汽油、柴油，采用工艺技术成熟可靠。</w:t>
      </w:r>
    </w:p>
    <w:p w14:paraId="62B1AA96">
      <w:pPr>
        <w:ind w:firstLine="560"/>
        <w:rPr>
          <w:rFonts w:ascii="Times New Roman" w:hAnsi="Times New Roman" w:eastAsia="宋体"/>
          <w:highlight w:val="none"/>
        </w:rPr>
      </w:pPr>
      <w:r>
        <w:rPr>
          <w:rFonts w:ascii="Times New Roman" w:hAnsi="Times New Roman" w:eastAsia="宋体"/>
          <w:highlight w:val="none"/>
        </w:rPr>
        <w:t>站内设置液位仪和液位远传系统的联锁装置，设置防渗漏检测装置，采取防满溢措施，采用磁致伸缩液位计和机械式卸油防溢阀。</w:t>
      </w:r>
    </w:p>
    <w:p w14:paraId="54EA37D3">
      <w:pPr>
        <w:ind w:firstLine="560"/>
        <w:rPr>
          <w:rFonts w:ascii="Times New Roman" w:hAnsi="Times New Roman" w:eastAsia="宋体"/>
          <w:highlight w:val="none"/>
        </w:rPr>
      </w:pPr>
      <w:r>
        <w:rPr>
          <w:rFonts w:ascii="Times New Roman" w:hAnsi="Times New Roman" w:eastAsia="宋体"/>
          <w:highlight w:val="none"/>
        </w:rPr>
        <w:t>站内设置紧急切断系统，该系统能在事故状态下迅速切断加油泵电源，具有失效保护功能。</w:t>
      </w:r>
    </w:p>
    <w:p w14:paraId="386C72BE">
      <w:pPr>
        <w:keepNext/>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6.3.4装置、设备、设施的施工、检验、检测情况</w:t>
      </w:r>
    </w:p>
    <w:p w14:paraId="337ABBBD">
      <w:pPr>
        <w:ind w:firstLine="560"/>
        <w:rPr>
          <w:rFonts w:ascii="Times New Roman" w:hAnsi="Times New Roman" w:eastAsia="宋体"/>
          <w:highlight w:val="none"/>
        </w:rPr>
      </w:pPr>
      <w:r>
        <w:rPr>
          <w:rFonts w:ascii="Times New Roman" w:hAnsi="Times New Roman" w:eastAsia="宋体"/>
          <w:highlight w:val="none"/>
        </w:rPr>
        <w:t>（1）安全设施的施工质量情况</w:t>
      </w:r>
    </w:p>
    <w:p w14:paraId="06811DE7">
      <w:pPr>
        <w:ind w:firstLine="560"/>
        <w:rPr>
          <w:rFonts w:ascii="Times New Roman" w:hAnsi="Times New Roman" w:eastAsia="宋体"/>
          <w:highlight w:val="none"/>
        </w:rPr>
      </w:pPr>
      <w:r>
        <w:rPr>
          <w:rFonts w:ascii="Times New Roman" w:hAnsi="Times New Roman" w:eastAsia="宋体"/>
          <w:highlight w:val="none"/>
        </w:rPr>
        <w:t>站内的设计单位、施工单位均为有资质的单位承担，安全设施的施工质量可以保证。项目所涉及的检测仪表、报警器、消防设施等预防、控制、减少与消除事故影安全设施均采用正规生产厂家的产品。</w:t>
      </w:r>
    </w:p>
    <w:p w14:paraId="2264CB09">
      <w:pPr>
        <w:ind w:firstLine="560"/>
        <w:rPr>
          <w:rFonts w:ascii="Times New Roman" w:hAnsi="Times New Roman" w:eastAsia="宋体"/>
          <w:highlight w:val="none"/>
        </w:rPr>
      </w:pPr>
      <w:r>
        <w:rPr>
          <w:rFonts w:ascii="Times New Roman" w:hAnsi="Times New Roman" w:eastAsia="宋体"/>
          <w:highlight w:val="none"/>
        </w:rPr>
        <w:t>（2）安全设施在施工前后的检验、检测及有效性情况</w:t>
      </w:r>
    </w:p>
    <w:p w14:paraId="0FCDE0E1">
      <w:pPr>
        <w:ind w:firstLine="560"/>
        <w:rPr>
          <w:rFonts w:ascii="Times New Roman" w:hAnsi="Times New Roman" w:eastAsia="宋体"/>
          <w:highlight w:val="none"/>
        </w:rPr>
      </w:pPr>
      <w:r>
        <w:rPr>
          <w:rFonts w:ascii="Times New Roman" w:hAnsi="Times New Roman" w:eastAsia="宋体"/>
          <w:highlight w:val="none"/>
        </w:rPr>
        <w:t>站内防雷装置由辽宁雷电防护工程有限责任公司进行了检测，检验日期为20</w:t>
      </w:r>
      <w:r>
        <w:rPr>
          <w:rFonts w:hint="eastAsia" w:ascii="Times New Roman" w:hAnsi="Times New Roman" w:eastAsia="宋体"/>
          <w:highlight w:val="none"/>
          <w:lang w:val="en-US" w:eastAsia="zh-CN"/>
        </w:rPr>
        <w:t>25</w:t>
      </w:r>
      <w:r>
        <w:rPr>
          <w:rFonts w:ascii="Times New Roman" w:hAnsi="Times New Roman" w:eastAsia="宋体"/>
          <w:highlight w:val="none"/>
        </w:rPr>
        <w:t>年</w:t>
      </w:r>
      <w:r>
        <w:rPr>
          <w:rFonts w:hint="eastAsia" w:ascii="Times New Roman" w:hAnsi="Times New Roman" w:eastAsia="宋体"/>
          <w:highlight w:val="none"/>
          <w:lang w:val="en-US" w:eastAsia="zh-CN"/>
        </w:rPr>
        <w:t>09</w:t>
      </w:r>
      <w:r>
        <w:rPr>
          <w:rFonts w:ascii="Times New Roman" w:hAnsi="Times New Roman" w:eastAsia="宋体"/>
          <w:highlight w:val="none"/>
        </w:rPr>
        <w:t>月</w:t>
      </w:r>
      <w:r>
        <w:rPr>
          <w:rFonts w:hint="eastAsia" w:ascii="Times New Roman" w:hAnsi="Times New Roman" w:eastAsia="宋体"/>
          <w:highlight w:val="none"/>
        </w:rPr>
        <w:t>0</w:t>
      </w:r>
      <w:r>
        <w:rPr>
          <w:rFonts w:hint="eastAsia" w:ascii="Times New Roman" w:hAnsi="Times New Roman" w:eastAsia="宋体"/>
          <w:highlight w:val="none"/>
          <w:lang w:val="en-US" w:eastAsia="zh-CN"/>
        </w:rPr>
        <w:t>3</w:t>
      </w:r>
      <w:r>
        <w:rPr>
          <w:rFonts w:ascii="Times New Roman" w:hAnsi="Times New Roman" w:eastAsia="宋体"/>
          <w:highlight w:val="none"/>
        </w:rPr>
        <w:t>日。</w:t>
      </w:r>
    </w:p>
    <w:p w14:paraId="6838CB96">
      <w:pPr>
        <w:ind w:firstLine="560"/>
        <w:rPr>
          <w:rFonts w:ascii="Times New Roman" w:hAnsi="Times New Roman" w:eastAsia="宋体"/>
          <w:highlight w:val="none"/>
        </w:rPr>
      </w:pPr>
      <w:r>
        <w:rPr>
          <w:rFonts w:ascii="Times New Roman" w:hAnsi="Times New Roman" w:eastAsia="宋体"/>
          <w:highlight w:val="none"/>
        </w:rPr>
        <w:t>站内的设备、设施施工单位具有相关设计、制造、安装资质，检测、检验单位的检测、检验结果也具有法律效力。</w:t>
      </w:r>
    </w:p>
    <w:p w14:paraId="65E72E01">
      <w:pPr>
        <w:ind w:firstLine="560"/>
        <w:rPr>
          <w:rFonts w:ascii="Times New Roman" w:hAnsi="Times New Roman" w:eastAsia="宋体"/>
          <w:highlight w:val="none"/>
        </w:rPr>
      </w:pPr>
      <w:r>
        <w:rPr>
          <w:rFonts w:ascii="Times New Roman" w:hAnsi="Times New Roman" w:eastAsia="宋体"/>
          <w:highlight w:val="none"/>
        </w:rPr>
        <w:t>（3）装置、设备和设施的检修、维护情况</w:t>
      </w:r>
    </w:p>
    <w:p w14:paraId="70DCC782">
      <w:pPr>
        <w:ind w:firstLine="560"/>
        <w:rPr>
          <w:rFonts w:ascii="Times New Roman" w:hAnsi="Times New Roman" w:eastAsia="宋体"/>
          <w:highlight w:val="none"/>
        </w:rPr>
      </w:pPr>
      <w:r>
        <w:rPr>
          <w:rFonts w:ascii="Times New Roman" w:hAnsi="Times New Roman" w:eastAsia="宋体"/>
          <w:highlight w:val="none"/>
        </w:rPr>
        <w:t>站内专职安全管理人员每天均对装置、设备及设施进行巡检并定期维护，在巡检过程中一旦发现问题，立即对相关装置、设备或设施进行检修，以保证工艺装置的正常运行，且建立了加油站设备管理制度和加油站设备检维修作业安全管理制度。</w:t>
      </w:r>
    </w:p>
    <w:p w14:paraId="60DEBCB0">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6.3.5原料、辅助材料和产品情况分析</w:t>
      </w:r>
    </w:p>
    <w:p w14:paraId="5BF98C85">
      <w:pPr>
        <w:ind w:firstLine="560"/>
        <w:rPr>
          <w:rFonts w:ascii="Times New Roman" w:hAnsi="Times New Roman" w:eastAsia="宋体"/>
          <w:highlight w:val="none"/>
        </w:rPr>
      </w:pPr>
      <w:r>
        <w:rPr>
          <w:rFonts w:ascii="Times New Roman" w:hAnsi="Times New Roman" w:eastAsia="宋体"/>
          <w:highlight w:val="none"/>
        </w:rPr>
        <w:t>站内涉及的主要为危险化学品车用乙醇汽油和柴油，其中车用乙醇汽油是重点监管危险化学品。站内设有</w:t>
      </w:r>
      <w:r>
        <w:rPr>
          <w:rFonts w:hint="eastAsia" w:ascii="Times New Roman" w:hAnsi="Times New Roman" w:eastAsia="宋体"/>
          <w:highlight w:val="none"/>
          <w:lang w:val="en-US" w:eastAsia="zh-CN"/>
        </w:rPr>
        <w:t>4</w:t>
      </w:r>
      <w:r>
        <w:rPr>
          <w:rFonts w:ascii="Times New Roman" w:hAnsi="Times New Roman" w:eastAsia="宋体"/>
          <w:highlight w:val="none"/>
        </w:rPr>
        <w:t>座</w:t>
      </w:r>
      <w:r>
        <w:rPr>
          <w:rFonts w:hint="eastAsia" w:ascii="Times New Roman" w:hAnsi="Times New Roman" w:eastAsia="宋体"/>
          <w:highlight w:val="none"/>
          <w:lang w:val="en-US" w:eastAsia="zh-CN"/>
        </w:rPr>
        <w:t>3</w:t>
      </w:r>
      <w:r>
        <w:rPr>
          <w:rFonts w:ascii="Times New Roman" w:hAnsi="Times New Roman" w:eastAsia="宋体"/>
          <w:highlight w:val="none"/>
        </w:rPr>
        <w:t>0m</w:t>
      </w:r>
      <w:r>
        <w:rPr>
          <w:rFonts w:hint="eastAsia" w:ascii="Times New Roman" w:hAnsi="Times New Roman" w:eastAsia="宋体"/>
          <w:highlight w:val="none"/>
          <w:vertAlign w:val="superscript"/>
        </w:rPr>
        <w:t>3</w:t>
      </w:r>
      <w:r>
        <w:rPr>
          <w:rFonts w:ascii="Times New Roman" w:hAnsi="Times New Roman" w:eastAsia="宋体"/>
          <w:highlight w:val="none"/>
        </w:rPr>
        <w:t>柴油SF双层储罐，</w:t>
      </w:r>
      <w:r>
        <w:rPr>
          <w:rFonts w:hint="eastAsia" w:ascii="Times New Roman" w:hAnsi="Times New Roman" w:eastAsia="宋体"/>
          <w:highlight w:val="none"/>
          <w:lang w:val="en-US" w:eastAsia="zh-CN"/>
        </w:rPr>
        <w:t>2</w:t>
      </w:r>
      <w:r>
        <w:rPr>
          <w:rFonts w:ascii="Times New Roman" w:hAnsi="Times New Roman" w:eastAsia="宋体"/>
          <w:highlight w:val="none"/>
        </w:rPr>
        <w:t>座</w:t>
      </w:r>
      <w:r>
        <w:rPr>
          <w:rFonts w:hint="eastAsia" w:ascii="Times New Roman" w:hAnsi="Times New Roman" w:eastAsia="宋体"/>
          <w:highlight w:val="none"/>
          <w:lang w:val="en-US" w:eastAsia="zh-CN"/>
        </w:rPr>
        <w:t>3</w:t>
      </w:r>
      <w:r>
        <w:rPr>
          <w:rFonts w:ascii="Times New Roman" w:hAnsi="Times New Roman" w:eastAsia="宋体"/>
          <w:highlight w:val="none"/>
        </w:rPr>
        <w:t>0m</w:t>
      </w:r>
      <w:r>
        <w:rPr>
          <w:rFonts w:hint="eastAsia" w:ascii="Times New Roman" w:hAnsi="Times New Roman" w:eastAsia="宋体"/>
          <w:highlight w:val="none"/>
          <w:vertAlign w:val="superscript"/>
        </w:rPr>
        <w:t>3</w:t>
      </w:r>
      <w:r>
        <w:rPr>
          <w:rFonts w:hint="eastAsia" w:ascii="Times New Roman" w:hAnsi="Times New Roman" w:eastAsia="宋体"/>
          <w:highlight w:val="none"/>
          <w:vertAlign w:val="baseline"/>
          <w:lang w:val="en-US" w:eastAsia="zh-CN"/>
        </w:rPr>
        <w:t>车用乙醇</w:t>
      </w:r>
      <w:r>
        <w:rPr>
          <w:rFonts w:ascii="Times New Roman" w:hAnsi="Times New Roman" w:eastAsia="宋体"/>
          <w:highlight w:val="none"/>
          <w:vertAlign w:val="baseline"/>
        </w:rPr>
        <w:t>汽油S</w:t>
      </w:r>
      <w:r>
        <w:rPr>
          <w:rFonts w:ascii="Times New Roman" w:hAnsi="Times New Roman" w:eastAsia="宋体"/>
          <w:highlight w:val="none"/>
        </w:rPr>
        <w:t>F双层储罐</w:t>
      </w:r>
      <w:r>
        <w:rPr>
          <w:rFonts w:hint="eastAsia" w:ascii="Times New Roman" w:hAnsi="Times New Roman" w:eastAsia="宋体"/>
          <w:highlight w:val="none"/>
        </w:rPr>
        <w:t>，</w:t>
      </w:r>
      <w:r>
        <w:rPr>
          <w:rFonts w:ascii="Times New Roman" w:hAnsi="Times New Roman" w:eastAsia="宋体"/>
          <w:highlight w:val="none"/>
        </w:rPr>
        <w:t>柴油罐容积折半后，油罐总容积</w:t>
      </w:r>
      <w:r>
        <w:rPr>
          <w:rFonts w:hint="eastAsia" w:ascii="Times New Roman" w:hAnsi="Times New Roman" w:eastAsia="宋体"/>
          <w:highlight w:val="none"/>
        </w:rPr>
        <w:t>1</w:t>
      </w:r>
      <w:r>
        <w:rPr>
          <w:rFonts w:hint="eastAsia" w:ascii="Times New Roman" w:hAnsi="Times New Roman" w:eastAsia="宋体"/>
          <w:highlight w:val="none"/>
          <w:lang w:val="en-US" w:eastAsia="zh-CN"/>
        </w:rPr>
        <w:t>2</w:t>
      </w:r>
      <w:r>
        <w:rPr>
          <w:rFonts w:hint="eastAsia" w:ascii="Times New Roman" w:hAnsi="Times New Roman" w:eastAsia="宋体"/>
          <w:highlight w:val="none"/>
        </w:rPr>
        <w:t>0</w:t>
      </w:r>
      <w:r>
        <w:rPr>
          <w:rFonts w:ascii="Times New Roman" w:hAnsi="Times New Roman" w:eastAsia="宋体"/>
          <w:highlight w:val="none"/>
        </w:rPr>
        <w:t>m</w:t>
      </w:r>
      <w:r>
        <w:rPr>
          <w:rFonts w:ascii="Times New Roman" w:hAnsi="Times New Roman" w:eastAsia="宋体"/>
          <w:highlight w:val="none"/>
          <w:vertAlign w:val="superscript"/>
        </w:rPr>
        <w:t>3</w:t>
      </w:r>
      <w:r>
        <w:rPr>
          <w:rFonts w:ascii="Times New Roman" w:hAnsi="Times New Roman" w:eastAsia="宋体"/>
          <w:highlight w:val="none"/>
        </w:rPr>
        <w:t>。能够满足运营需要。</w:t>
      </w:r>
    </w:p>
    <w:p w14:paraId="0F90A954">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6.3.6作业场所职业危害分析</w:t>
      </w:r>
    </w:p>
    <w:p w14:paraId="3BBCBB48">
      <w:pPr>
        <w:ind w:firstLine="560"/>
        <w:rPr>
          <w:rFonts w:ascii="Times New Roman" w:hAnsi="Times New Roman" w:eastAsia="宋体"/>
          <w:highlight w:val="none"/>
        </w:rPr>
      </w:pPr>
      <w:r>
        <w:rPr>
          <w:rFonts w:ascii="Times New Roman" w:hAnsi="Times New Roman" w:eastAsia="宋体"/>
          <w:highlight w:val="none"/>
        </w:rPr>
        <w:t>（1）职业危害防护设施的设置情况</w:t>
      </w:r>
    </w:p>
    <w:p w14:paraId="526982BC">
      <w:pPr>
        <w:ind w:firstLine="560"/>
        <w:rPr>
          <w:rFonts w:ascii="Times New Roman" w:hAnsi="Times New Roman" w:eastAsia="宋体"/>
          <w:highlight w:val="none"/>
        </w:rPr>
      </w:pPr>
      <w:r>
        <w:rPr>
          <w:rFonts w:ascii="Times New Roman" w:hAnsi="Times New Roman" w:eastAsia="宋体"/>
          <w:highlight w:val="none"/>
        </w:rPr>
        <w:t>站内已按《个体防护装备配备规范 第2部分 石油、化工、天然气》（GB39800.2-2020）的相关要求，根据各操作岗位的特点配置必需的防护用具和用品，并定期进行检修，对不合格用品及时进行更换。</w:t>
      </w:r>
    </w:p>
    <w:p w14:paraId="34C94E60">
      <w:pPr>
        <w:ind w:firstLine="560"/>
        <w:rPr>
          <w:rFonts w:ascii="Times New Roman" w:hAnsi="Times New Roman" w:eastAsia="宋体"/>
          <w:highlight w:val="none"/>
        </w:rPr>
      </w:pPr>
      <w:r>
        <w:rPr>
          <w:rFonts w:ascii="Times New Roman" w:hAnsi="Times New Roman" w:eastAsia="宋体"/>
          <w:highlight w:val="none"/>
        </w:rPr>
        <w:t>（2）职业危害防护设施的检修和维护情况</w:t>
      </w:r>
    </w:p>
    <w:p w14:paraId="29D077D1">
      <w:pPr>
        <w:ind w:firstLine="560"/>
        <w:rPr>
          <w:rFonts w:ascii="Times New Roman" w:hAnsi="Times New Roman" w:eastAsia="宋体"/>
          <w:highlight w:val="none"/>
        </w:rPr>
      </w:pPr>
      <w:r>
        <w:rPr>
          <w:rFonts w:ascii="Times New Roman" w:hAnsi="Times New Roman" w:eastAsia="宋体"/>
          <w:highlight w:val="none"/>
        </w:rPr>
        <w:t>个体防护装备由专人发放，定期进行检测、检验、淘汰、更新所使用的职业危害防护用品，保证其适用性、安全性、有效性。</w:t>
      </w:r>
    </w:p>
    <w:p w14:paraId="3D915695">
      <w:pPr>
        <w:ind w:firstLine="560"/>
        <w:rPr>
          <w:rFonts w:ascii="Times New Roman" w:hAnsi="Times New Roman" w:eastAsia="宋体"/>
          <w:highlight w:val="none"/>
        </w:rPr>
      </w:pPr>
      <w:r>
        <w:rPr>
          <w:rFonts w:ascii="Times New Roman" w:hAnsi="Times New Roman" w:eastAsia="宋体"/>
          <w:highlight w:val="none"/>
        </w:rPr>
        <w:t>（3）作业场所的法定职业危害监测、监控情况</w:t>
      </w:r>
    </w:p>
    <w:p w14:paraId="0BB35AD0">
      <w:pPr>
        <w:ind w:firstLine="560"/>
        <w:rPr>
          <w:rFonts w:ascii="Times New Roman" w:hAnsi="Times New Roman" w:eastAsia="宋体"/>
          <w:highlight w:val="none"/>
        </w:rPr>
      </w:pPr>
      <w:r>
        <w:rPr>
          <w:rFonts w:ascii="Times New Roman" w:hAnsi="Times New Roman" w:eastAsia="宋体"/>
          <w:highlight w:val="none"/>
        </w:rPr>
        <w:t>站内已进行法定职业危害监测、监控，符合要求。</w:t>
      </w:r>
    </w:p>
    <w:p w14:paraId="7AAF9861">
      <w:pPr>
        <w:ind w:firstLine="560"/>
        <w:rPr>
          <w:rFonts w:ascii="Times New Roman" w:hAnsi="Times New Roman" w:eastAsia="宋体"/>
          <w:highlight w:val="none"/>
        </w:rPr>
      </w:pPr>
      <w:r>
        <w:rPr>
          <w:rFonts w:ascii="Times New Roman" w:hAnsi="Times New Roman" w:eastAsia="宋体"/>
          <w:highlight w:val="none"/>
        </w:rPr>
        <w:t>（4）建（构）筑物的建设情况</w:t>
      </w:r>
    </w:p>
    <w:p w14:paraId="3D75B1A2">
      <w:pPr>
        <w:ind w:firstLine="560"/>
        <w:rPr>
          <w:rFonts w:ascii="Times New Roman" w:hAnsi="Times New Roman" w:eastAsia="宋体"/>
          <w:highlight w:val="none"/>
        </w:rPr>
      </w:pPr>
      <w:r>
        <w:rPr>
          <w:rFonts w:ascii="Times New Roman" w:hAnsi="Times New Roman" w:eastAsia="宋体"/>
          <w:highlight w:val="none"/>
        </w:rPr>
        <w:t>站内建（构）筑物为有相关资质单位进行设计、施工，建设情况符合要求。</w:t>
      </w:r>
    </w:p>
    <w:p w14:paraId="672C5902">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6.3.7事故及应急管理</w:t>
      </w:r>
    </w:p>
    <w:p w14:paraId="26826D35">
      <w:pPr>
        <w:ind w:firstLine="560"/>
        <w:rPr>
          <w:rFonts w:ascii="Times New Roman" w:hAnsi="Times New Roman" w:eastAsia="宋体"/>
          <w:highlight w:val="none"/>
        </w:rPr>
      </w:pPr>
      <w:r>
        <w:rPr>
          <w:rFonts w:ascii="Times New Roman" w:hAnsi="Times New Roman" w:eastAsia="宋体"/>
          <w:highlight w:val="none"/>
        </w:rPr>
        <w:t>（1）可能发生的事故应急救援预案的编制情况</w:t>
      </w:r>
    </w:p>
    <w:p w14:paraId="4312A8C7">
      <w:pPr>
        <w:ind w:firstLine="560"/>
        <w:rPr>
          <w:rFonts w:ascii="Times New Roman" w:hAnsi="Times New Roman" w:eastAsia="宋体"/>
          <w:highlight w:val="none"/>
        </w:rPr>
      </w:pPr>
      <w:r>
        <w:rPr>
          <w:rFonts w:ascii="Times New Roman" w:hAnsi="Times New Roman" w:eastAsia="宋体"/>
          <w:highlight w:val="none"/>
        </w:rPr>
        <w:t>站内建立了应急预案体系，</w:t>
      </w:r>
      <w:r>
        <w:rPr>
          <w:rFonts w:hint="eastAsia" w:ascii="Times New Roman" w:hAnsi="Times New Roman" w:eastAsia="宋体"/>
          <w:highlight w:val="none"/>
        </w:rPr>
        <w:t>涵盖</w:t>
      </w:r>
      <w:r>
        <w:rPr>
          <w:rFonts w:ascii="Times New Roman" w:hAnsi="Times New Roman" w:eastAsia="宋体"/>
          <w:highlight w:val="none"/>
        </w:rPr>
        <w:t>加油站基本情况、危险目标及危险特性和对周围的影响、危险目标周围可利用的安全、消防、个体防护的设备、器材及分布、应急救援组织、组成人员和职责分工、通讯联络、事故发生后的处理措施、人员救护、应急培训、演练计划等内容。</w:t>
      </w:r>
    </w:p>
    <w:p w14:paraId="6F00739D">
      <w:pPr>
        <w:ind w:firstLine="560"/>
        <w:rPr>
          <w:rFonts w:ascii="Times New Roman" w:hAnsi="Times New Roman" w:eastAsia="宋体"/>
          <w:highlight w:val="none"/>
        </w:rPr>
      </w:pPr>
      <w:r>
        <w:rPr>
          <w:rFonts w:ascii="Times New Roman" w:hAnsi="Times New Roman" w:eastAsia="宋体"/>
          <w:highlight w:val="none"/>
        </w:rPr>
        <w:t>（2）事故应急救援组织的建立和人员的配备情况</w:t>
      </w:r>
    </w:p>
    <w:p w14:paraId="54185EF1">
      <w:pPr>
        <w:ind w:firstLine="560"/>
        <w:rPr>
          <w:rFonts w:ascii="Times New Roman" w:hAnsi="Times New Roman" w:eastAsia="宋体"/>
          <w:highlight w:val="none"/>
        </w:rPr>
      </w:pPr>
      <w:r>
        <w:rPr>
          <w:rFonts w:ascii="Times New Roman" w:hAnsi="Times New Roman" w:eastAsia="宋体"/>
          <w:highlight w:val="none"/>
        </w:rPr>
        <w:t>站内建立了生产安全事故应急组织机构，由安全管理机构构成，各级人员有明确的职责，站内设置的应急救援组织和人员能够满足应急救援要求。</w:t>
      </w:r>
    </w:p>
    <w:p w14:paraId="775CD01E">
      <w:pPr>
        <w:ind w:firstLine="560"/>
        <w:rPr>
          <w:rFonts w:ascii="Times New Roman" w:hAnsi="Times New Roman" w:eastAsia="宋体"/>
          <w:highlight w:val="none"/>
        </w:rPr>
      </w:pPr>
      <w:r>
        <w:rPr>
          <w:rFonts w:ascii="Times New Roman" w:hAnsi="Times New Roman" w:eastAsia="宋体"/>
          <w:highlight w:val="none"/>
        </w:rPr>
        <w:t>（3）事故应急救援预案的演练情况</w:t>
      </w:r>
    </w:p>
    <w:p w14:paraId="5D698225">
      <w:pPr>
        <w:ind w:firstLine="560"/>
        <w:rPr>
          <w:rFonts w:ascii="Times New Roman" w:hAnsi="Times New Roman" w:eastAsia="宋体"/>
          <w:highlight w:val="none"/>
        </w:rPr>
      </w:pPr>
      <w:r>
        <w:rPr>
          <w:rFonts w:ascii="Times New Roman" w:hAnsi="Times New Roman" w:eastAsia="宋体"/>
          <w:highlight w:val="none"/>
        </w:rPr>
        <w:t>站内组织了预案演练，包括桌面演练和实际演练，在演练前对有关人员进行培训，演练结束后对应急预案演练情况进行总结和评估，撰写评估报告，分析存在的问题，提出应急预案修订意见及下一步工作计划。站内综合预案中的演练要求，符合《生产安全事故应急预案管理办法》的相关要求。</w:t>
      </w:r>
    </w:p>
    <w:p w14:paraId="4B085D39">
      <w:pPr>
        <w:ind w:firstLine="560"/>
        <w:rPr>
          <w:rFonts w:ascii="Times New Roman" w:hAnsi="Times New Roman" w:eastAsia="宋体"/>
          <w:highlight w:val="none"/>
        </w:rPr>
      </w:pPr>
      <w:r>
        <w:rPr>
          <w:rFonts w:ascii="Times New Roman" w:hAnsi="Times New Roman" w:eastAsia="宋体"/>
          <w:highlight w:val="none"/>
        </w:rPr>
        <w:t>（4）事故应急救援器材、设备的配备情况</w:t>
      </w:r>
    </w:p>
    <w:p w14:paraId="1AED386A">
      <w:pPr>
        <w:ind w:firstLine="560"/>
        <w:rPr>
          <w:rFonts w:ascii="Times New Roman" w:hAnsi="Times New Roman" w:eastAsia="宋体"/>
          <w:highlight w:val="none"/>
        </w:rPr>
      </w:pPr>
      <w:r>
        <w:rPr>
          <w:rFonts w:ascii="Times New Roman" w:hAnsi="Times New Roman" w:eastAsia="宋体"/>
          <w:highlight w:val="none"/>
        </w:rPr>
        <w:t>站内应急救援物资配备情况，见表2.7-1。</w:t>
      </w:r>
    </w:p>
    <w:p w14:paraId="1999F2C8">
      <w:pPr>
        <w:keepNext/>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6.3.8</w:t>
      </w:r>
      <w:r>
        <w:rPr>
          <w:rFonts w:hint="eastAsia" w:ascii="Times New Roman" w:hAnsi="Times New Roman" w:eastAsia="黑体" w:cs="Times New Roman"/>
          <w:b/>
          <w:bCs/>
          <w:highlight w:val="none"/>
        </w:rPr>
        <w:t>《安全设施设计专篇》中提出的安全对策与建议的落实情况</w:t>
      </w:r>
    </w:p>
    <w:p w14:paraId="253A0F8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outlineLvl w:val="9"/>
        <w:rPr>
          <w:rFonts w:hint="eastAsia" w:ascii="宋体" w:hAnsi="宋体" w:eastAsia="宋体" w:cs="宋体"/>
          <w:color w:val="auto"/>
          <w:kern w:val="0"/>
          <w:sz w:val="28"/>
          <w:szCs w:val="24"/>
          <w:highlight w:val="none"/>
          <w:lang w:val="en-US" w:eastAsia="zh-CN" w:bidi="ar-SA"/>
          <w14:ligatures w14:val="none"/>
        </w:rPr>
      </w:pPr>
      <w:r>
        <w:rPr>
          <w:rFonts w:hint="eastAsia" w:ascii="宋体" w:hAnsi="宋体" w:eastAsia="宋体" w:cs="宋体"/>
          <w:color w:val="auto"/>
          <w:kern w:val="0"/>
          <w:sz w:val="28"/>
          <w:szCs w:val="24"/>
          <w:highlight w:val="none"/>
          <w:lang w:val="en-US" w:eastAsia="zh-CN" w:bidi="ar-SA"/>
          <w14:ligatures w14:val="none"/>
        </w:rPr>
        <w:t>《中铁（辽宁）本桓高速公路有限公司八里甸子服务区北侧加油站新建项目安全设施设计专篇》是中交城市能源研究设计院有限公司编制的。本检查表针对《安全设施设计专篇》中提出的安全对策与建议的落实情况检验见下表。</w:t>
      </w:r>
    </w:p>
    <w:p w14:paraId="23E23AA5">
      <w:pPr>
        <w:keepNext/>
        <w:keepLines w:val="0"/>
        <w:pageBreakBefore w:val="0"/>
        <w:widowControl w:val="0"/>
        <w:kinsoku/>
        <w:wordWrap/>
        <w:overflowPunct/>
        <w:topLinePunct w:val="0"/>
        <w:autoSpaceDE/>
        <w:autoSpaceDN/>
        <w:bidi w:val="0"/>
        <w:adjustRightInd w:val="0"/>
        <w:snapToGrid w:val="0"/>
        <w:spacing w:before="192" w:beforeLines="50" w:after="192" w:afterLines="50" w:line="240" w:lineRule="auto"/>
        <w:ind w:firstLine="0" w:firstLineChars="0"/>
        <w:jc w:val="center"/>
        <w:textAlignment w:val="auto"/>
        <w:rPr>
          <w:rFonts w:hint="eastAsia" w:ascii="Times New Roman" w:hAnsi="Times New Roman" w:eastAsia="黑体" w:cs="Times New Roman"/>
          <w:color w:val="auto"/>
          <w:sz w:val="24"/>
          <w:highlight w:val="none"/>
          <w14:ligatures w14:val="none"/>
        </w:rPr>
      </w:pPr>
      <w:r>
        <w:rPr>
          <w:rFonts w:hint="eastAsia" w:ascii="Times New Roman" w:hAnsi="Times New Roman" w:eastAsia="黑体" w:cs="Times New Roman"/>
          <w:color w:val="auto"/>
          <w:sz w:val="24"/>
          <w:highlight w:val="none"/>
          <w14:ligatures w14:val="none"/>
        </w:rPr>
        <w:t>表</w:t>
      </w:r>
      <w:r>
        <w:rPr>
          <w:rFonts w:hint="eastAsia" w:ascii="Times New Roman" w:hAnsi="Times New Roman" w:eastAsia="黑体" w:cs="Times New Roman"/>
          <w:color w:val="auto"/>
          <w:sz w:val="24"/>
          <w:highlight w:val="none"/>
          <w:lang w:val="en-US" w:eastAsia="zh-CN"/>
          <w14:ligatures w14:val="none"/>
        </w:rPr>
        <w:t>6.3</w:t>
      </w:r>
      <w:r>
        <w:rPr>
          <w:rFonts w:hint="eastAsia" w:ascii="Times New Roman" w:hAnsi="Times New Roman" w:eastAsia="黑体" w:cs="Times New Roman"/>
          <w:color w:val="auto"/>
          <w:sz w:val="24"/>
          <w:highlight w:val="none"/>
          <w14:ligatures w14:val="none"/>
        </w:rPr>
        <w:t>-1</w:t>
      </w:r>
      <w:r>
        <w:rPr>
          <w:rFonts w:hint="eastAsia" w:ascii="Times New Roman" w:hAnsi="Times New Roman" w:eastAsia="黑体" w:cs="Times New Roman"/>
          <w:color w:val="auto"/>
          <w:sz w:val="24"/>
          <w:highlight w:val="none"/>
          <w:lang w:val="en-US" w:eastAsia="zh-CN"/>
          <w14:ligatures w14:val="none"/>
        </w:rPr>
        <w:t xml:space="preserve">  </w:t>
      </w:r>
      <w:r>
        <w:rPr>
          <w:rFonts w:hint="eastAsia" w:ascii="Times New Roman" w:hAnsi="Times New Roman" w:eastAsia="黑体" w:cs="Times New Roman"/>
          <w:color w:val="auto"/>
          <w:sz w:val="24"/>
          <w:highlight w:val="none"/>
          <w14:ligatures w14:val="none"/>
        </w:rPr>
        <w:t>安全检查表</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840"/>
        <w:gridCol w:w="4095"/>
        <w:gridCol w:w="2703"/>
        <w:gridCol w:w="1043"/>
      </w:tblGrid>
      <w:tr w14:paraId="30BE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blHeader/>
          <w:jc w:val="center"/>
        </w:trPr>
        <w:tc>
          <w:tcPr>
            <w:tcW w:w="381" w:type="pct"/>
            <w:noWrap w:val="0"/>
            <w:vAlign w:val="center"/>
          </w:tcPr>
          <w:p w14:paraId="7F7AA170">
            <w:pPr>
              <w:keepNext w:val="0"/>
              <w:keepLines w:val="0"/>
              <w:pageBreakBefore w:val="0"/>
              <w:widowControl w:val="0"/>
              <w:tabs>
                <w:tab w:val="left" w:pos="3532"/>
              </w:tabs>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序号</w:t>
            </w:r>
          </w:p>
        </w:tc>
        <w:tc>
          <w:tcPr>
            <w:tcW w:w="447" w:type="pct"/>
            <w:noWrap w:val="0"/>
            <w:vAlign w:val="center"/>
          </w:tcPr>
          <w:p w14:paraId="568311B6">
            <w:pPr>
              <w:keepNext w:val="0"/>
              <w:keepLines w:val="0"/>
              <w:pageBreakBefore w:val="0"/>
              <w:widowControl w:val="0"/>
              <w:tabs>
                <w:tab w:val="left" w:pos="3532"/>
              </w:tabs>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项目</w:t>
            </w:r>
          </w:p>
        </w:tc>
        <w:tc>
          <w:tcPr>
            <w:tcW w:w="2179" w:type="pct"/>
            <w:noWrap w:val="0"/>
            <w:vAlign w:val="center"/>
          </w:tcPr>
          <w:p w14:paraId="4992657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检查内容</w:t>
            </w:r>
          </w:p>
        </w:tc>
        <w:tc>
          <w:tcPr>
            <w:tcW w:w="1438" w:type="pct"/>
            <w:noWrap w:val="0"/>
            <w:vAlign w:val="center"/>
          </w:tcPr>
          <w:p w14:paraId="0A5FF3A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检查记录</w:t>
            </w:r>
          </w:p>
        </w:tc>
        <w:tc>
          <w:tcPr>
            <w:tcW w:w="554" w:type="pct"/>
            <w:noWrap w:val="0"/>
            <w:vAlign w:val="center"/>
          </w:tcPr>
          <w:p w14:paraId="401A155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结论</w:t>
            </w:r>
          </w:p>
        </w:tc>
      </w:tr>
      <w:tr w14:paraId="1CF1A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noWrap w:val="0"/>
            <w:vAlign w:val="center"/>
          </w:tcPr>
          <w:p w14:paraId="1C004E7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一、</w:t>
            </w:r>
            <w:r>
              <w:rPr>
                <w:rFonts w:hint="eastAsia" w:ascii="Times New Roman" w:hAnsi="Times New Roman" w:eastAsia="宋体" w:cs="Times New Roman"/>
                <w:color w:val="auto"/>
                <w:kern w:val="28"/>
                <w:sz w:val="21"/>
                <w:szCs w:val="21"/>
                <w:highlight w:val="none"/>
                <w:lang w:val="en-US" w:eastAsia="zh-CN"/>
                <w14:ligatures w14:val="none"/>
              </w:rPr>
              <w:t>工艺系统单元</w:t>
            </w:r>
          </w:p>
        </w:tc>
      </w:tr>
      <w:tr w14:paraId="72A61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17CAF38A">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color w:val="auto"/>
                <w:kern w:val="28"/>
                <w:sz w:val="21"/>
                <w:szCs w:val="21"/>
                <w:highlight w:val="none"/>
                <w:lang w:val="en-US" w:eastAsia="zh-CN"/>
                <w14:ligatures w14:val="none"/>
              </w:rPr>
            </w:pPr>
          </w:p>
        </w:tc>
        <w:tc>
          <w:tcPr>
            <w:tcW w:w="447" w:type="pct"/>
            <w:vMerge w:val="restart"/>
            <w:noWrap w:val="0"/>
            <w:vAlign w:val="center"/>
          </w:tcPr>
          <w:p w14:paraId="0664A83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eastAsia" w:ascii="Times New Roman" w:hAnsi="Times New Roman" w:eastAsia="宋体" w:cs="Times New Roman"/>
                <w:color w:val="auto"/>
                <w:kern w:val="28"/>
                <w:sz w:val="21"/>
                <w:szCs w:val="21"/>
                <w:highlight w:val="none"/>
                <w:lang w:val="en-US" w:eastAsia="zh-CN"/>
                <w14:ligatures w14:val="none"/>
              </w:rPr>
              <w:t>防泄漏、防火、防爆、防尘、防毒、防腐蚀等主要措施</w:t>
            </w:r>
          </w:p>
        </w:tc>
        <w:tc>
          <w:tcPr>
            <w:tcW w:w="2179" w:type="pct"/>
            <w:noWrap w:val="0"/>
            <w:vAlign w:val="center"/>
          </w:tcPr>
          <w:p w14:paraId="50D10B5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本站采用卧式埋地双层钢制储罐，设置在地下。油罐的量油孔设带锁的量油帽，量油帽下部的接合管向下伸至罐内距罐底200mm处；油罐罐底部设置钢筋混凝土底板，通过防浮抱带将油罐固定在底板上。油罐到达施工现场后，应检查相关合格文件，进行外观检查及压力检测。</w:t>
            </w:r>
          </w:p>
        </w:tc>
        <w:tc>
          <w:tcPr>
            <w:tcW w:w="1438" w:type="pct"/>
            <w:noWrap w:val="0"/>
            <w:vAlign w:val="center"/>
          </w:tcPr>
          <w:p w14:paraId="7D0BFDA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FF0000"/>
                <w:kern w:val="28"/>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采用</w:t>
            </w:r>
            <w:r>
              <w:rPr>
                <w:rFonts w:hint="eastAsia" w:ascii="Times New Roman" w:hAnsi="Times New Roman" w:eastAsia="宋体" w:cs="Times New Roman"/>
                <w:color w:val="auto"/>
                <w:kern w:val="28"/>
                <w:sz w:val="21"/>
                <w:szCs w:val="21"/>
                <w:highlight w:val="none"/>
                <w:lang w:val="en-US" w:eastAsia="zh-CN"/>
                <w14:ligatures w14:val="none"/>
              </w:rPr>
              <w:t>SF</w:t>
            </w:r>
            <w:r>
              <w:rPr>
                <w:rFonts w:hint="default" w:ascii="Times New Roman" w:hAnsi="Times New Roman" w:eastAsia="宋体" w:cs="Times New Roman"/>
                <w:color w:val="auto"/>
                <w:kern w:val="28"/>
                <w:sz w:val="21"/>
                <w:szCs w:val="21"/>
                <w:highlight w:val="none"/>
                <w14:ligatures w14:val="none"/>
              </w:rPr>
              <w:t>卧式埋地双层钢制储罐</w:t>
            </w:r>
            <w:r>
              <w:rPr>
                <w:rFonts w:hint="eastAsia" w:ascii="Times New Roman" w:hAnsi="Times New Roman" w:eastAsia="宋体" w:cs="Times New Roman"/>
                <w:color w:val="auto"/>
                <w:kern w:val="28"/>
                <w:sz w:val="21"/>
                <w:szCs w:val="21"/>
                <w:highlight w:val="none"/>
                <w:lang w:eastAsia="zh-CN"/>
                <w14:ligatures w14:val="none"/>
              </w:rPr>
              <w:t>，</w:t>
            </w:r>
            <w:r>
              <w:rPr>
                <w:rFonts w:hint="default" w:ascii="Times New Roman" w:hAnsi="Times New Roman" w:eastAsia="宋体" w:cs="Times New Roman"/>
                <w:color w:val="auto"/>
                <w:kern w:val="28"/>
                <w:sz w:val="21"/>
                <w:szCs w:val="21"/>
                <w:highlight w:val="none"/>
                <w14:ligatures w14:val="none"/>
              </w:rPr>
              <w:t>油罐的量油孔设带锁的量油帽，量油帽下部的接合管向下伸至罐内距罐底200mm处；油罐罐底部设置钢筋混凝土底板</w:t>
            </w:r>
          </w:p>
        </w:tc>
        <w:tc>
          <w:tcPr>
            <w:tcW w:w="554" w:type="pct"/>
            <w:noWrap w:val="0"/>
            <w:vAlign w:val="center"/>
          </w:tcPr>
          <w:p w14:paraId="2F15C21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FF0000"/>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7AA46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84CF6C0">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9D8047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5175A2E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油罐的进油管向下伸至罐内距罐底100mm处。</w:t>
            </w:r>
          </w:p>
        </w:tc>
        <w:tc>
          <w:tcPr>
            <w:tcW w:w="1438" w:type="pct"/>
            <w:noWrap w:val="0"/>
            <w:vAlign w:val="center"/>
          </w:tcPr>
          <w:p w14:paraId="1BAF703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油罐的进油管向下伸至罐内距罐底100mm处</w:t>
            </w:r>
          </w:p>
        </w:tc>
        <w:tc>
          <w:tcPr>
            <w:tcW w:w="554" w:type="pct"/>
            <w:noWrap w:val="0"/>
            <w:vAlign w:val="center"/>
          </w:tcPr>
          <w:p w14:paraId="66CFE79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31704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4688CDF">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77405A9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34F8A3B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油罐安装前进行水压试验，试验压力0.125MPa。</w:t>
            </w:r>
          </w:p>
        </w:tc>
        <w:tc>
          <w:tcPr>
            <w:tcW w:w="1438" w:type="pct"/>
            <w:noWrap w:val="0"/>
            <w:vAlign w:val="center"/>
          </w:tcPr>
          <w:p w14:paraId="33E4C16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油罐安装前进行水压试验，试验压力0.125MPa</w:t>
            </w:r>
          </w:p>
        </w:tc>
        <w:tc>
          <w:tcPr>
            <w:tcW w:w="554" w:type="pct"/>
            <w:noWrap w:val="0"/>
            <w:vAlign w:val="center"/>
          </w:tcPr>
          <w:p w14:paraId="398A22B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2EBB0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A8EF167">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3790B0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062458B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每台加油机按加油品种单独设置进油管；加油枪采用自封式加油枪。</w:t>
            </w:r>
          </w:p>
        </w:tc>
        <w:tc>
          <w:tcPr>
            <w:tcW w:w="1438" w:type="pct"/>
            <w:noWrap w:val="0"/>
            <w:vAlign w:val="center"/>
          </w:tcPr>
          <w:p w14:paraId="288B861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kern w:val="28"/>
                <w:sz w:val="21"/>
                <w:szCs w:val="21"/>
                <w:highlight w:val="none"/>
                <w:lang w:eastAsia="zh-CN"/>
                <w14:ligatures w14:val="none"/>
              </w:rPr>
            </w:pPr>
            <w:r>
              <w:rPr>
                <w:rFonts w:hint="default" w:ascii="Times New Roman" w:hAnsi="Times New Roman" w:eastAsia="宋体" w:cs="Times New Roman"/>
                <w:color w:val="auto"/>
                <w:kern w:val="28"/>
                <w:sz w:val="21"/>
                <w:szCs w:val="21"/>
                <w:highlight w:val="none"/>
                <w14:ligatures w14:val="none"/>
              </w:rPr>
              <w:t>每台加油机按加油品种单独设置进油管；加油枪采用自封式加油枪</w:t>
            </w:r>
          </w:p>
        </w:tc>
        <w:tc>
          <w:tcPr>
            <w:tcW w:w="554" w:type="pct"/>
            <w:noWrap w:val="0"/>
            <w:vAlign w:val="center"/>
          </w:tcPr>
          <w:p w14:paraId="75EA816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33DCD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B49AEC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30CDD0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1CCBB0C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加油站的卸油管道采用无缝钢管，潜油泵底部的进油管道设置防溢剪切阀；出油管道根据规范要求采用导静电双层热塑性塑料管道，管道坡度0.005，坡向操作井，操作井内设置双层管道渗漏检测接口及检测装置（由双层管道厂家提供）。</w:t>
            </w:r>
          </w:p>
        </w:tc>
        <w:tc>
          <w:tcPr>
            <w:tcW w:w="1438" w:type="pct"/>
            <w:noWrap w:val="0"/>
            <w:vAlign w:val="center"/>
          </w:tcPr>
          <w:p w14:paraId="1C7EC6A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加油站的卸油管道采用无缝钢管，潜油泵底部的进油管道设置防溢剪切阀；出油管道采用导静电双层热塑性塑料管道，管道坡度0.005，坡向操作井，操作井内设置双层管道渗漏检测接口及检测装置</w:t>
            </w:r>
          </w:p>
        </w:tc>
        <w:tc>
          <w:tcPr>
            <w:tcW w:w="554" w:type="pct"/>
            <w:noWrap w:val="0"/>
            <w:vAlign w:val="center"/>
          </w:tcPr>
          <w:p w14:paraId="5A66137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6B16E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BEC1182">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3C2651C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5C19C1D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与油罐相连通的进油管均坡向油罐，其坡度2‰，通气管横管、油气回收管线均坡向油罐，其坡度1%。</w:t>
            </w:r>
          </w:p>
        </w:tc>
        <w:tc>
          <w:tcPr>
            <w:tcW w:w="1438" w:type="pct"/>
            <w:noWrap w:val="0"/>
            <w:vAlign w:val="center"/>
          </w:tcPr>
          <w:p w14:paraId="61DF812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与油罐相连通的进油管均坡向油罐，其坡度2‰，通气管横管、油气回收管线均坡向油罐，其坡度1%</w:t>
            </w:r>
          </w:p>
        </w:tc>
        <w:tc>
          <w:tcPr>
            <w:tcW w:w="554" w:type="pct"/>
            <w:noWrap w:val="0"/>
            <w:vAlign w:val="center"/>
          </w:tcPr>
          <w:p w14:paraId="011C6CD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05A16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FF49269">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7CA21D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44CB124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油罐车卸油使用的卸油连通软管采用导静电耐油软管，连通软管的公称直径为DN100。</w:t>
            </w:r>
          </w:p>
        </w:tc>
        <w:tc>
          <w:tcPr>
            <w:tcW w:w="1438" w:type="pct"/>
            <w:noWrap w:val="0"/>
            <w:vAlign w:val="center"/>
          </w:tcPr>
          <w:p w14:paraId="50F6244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kern w:val="28"/>
                <w:sz w:val="21"/>
                <w:szCs w:val="21"/>
                <w:highlight w:val="none"/>
                <w:lang w:eastAsia="zh-CN"/>
                <w14:ligatures w14:val="none"/>
              </w:rPr>
            </w:pPr>
            <w:r>
              <w:rPr>
                <w:rFonts w:hint="default" w:ascii="Times New Roman" w:hAnsi="Times New Roman" w:eastAsia="宋体" w:cs="Times New Roman"/>
                <w:color w:val="auto"/>
                <w:kern w:val="28"/>
                <w:sz w:val="21"/>
                <w:szCs w:val="21"/>
                <w:highlight w:val="none"/>
                <w14:ligatures w14:val="none"/>
              </w:rPr>
              <w:t>油罐车卸油使用的卸油连通软管采用导静电耐油软管，连通软管的公称直径为DN100</w:t>
            </w:r>
          </w:p>
        </w:tc>
        <w:tc>
          <w:tcPr>
            <w:tcW w:w="554" w:type="pct"/>
            <w:noWrap w:val="0"/>
            <w:vAlign w:val="center"/>
          </w:tcPr>
          <w:p w14:paraId="4BFB8DA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1E538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03A71C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658D7D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29115A7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加油站内的工艺管道均埋地敷设，且不穿过建、构筑物。油品管道与管沟、电缆沟和排水沟相交叉时，采取相应的防渗漏措施。</w:t>
            </w:r>
          </w:p>
        </w:tc>
        <w:tc>
          <w:tcPr>
            <w:tcW w:w="1438" w:type="pct"/>
            <w:noWrap w:val="0"/>
            <w:vAlign w:val="center"/>
          </w:tcPr>
          <w:p w14:paraId="57D7983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加油站内的工艺管道均埋地敷设，且不穿过建、构筑物。油品管道与管沟、电缆沟和排水沟相交叉采取防渗漏措施</w:t>
            </w:r>
          </w:p>
        </w:tc>
        <w:tc>
          <w:tcPr>
            <w:tcW w:w="554" w:type="pct"/>
            <w:noWrap w:val="0"/>
            <w:vAlign w:val="center"/>
          </w:tcPr>
          <w:p w14:paraId="5856032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4C892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AA2DA63">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09D680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7435C20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汽油罐与柴油罐的通气管分开设置，通气管的公称直径为DN50，设置于油罐区，通气管管口高出罐区内地坪4.3m。通气管口分别设置了阻火器（DN50 PN10），汽油通气管口还设置了机械呼吸阀（DN50</w:t>
            </w:r>
            <w:r>
              <w:rPr>
                <w:rFonts w:hint="eastAsia" w:ascii="Times New Roman" w:hAnsi="Times New Roman" w:eastAsia="宋体" w:cs="Times New Roman"/>
                <w:color w:val="auto"/>
                <w:kern w:val="28"/>
                <w:sz w:val="21"/>
                <w:szCs w:val="21"/>
                <w:highlight w:val="none"/>
                <w:lang w:val="en-US" w:eastAsia="zh-CN"/>
                <w14:ligatures w14:val="none"/>
              </w:rPr>
              <w:t xml:space="preserve"> </w:t>
            </w:r>
            <w:r>
              <w:rPr>
                <w:rFonts w:hint="default" w:ascii="Times New Roman" w:hAnsi="Times New Roman" w:eastAsia="宋体" w:cs="Times New Roman"/>
                <w:color w:val="auto"/>
                <w:kern w:val="28"/>
                <w:sz w:val="21"/>
                <w:szCs w:val="21"/>
                <w:highlight w:val="none"/>
                <w14:ligatures w14:val="none"/>
              </w:rPr>
              <w:t>PN10）,P</w:t>
            </w:r>
            <w:r>
              <w:rPr>
                <w:rFonts w:hint="default" w:ascii="Times New Roman" w:hAnsi="Times New Roman" w:eastAsia="宋体" w:cs="Times New Roman"/>
                <w:color w:val="auto"/>
                <w:kern w:val="28"/>
                <w:sz w:val="21"/>
                <w:szCs w:val="21"/>
                <w:highlight w:val="none"/>
                <w:vertAlign w:val="subscript"/>
                <w14:ligatures w14:val="none"/>
              </w:rPr>
              <w:t>正</w:t>
            </w:r>
            <w:r>
              <w:rPr>
                <w:rFonts w:hint="default" w:ascii="Times New Roman" w:hAnsi="Times New Roman" w:eastAsia="宋体" w:cs="Times New Roman"/>
                <w:color w:val="auto"/>
                <w:kern w:val="28"/>
                <w:sz w:val="21"/>
                <w:szCs w:val="21"/>
                <w:highlight w:val="none"/>
                <w14:ligatures w14:val="none"/>
              </w:rPr>
              <w:t>=2000-3000Pa,P</w:t>
            </w:r>
            <w:r>
              <w:rPr>
                <w:rFonts w:hint="default" w:ascii="Times New Roman" w:hAnsi="Times New Roman" w:eastAsia="宋体" w:cs="Times New Roman"/>
                <w:color w:val="auto"/>
                <w:kern w:val="28"/>
                <w:sz w:val="21"/>
                <w:szCs w:val="21"/>
                <w:highlight w:val="none"/>
                <w:vertAlign w:val="subscript"/>
                <w14:ligatures w14:val="none"/>
              </w:rPr>
              <w:t>负</w:t>
            </w:r>
            <w:r>
              <w:rPr>
                <w:rFonts w:hint="default" w:ascii="Times New Roman" w:hAnsi="Times New Roman" w:eastAsia="宋体" w:cs="Times New Roman"/>
                <w:color w:val="auto"/>
                <w:kern w:val="28"/>
                <w:sz w:val="21"/>
                <w:szCs w:val="21"/>
                <w:highlight w:val="none"/>
                <w14:ligatures w14:val="none"/>
              </w:rPr>
              <w:t>=1500-2000Pa。</w:t>
            </w:r>
          </w:p>
        </w:tc>
        <w:tc>
          <w:tcPr>
            <w:tcW w:w="1438" w:type="pct"/>
            <w:noWrap w:val="0"/>
            <w:vAlign w:val="center"/>
          </w:tcPr>
          <w:p w14:paraId="4181F25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汽油罐与柴油罐的通气管分开设置，通气管的公称直径为DN50，设置于油罐区，通气管管口高出罐区内地坪4.3m。通气管口分别设置了阻火器（DN50 PN10），汽油通气管口还设置了机械呼吸阀（DN50</w:t>
            </w:r>
            <w:r>
              <w:rPr>
                <w:rFonts w:hint="eastAsia" w:ascii="Times New Roman" w:hAnsi="Times New Roman" w:eastAsia="宋体" w:cs="Times New Roman"/>
                <w:color w:val="auto"/>
                <w:kern w:val="28"/>
                <w:sz w:val="21"/>
                <w:szCs w:val="21"/>
                <w:highlight w:val="none"/>
                <w:lang w:val="en-US" w:eastAsia="zh-CN"/>
                <w14:ligatures w14:val="none"/>
              </w:rPr>
              <w:t xml:space="preserve"> </w:t>
            </w:r>
            <w:r>
              <w:rPr>
                <w:rFonts w:hint="default" w:ascii="Times New Roman" w:hAnsi="Times New Roman" w:eastAsia="宋体" w:cs="Times New Roman"/>
                <w:color w:val="auto"/>
                <w:kern w:val="28"/>
                <w:sz w:val="21"/>
                <w:szCs w:val="21"/>
                <w:highlight w:val="none"/>
                <w14:ligatures w14:val="none"/>
              </w:rPr>
              <w:t>PN10）,</w:t>
            </w:r>
          </w:p>
          <w:p w14:paraId="435318F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P</w:t>
            </w:r>
            <w:r>
              <w:rPr>
                <w:rFonts w:hint="default" w:ascii="Times New Roman" w:hAnsi="Times New Roman" w:eastAsia="宋体" w:cs="Times New Roman"/>
                <w:color w:val="auto"/>
                <w:kern w:val="28"/>
                <w:sz w:val="21"/>
                <w:szCs w:val="21"/>
                <w:highlight w:val="none"/>
                <w:vertAlign w:val="subscript"/>
                <w14:ligatures w14:val="none"/>
              </w:rPr>
              <w:t>正</w:t>
            </w:r>
            <w:r>
              <w:rPr>
                <w:rFonts w:hint="default" w:ascii="Times New Roman" w:hAnsi="Times New Roman" w:eastAsia="宋体" w:cs="Times New Roman"/>
                <w:color w:val="auto"/>
                <w:kern w:val="28"/>
                <w:sz w:val="21"/>
                <w:szCs w:val="21"/>
                <w:highlight w:val="none"/>
                <w14:ligatures w14:val="none"/>
              </w:rPr>
              <w:t>=2000-3000Pa,</w:t>
            </w:r>
          </w:p>
          <w:p w14:paraId="562C7F6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P</w:t>
            </w:r>
            <w:r>
              <w:rPr>
                <w:rFonts w:hint="default" w:ascii="Times New Roman" w:hAnsi="Times New Roman" w:eastAsia="宋体" w:cs="Times New Roman"/>
                <w:color w:val="auto"/>
                <w:kern w:val="28"/>
                <w:sz w:val="21"/>
                <w:szCs w:val="21"/>
                <w:highlight w:val="none"/>
                <w:vertAlign w:val="subscript"/>
                <w14:ligatures w14:val="none"/>
              </w:rPr>
              <w:t>负</w:t>
            </w:r>
            <w:r>
              <w:rPr>
                <w:rFonts w:hint="default" w:ascii="Times New Roman" w:hAnsi="Times New Roman" w:eastAsia="宋体" w:cs="Times New Roman"/>
                <w:color w:val="auto"/>
                <w:kern w:val="28"/>
                <w:sz w:val="21"/>
                <w:szCs w:val="21"/>
                <w:highlight w:val="none"/>
                <w14:ligatures w14:val="none"/>
              </w:rPr>
              <w:t>=1500-2000Pa</w:t>
            </w:r>
          </w:p>
        </w:tc>
        <w:tc>
          <w:tcPr>
            <w:tcW w:w="554" w:type="pct"/>
            <w:noWrap w:val="0"/>
            <w:vAlign w:val="center"/>
          </w:tcPr>
          <w:p w14:paraId="5AECBDB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09CD4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1BED2506">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5F07EA7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7393E9D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noWrap w:val="0"/>
            <w:vAlign w:val="center"/>
          </w:tcPr>
          <w:p w14:paraId="1B5BE1D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4" w:type="pct"/>
            <w:noWrap w:val="0"/>
            <w:vAlign w:val="center"/>
          </w:tcPr>
          <w:p w14:paraId="6936160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7A953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21FDD49">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0F05CC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both"/>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170D469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本加油站采用油罐装设潜油泵的一泵供多机（枪）的加油工艺。</w:t>
            </w:r>
          </w:p>
        </w:tc>
        <w:tc>
          <w:tcPr>
            <w:tcW w:w="1438" w:type="pct"/>
            <w:noWrap w:val="0"/>
            <w:vAlign w:val="center"/>
          </w:tcPr>
          <w:p w14:paraId="0CFDF7D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kern w:val="28"/>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采用油罐装设潜油泵的一泵供多机（枪）的加油工艺</w:t>
            </w:r>
          </w:p>
        </w:tc>
        <w:tc>
          <w:tcPr>
            <w:tcW w:w="554" w:type="pct"/>
            <w:noWrap w:val="0"/>
            <w:vAlign w:val="center"/>
          </w:tcPr>
          <w:p w14:paraId="13A1E07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2B9B2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02B8326">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6C22B2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2057D76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加油站的钢制工艺管道设计压力为0.6MPa，与量油管、液位仪、通气管相连接的配套法兰等管道组成件的压力等级为0.6MPa，其余法兰等管道组成件的压力等级为1.0MPa。</w:t>
            </w:r>
          </w:p>
        </w:tc>
        <w:tc>
          <w:tcPr>
            <w:tcW w:w="1438" w:type="pct"/>
            <w:noWrap w:val="0"/>
            <w:vAlign w:val="center"/>
          </w:tcPr>
          <w:p w14:paraId="5E998AB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加油站的钢制工艺管道设计压力为0.6MPa，与量油管、液位仪、通气管相连接的配套法兰等管道组成件的压力等级为0.6MPa，其余法兰等管道组成件的压力等级为1.0MPa</w:t>
            </w:r>
          </w:p>
        </w:tc>
        <w:tc>
          <w:tcPr>
            <w:tcW w:w="554" w:type="pct"/>
            <w:noWrap w:val="0"/>
            <w:vAlign w:val="center"/>
          </w:tcPr>
          <w:p w14:paraId="60F04E9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0637C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91995F2">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DB50DA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10B3BEB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站内钢制管道采用焊接连接，管道与储罐的连接采用HG/T20592 SO RF带颈平焊法兰。其密封面光洁度应符合国家有关技术标准或设计规定。</w:t>
            </w:r>
          </w:p>
        </w:tc>
        <w:tc>
          <w:tcPr>
            <w:tcW w:w="1438" w:type="pct"/>
            <w:noWrap w:val="0"/>
            <w:vAlign w:val="center"/>
          </w:tcPr>
          <w:p w14:paraId="547F5F4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站内钢制管道采用焊接连接，管道与储罐的连接采用HG/T20592 SO RF带颈平焊法兰。其密封面光洁度符合国家有关技术标准</w:t>
            </w:r>
          </w:p>
        </w:tc>
        <w:tc>
          <w:tcPr>
            <w:tcW w:w="554" w:type="pct"/>
            <w:noWrap w:val="0"/>
            <w:vAlign w:val="center"/>
          </w:tcPr>
          <w:p w14:paraId="075FD4D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5DD36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F673E9F">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7A586CF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6D6A470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埋地敷设的钢制管道须做加强级防腐处理工艺，防腐材料采用环氧煤沥青漆防腐控制，并采用不低于加强级的防腐绝缘保护层。埋地油罐选用防锈性好的底漆，屏蔽性佳的中涂漆和保光保色性好、耐候性佳、易覆涂和维修的面漆。</w:t>
            </w:r>
          </w:p>
        </w:tc>
        <w:tc>
          <w:tcPr>
            <w:tcW w:w="1438" w:type="pct"/>
            <w:noWrap w:val="0"/>
            <w:vAlign w:val="center"/>
          </w:tcPr>
          <w:p w14:paraId="6F7833F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埋地敷设的钢制管道做加强级防腐处理，防腐材料采用环氧煤沥青漆防腐控制，并采用不低于加强级的防腐绝缘保护层。埋地油罐选用防锈性好的底漆，屏蔽性佳的中涂漆和保光保色性好、耐候性佳、易覆涂和维修的面漆</w:t>
            </w:r>
          </w:p>
        </w:tc>
        <w:tc>
          <w:tcPr>
            <w:tcW w:w="554" w:type="pct"/>
            <w:noWrap w:val="0"/>
            <w:vAlign w:val="center"/>
          </w:tcPr>
          <w:p w14:paraId="46C31FA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49EB7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3244340">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B17153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18413FD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行车道下的钢制管道采用套管保护，套管与工艺管道间用石棉水泥封堵。</w:t>
            </w:r>
          </w:p>
        </w:tc>
        <w:tc>
          <w:tcPr>
            <w:tcW w:w="1438" w:type="pct"/>
            <w:noWrap w:val="0"/>
            <w:vAlign w:val="center"/>
          </w:tcPr>
          <w:p w14:paraId="7570B4E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行车道下的钢制管道采用套管保护，套管与工艺管道间用石棉水泥封堵</w:t>
            </w:r>
          </w:p>
        </w:tc>
        <w:tc>
          <w:tcPr>
            <w:tcW w:w="554" w:type="pct"/>
            <w:noWrap w:val="0"/>
            <w:vAlign w:val="center"/>
          </w:tcPr>
          <w:p w14:paraId="63AED2F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1A358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3035630">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4DB6A54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正常工况和非正常工况下危险物料的安全控制措施</w:t>
            </w:r>
          </w:p>
        </w:tc>
        <w:tc>
          <w:tcPr>
            <w:tcW w:w="2179" w:type="pct"/>
            <w:noWrap w:val="0"/>
            <w:vAlign w:val="center"/>
          </w:tcPr>
          <w:p w14:paraId="22D263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本站采用密闭卸油工艺，且卸油、加油均采用油气回收系统。油品进入储罐同时，油气经油气回收系统进入油罐车。进油管设有卸油防溢阀，能有效防止油品溢出。</w:t>
            </w:r>
          </w:p>
        </w:tc>
        <w:tc>
          <w:tcPr>
            <w:tcW w:w="1438" w:type="pct"/>
            <w:noWrap w:val="0"/>
            <w:vAlign w:val="center"/>
          </w:tcPr>
          <w:p w14:paraId="6055695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本站采用密闭卸油工艺，且卸油、加油均采用油气回收系统。油品进入储罐同时，油气经油气回收系统进入油罐车。进油管设有卸油防溢阀，能有效防止油品溢出</w:t>
            </w:r>
          </w:p>
        </w:tc>
        <w:tc>
          <w:tcPr>
            <w:tcW w:w="554" w:type="pct"/>
            <w:noWrap w:val="0"/>
            <w:vAlign w:val="center"/>
          </w:tcPr>
          <w:p w14:paraId="792A9A4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4A9CD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0136945">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407918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7926576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加油采用潜油泵正压输油。潜油泵采用自动控制，与加油枪连锁，即只有提起加油枪潜油泵才工作。</w:t>
            </w:r>
          </w:p>
        </w:tc>
        <w:tc>
          <w:tcPr>
            <w:tcW w:w="1438" w:type="pct"/>
            <w:noWrap w:val="0"/>
            <w:vAlign w:val="center"/>
          </w:tcPr>
          <w:p w14:paraId="6F2F0DE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采用潜油泵输油</w:t>
            </w:r>
            <w:r>
              <w:rPr>
                <w:rFonts w:hint="eastAsia" w:ascii="Times New Roman" w:hAnsi="Times New Roman" w:eastAsia="宋体" w:cs="Times New Roman"/>
                <w:color w:val="auto"/>
                <w:kern w:val="28"/>
                <w:sz w:val="21"/>
                <w:szCs w:val="21"/>
                <w:highlight w:val="none"/>
                <w:lang w:eastAsia="zh-CN"/>
                <w14:ligatures w14:val="none"/>
              </w:rPr>
              <w:t>，</w:t>
            </w:r>
            <w:r>
              <w:rPr>
                <w:rFonts w:hint="default" w:ascii="Times New Roman" w:hAnsi="Times New Roman" w:eastAsia="宋体" w:cs="Times New Roman"/>
                <w:color w:val="auto"/>
                <w:kern w:val="28"/>
                <w:sz w:val="21"/>
                <w:szCs w:val="21"/>
                <w:highlight w:val="none"/>
                <w14:ligatures w14:val="none"/>
              </w:rPr>
              <w:t>潜油泵与加油枪连锁</w:t>
            </w:r>
          </w:p>
        </w:tc>
        <w:tc>
          <w:tcPr>
            <w:tcW w:w="554" w:type="pct"/>
            <w:noWrap w:val="0"/>
            <w:vAlign w:val="center"/>
          </w:tcPr>
          <w:p w14:paraId="5D72472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6F8FF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68C0BF2">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9F3C3C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7A5E06B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通气管端部设有防雨型阻火器，能够在发生火灾时阻止火焰经通气管进入油罐。</w:t>
            </w:r>
          </w:p>
        </w:tc>
        <w:tc>
          <w:tcPr>
            <w:tcW w:w="1438" w:type="pct"/>
            <w:noWrap w:val="0"/>
            <w:vAlign w:val="center"/>
          </w:tcPr>
          <w:p w14:paraId="657527D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通气管端部设有防雨型阻火器</w:t>
            </w:r>
          </w:p>
        </w:tc>
        <w:tc>
          <w:tcPr>
            <w:tcW w:w="554" w:type="pct"/>
            <w:noWrap w:val="0"/>
            <w:vAlign w:val="center"/>
          </w:tcPr>
          <w:p w14:paraId="0C763C1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5BF0A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F19B5F5">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40F53E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2179" w:type="pct"/>
            <w:noWrap w:val="0"/>
            <w:vAlign w:val="center"/>
          </w:tcPr>
          <w:p w14:paraId="6979EAC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风险评估与风险管理：根据具体的非正常工况，通过风险评估确定可能面临的风险，并采取必要的风险管理措施，如加强监测、增设安全设备等。</w:t>
            </w:r>
          </w:p>
          <w:p w14:paraId="3A46CA6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应急预案和演练：针对不同的非正常工况，制定相应的应急预案，并进行定期的演练。确保员工了解应急程序和应对方法，能够在紧急情况下迅速行动。</w:t>
            </w:r>
          </w:p>
          <w:p w14:paraId="2B917FD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安全设备和装备：根据非正常工况的特点，增设必要的安全设备和装备，如紧急停机装置、安全阀等，以起到安全控制的作用。</w:t>
            </w:r>
          </w:p>
          <w:p w14:paraId="1377ABE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人员疏散和救援：制定和实施人员疏散和救援计划，并配备相关的应急救援队伍。确保在灾害发生时，员工能够快速、有序地撤离，并得到必要的救援。</w:t>
            </w:r>
          </w:p>
        </w:tc>
        <w:tc>
          <w:tcPr>
            <w:tcW w:w="1438" w:type="pct"/>
            <w:noWrap w:val="0"/>
            <w:vAlign w:val="center"/>
          </w:tcPr>
          <w:p w14:paraId="4789612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kern w:val="28"/>
                <w:sz w:val="21"/>
                <w:szCs w:val="21"/>
                <w:highlight w:val="none"/>
                <w:lang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进行</w:t>
            </w:r>
            <w:r>
              <w:rPr>
                <w:rFonts w:hint="default" w:ascii="Times New Roman" w:hAnsi="Times New Roman" w:eastAsia="宋体" w:cs="Times New Roman"/>
                <w:color w:val="auto"/>
                <w:kern w:val="28"/>
                <w:sz w:val="21"/>
                <w:szCs w:val="21"/>
                <w:highlight w:val="none"/>
                <w14:ligatures w14:val="none"/>
              </w:rPr>
              <w:t>风险评估与风险管理</w:t>
            </w:r>
            <w:r>
              <w:rPr>
                <w:rFonts w:hint="eastAsia" w:ascii="Times New Roman" w:hAnsi="Times New Roman" w:eastAsia="宋体" w:cs="Times New Roman"/>
                <w:color w:val="auto"/>
                <w:kern w:val="28"/>
                <w:sz w:val="21"/>
                <w:szCs w:val="21"/>
                <w:highlight w:val="none"/>
                <w:lang w:eastAsia="zh-CN"/>
                <w14:ligatures w14:val="none"/>
              </w:rPr>
              <w:t>、</w:t>
            </w:r>
          </w:p>
          <w:p w14:paraId="6EFBAB8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kern w:val="28"/>
                <w:sz w:val="21"/>
                <w:szCs w:val="21"/>
                <w:highlight w:val="none"/>
                <w:lang w:val="en-US" w:eastAsia="zh-CN"/>
                <w14:ligatures w14:val="none"/>
              </w:rPr>
            </w:pPr>
            <w:r>
              <w:rPr>
                <w:rFonts w:hint="default" w:ascii="Times New Roman" w:hAnsi="Times New Roman" w:eastAsia="宋体" w:cs="Times New Roman"/>
                <w:color w:val="auto"/>
                <w:kern w:val="28"/>
                <w:sz w:val="21"/>
                <w:szCs w:val="21"/>
                <w:highlight w:val="none"/>
                <w14:ligatures w14:val="none"/>
              </w:rPr>
              <w:t>应急预案和演练</w:t>
            </w:r>
            <w:r>
              <w:rPr>
                <w:rFonts w:hint="eastAsia" w:ascii="Times New Roman" w:hAnsi="Times New Roman" w:eastAsia="宋体" w:cs="Times New Roman"/>
                <w:color w:val="auto"/>
                <w:kern w:val="28"/>
                <w:sz w:val="21"/>
                <w:szCs w:val="21"/>
                <w:highlight w:val="none"/>
                <w:lang w:eastAsia="zh-CN"/>
                <w14:ligatures w14:val="none"/>
              </w:rPr>
              <w:t>、</w:t>
            </w:r>
            <w:r>
              <w:rPr>
                <w:rFonts w:hint="eastAsia" w:ascii="Times New Roman" w:hAnsi="Times New Roman" w:eastAsia="宋体" w:cs="Times New Roman"/>
                <w:color w:val="auto"/>
                <w:kern w:val="28"/>
                <w:sz w:val="21"/>
                <w:szCs w:val="21"/>
                <w:highlight w:val="none"/>
                <w:lang w:val="en-US" w:eastAsia="zh-CN"/>
                <w14:ligatures w14:val="none"/>
              </w:rPr>
              <w:t>配备</w:t>
            </w:r>
            <w:r>
              <w:rPr>
                <w:rFonts w:hint="default" w:ascii="Times New Roman" w:hAnsi="Times New Roman" w:eastAsia="宋体" w:cs="Times New Roman"/>
                <w:color w:val="auto"/>
                <w:kern w:val="28"/>
                <w:sz w:val="21"/>
                <w:szCs w:val="21"/>
                <w:highlight w:val="none"/>
                <w14:ligatures w14:val="none"/>
              </w:rPr>
              <w:t>安全设备和装备</w:t>
            </w:r>
            <w:r>
              <w:rPr>
                <w:rFonts w:hint="eastAsia" w:ascii="Times New Roman" w:hAnsi="Times New Roman" w:eastAsia="宋体" w:cs="Times New Roman"/>
                <w:color w:val="auto"/>
                <w:kern w:val="28"/>
                <w:sz w:val="21"/>
                <w:szCs w:val="21"/>
                <w:highlight w:val="none"/>
                <w:lang w:eastAsia="zh-CN"/>
                <w14:ligatures w14:val="none"/>
              </w:rPr>
              <w:t>、</w:t>
            </w:r>
            <w:r>
              <w:rPr>
                <w:rFonts w:hint="default" w:ascii="Times New Roman" w:hAnsi="Times New Roman" w:eastAsia="宋体" w:cs="Times New Roman"/>
                <w:color w:val="auto"/>
                <w:kern w:val="28"/>
                <w:sz w:val="21"/>
                <w:szCs w:val="21"/>
                <w:highlight w:val="none"/>
                <w14:ligatures w14:val="none"/>
              </w:rPr>
              <w:t>人员疏散和救援确保员工在灾害发生时，能够快速、有序地撤离</w:t>
            </w:r>
          </w:p>
        </w:tc>
        <w:tc>
          <w:tcPr>
            <w:tcW w:w="554" w:type="pct"/>
            <w:noWrap w:val="0"/>
            <w:vAlign w:val="center"/>
          </w:tcPr>
          <w:p w14:paraId="0B4F632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C394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7E4E751">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noWrap w:val="0"/>
            <w:vAlign w:val="center"/>
          </w:tcPr>
          <w:p w14:paraId="051370A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采取的其他工艺安全措施</w:t>
            </w:r>
          </w:p>
        </w:tc>
        <w:tc>
          <w:tcPr>
            <w:tcW w:w="2179" w:type="pct"/>
            <w:noWrap w:val="0"/>
            <w:vAlign w:val="center"/>
          </w:tcPr>
          <w:p w14:paraId="199AB6F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为保证生产安全，设计的管道及其附件的压力等级应比正常情况提高一个等级。防爆区内生产工艺设备和管路采用导体或亚导体材质。所有金属设备、管道等都必须设计静电接地，不允许设备及其内部构件有与地相绝缘的金属体，对于生产过程中设备的移动部分应设置软连接与设备主体相连或直接与静电接地系统相连。</w:t>
            </w:r>
          </w:p>
        </w:tc>
        <w:tc>
          <w:tcPr>
            <w:tcW w:w="1438" w:type="pct"/>
            <w:noWrap w:val="0"/>
            <w:vAlign w:val="center"/>
          </w:tcPr>
          <w:p w14:paraId="6F2F449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设计的管道及其附件的压力等级比正常情况提高一个等级。防爆区内生产工艺设备和管路采用导体或亚导体材质。所有金属设备、管道等设计静电接地，对于生产过程中设备的移动部分设置软连接与设备主体相连或直接与静电接地系统相连。</w:t>
            </w:r>
          </w:p>
        </w:tc>
        <w:tc>
          <w:tcPr>
            <w:tcW w:w="554" w:type="pct"/>
            <w:noWrap w:val="0"/>
            <w:vAlign w:val="center"/>
          </w:tcPr>
          <w:p w14:paraId="7F18B03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02A0D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75CEAD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618" w:type="pct"/>
            <w:gridSpan w:val="4"/>
            <w:noWrap w:val="0"/>
            <w:vAlign w:val="center"/>
          </w:tcPr>
          <w:p w14:paraId="6260FAB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二、</w:t>
            </w:r>
            <w:r>
              <w:rPr>
                <w:rFonts w:hint="eastAsia" w:ascii="Times New Roman" w:hAnsi="Times New Roman" w:eastAsia="宋体" w:cs="Times New Roman"/>
                <w:color w:val="auto"/>
                <w:kern w:val="28"/>
                <w:sz w:val="21"/>
                <w:szCs w:val="21"/>
                <w:highlight w:val="none"/>
                <w:lang w:val="en-US" w:eastAsia="zh-CN"/>
                <w14:ligatures w14:val="none"/>
              </w:rPr>
              <w:t>总平面布置</w:t>
            </w:r>
            <w:r>
              <w:rPr>
                <w:rFonts w:hint="default" w:ascii="Times New Roman" w:hAnsi="Times New Roman" w:eastAsia="宋体" w:cs="Times New Roman"/>
                <w:color w:val="auto"/>
                <w:kern w:val="28"/>
                <w:sz w:val="21"/>
                <w:szCs w:val="21"/>
                <w:highlight w:val="none"/>
                <w14:ligatures w14:val="none"/>
              </w:rPr>
              <w:t>单元</w:t>
            </w:r>
          </w:p>
        </w:tc>
      </w:tr>
      <w:tr w14:paraId="3FBB3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07558BA">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57E2C5A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pacing w:val="-2"/>
                <w:sz w:val="21"/>
                <w:szCs w:val="21"/>
                <w:highlight w:val="none"/>
                <w14:ligatures w14:val="none"/>
              </w:rPr>
            </w:pPr>
            <w:r>
              <w:rPr>
                <w:rFonts w:hint="eastAsia" w:ascii="Times New Roman" w:hAnsi="Times New Roman" w:eastAsia="宋体" w:cs="Times New Roman"/>
                <w:color w:val="auto"/>
                <w:kern w:val="28"/>
                <w:sz w:val="21"/>
                <w:szCs w:val="21"/>
                <w:highlight w:val="none"/>
                <w:lang w:val="en-US" w:eastAsia="zh-CN"/>
                <w14:ligatures w14:val="none"/>
              </w:rPr>
              <w:t>总平面布置</w:t>
            </w:r>
          </w:p>
        </w:tc>
        <w:tc>
          <w:tcPr>
            <w:tcW w:w="2179" w:type="pct"/>
            <w:noWrap w:val="0"/>
            <w:vAlign w:val="center"/>
          </w:tcPr>
          <w:p w14:paraId="6CB6864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站区内、外建、构筑物间防火间距满足现行国家标准《汽车加油加气加氢站技术标准》GB50156-2021的相关要求。</w:t>
            </w:r>
          </w:p>
        </w:tc>
        <w:tc>
          <w:tcPr>
            <w:tcW w:w="1438" w:type="pct"/>
            <w:noWrap w:val="0"/>
            <w:vAlign w:val="center"/>
          </w:tcPr>
          <w:p w14:paraId="72398FD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FF0000"/>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站区内、外建、构筑物间防火间距满足现行国家标准《汽车加油加气加氢站技术标准》GB50156-2021的相关要求</w:t>
            </w:r>
          </w:p>
        </w:tc>
        <w:tc>
          <w:tcPr>
            <w:tcW w:w="554" w:type="pct"/>
            <w:noWrap w:val="0"/>
            <w:vAlign w:val="center"/>
          </w:tcPr>
          <w:p w14:paraId="1BDD13F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FF0000"/>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3710F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18181E9">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0AD902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4AA72BC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平面布置严格遵循符合现行国家标准《汽车加油加气加氢站技术标准》GB50156-2021的要求。</w:t>
            </w:r>
          </w:p>
        </w:tc>
        <w:tc>
          <w:tcPr>
            <w:tcW w:w="1438" w:type="pct"/>
            <w:noWrap w:val="0"/>
            <w:vAlign w:val="center"/>
          </w:tcPr>
          <w:p w14:paraId="7EC3096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pacing w:val="10"/>
                <w:sz w:val="21"/>
                <w:szCs w:val="21"/>
                <w:highlight w:val="none"/>
                <w:lang w:val="en-US"/>
                <w14:ligatures w14:val="none"/>
              </w:rPr>
            </w:pPr>
            <w:r>
              <w:rPr>
                <w:rFonts w:hint="default" w:ascii="Times New Roman" w:hAnsi="Times New Roman" w:eastAsia="宋体" w:cs="Times New Roman"/>
                <w:color w:val="auto"/>
                <w:sz w:val="21"/>
                <w:szCs w:val="21"/>
                <w:highlight w:val="none"/>
                <w14:ligatures w14:val="none"/>
              </w:rPr>
              <w:t>平面布置严格遵循符合现行国家标准《汽车加油加气加氢站技术标准》GB50156-2021的要求</w:t>
            </w:r>
          </w:p>
        </w:tc>
        <w:tc>
          <w:tcPr>
            <w:tcW w:w="554" w:type="pct"/>
            <w:noWrap w:val="0"/>
            <w:vAlign w:val="center"/>
          </w:tcPr>
          <w:p w14:paraId="4D505D5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2D349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8F9EFE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7A468EB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05C922F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pacing w:val="10"/>
                <w:sz w:val="21"/>
                <w:szCs w:val="21"/>
                <w:highlight w:val="none"/>
                <w:lang w:eastAsia="zh-CN"/>
                <w14:ligatures w14:val="none"/>
              </w:rPr>
            </w:pPr>
            <w:r>
              <w:rPr>
                <w:rFonts w:hint="eastAsia" w:ascii="Times New Roman" w:hAnsi="Times New Roman" w:eastAsia="宋体" w:cs="Times New Roman"/>
                <w:color w:val="auto"/>
                <w:spacing w:val="10"/>
                <w:sz w:val="21"/>
                <w:szCs w:val="21"/>
                <w:highlight w:val="none"/>
                <w:lang w:eastAsia="zh-CN"/>
                <w14:ligatures w14:val="none"/>
              </w:rPr>
              <w:t>本站场地标高设计原则为站内雨水排向站外。</w:t>
            </w:r>
          </w:p>
        </w:tc>
        <w:tc>
          <w:tcPr>
            <w:tcW w:w="1438" w:type="pct"/>
            <w:noWrap w:val="0"/>
            <w:vAlign w:val="center"/>
          </w:tcPr>
          <w:p w14:paraId="57CBE3A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pacing w:val="10"/>
                <w:kern w:val="2"/>
                <w:sz w:val="21"/>
                <w:szCs w:val="21"/>
                <w:highlight w:val="none"/>
                <w:lang w:val="en-US" w:eastAsia="zh-CN" w:bidi="ar-SA"/>
                <w14:ligatures w14:val="none"/>
              </w:rPr>
            </w:pPr>
            <w:r>
              <w:rPr>
                <w:rFonts w:hint="eastAsia" w:ascii="Times New Roman" w:hAnsi="Times New Roman" w:eastAsia="宋体" w:cs="Times New Roman"/>
                <w:color w:val="auto"/>
                <w:spacing w:val="10"/>
                <w:sz w:val="21"/>
                <w:szCs w:val="21"/>
                <w:highlight w:val="none"/>
                <w:lang w:eastAsia="zh-CN"/>
                <w14:ligatures w14:val="none"/>
              </w:rPr>
              <w:t>站内雨水排向站外</w:t>
            </w:r>
          </w:p>
        </w:tc>
        <w:tc>
          <w:tcPr>
            <w:tcW w:w="554" w:type="pct"/>
            <w:noWrap w:val="0"/>
            <w:vAlign w:val="center"/>
          </w:tcPr>
          <w:p w14:paraId="6D29B4E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0E48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2BA2D573">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E2E389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4231CCF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pacing w:val="10"/>
                <w:sz w:val="21"/>
                <w:szCs w:val="21"/>
                <w:highlight w:val="none"/>
                <w:lang w:eastAsia="zh-CN"/>
                <w14:ligatures w14:val="none"/>
              </w:rPr>
            </w:pPr>
            <w:r>
              <w:rPr>
                <w:rFonts w:hint="eastAsia" w:ascii="Times New Roman" w:hAnsi="Times New Roman" w:eastAsia="宋体" w:cs="Times New Roman"/>
                <w:color w:val="auto"/>
                <w:spacing w:val="10"/>
                <w:sz w:val="21"/>
                <w:szCs w:val="21"/>
                <w:highlight w:val="none"/>
                <w:lang w:eastAsia="zh-CN"/>
                <w14:ligatures w14:val="none"/>
              </w:rPr>
              <w:t>本项目经营的汽柴油由具有危险化学品运输资质的专业公司承担。</w:t>
            </w:r>
          </w:p>
        </w:tc>
        <w:tc>
          <w:tcPr>
            <w:tcW w:w="1438" w:type="pct"/>
            <w:noWrap w:val="0"/>
            <w:vAlign w:val="center"/>
          </w:tcPr>
          <w:p w14:paraId="39EC297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pacing w:val="10"/>
                <w:kern w:val="2"/>
                <w:sz w:val="21"/>
                <w:szCs w:val="21"/>
                <w:highlight w:val="none"/>
                <w:lang w:val="en-US" w:eastAsia="zh-CN" w:bidi="ar-SA"/>
                <w14:ligatures w14:val="none"/>
              </w:rPr>
            </w:pPr>
            <w:r>
              <w:rPr>
                <w:rFonts w:hint="eastAsia" w:ascii="Times New Roman" w:hAnsi="Times New Roman" w:eastAsia="宋体" w:cs="Times New Roman"/>
                <w:color w:val="auto"/>
                <w:spacing w:val="10"/>
                <w:sz w:val="21"/>
                <w:szCs w:val="21"/>
                <w:highlight w:val="none"/>
                <w:lang w:eastAsia="zh-CN"/>
                <w14:ligatures w14:val="none"/>
              </w:rPr>
              <w:t>本项目经营的汽柴油由具有危险化学品运输资质的专业公司承担</w:t>
            </w:r>
          </w:p>
        </w:tc>
        <w:tc>
          <w:tcPr>
            <w:tcW w:w="554" w:type="pct"/>
            <w:noWrap w:val="0"/>
            <w:vAlign w:val="center"/>
          </w:tcPr>
          <w:p w14:paraId="7854CF6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03FCA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4271663">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9FB762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1058BFE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pacing w:val="10"/>
                <w:sz w:val="21"/>
                <w:szCs w:val="21"/>
                <w:highlight w:val="none"/>
                <w:lang w:eastAsia="zh-CN"/>
                <w14:ligatures w14:val="none"/>
              </w:rPr>
            </w:pPr>
            <w:r>
              <w:rPr>
                <w:rFonts w:hint="eastAsia" w:ascii="Times New Roman" w:hAnsi="Times New Roman" w:eastAsia="宋体" w:cs="Times New Roman"/>
                <w:color w:val="auto"/>
                <w:spacing w:val="10"/>
                <w:sz w:val="21"/>
                <w:szCs w:val="21"/>
                <w:highlight w:val="none"/>
                <w:lang w:eastAsia="zh-CN"/>
                <w14:ligatures w14:val="none"/>
              </w:rPr>
              <w:t>站区道路采用混凝土路面，车道宽度满足规范要求，转弯半径15米，卸油区按平坡设计。</w:t>
            </w:r>
          </w:p>
        </w:tc>
        <w:tc>
          <w:tcPr>
            <w:tcW w:w="1438" w:type="pct"/>
            <w:noWrap w:val="0"/>
            <w:vAlign w:val="center"/>
          </w:tcPr>
          <w:p w14:paraId="30A048D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pacing w:val="10"/>
                <w:kern w:val="2"/>
                <w:sz w:val="21"/>
                <w:szCs w:val="21"/>
                <w:highlight w:val="none"/>
                <w:lang w:val="en-US" w:eastAsia="zh-CN" w:bidi="ar-SA"/>
                <w14:ligatures w14:val="none"/>
              </w:rPr>
            </w:pPr>
            <w:r>
              <w:rPr>
                <w:rFonts w:hint="eastAsia" w:ascii="Times New Roman" w:hAnsi="Times New Roman" w:eastAsia="宋体" w:cs="Times New Roman"/>
                <w:color w:val="auto"/>
                <w:spacing w:val="10"/>
                <w:sz w:val="21"/>
                <w:szCs w:val="21"/>
                <w:highlight w:val="none"/>
                <w:lang w:eastAsia="zh-CN"/>
                <w14:ligatures w14:val="none"/>
              </w:rPr>
              <w:t>站区道路采用混凝土路面，车道宽度满足规范要求，转弯半径15</w:t>
            </w:r>
            <w:r>
              <w:rPr>
                <w:rFonts w:hint="eastAsia" w:ascii="Times New Roman" w:hAnsi="Times New Roman" w:eastAsia="宋体" w:cs="Times New Roman"/>
                <w:color w:val="auto"/>
                <w:spacing w:val="10"/>
                <w:sz w:val="21"/>
                <w:szCs w:val="21"/>
                <w:highlight w:val="none"/>
                <w:lang w:val="en-US" w:eastAsia="zh-CN"/>
                <w14:ligatures w14:val="none"/>
              </w:rPr>
              <w:t>m</w:t>
            </w:r>
            <w:r>
              <w:rPr>
                <w:rFonts w:hint="eastAsia" w:ascii="Times New Roman" w:hAnsi="Times New Roman" w:eastAsia="宋体" w:cs="Times New Roman"/>
                <w:color w:val="auto"/>
                <w:spacing w:val="10"/>
                <w:sz w:val="21"/>
                <w:szCs w:val="21"/>
                <w:highlight w:val="none"/>
                <w:lang w:eastAsia="zh-CN"/>
                <w14:ligatures w14:val="none"/>
              </w:rPr>
              <w:t>，卸油区</w:t>
            </w:r>
            <w:r>
              <w:rPr>
                <w:rFonts w:hint="eastAsia" w:ascii="Times New Roman" w:hAnsi="Times New Roman" w:eastAsia="宋体" w:cs="Times New Roman"/>
                <w:color w:val="auto"/>
                <w:spacing w:val="10"/>
                <w:sz w:val="21"/>
                <w:szCs w:val="21"/>
                <w:highlight w:val="none"/>
                <w:lang w:val="en-US" w:eastAsia="zh-CN"/>
                <w14:ligatures w14:val="none"/>
              </w:rPr>
              <w:t>为</w:t>
            </w:r>
            <w:r>
              <w:rPr>
                <w:rFonts w:hint="eastAsia" w:ascii="Times New Roman" w:hAnsi="Times New Roman" w:eastAsia="宋体" w:cs="Times New Roman"/>
                <w:color w:val="auto"/>
                <w:spacing w:val="10"/>
                <w:sz w:val="21"/>
                <w:szCs w:val="21"/>
                <w:highlight w:val="none"/>
                <w:lang w:eastAsia="zh-CN"/>
                <w14:ligatures w14:val="none"/>
              </w:rPr>
              <w:t>平坡</w:t>
            </w:r>
          </w:p>
        </w:tc>
        <w:tc>
          <w:tcPr>
            <w:tcW w:w="554" w:type="pct"/>
            <w:noWrap w:val="0"/>
            <w:vAlign w:val="center"/>
          </w:tcPr>
          <w:p w14:paraId="408F57C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655E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26E232D">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892CCE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3F3CFE5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pacing w:val="10"/>
                <w:sz w:val="21"/>
                <w:szCs w:val="21"/>
                <w:highlight w:val="none"/>
                <w:lang w:eastAsia="zh-CN"/>
                <w14:ligatures w14:val="none"/>
              </w:rPr>
            </w:pPr>
            <w:r>
              <w:rPr>
                <w:rFonts w:hint="eastAsia" w:ascii="Times New Roman" w:hAnsi="Times New Roman" w:eastAsia="宋体" w:cs="Times New Roman"/>
                <w:color w:val="auto"/>
                <w:spacing w:val="10"/>
                <w:sz w:val="21"/>
                <w:szCs w:val="21"/>
                <w:highlight w:val="none"/>
                <w:lang w:eastAsia="zh-CN"/>
                <w14:ligatures w14:val="none"/>
              </w:rPr>
              <w:t>本站出入口分开设置，因地处服务区内，安全疏散通道顺畅，站区临近道路侧分别设置一处出入口，车辆转弯半径15m。</w:t>
            </w:r>
          </w:p>
        </w:tc>
        <w:tc>
          <w:tcPr>
            <w:tcW w:w="1438" w:type="pct"/>
            <w:noWrap w:val="0"/>
            <w:vAlign w:val="center"/>
          </w:tcPr>
          <w:p w14:paraId="64F03AD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pacing w:val="10"/>
                <w:sz w:val="21"/>
                <w:szCs w:val="21"/>
                <w:highlight w:val="none"/>
                <w14:ligatures w14:val="none"/>
              </w:rPr>
            </w:pPr>
            <w:r>
              <w:rPr>
                <w:rFonts w:hint="eastAsia" w:ascii="Times New Roman" w:hAnsi="Times New Roman" w:eastAsia="宋体" w:cs="Times New Roman"/>
                <w:color w:val="auto"/>
                <w:spacing w:val="10"/>
                <w:sz w:val="21"/>
                <w:szCs w:val="21"/>
                <w:highlight w:val="none"/>
                <w:lang w:eastAsia="zh-CN"/>
                <w14:ligatures w14:val="none"/>
              </w:rPr>
              <w:t>本站出入口分开设置，安全疏散通道顺畅，车辆转弯半径15m</w:t>
            </w:r>
          </w:p>
        </w:tc>
        <w:tc>
          <w:tcPr>
            <w:tcW w:w="554" w:type="pct"/>
            <w:noWrap w:val="0"/>
            <w:vAlign w:val="center"/>
          </w:tcPr>
          <w:p w14:paraId="5022C10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5B64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1EC8DAE6">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27D320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0767FF9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pacing w:val="10"/>
                <w:sz w:val="21"/>
                <w:szCs w:val="21"/>
                <w:highlight w:val="none"/>
                <w14:ligatures w14:val="none"/>
              </w:rPr>
            </w:pPr>
            <w:r>
              <w:rPr>
                <w:rFonts w:hint="default" w:ascii="Times New Roman" w:hAnsi="Times New Roman" w:eastAsia="宋体" w:cs="Times New Roman"/>
                <w:color w:val="auto"/>
                <w:spacing w:val="10"/>
                <w:sz w:val="21"/>
                <w:szCs w:val="21"/>
                <w:highlight w:val="none"/>
                <w14:ligatures w14:val="none"/>
              </w:rPr>
              <w:t>本工程新建一层站房一座。建筑类别为公共建筑类，建筑耐火等级为二级。站房内设置营业厅、收银室、财务室、办公室、控制室、卫生间、值班室。</w:t>
            </w:r>
          </w:p>
        </w:tc>
        <w:tc>
          <w:tcPr>
            <w:tcW w:w="1438" w:type="pct"/>
            <w:noWrap w:val="0"/>
            <w:vAlign w:val="center"/>
          </w:tcPr>
          <w:p w14:paraId="416F8AA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FF0000"/>
                <w:sz w:val="21"/>
                <w:szCs w:val="21"/>
                <w:highlight w:val="none"/>
                <w14:ligatures w14:val="none"/>
              </w:rPr>
            </w:pPr>
            <w:r>
              <w:rPr>
                <w:rFonts w:hint="default" w:ascii="Times New Roman" w:hAnsi="Times New Roman" w:eastAsia="宋体" w:cs="Times New Roman"/>
                <w:color w:val="auto"/>
                <w:spacing w:val="10"/>
                <w:sz w:val="21"/>
                <w:szCs w:val="21"/>
                <w:highlight w:val="none"/>
                <w14:ligatures w14:val="none"/>
              </w:rPr>
              <w:t>站房建筑类别为公共建筑类，建筑耐火等级为二级。站房内设置营业厅、收银室、财务室、办公室、控制室、卫生间、值班室</w:t>
            </w:r>
          </w:p>
        </w:tc>
        <w:tc>
          <w:tcPr>
            <w:tcW w:w="554" w:type="pct"/>
            <w:noWrap w:val="0"/>
            <w:vAlign w:val="center"/>
          </w:tcPr>
          <w:p w14:paraId="1997EF8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FF0000"/>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2DE70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0C43C0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416C19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D4DDC4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pacing w:val="10"/>
                <w:sz w:val="21"/>
                <w:szCs w:val="21"/>
                <w:highlight w:val="none"/>
                <w14:ligatures w14:val="none"/>
              </w:rPr>
            </w:pPr>
            <w:r>
              <w:rPr>
                <w:rFonts w:hint="default" w:ascii="Times New Roman" w:hAnsi="Times New Roman" w:eastAsia="宋体" w:cs="Times New Roman"/>
                <w:color w:val="auto"/>
                <w:spacing w:val="10"/>
                <w:sz w:val="21"/>
                <w:szCs w:val="21"/>
                <w:highlight w:val="none"/>
                <w14:ligatures w14:val="none"/>
              </w:rPr>
              <w:t>站内加油机附近设置防撞柱，防止车辆与设施碰撞事故。</w:t>
            </w:r>
          </w:p>
        </w:tc>
        <w:tc>
          <w:tcPr>
            <w:tcW w:w="1438" w:type="pct"/>
            <w:noWrap w:val="0"/>
            <w:vAlign w:val="center"/>
          </w:tcPr>
          <w:p w14:paraId="26BE926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pacing w:val="10"/>
                <w:sz w:val="21"/>
                <w:szCs w:val="21"/>
                <w:highlight w:val="none"/>
                <w14:ligatures w14:val="none"/>
              </w:rPr>
              <w:t>站内加油机附近设置防撞柱</w:t>
            </w:r>
          </w:p>
        </w:tc>
        <w:tc>
          <w:tcPr>
            <w:tcW w:w="554" w:type="pct"/>
            <w:noWrap w:val="0"/>
            <w:vAlign w:val="center"/>
          </w:tcPr>
          <w:p w14:paraId="70A997E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63D37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noWrap w:val="0"/>
            <w:vAlign w:val="center"/>
          </w:tcPr>
          <w:p w14:paraId="369606E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pacing w:val="-2"/>
                <w:sz w:val="21"/>
                <w:szCs w:val="21"/>
                <w:highlight w:val="none"/>
                <w:lang w:val="en-US" w:eastAsia="zh-CN"/>
                <w14:ligatures w14:val="none"/>
              </w:rPr>
            </w:pPr>
            <w:r>
              <w:rPr>
                <w:rFonts w:hint="default" w:ascii="Times New Roman" w:hAnsi="Times New Roman" w:eastAsia="宋体" w:cs="Times New Roman"/>
                <w:color w:val="auto"/>
                <w:spacing w:val="-2"/>
                <w:sz w:val="21"/>
                <w:szCs w:val="21"/>
                <w:highlight w:val="none"/>
                <w14:ligatures w14:val="none"/>
              </w:rPr>
              <w:t>三、</w:t>
            </w:r>
            <w:r>
              <w:rPr>
                <w:rFonts w:hint="eastAsia" w:ascii="Times New Roman" w:hAnsi="Times New Roman" w:eastAsia="宋体" w:cs="Times New Roman"/>
                <w:color w:val="auto"/>
                <w:spacing w:val="-2"/>
                <w:sz w:val="21"/>
                <w:szCs w:val="21"/>
                <w:highlight w:val="none"/>
                <w:lang w:val="en-US" w:eastAsia="zh-CN"/>
                <w14:ligatures w14:val="none"/>
              </w:rPr>
              <w:t>设备及管道</w:t>
            </w:r>
          </w:p>
        </w:tc>
      </w:tr>
      <w:tr w14:paraId="313CD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809FC95">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577614D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设备及管道</w:t>
            </w:r>
          </w:p>
        </w:tc>
        <w:tc>
          <w:tcPr>
            <w:tcW w:w="2179" w:type="pct"/>
            <w:noWrap w:val="0"/>
            <w:vAlign w:val="center"/>
          </w:tcPr>
          <w:p w14:paraId="0A96936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本项目选用的埋地油罐、加油机等设备及管道设计符合现行国家标准《汽车加油加气加氢站技术标准》GB50156-2021的要求。</w:t>
            </w:r>
          </w:p>
        </w:tc>
        <w:tc>
          <w:tcPr>
            <w:tcW w:w="1438" w:type="pct"/>
            <w:noWrap w:val="0"/>
            <w:vAlign w:val="center"/>
          </w:tcPr>
          <w:p w14:paraId="246D205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bCs/>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本项目选用的埋地油罐、加油机等设备及管道设计符合现行国家标准《汽车加油加气加氢站技术标准》GB50156-2021的要求</w:t>
            </w:r>
          </w:p>
        </w:tc>
        <w:tc>
          <w:tcPr>
            <w:tcW w:w="554" w:type="pct"/>
            <w:noWrap w:val="0"/>
            <w:vAlign w:val="center"/>
          </w:tcPr>
          <w:p w14:paraId="0D1CCBC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bCs/>
                <w:color w:val="auto"/>
                <w:sz w:val="21"/>
                <w:szCs w:val="21"/>
                <w:highlight w:val="none"/>
                <w14:ligatures w14:val="none"/>
              </w:rPr>
            </w:pPr>
            <w:r>
              <w:rPr>
                <w:rFonts w:hint="default" w:ascii="Times New Roman" w:hAnsi="Times New Roman" w:eastAsia="宋体" w:cs="Times New Roman"/>
                <w:bCs/>
                <w:color w:val="auto"/>
                <w:sz w:val="21"/>
                <w:szCs w:val="21"/>
                <w:highlight w:val="none"/>
                <w14:ligatures w14:val="none"/>
              </w:rPr>
              <w:t>符合</w:t>
            </w:r>
          </w:p>
        </w:tc>
      </w:tr>
      <w:tr w14:paraId="10C21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2506390A">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9A6426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6AEE8F5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加油站的储油罐采用卧式钢制油罐。油罐的设计和制造，满足油罐在所承受外压作用下的强度要求。满足环保要求。</w:t>
            </w:r>
          </w:p>
        </w:tc>
        <w:tc>
          <w:tcPr>
            <w:tcW w:w="1438" w:type="pct"/>
            <w:noWrap w:val="0"/>
            <w:vAlign w:val="center"/>
          </w:tcPr>
          <w:p w14:paraId="2C779A6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bCs/>
                <w:color w:val="auto"/>
                <w:sz w:val="21"/>
                <w:szCs w:val="21"/>
                <w:highlight w:val="none"/>
                <w:lang w:eastAsia="zh-CN"/>
                <w14:ligatures w14:val="none"/>
              </w:rPr>
            </w:pPr>
            <w:r>
              <w:rPr>
                <w:rFonts w:hint="default" w:ascii="Times New Roman" w:hAnsi="Times New Roman" w:eastAsia="宋体" w:cs="Times New Roman"/>
                <w:color w:val="auto"/>
                <w:sz w:val="21"/>
                <w:szCs w:val="21"/>
                <w:highlight w:val="none"/>
                <w14:ligatures w14:val="none"/>
              </w:rPr>
              <w:t>加油站的储油罐采用卧式钢制油罐。油罐满足所承受外压作用下的强度要求。满足环保要求</w:t>
            </w:r>
          </w:p>
        </w:tc>
        <w:tc>
          <w:tcPr>
            <w:tcW w:w="554" w:type="pct"/>
            <w:noWrap w:val="0"/>
            <w:vAlign w:val="center"/>
          </w:tcPr>
          <w:p w14:paraId="543BEA2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bCs/>
                <w:color w:val="auto"/>
                <w:sz w:val="21"/>
                <w:szCs w:val="21"/>
                <w:highlight w:val="none"/>
                <w14:ligatures w14:val="none"/>
              </w:rPr>
            </w:pPr>
            <w:r>
              <w:rPr>
                <w:rFonts w:hint="default" w:ascii="Times New Roman" w:hAnsi="Times New Roman" w:eastAsia="宋体" w:cs="Times New Roman"/>
                <w:bCs/>
                <w:color w:val="auto"/>
                <w:sz w:val="21"/>
                <w:szCs w:val="21"/>
                <w:highlight w:val="none"/>
                <w14:ligatures w14:val="none"/>
              </w:rPr>
              <w:t>符合</w:t>
            </w:r>
          </w:p>
        </w:tc>
      </w:tr>
      <w:tr w14:paraId="2F7C2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8CB7F4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54BD51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0CF53C3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油罐的人孔设操作井。</w:t>
            </w:r>
          </w:p>
        </w:tc>
        <w:tc>
          <w:tcPr>
            <w:tcW w:w="1438" w:type="pct"/>
            <w:noWrap w:val="0"/>
            <w:vAlign w:val="center"/>
          </w:tcPr>
          <w:p w14:paraId="2AF9269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bCs/>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油罐的人孔设操作井</w:t>
            </w:r>
          </w:p>
        </w:tc>
        <w:tc>
          <w:tcPr>
            <w:tcW w:w="554" w:type="pct"/>
            <w:noWrap w:val="0"/>
            <w:vAlign w:val="center"/>
          </w:tcPr>
          <w:p w14:paraId="5B9BE30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bCs/>
                <w:color w:val="auto"/>
                <w:sz w:val="21"/>
                <w:szCs w:val="21"/>
                <w:highlight w:val="none"/>
                <w14:ligatures w14:val="none"/>
              </w:rPr>
            </w:pPr>
            <w:r>
              <w:rPr>
                <w:rFonts w:hint="default" w:ascii="Times New Roman" w:hAnsi="Times New Roman" w:eastAsia="宋体" w:cs="Times New Roman"/>
                <w:bCs/>
                <w:color w:val="auto"/>
                <w:sz w:val="21"/>
                <w:szCs w:val="21"/>
                <w:highlight w:val="none"/>
                <w14:ligatures w14:val="none"/>
              </w:rPr>
              <w:t>符合</w:t>
            </w:r>
          </w:p>
        </w:tc>
      </w:tr>
      <w:tr w14:paraId="06B84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14AF4251">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2B679C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0C8F13B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储罐设置具有高液位报警功能的液位仪。当油料达到油罐容量90%时，能触动高液位报警装置。进油立管设置卸油防溢阀，当油料达到油罐容量95%时，能自动停止油料继续进罐。</w:t>
            </w:r>
          </w:p>
        </w:tc>
        <w:tc>
          <w:tcPr>
            <w:tcW w:w="1438" w:type="pct"/>
            <w:noWrap w:val="0"/>
            <w:vAlign w:val="center"/>
          </w:tcPr>
          <w:p w14:paraId="19189BC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eastAsia="zh-CN"/>
                <w14:ligatures w14:val="none"/>
              </w:rPr>
            </w:pPr>
            <w:r>
              <w:rPr>
                <w:rFonts w:hint="default" w:ascii="Times New Roman" w:hAnsi="Times New Roman" w:eastAsia="宋体" w:cs="Times New Roman"/>
                <w:color w:val="auto"/>
                <w:sz w:val="21"/>
                <w:szCs w:val="21"/>
                <w:highlight w:val="none"/>
                <w14:ligatures w14:val="none"/>
              </w:rPr>
              <w:t>储罐设置具有高液位报警功能的液位仪。当油料达到油罐容量90%时，能触动高液位报警装置。进油立管设置卸油防溢阀，当油料达到油罐容量95%时，能自动停止油料继续进罐</w:t>
            </w:r>
          </w:p>
        </w:tc>
        <w:tc>
          <w:tcPr>
            <w:tcW w:w="554" w:type="pct"/>
            <w:noWrap w:val="0"/>
            <w:vAlign w:val="center"/>
          </w:tcPr>
          <w:p w14:paraId="5EAADAB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124BE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E8A56EF">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26D925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529A17B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油罐的顶部覆土厚度2.0m。</w:t>
            </w:r>
          </w:p>
        </w:tc>
        <w:tc>
          <w:tcPr>
            <w:tcW w:w="1438" w:type="pct"/>
            <w:noWrap w:val="0"/>
            <w:vAlign w:val="center"/>
          </w:tcPr>
          <w:p w14:paraId="05D3765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油罐的顶部覆土厚度2.0m</w:t>
            </w:r>
          </w:p>
        </w:tc>
        <w:tc>
          <w:tcPr>
            <w:tcW w:w="554" w:type="pct"/>
            <w:noWrap w:val="0"/>
            <w:vAlign w:val="center"/>
          </w:tcPr>
          <w:p w14:paraId="2D63439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600E8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05D037A">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D6A7E4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0D34AA1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本站加油机具备油气回收功能，加油机底部与油气回收立管的连接处安装了用于检测液阻和系统密闭性的丝接三通，其旁通短管上设置了公称直径为25mm的球阀及丝堵。</w:t>
            </w:r>
          </w:p>
        </w:tc>
        <w:tc>
          <w:tcPr>
            <w:tcW w:w="1438" w:type="pct"/>
            <w:noWrap w:val="0"/>
            <w:vAlign w:val="center"/>
          </w:tcPr>
          <w:p w14:paraId="1725FF9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本站加油机具备油气回收功能，加油机底部与油气回收立管的连接处安装用于检测液阻和系统密闭性的丝接三通，其旁通短管上设置公称直径为25mm的球阀及丝堵</w:t>
            </w:r>
          </w:p>
        </w:tc>
        <w:tc>
          <w:tcPr>
            <w:tcW w:w="554" w:type="pct"/>
            <w:noWrap w:val="0"/>
            <w:vAlign w:val="center"/>
          </w:tcPr>
          <w:p w14:paraId="7B40F75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79C4B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35EB73B">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75CFBFA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58D8647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油罐的接合管设置符合下列规定：</w:t>
            </w:r>
          </w:p>
          <w:p w14:paraId="331A5A6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（1）接合管为金属材质。</w:t>
            </w:r>
          </w:p>
          <w:p w14:paraId="259DD41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（2）接合管设在油罐的顶部，其中进油接合管、出油接合管（或潜油泵安装口）、通气（或油气回收）接合管口设在人孔盖上。</w:t>
            </w:r>
          </w:p>
          <w:p w14:paraId="69963E8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（3）进油管伸至罐内距罐底100mm 处。进油立管的底端应为45°斜管口。进油管管壁上无与油罐气相空间相通的开口。</w:t>
            </w:r>
          </w:p>
          <w:p w14:paraId="4EF8977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（4）油罐的量油孔设带锁的量油帽。量油孔下部的接合管向下伸至罐内距罐底200mm处，并应有检尺时使接合管内液位与罐内液位相一致的技术措施。</w:t>
            </w:r>
          </w:p>
          <w:p w14:paraId="5B7E985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（5）油罐人孔井内的管道及设备，设有法兰能保证油罐人孔盖的可拆装性。</w:t>
            </w:r>
          </w:p>
          <w:p w14:paraId="434C806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（6）卸油管道采用20#无缝钢管，加油管道采用双层热塑性管道，车行道下钢管加装套管保护。</w:t>
            </w:r>
          </w:p>
          <w:p w14:paraId="7F7FD36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（7）汽、柴油罐的通气管口设置阻火器，汽油通气管口设置呼吸阀。</w:t>
            </w:r>
          </w:p>
        </w:tc>
        <w:tc>
          <w:tcPr>
            <w:tcW w:w="1438" w:type="pct"/>
            <w:noWrap w:val="0"/>
            <w:vAlign w:val="center"/>
          </w:tcPr>
          <w:p w14:paraId="6B4E61D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油罐的接合管设置符合下列规定：</w:t>
            </w:r>
          </w:p>
          <w:p w14:paraId="0763DB7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（1）接合管为金属材质。</w:t>
            </w:r>
          </w:p>
          <w:p w14:paraId="46E1F2D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（2）接合管设在油罐的顶部，其中进油接合管、出油接合管（或潜油泵安装口）、通气（或油气回收）接合管口设在人孔盖上。</w:t>
            </w:r>
          </w:p>
          <w:p w14:paraId="070C41A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（3）进油管伸至罐内距罐底100mm 处。进油立管的底端为45°斜管口。进油管管壁上无与油罐气相空间相通的开口。</w:t>
            </w:r>
          </w:p>
          <w:p w14:paraId="2914AE1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（4）油罐的量油孔设带锁的量油帽。量油孔下部的接合管向下伸至罐内距罐底200mm处，并有检尺时使接合管内液位与罐内液位相一致的技术措施。</w:t>
            </w:r>
          </w:p>
          <w:p w14:paraId="10C1232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（5）油罐人孔井内的管道及设备，设有法兰能保证油罐人孔盖的可拆装性。</w:t>
            </w:r>
          </w:p>
          <w:p w14:paraId="4830589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（6）卸油管道采用20#无缝钢管，加油管道采用双层热塑性管道，车行道下钢管加装套管保护。</w:t>
            </w:r>
          </w:p>
          <w:p w14:paraId="4E5E10C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（7）汽、柴油罐的通气管口设置阻火器，汽油通气管口设置呼吸阀。</w:t>
            </w:r>
          </w:p>
        </w:tc>
        <w:tc>
          <w:tcPr>
            <w:tcW w:w="554" w:type="pct"/>
            <w:noWrap w:val="0"/>
            <w:vAlign w:val="center"/>
          </w:tcPr>
          <w:p w14:paraId="148C07C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704FD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21DA323A">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CE49DB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2FD1FE2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站的卸油管道采用无缝钢管，潜油泵底部的进油管道设置防溢剪切阀；出油管道根据规范要求采用导静电双层热塑性塑料管道，管道坡度0.005，坡向操作井，操作井内设置双层管道渗漏检测接口及检测装置（由双层管道厂家提供）。</w:t>
            </w:r>
          </w:p>
        </w:tc>
        <w:tc>
          <w:tcPr>
            <w:tcW w:w="1438" w:type="pct"/>
            <w:noWrap w:val="0"/>
            <w:vAlign w:val="center"/>
          </w:tcPr>
          <w:p w14:paraId="75F4FCA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加油站的卸油管道采用无缝钢管，潜油泵底部的进油管道设置防溢剪切阀；出油管道采用导静电双层热塑性塑料管道，管道坡度0.005，坡向操作井，操作井内设置双层管道渗漏检测接口及检测装置</w:t>
            </w:r>
          </w:p>
        </w:tc>
        <w:tc>
          <w:tcPr>
            <w:tcW w:w="554" w:type="pct"/>
            <w:noWrap w:val="0"/>
            <w:vAlign w:val="center"/>
          </w:tcPr>
          <w:p w14:paraId="7094113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39751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226D1BAD">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D9A589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343E04A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noWrap w:val="0"/>
            <w:vAlign w:val="center"/>
          </w:tcPr>
          <w:p w14:paraId="5F513D6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4" w:type="pct"/>
            <w:noWrap w:val="0"/>
            <w:vAlign w:val="center"/>
          </w:tcPr>
          <w:p w14:paraId="12C5F63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3DF76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343816B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B6A63F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28DE637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加油机上每条加油枪对应有各油品的文字标识，加油枪有颜色标识；</w:t>
            </w:r>
          </w:p>
        </w:tc>
        <w:tc>
          <w:tcPr>
            <w:tcW w:w="1438" w:type="pct"/>
            <w:noWrap w:val="0"/>
            <w:vAlign w:val="center"/>
          </w:tcPr>
          <w:p w14:paraId="0AE434C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加油机上每条加油枪对应有各油品的文字标识，加油枪有颜色标识</w:t>
            </w:r>
          </w:p>
        </w:tc>
        <w:tc>
          <w:tcPr>
            <w:tcW w:w="554" w:type="pct"/>
            <w:noWrap w:val="0"/>
            <w:vAlign w:val="center"/>
          </w:tcPr>
          <w:p w14:paraId="3FED1A1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C137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A0EBF6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A958AB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56B9604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加油岛端部附近设置高度为0.6m的防撞柱。</w:t>
            </w:r>
          </w:p>
        </w:tc>
        <w:tc>
          <w:tcPr>
            <w:tcW w:w="1438" w:type="pct"/>
            <w:noWrap w:val="0"/>
            <w:vAlign w:val="center"/>
          </w:tcPr>
          <w:p w14:paraId="12F7E7E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加油岛端部附近设置高度为0.6m的防撞柱</w:t>
            </w:r>
          </w:p>
        </w:tc>
        <w:tc>
          <w:tcPr>
            <w:tcW w:w="554" w:type="pct"/>
            <w:noWrap w:val="0"/>
            <w:vAlign w:val="center"/>
          </w:tcPr>
          <w:p w14:paraId="43768A5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856E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2BE9FC1">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3095985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D1200F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油罐车卸油采用密闭卸油方式。</w:t>
            </w:r>
          </w:p>
        </w:tc>
        <w:tc>
          <w:tcPr>
            <w:tcW w:w="1438" w:type="pct"/>
            <w:noWrap w:val="0"/>
            <w:vAlign w:val="center"/>
          </w:tcPr>
          <w:p w14:paraId="348C4EF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油罐车卸油采用密闭卸油方式</w:t>
            </w:r>
          </w:p>
        </w:tc>
        <w:tc>
          <w:tcPr>
            <w:tcW w:w="554" w:type="pct"/>
            <w:noWrap w:val="0"/>
            <w:vAlign w:val="center"/>
          </w:tcPr>
          <w:p w14:paraId="1944F88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73BAA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F91D2A0">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49C221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437DE06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设置卸油油气回收及加油油气回收系统。</w:t>
            </w:r>
          </w:p>
        </w:tc>
        <w:tc>
          <w:tcPr>
            <w:tcW w:w="1438" w:type="pct"/>
            <w:noWrap w:val="0"/>
            <w:vAlign w:val="center"/>
          </w:tcPr>
          <w:p w14:paraId="63360FC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设置卸油油气回收及加油油气回收系统</w:t>
            </w:r>
          </w:p>
        </w:tc>
        <w:tc>
          <w:tcPr>
            <w:tcW w:w="554" w:type="pct"/>
            <w:noWrap w:val="0"/>
            <w:vAlign w:val="center"/>
          </w:tcPr>
          <w:p w14:paraId="16DD682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7785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noWrap w:val="0"/>
            <w:vAlign w:val="center"/>
          </w:tcPr>
          <w:p w14:paraId="2DF2365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四、</w:t>
            </w:r>
            <w:r>
              <w:rPr>
                <w:rFonts w:hint="eastAsia" w:ascii="Times New Roman" w:hAnsi="Times New Roman" w:eastAsia="宋体" w:cs="Times New Roman"/>
                <w:color w:val="auto"/>
                <w:sz w:val="21"/>
                <w:szCs w:val="21"/>
                <w:highlight w:val="none"/>
                <w:lang w:val="en-US" w:eastAsia="zh-CN"/>
                <w14:ligatures w14:val="none"/>
              </w:rPr>
              <w:t>电气</w:t>
            </w:r>
          </w:p>
        </w:tc>
      </w:tr>
      <w:tr w14:paraId="332C7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4C1AB1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6AD0A61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eastAsia="zh-CN"/>
                <w14:ligatures w14:val="none"/>
              </w:rPr>
            </w:pPr>
            <w:r>
              <w:rPr>
                <w:rFonts w:hint="eastAsia" w:ascii="Times New Roman" w:hAnsi="Times New Roman" w:eastAsia="宋体" w:cs="Times New Roman"/>
                <w:color w:val="auto"/>
                <w:sz w:val="21"/>
                <w:szCs w:val="21"/>
                <w:highlight w:val="none"/>
                <w:lang w:val="en-US" w:eastAsia="zh-CN"/>
                <w14:ligatures w14:val="none"/>
              </w:rPr>
              <w:t>电气</w:t>
            </w:r>
          </w:p>
        </w:tc>
        <w:tc>
          <w:tcPr>
            <w:tcW w:w="2179" w:type="pct"/>
            <w:noWrap w:val="0"/>
            <w:vAlign w:val="center"/>
          </w:tcPr>
          <w:p w14:paraId="63D4EC8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供电的负荷等级及供电方案</w:t>
            </w:r>
          </w:p>
          <w:p w14:paraId="50E1869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 xml:space="preserve">负荷等级：本工程供电负荷等级为三级。 </w:t>
            </w:r>
          </w:p>
          <w:p w14:paraId="5AE836E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供电方案：本工程加油站主电源引自</w:t>
            </w:r>
            <w:r>
              <w:rPr>
                <w:rFonts w:hint="eastAsia" w:ascii="Times New Roman" w:hAnsi="Times New Roman" w:eastAsia="宋体" w:cs="Times New Roman"/>
                <w:color w:val="auto"/>
                <w:sz w:val="21"/>
                <w:szCs w:val="21"/>
                <w:highlight w:val="none"/>
                <w:lang w:val="en-US" w:eastAsia="zh-CN"/>
                <w14:ligatures w14:val="none"/>
              </w:rPr>
              <w:t>综合楼</w:t>
            </w:r>
            <w:r>
              <w:rPr>
                <w:rFonts w:hint="default" w:ascii="Times New Roman" w:hAnsi="Times New Roman" w:eastAsia="宋体" w:cs="Times New Roman"/>
                <w:color w:val="auto"/>
                <w:sz w:val="21"/>
                <w:szCs w:val="21"/>
                <w:highlight w:val="none"/>
                <w14:ligatures w14:val="none"/>
              </w:rPr>
              <w:t>低压配电室。配电电压为380/220V，加油站配电系统接地型式采用TN-S系统，总配电柜内引出的配电线路PE线与N线分开设置；采用放射式供电方式。总动力配电箱安装于站房控制室内，各分配电箱电源均引自站内总动力配电箱。</w:t>
            </w:r>
          </w:p>
          <w:p w14:paraId="5D3940D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加油站用电负荷约为62kW，其中自控、仪表用电负荷约3.5kW。自控、仪表用电负荷选用在线式UPS作为不间断电源。</w:t>
            </w:r>
          </w:p>
        </w:tc>
        <w:tc>
          <w:tcPr>
            <w:tcW w:w="1438" w:type="pct"/>
            <w:noWrap w:val="0"/>
            <w:vAlign w:val="center"/>
          </w:tcPr>
          <w:p w14:paraId="5008A6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供电的负荷等级及供电方案</w:t>
            </w:r>
          </w:p>
          <w:p w14:paraId="57BAA5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 xml:space="preserve">负荷等级：本工程供电负荷等级为三级。 </w:t>
            </w:r>
          </w:p>
          <w:p w14:paraId="008670E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供电方案：本工程加油站主电源引自从</w:t>
            </w:r>
            <w:r>
              <w:rPr>
                <w:rFonts w:hint="eastAsia" w:ascii="Times New Roman" w:hAnsi="Times New Roman" w:eastAsia="宋体" w:cs="Times New Roman"/>
                <w:color w:val="auto"/>
                <w:sz w:val="21"/>
                <w:szCs w:val="21"/>
                <w:highlight w:val="none"/>
                <w:lang w:val="en-US" w:eastAsia="zh-CN"/>
                <w14:ligatures w14:val="none"/>
              </w:rPr>
              <w:t>综合用房</w:t>
            </w:r>
            <w:r>
              <w:rPr>
                <w:rFonts w:hint="default" w:ascii="Times New Roman" w:hAnsi="Times New Roman" w:eastAsia="宋体" w:cs="Times New Roman"/>
                <w:color w:val="auto"/>
                <w:sz w:val="21"/>
                <w:szCs w:val="21"/>
                <w:highlight w:val="none"/>
                <w14:ligatures w14:val="none"/>
              </w:rPr>
              <w:t>低压配电室二级负荷母线引来一路380V电源，加油站配电系统接地型式采用TN-S系统，总配电柜内引出的配电线路PE线与N线分开设置；采用放射式供电方式。总动力配电箱安装于站房控制室内，各分配电箱电源均引自站内总动力配电箱。</w:t>
            </w:r>
          </w:p>
          <w:p w14:paraId="4F7352E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加油站用电负荷约为62kW，其中自控、仪表用电负荷约3.5kW。自控、仪表用电负荷选用在线式UPS作为不间断电源</w:t>
            </w:r>
          </w:p>
        </w:tc>
        <w:tc>
          <w:tcPr>
            <w:tcW w:w="554" w:type="pct"/>
            <w:noWrap w:val="0"/>
            <w:vAlign w:val="center"/>
          </w:tcPr>
          <w:p w14:paraId="6393103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7F85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14E82E56">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26B3DD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3772265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安全距离严格执行现行国家标准《汽车加油加气加氢站技术标准》GB50156-2021的要求</w:t>
            </w:r>
          </w:p>
        </w:tc>
        <w:tc>
          <w:tcPr>
            <w:tcW w:w="1438" w:type="pct"/>
            <w:noWrap w:val="0"/>
            <w:vAlign w:val="center"/>
          </w:tcPr>
          <w:p w14:paraId="2101DA3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安全距离</w:t>
            </w:r>
            <w:r>
              <w:rPr>
                <w:rFonts w:hint="eastAsia" w:ascii="Times New Roman" w:hAnsi="Times New Roman" w:eastAsia="宋体" w:cs="Times New Roman"/>
                <w:color w:val="auto"/>
                <w:sz w:val="21"/>
                <w:szCs w:val="21"/>
                <w:highlight w:val="none"/>
                <w:lang w:val="en-US" w:eastAsia="zh-CN"/>
                <w14:ligatures w14:val="none"/>
              </w:rPr>
              <w:t>符合</w:t>
            </w:r>
            <w:r>
              <w:rPr>
                <w:rFonts w:hint="default" w:ascii="Times New Roman" w:hAnsi="Times New Roman" w:eastAsia="宋体" w:cs="Times New Roman"/>
                <w:color w:val="auto"/>
                <w:sz w:val="21"/>
                <w:szCs w:val="21"/>
                <w:highlight w:val="none"/>
                <w14:ligatures w14:val="none"/>
              </w:rPr>
              <w:t>现行国家标准《汽车加油加气加氢站技术标准》GB50156-2021的要求</w:t>
            </w:r>
          </w:p>
        </w:tc>
        <w:tc>
          <w:tcPr>
            <w:tcW w:w="554" w:type="pct"/>
            <w:noWrap w:val="0"/>
            <w:vAlign w:val="center"/>
          </w:tcPr>
          <w:p w14:paraId="11FBB5D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26FCF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C20737A">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91A557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55A46C1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爆炸危险场所区域的划分根据现行国家标准《汽车加油加气加氢站技术标准》GB50156-2021中有关规定进行。</w:t>
            </w:r>
          </w:p>
        </w:tc>
        <w:tc>
          <w:tcPr>
            <w:tcW w:w="1438" w:type="pct"/>
            <w:noWrap w:val="0"/>
            <w:vAlign w:val="center"/>
          </w:tcPr>
          <w:p w14:paraId="3CCF5DE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eastAsia="zh-CN"/>
                <w14:ligatures w14:val="none"/>
              </w:rPr>
            </w:pPr>
            <w:r>
              <w:rPr>
                <w:rFonts w:hint="default" w:ascii="Times New Roman" w:hAnsi="Times New Roman" w:eastAsia="宋体" w:cs="Times New Roman"/>
                <w:color w:val="auto"/>
                <w:sz w:val="21"/>
                <w:szCs w:val="21"/>
                <w:highlight w:val="none"/>
                <w14:ligatures w14:val="none"/>
              </w:rPr>
              <w:t>爆炸危险场所区域的划分</w:t>
            </w:r>
            <w:r>
              <w:rPr>
                <w:rFonts w:hint="eastAsia" w:ascii="Times New Roman" w:hAnsi="Times New Roman" w:eastAsia="宋体" w:cs="Times New Roman"/>
                <w:color w:val="auto"/>
                <w:sz w:val="21"/>
                <w:szCs w:val="21"/>
                <w:highlight w:val="none"/>
                <w:lang w:val="en-US" w:eastAsia="zh-CN"/>
                <w14:ligatures w14:val="none"/>
              </w:rPr>
              <w:t>符合</w:t>
            </w:r>
            <w:r>
              <w:rPr>
                <w:rFonts w:hint="default" w:ascii="Times New Roman" w:hAnsi="Times New Roman" w:eastAsia="宋体" w:cs="Times New Roman"/>
                <w:color w:val="auto"/>
                <w:sz w:val="21"/>
                <w:szCs w:val="21"/>
                <w:highlight w:val="none"/>
                <w14:ligatures w14:val="none"/>
              </w:rPr>
              <w:t>现行国家标准《汽车加油加气加氢站技术标准》GB50156-2021中有关规定</w:t>
            </w:r>
          </w:p>
        </w:tc>
        <w:tc>
          <w:tcPr>
            <w:tcW w:w="554" w:type="pct"/>
            <w:noWrap w:val="0"/>
            <w:vAlign w:val="center"/>
          </w:tcPr>
          <w:p w14:paraId="701186E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85E5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70BE6C7">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71FD072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1A23C2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加油机壳体内部空间划为1区。以加油机中心线为中心线，以半径为3m的地面区域为底面和以加油机顶部以上0.15m半径为1.5m的平面为顶面的圆台形空间划为2区。</w:t>
            </w:r>
          </w:p>
        </w:tc>
        <w:tc>
          <w:tcPr>
            <w:tcW w:w="1438" w:type="pct"/>
            <w:noWrap w:val="0"/>
            <w:vAlign w:val="center"/>
          </w:tcPr>
          <w:p w14:paraId="4E201BD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eastAsia="zh-CN"/>
                <w14:ligatures w14:val="none"/>
              </w:rPr>
            </w:pPr>
            <w:r>
              <w:rPr>
                <w:rFonts w:hint="default" w:ascii="Times New Roman" w:hAnsi="Times New Roman" w:eastAsia="宋体" w:cs="Times New Roman"/>
                <w:color w:val="auto"/>
                <w:sz w:val="21"/>
                <w:szCs w:val="21"/>
                <w:highlight w:val="none"/>
                <w14:ligatures w14:val="none"/>
              </w:rPr>
              <w:t>加油机壳体内部空间划为1区。以加油机中心线为中心线，以半径为3m的地面区域为底面和以加油机顶部以上0.15m半径为1.5m的平面为顶面的圆台形空间划为2区</w:t>
            </w:r>
          </w:p>
        </w:tc>
        <w:tc>
          <w:tcPr>
            <w:tcW w:w="554" w:type="pct"/>
            <w:noWrap w:val="0"/>
            <w:vAlign w:val="center"/>
          </w:tcPr>
          <w:p w14:paraId="00B6B1C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744CA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293E922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F8B1C3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534C995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埋地卧式储罐内部油品表面以上的空间划为0区。人孔（阀）井内部空间、以通气管管口为中心，半径为0.75m的球形空间和以密闭缷油口为中心，半径为0.5m的球形空间划为1区。</w:t>
            </w:r>
          </w:p>
        </w:tc>
        <w:tc>
          <w:tcPr>
            <w:tcW w:w="1438" w:type="pct"/>
            <w:noWrap w:val="0"/>
            <w:vAlign w:val="center"/>
          </w:tcPr>
          <w:p w14:paraId="16DFFCF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埋地卧式储罐内部油品表面以上的空间划为0区。人孔（阀）井内部空间、以通气管管口为中心，半径为0.75m的球形空间和以密闭缷油口为中心，半径为0.5m的球形空间划为1区</w:t>
            </w:r>
          </w:p>
        </w:tc>
        <w:tc>
          <w:tcPr>
            <w:tcW w:w="554" w:type="pct"/>
            <w:noWrap w:val="0"/>
            <w:vAlign w:val="center"/>
          </w:tcPr>
          <w:p w14:paraId="442F356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09294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0B90CD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971901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4DDF71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距人孔（阀）井外边缘1.5m以内，自地面算起1m高的圆柱形空间、以通气管管口为中心，半径为2m的球形空间和以密闭缷油口为中心，半径为1.5m的球形并延至地面的空间划为2区。</w:t>
            </w:r>
          </w:p>
        </w:tc>
        <w:tc>
          <w:tcPr>
            <w:tcW w:w="1438" w:type="pct"/>
            <w:noWrap w:val="0"/>
            <w:vAlign w:val="center"/>
          </w:tcPr>
          <w:p w14:paraId="1CD76EE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距人孔（阀）井外边缘1.5m以内，自地面算起1m高的圆柱形空间、以通气管管口为中心，半径为2m的球形空间和以密闭缷油口为中心，半径为1.5m的球形并延至地面的空间划为2区</w:t>
            </w:r>
          </w:p>
        </w:tc>
        <w:tc>
          <w:tcPr>
            <w:tcW w:w="554" w:type="pct"/>
            <w:noWrap w:val="0"/>
            <w:vAlign w:val="center"/>
          </w:tcPr>
          <w:p w14:paraId="32C19F3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55D41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1C1AEC0E">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7C026D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4E6158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爆炸和危险场所的配电设备的选择严格执行《爆炸危险环境电力装置设计规范》GB50058-2014的规定。电气设备的防爆等级不低于d IIBT4。</w:t>
            </w:r>
          </w:p>
        </w:tc>
        <w:tc>
          <w:tcPr>
            <w:tcW w:w="1438" w:type="pct"/>
            <w:noWrap w:val="0"/>
            <w:vAlign w:val="center"/>
          </w:tcPr>
          <w:p w14:paraId="6B884A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eastAsia="zh-CN"/>
                <w14:ligatures w14:val="none"/>
              </w:rPr>
            </w:pPr>
            <w:r>
              <w:rPr>
                <w:rFonts w:hint="default" w:ascii="Times New Roman" w:hAnsi="Times New Roman" w:eastAsia="宋体" w:cs="Times New Roman"/>
                <w:color w:val="auto"/>
                <w:sz w:val="21"/>
                <w:szCs w:val="21"/>
                <w:highlight w:val="none"/>
                <w14:ligatures w14:val="none"/>
              </w:rPr>
              <w:t>爆炸和危险场所的配电设备的选择严格执行《爆炸危险环境电力装置设计规范》GB50058-2014的规定。电气设备的防爆等级不低于d IIBT4</w:t>
            </w:r>
          </w:p>
        </w:tc>
        <w:tc>
          <w:tcPr>
            <w:tcW w:w="554" w:type="pct"/>
            <w:noWrap w:val="0"/>
            <w:vAlign w:val="center"/>
          </w:tcPr>
          <w:p w14:paraId="5B18AA4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kern w:val="28"/>
                <w:sz w:val="21"/>
                <w:szCs w:val="21"/>
                <w:highlight w:val="none"/>
                <w14:ligatures w14:val="none"/>
              </w:rPr>
              <w:t>符合</w:t>
            </w:r>
          </w:p>
        </w:tc>
      </w:tr>
      <w:tr w14:paraId="2D3DF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DE3AC2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966F31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1AFBEBA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进入防爆区域内电缆采用防爆接线盒(ExdIIBT4）接线，用防爆胶泥密封。</w:t>
            </w:r>
          </w:p>
        </w:tc>
        <w:tc>
          <w:tcPr>
            <w:tcW w:w="1438" w:type="pct"/>
            <w:noWrap w:val="0"/>
            <w:vAlign w:val="center"/>
          </w:tcPr>
          <w:p w14:paraId="16F9DFE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防爆区域内电缆采用防爆接线盒(ExdIIBT4）接线，用防爆胶泥密封</w:t>
            </w:r>
          </w:p>
        </w:tc>
        <w:tc>
          <w:tcPr>
            <w:tcW w:w="554" w:type="pct"/>
            <w:noWrap w:val="0"/>
            <w:vAlign w:val="center"/>
          </w:tcPr>
          <w:p w14:paraId="4EC021B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3B936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698F0B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AA9A93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2E5EE0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加油站内爆炸危险区域以外的站房、罩棚等建筑物内的照明灯具，选用非防爆型，罩棚下的灯具选用防护等级不低于IP55的节能型照明灯具。</w:t>
            </w:r>
          </w:p>
        </w:tc>
        <w:tc>
          <w:tcPr>
            <w:tcW w:w="1438" w:type="pct"/>
            <w:noWrap w:val="0"/>
            <w:vAlign w:val="center"/>
          </w:tcPr>
          <w:p w14:paraId="06DD104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加油站内爆炸危险区域以外的站房、罩棚等建筑物内的照明灯具，选用非防爆型，罩棚下的灯具选用防护等级不低于IP55的节能型照明灯具</w:t>
            </w:r>
          </w:p>
        </w:tc>
        <w:tc>
          <w:tcPr>
            <w:tcW w:w="554" w:type="pct"/>
            <w:noWrap w:val="0"/>
            <w:vAlign w:val="center"/>
          </w:tcPr>
          <w:p w14:paraId="2C8CE85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26876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362864F">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CC3382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54F3798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罩棚、便利店、值班室、控制室设置应急照明，应急照明持续供电时间不少于90min。采用双控开关控制，市电故障断电时自动点亮。</w:t>
            </w:r>
          </w:p>
        </w:tc>
        <w:tc>
          <w:tcPr>
            <w:tcW w:w="1438" w:type="pct"/>
            <w:noWrap w:val="0"/>
            <w:vAlign w:val="center"/>
          </w:tcPr>
          <w:p w14:paraId="180481D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罩棚、便利店、值班室、控制室设置应急照明，应急照明持续供电时间不少于90min。采用双控开关控制，市电故障断电时自动点亮</w:t>
            </w:r>
          </w:p>
        </w:tc>
        <w:tc>
          <w:tcPr>
            <w:tcW w:w="554" w:type="pct"/>
            <w:noWrap w:val="0"/>
            <w:vAlign w:val="center"/>
          </w:tcPr>
          <w:p w14:paraId="3070535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2DF42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F7A2D05">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5F5348E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0F7823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本工程的防雷接地、防静电接地、电气设备的工作接地、保护接地及信息系统的接地等，共用接地装置，电阻不大于1Ω。</w:t>
            </w:r>
          </w:p>
        </w:tc>
        <w:tc>
          <w:tcPr>
            <w:tcW w:w="1438" w:type="pct"/>
            <w:noWrap w:val="0"/>
            <w:vAlign w:val="center"/>
          </w:tcPr>
          <w:p w14:paraId="3A9954D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本工程的防雷接地、防静电接地、电气设备的工作接地、保护接地及信息系统的接地等，共用接地装置，电阻不大于1Ω</w:t>
            </w:r>
          </w:p>
        </w:tc>
        <w:tc>
          <w:tcPr>
            <w:tcW w:w="554" w:type="pct"/>
            <w:noWrap w:val="0"/>
            <w:vAlign w:val="center"/>
          </w:tcPr>
          <w:p w14:paraId="3B4AF79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78A23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6E987E64">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D7B886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3B6D176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eastAsia="zh-CN"/>
                <w14:ligatures w14:val="none"/>
              </w:rPr>
            </w:pPr>
            <w:r>
              <w:rPr>
                <w:rFonts w:hint="eastAsia" w:ascii="Times New Roman" w:hAnsi="Times New Roman" w:eastAsia="宋体" w:cs="Times New Roman"/>
                <w:color w:val="auto"/>
                <w:sz w:val="21"/>
                <w:szCs w:val="21"/>
                <w:highlight w:val="none"/>
                <w:lang w:eastAsia="zh-CN"/>
                <w14:ligatures w14:val="none"/>
              </w:rPr>
              <w:t>在供配电系统的电源端安装与设备耐压水平相适应的过电压（电涌）保护器。信息系统的配电线路首、末端与电子器件连接时，装设与电子器件耐压水平相适应的过电压（电涌）保护器。</w:t>
            </w:r>
          </w:p>
        </w:tc>
        <w:tc>
          <w:tcPr>
            <w:tcW w:w="1438" w:type="pct"/>
            <w:noWrap w:val="0"/>
            <w:vAlign w:val="center"/>
          </w:tcPr>
          <w:p w14:paraId="3DD35B1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eastAsia="zh-CN"/>
                <w14:ligatures w14:val="none"/>
              </w:rPr>
              <w:t>在供配电系统的电源端安装与设备耐压水平相适应的过电压（电涌）保护器。信息系统的配电线路首、末端与电子器件连接时，装设与电子器件耐压水平相适应的过电压（电涌）保护器</w:t>
            </w:r>
          </w:p>
        </w:tc>
        <w:tc>
          <w:tcPr>
            <w:tcW w:w="554" w:type="pct"/>
            <w:noWrap w:val="0"/>
            <w:vAlign w:val="center"/>
          </w:tcPr>
          <w:p w14:paraId="7E1B120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C172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3668C76">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AEEBB2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28CCB69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罩棚，防雷系统新建。罩棚为二类防雷。罩棚采用带难燃物质的金属夹芯板，顶层金属板厚度不小于0.5mm，利用其金属顶板做为接闪器防雷，利用其金属结构柱体作为引下线。</w:t>
            </w:r>
          </w:p>
        </w:tc>
        <w:tc>
          <w:tcPr>
            <w:tcW w:w="1438" w:type="pct"/>
            <w:noWrap w:val="0"/>
            <w:vAlign w:val="center"/>
          </w:tcPr>
          <w:p w14:paraId="50E59E6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罩棚采用带难燃物质的金属夹芯板，顶层金属板厚度不小于0.5mm，利用其金属顶板做为接闪器防雷，利用其金属结构柱体作为引下线</w:t>
            </w:r>
          </w:p>
        </w:tc>
        <w:tc>
          <w:tcPr>
            <w:tcW w:w="554" w:type="pct"/>
            <w:noWrap w:val="0"/>
            <w:vAlign w:val="center"/>
          </w:tcPr>
          <w:p w14:paraId="109A9A0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0B41A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2EC6C73B">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D412DB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139D364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对本工程设计范围内的信息系统，在其电源、信号输入输出端均加装相应等级的防浪涌设备，用以防止雷电感应对信息系统的破坏；各类电缆进出信息系统时电缆金属外皮均与就近的接地系统连接，防止雷电波的浸入。</w:t>
            </w:r>
          </w:p>
        </w:tc>
        <w:tc>
          <w:tcPr>
            <w:tcW w:w="1438" w:type="pct"/>
            <w:noWrap w:val="0"/>
            <w:vAlign w:val="center"/>
          </w:tcPr>
          <w:p w14:paraId="41CBA9D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本工程的信息系统，在其电源、信号输入输出端均加装相应等级的防浪涌设备；各类电缆进出信息系统时电缆金属外皮均与就近的接地系统连接</w:t>
            </w:r>
          </w:p>
        </w:tc>
        <w:tc>
          <w:tcPr>
            <w:tcW w:w="554" w:type="pct"/>
            <w:noWrap w:val="0"/>
            <w:vAlign w:val="center"/>
          </w:tcPr>
          <w:p w14:paraId="4CB4672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2FBB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07E927B">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74388F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AAA990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埋地油罐两端设接地测试卡。</w:t>
            </w:r>
          </w:p>
        </w:tc>
        <w:tc>
          <w:tcPr>
            <w:tcW w:w="1438" w:type="pct"/>
            <w:noWrap w:val="0"/>
            <w:vAlign w:val="center"/>
          </w:tcPr>
          <w:p w14:paraId="0E5FACD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埋地油罐两端设接地测试卡</w:t>
            </w:r>
          </w:p>
        </w:tc>
        <w:tc>
          <w:tcPr>
            <w:tcW w:w="554" w:type="pct"/>
            <w:noWrap w:val="0"/>
            <w:vAlign w:val="center"/>
          </w:tcPr>
          <w:p w14:paraId="0DEE892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26954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42FFB0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F72C74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08A28C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罐区防雷接地装置兼作防静电接地装置。埋地管沟敷设管路始末端，作防静电和防感应雷的联合接地装置，其接地电阻不大于30Ω。埋地储罐及管件等金属物体进行电气连接并接地，其接地电阻不大于10Ω。所有工艺金属设备、管道等均与接地网就近连接，工艺管线始末端和分支处应接地，管线上的法兰、胶管两端等连接处用金属线或（铜片）跨接，电阻不大于0.03Ω。</w:t>
            </w:r>
          </w:p>
        </w:tc>
        <w:tc>
          <w:tcPr>
            <w:tcW w:w="1438" w:type="pct"/>
            <w:noWrap w:val="0"/>
            <w:vAlign w:val="center"/>
          </w:tcPr>
          <w:p w14:paraId="7B81A1F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eastAsia="zh-CN"/>
                <w14:ligatures w14:val="none"/>
              </w:rPr>
            </w:pPr>
            <w:r>
              <w:rPr>
                <w:rFonts w:hint="default" w:ascii="Times New Roman" w:hAnsi="Times New Roman" w:eastAsia="宋体" w:cs="Times New Roman"/>
                <w:color w:val="auto"/>
                <w:sz w:val="21"/>
                <w:szCs w:val="21"/>
                <w:highlight w:val="none"/>
                <w14:ligatures w14:val="none"/>
              </w:rPr>
              <w:t>罐区防雷接地装置兼作防静电接地装置。埋地管沟敷设管路始末端，作防静电和防感应雷的联合接地装置，其接地电阻不大于30Ω。埋地储罐及管件等金属物体进行电气连接并接地，其接地电阻不大于10Ω。所有工艺金属设备、管道等均与接地网就近连接，工艺管线始末端和分支处应接地，管线上的法兰、胶管两端等连接处用金属线或（铜片）跨接，电阻不大于0.03Ω</w:t>
            </w:r>
          </w:p>
        </w:tc>
        <w:tc>
          <w:tcPr>
            <w:tcW w:w="554" w:type="pct"/>
            <w:noWrap w:val="0"/>
            <w:vAlign w:val="center"/>
          </w:tcPr>
          <w:p w14:paraId="13E6D65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38CF1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26E59892">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2431048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6721C3C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油罐车卸车场地设置卸车时专用的防静电接地报警仪，卸油时必须保证防静电接地报警仪接通良好才可卸油。</w:t>
            </w:r>
          </w:p>
        </w:tc>
        <w:tc>
          <w:tcPr>
            <w:tcW w:w="1438" w:type="pct"/>
            <w:noWrap w:val="0"/>
            <w:vAlign w:val="center"/>
          </w:tcPr>
          <w:p w14:paraId="4E949C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油罐车卸车场地设置卸车时专用的防静电接地报警仪，卸油时接通良好才可卸油</w:t>
            </w:r>
          </w:p>
        </w:tc>
        <w:tc>
          <w:tcPr>
            <w:tcW w:w="554" w:type="pct"/>
            <w:noWrap w:val="0"/>
            <w:vAlign w:val="center"/>
          </w:tcPr>
          <w:p w14:paraId="19448D6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6892C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5277E99">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B022A5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1BEEF2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油罐接地：地下油罐采用环形接地，每个油罐两点与主接地干线连接，罐进油管始端接地，把接地支线引至操作井内，与油管、电缆保护管做电气连接。</w:t>
            </w:r>
          </w:p>
        </w:tc>
        <w:tc>
          <w:tcPr>
            <w:tcW w:w="1438" w:type="pct"/>
            <w:noWrap w:val="0"/>
            <w:vAlign w:val="center"/>
          </w:tcPr>
          <w:p w14:paraId="296EF8D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地下油罐采用环形接地，每个油罐两点与主接地干线连接，罐进油管始端接地，把接地支线引至操作井内，与油管、电缆保护管做电气连接</w:t>
            </w:r>
          </w:p>
        </w:tc>
        <w:tc>
          <w:tcPr>
            <w:tcW w:w="554" w:type="pct"/>
            <w:noWrap w:val="0"/>
            <w:vAlign w:val="center"/>
          </w:tcPr>
          <w:p w14:paraId="608E9F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6A9F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A0EB63B">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0762EF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1A9074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接地装置接地极采用∠50*50*5热镀锌角钢,接地干线采用-40*4热镀锌扁钢，支线采用-25*4热镀锌扁钢,焊接连接,埋深0.8米。焊接处做防腐。</w:t>
            </w:r>
          </w:p>
        </w:tc>
        <w:tc>
          <w:tcPr>
            <w:tcW w:w="1438" w:type="pct"/>
            <w:noWrap w:val="0"/>
            <w:vAlign w:val="center"/>
          </w:tcPr>
          <w:p w14:paraId="65DDCA5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接地装置接地极采用∠50*50*5热镀锌角钢,接地干线采用-40*4热镀锌扁钢，支线采用-25*4热镀锌扁钢,焊接连接,埋深0.8米。焊接处做防腐</w:t>
            </w:r>
          </w:p>
        </w:tc>
        <w:tc>
          <w:tcPr>
            <w:tcW w:w="554" w:type="pct"/>
            <w:noWrap w:val="0"/>
            <w:vAlign w:val="center"/>
          </w:tcPr>
          <w:p w14:paraId="097C7E3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1B81A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EEAB059">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15384A0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7CFC4D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配电系统接地型式采用TN-C-S系统，站内PE线与N线完全独立。</w:t>
            </w:r>
          </w:p>
        </w:tc>
        <w:tc>
          <w:tcPr>
            <w:tcW w:w="1438" w:type="pct"/>
            <w:noWrap w:val="0"/>
            <w:vAlign w:val="center"/>
          </w:tcPr>
          <w:p w14:paraId="35202FB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配电系统接地型式采用TN-C-S系统，站内PE线与N线完全独立</w:t>
            </w:r>
          </w:p>
        </w:tc>
        <w:tc>
          <w:tcPr>
            <w:tcW w:w="554" w:type="pct"/>
            <w:noWrap w:val="0"/>
            <w:vAlign w:val="center"/>
          </w:tcPr>
          <w:p w14:paraId="40A5940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0776E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34972EF">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35EC5F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2DB3A29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工程电缆均采用铜芯电缆。进户电缆采用铠装电缆直埋敷设,埋深不小于1米，穿墙、过路穿热镀锌钢管保护;其余电缆全程穿热镀锌钢管保护，埋深1米；动力、通讯电缆分开敷设，二者平行敷设时，相距大于0.1米；交叉敷设时，相距大于0.25米；电缆与油管道平行敷设时，相距大于1米，交叉敷设时，相距大于0.25米；电缆与其他管道平行敷设时，相距大于0.5米，交叉敷设时，相距大于0.25米。</w:t>
            </w:r>
          </w:p>
        </w:tc>
        <w:tc>
          <w:tcPr>
            <w:tcW w:w="1438" w:type="pct"/>
            <w:noWrap w:val="0"/>
            <w:vAlign w:val="center"/>
          </w:tcPr>
          <w:p w14:paraId="31D40B9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本工程电缆均采用铜芯电缆。进户电缆采用铠装电缆直埋敷设,埋深不小于1米，穿墙、过路穿热镀锌钢管保护;其余电缆全程穿热镀锌钢管保护，埋深1米；动力、通讯电缆分开敷设，二者平行敷设时，相距大于0.1米；交叉敷设时，相距大于0.25米；电缆与油管道平行敷设时，相距大于1米，交叉敷设时，相距大于0.25米；电缆与其他管道平行敷设时，相距大于0.5米，交叉敷设时，相距大于0.25米</w:t>
            </w:r>
          </w:p>
        </w:tc>
        <w:tc>
          <w:tcPr>
            <w:tcW w:w="554" w:type="pct"/>
            <w:noWrap w:val="0"/>
            <w:vAlign w:val="center"/>
          </w:tcPr>
          <w:p w14:paraId="5F2A946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20A3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E8700F9">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5D5F72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27FF256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电缆采用铜芯电缆。进入爆炸危险环境内动力及控制电缆截面不小于2.5mm²。</w:t>
            </w:r>
          </w:p>
        </w:tc>
        <w:tc>
          <w:tcPr>
            <w:tcW w:w="1438" w:type="pct"/>
            <w:noWrap w:val="0"/>
            <w:vAlign w:val="center"/>
          </w:tcPr>
          <w:p w14:paraId="7ED30E5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电缆采用铜芯电缆。进入爆炸危险环境内动力及控制电缆截面不小于2.5mm²</w:t>
            </w:r>
          </w:p>
        </w:tc>
        <w:tc>
          <w:tcPr>
            <w:tcW w:w="554" w:type="pct"/>
            <w:noWrap w:val="0"/>
            <w:vAlign w:val="center"/>
          </w:tcPr>
          <w:p w14:paraId="797576D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5714D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727791A2">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43FA7B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28A4C0E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站内设置油罐液位监测系统</w:t>
            </w:r>
          </w:p>
          <w:p w14:paraId="6B5F60C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本站设置液位仪，每个油罐内装设一根探棒，在办公辅助间内安装液位仪控制器，监测每个油罐的实时库存数据变，设定每个油罐的高低液位报警参数并进行报警，并与站级管理系统进行数据交换。</w:t>
            </w:r>
          </w:p>
        </w:tc>
        <w:tc>
          <w:tcPr>
            <w:tcW w:w="1438" w:type="pct"/>
            <w:noWrap w:val="0"/>
            <w:vAlign w:val="center"/>
          </w:tcPr>
          <w:p w14:paraId="6ADD6F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站内设置油罐液位监测系统</w:t>
            </w:r>
          </w:p>
          <w:p w14:paraId="7C6F625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本站设置液位仪，每个油罐内装设一根探棒，在办公辅助间内安装液位仪控制器，监测每个油罐的实时库存数据变，设定每个油罐的高低液位报警参数并进行报警，并与站级管理系统进行数据交换</w:t>
            </w:r>
          </w:p>
        </w:tc>
        <w:tc>
          <w:tcPr>
            <w:tcW w:w="554" w:type="pct"/>
            <w:noWrap w:val="0"/>
            <w:vAlign w:val="center"/>
          </w:tcPr>
          <w:p w14:paraId="5C3B532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375E1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BDFE906">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82B3F0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1AAD8BF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本站人体静电释放器选用本安型。</w:t>
            </w:r>
          </w:p>
        </w:tc>
        <w:tc>
          <w:tcPr>
            <w:tcW w:w="1438" w:type="pct"/>
            <w:noWrap w:val="0"/>
            <w:vAlign w:val="center"/>
          </w:tcPr>
          <w:p w14:paraId="6487E16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本站人体静电释放器</w:t>
            </w:r>
            <w:r>
              <w:rPr>
                <w:rFonts w:hint="eastAsia" w:ascii="Times New Roman" w:hAnsi="Times New Roman" w:eastAsia="宋体" w:cs="Times New Roman"/>
                <w:color w:val="auto"/>
                <w:sz w:val="21"/>
                <w:szCs w:val="21"/>
                <w:highlight w:val="none"/>
                <w:lang w:val="en-US" w:eastAsia="zh-CN"/>
                <w14:ligatures w14:val="none"/>
              </w:rPr>
              <w:t>为</w:t>
            </w:r>
            <w:r>
              <w:rPr>
                <w:rFonts w:hint="default" w:ascii="Times New Roman" w:hAnsi="Times New Roman" w:eastAsia="宋体" w:cs="Times New Roman"/>
                <w:color w:val="auto"/>
                <w:sz w:val="21"/>
                <w:szCs w:val="21"/>
                <w:highlight w:val="none"/>
                <w14:ligatures w14:val="none"/>
              </w:rPr>
              <w:t>本安型</w:t>
            </w:r>
          </w:p>
        </w:tc>
        <w:tc>
          <w:tcPr>
            <w:tcW w:w="554" w:type="pct"/>
            <w:noWrap w:val="0"/>
            <w:vAlign w:val="center"/>
          </w:tcPr>
          <w:p w14:paraId="1F21941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1DF7F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noWrap w:val="0"/>
            <w:vAlign w:val="center"/>
          </w:tcPr>
          <w:p w14:paraId="12640EE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五、自控仪表及火灾报警</w:t>
            </w:r>
          </w:p>
        </w:tc>
      </w:tr>
      <w:tr w14:paraId="2B4A8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527C8767">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786F20D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自控仪表及火灾报警</w:t>
            </w:r>
          </w:p>
        </w:tc>
        <w:tc>
          <w:tcPr>
            <w:tcW w:w="2179" w:type="pct"/>
            <w:noWrap w:val="0"/>
            <w:vAlign w:val="center"/>
          </w:tcPr>
          <w:p w14:paraId="4836B17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工程视频监视范围为卸车点、罩棚区、站房出入口、进出口、营业厅等处。室外视频监视摄像机安装高度不低于3.5m，安装方式为立柱式，可安装在专用立柱上，也可安装在站区灯柱上；室内视频监视摄像机安装高度不低于2.5m，安装方式为壁挂式。所有非防爆视频监视摄像机安装地点应在爆炸危险区以外。</w:t>
            </w:r>
          </w:p>
        </w:tc>
        <w:tc>
          <w:tcPr>
            <w:tcW w:w="1438" w:type="pct"/>
            <w:noWrap w:val="0"/>
            <w:vAlign w:val="center"/>
          </w:tcPr>
          <w:p w14:paraId="5B668D2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工程视频监视范围为卸车点、罩棚区、站房出入口、进出口、营业厅等处。室外视频监视摄像机安装高度3.5m，安装方式为立柱式，安装在站区灯柱上；室内视频监视摄像机安装高度2.5m，安装方式为壁挂式。所有非防爆视频监视摄像机安装地点在爆炸危险区以外</w:t>
            </w:r>
          </w:p>
        </w:tc>
        <w:tc>
          <w:tcPr>
            <w:tcW w:w="554" w:type="pct"/>
            <w:noWrap w:val="0"/>
            <w:vAlign w:val="center"/>
          </w:tcPr>
          <w:p w14:paraId="3F76E77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67798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092F1ED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3359112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327C778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根据GB 50395规定，监控系统及设备至少应满足以下要求：</w:t>
            </w:r>
          </w:p>
          <w:p w14:paraId="0D525E4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视频安防监控系统中使用的设备必须符合国家法律法规和现行强制“矩阵切换和数字视频网络虚拟交换/切换模式的系统应具有系统信息存储功能，在供电中断或关机后，对所有编程信息和时间信息均应保持。”；</w:t>
            </w:r>
          </w:p>
          <w:p w14:paraId="1CAD58B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“监视图像信息和声音信息应具有原始完整性。”；</w:t>
            </w:r>
          </w:p>
          <w:p w14:paraId="54562E5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“系统记录的图像信息应包含图像编号/地址、记录时的时间和日期。”</w:t>
            </w:r>
          </w:p>
          <w:p w14:paraId="2F04333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视频监视主机及显示器设置在营业厅。</w:t>
            </w:r>
          </w:p>
        </w:tc>
        <w:tc>
          <w:tcPr>
            <w:tcW w:w="1438" w:type="pct"/>
            <w:noWrap w:val="0"/>
            <w:vAlign w:val="center"/>
          </w:tcPr>
          <w:p w14:paraId="4F8BBF7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视频安防监控系统中使用的设备符合国家法律法规和现行强制</w:t>
            </w:r>
            <w:r>
              <w:rPr>
                <w:rFonts w:hint="eastAsia" w:ascii="Times New Roman" w:hAnsi="Times New Roman" w:eastAsia="宋体" w:cs="Times New Roman"/>
                <w:color w:val="auto"/>
                <w:sz w:val="21"/>
                <w:szCs w:val="21"/>
                <w:highlight w:val="none"/>
                <w:lang w:val="en-US" w:eastAsia="zh-CN"/>
                <w14:ligatures w14:val="none"/>
              </w:rPr>
              <w:t>标准</w:t>
            </w:r>
          </w:p>
        </w:tc>
        <w:tc>
          <w:tcPr>
            <w:tcW w:w="554" w:type="pct"/>
            <w:noWrap w:val="0"/>
            <w:vAlign w:val="center"/>
          </w:tcPr>
          <w:p w14:paraId="442F1EE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1BD77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4DB28B20">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7CBE26E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576EDDB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在营业厅、加油区附近设置。紧急停车按钮在事故状态下切断工艺装置电源，导致事故扩大的设备运行。紧急停车装置为故障安全型，只能现场手动复位。</w:t>
            </w:r>
          </w:p>
        </w:tc>
        <w:tc>
          <w:tcPr>
            <w:tcW w:w="1438" w:type="pct"/>
            <w:noWrap w:val="0"/>
            <w:vAlign w:val="center"/>
          </w:tcPr>
          <w:p w14:paraId="553BA62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在营业厅、加油区附近设置紧急停车按钮</w:t>
            </w:r>
            <w:r>
              <w:rPr>
                <w:rFonts w:hint="eastAsia" w:ascii="Times New Roman" w:hAnsi="Times New Roman" w:eastAsia="宋体" w:cs="Times New Roman"/>
                <w:color w:val="auto"/>
                <w:sz w:val="21"/>
                <w:szCs w:val="21"/>
                <w:highlight w:val="none"/>
                <w:lang w:eastAsia="zh-CN"/>
                <w14:ligatures w14:val="none"/>
              </w:rPr>
              <w:t>，</w:t>
            </w:r>
            <w:r>
              <w:rPr>
                <w:rFonts w:hint="default" w:ascii="Times New Roman" w:hAnsi="Times New Roman" w:eastAsia="宋体" w:cs="Times New Roman"/>
                <w:color w:val="auto"/>
                <w:sz w:val="21"/>
                <w:szCs w:val="21"/>
                <w:highlight w:val="none"/>
                <w14:ligatures w14:val="none"/>
              </w:rPr>
              <w:t>紧急停车装置为故障安全型，只能现场手动复位</w:t>
            </w:r>
          </w:p>
        </w:tc>
        <w:tc>
          <w:tcPr>
            <w:tcW w:w="554" w:type="pct"/>
            <w:noWrap w:val="0"/>
            <w:vAlign w:val="center"/>
          </w:tcPr>
          <w:p w14:paraId="068C8B7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C307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noWrap w:val="0"/>
            <w:vAlign w:val="center"/>
          </w:tcPr>
          <w:p w14:paraId="19C1EF07">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462A273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p>
        </w:tc>
        <w:tc>
          <w:tcPr>
            <w:tcW w:w="2179" w:type="pct"/>
            <w:noWrap w:val="0"/>
            <w:vAlign w:val="center"/>
          </w:tcPr>
          <w:p w14:paraId="725A1A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控制系统信号接地和保护接地接入电气专业综合接地系统，接地电阻不大于1欧姆。控制柜落地安装，直接与接地引线连接。所有电缆的铠装层(或电缆保护金属套管)在现场侧及控制室侧两端接地，屏蔽层在控制室侧一端接地。</w:t>
            </w:r>
          </w:p>
        </w:tc>
        <w:tc>
          <w:tcPr>
            <w:tcW w:w="1438" w:type="pct"/>
            <w:noWrap w:val="0"/>
            <w:vAlign w:val="center"/>
          </w:tcPr>
          <w:p w14:paraId="4D9D46B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eastAsia="zh-CN"/>
                <w14:ligatures w14:val="none"/>
              </w:rPr>
            </w:pPr>
            <w:r>
              <w:rPr>
                <w:rFonts w:hint="default" w:ascii="Times New Roman" w:hAnsi="Times New Roman" w:eastAsia="宋体" w:cs="Times New Roman"/>
                <w:color w:val="auto"/>
                <w:sz w:val="21"/>
                <w:szCs w:val="21"/>
                <w:highlight w:val="none"/>
                <w14:ligatures w14:val="none"/>
              </w:rPr>
              <w:t>系统信号接地和保护接地接入电气专业综合接地系统，接地电阻不大于1欧姆。控制柜落地安装，直接与接地引线连接。所有电缆的铠装层在现场侧及控制室侧两端接地，屏蔽层在控制室侧一端接地。</w:t>
            </w:r>
          </w:p>
        </w:tc>
        <w:tc>
          <w:tcPr>
            <w:tcW w:w="554" w:type="pct"/>
            <w:noWrap w:val="0"/>
            <w:vAlign w:val="center"/>
          </w:tcPr>
          <w:p w14:paraId="6B4CB6E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23737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noWrap w:val="0"/>
            <w:vAlign w:val="center"/>
          </w:tcPr>
          <w:p w14:paraId="59FA49F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六、建、构筑物</w:t>
            </w:r>
          </w:p>
        </w:tc>
      </w:tr>
      <w:tr w14:paraId="65ED5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64AA81DB">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451C38B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建、构筑物</w:t>
            </w:r>
          </w:p>
        </w:tc>
        <w:tc>
          <w:tcPr>
            <w:tcW w:w="2179" w:type="pct"/>
            <w:noWrap w:val="0"/>
            <w:vAlign w:val="center"/>
          </w:tcPr>
          <w:p w14:paraId="7C68D08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站房</w:t>
            </w:r>
          </w:p>
          <w:p w14:paraId="21E7623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新建一层框架站房一座，站房内设置营业厅、收银室、财务室、控制室、值班室、办公室、卫生间。结构形式采用框架结构，满足抗震设防烈度7度的要求。</w:t>
            </w:r>
          </w:p>
        </w:tc>
        <w:tc>
          <w:tcPr>
            <w:tcW w:w="1438" w:type="pct"/>
            <w:noWrap w:val="0"/>
            <w:vAlign w:val="center"/>
          </w:tcPr>
          <w:p w14:paraId="53992A6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sz w:val="21"/>
                <w:highlight w:val="none"/>
                <w14:ligatures w14:val="none"/>
              </w:rPr>
              <w:t>站房内设置营业厅、收银室、财务室、控制室、值班室、办公室、卫生间。结构形式采用框架结构，满足抗震设防烈度7度的要求</w:t>
            </w:r>
          </w:p>
        </w:tc>
        <w:tc>
          <w:tcPr>
            <w:tcW w:w="554" w:type="pct"/>
            <w:noWrap w:val="0"/>
            <w:vAlign w:val="center"/>
          </w:tcPr>
          <w:p w14:paraId="09EC105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符合</w:t>
            </w:r>
          </w:p>
        </w:tc>
      </w:tr>
      <w:tr w14:paraId="14772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009D8C0D">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3B35740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p>
        </w:tc>
        <w:tc>
          <w:tcPr>
            <w:tcW w:w="2179" w:type="pct"/>
            <w:noWrap w:val="0"/>
            <w:vAlign w:val="center"/>
          </w:tcPr>
          <w:p w14:paraId="7C84E17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罩棚</w:t>
            </w:r>
          </w:p>
          <w:p w14:paraId="763A9BE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新建网架罩棚一座，水平投影面积为840.0m2，罩棚高度为6.1m，罩棚柱采用钢筋混凝土立柱。罩棚其他部分采用非燃烧体建造，建筑物的装修材料符合防火要求。</w:t>
            </w:r>
          </w:p>
        </w:tc>
        <w:tc>
          <w:tcPr>
            <w:tcW w:w="1438" w:type="pct"/>
            <w:noWrap w:val="0"/>
            <w:vAlign w:val="center"/>
          </w:tcPr>
          <w:p w14:paraId="53F176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sz w:val="21"/>
                <w:highlight w:val="none"/>
                <w14:ligatures w14:val="none"/>
              </w:rPr>
              <w:t>罩棚水平投影面积为840.0m</w:t>
            </w:r>
            <w:r>
              <w:rPr>
                <w:rFonts w:hint="default" w:ascii="Times New Roman" w:hAnsi="Times New Roman" w:eastAsia="宋体" w:cs="Times New Roman"/>
                <w:sz w:val="21"/>
                <w:highlight w:val="none"/>
                <w:vertAlign w:val="superscript"/>
                <w14:ligatures w14:val="none"/>
              </w:rPr>
              <w:t>2</w:t>
            </w:r>
            <w:r>
              <w:rPr>
                <w:rFonts w:hint="default" w:ascii="Times New Roman" w:hAnsi="Times New Roman" w:eastAsia="宋体" w:cs="Times New Roman"/>
                <w:sz w:val="21"/>
                <w:highlight w:val="none"/>
                <w14:ligatures w14:val="none"/>
              </w:rPr>
              <w:t>，罩棚高度为6.1m，采用钢筋混凝土立柱。罩棚其他部分采用非燃烧体建造，建筑物的装修材料符合防火要求</w:t>
            </w:r>
          </w:p>
        </w:tc>
        <w:tc>
          <w:tcPr>
            <w:tcW w:w="554" w:type="pct"/>
            <w:noWrap w:val="0"/>
            <w:vAlign w:val="center"/>
          </w:tcPr>
          <w:p w14:paraId="4F10773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符合</w:t>
            </w:r>
          </w:p>
        </w:tc>
      </w:tr>
      <w:tr w14:paraId="5193C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6C89383C">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5B7FAC5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p>
        </w:tc>
        <w:tc>
          <w:tcPr>
            <w:tcW w:w="2179" w:type="pct"/>
            <w:noWrap w:val="0"/>
            <w:vAlign w:val="center"/>
          </w:tcPr>
          <w:p w14:paraId="6C89F7B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油罐区</w:t>
            </w:r>
          </w:p>
          <w:p w14:paraId="67B0A47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油罐设在油罐基础上，油罐固定在油罐筏板基础上的条形钢筋混凝土罐枕上，罐枕与筏板基础一体浇筑，采用钢筋连接为一体。每个罐枕上预埋4根M30螺栓，螺栓与抗浮钢带连接，每台储罐设置两条抗浮钢带，共12条，利用筏板及以上覆土重量防止储罐上浮。</w:t>
            </w:r>
          </w:p>
        </w:tc>
        <w:tc>
          <w:tcPr>
            <w:tcW w:w="1438" w:type="pct"/>
            <w:noWrap w:val="0"/>
            <w:vAlign w:val="center"/>
          </w:tcPr>
          <w:p w14:paraId="358B818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sz w:val="21"/>
                <w:highlight w:val="none"/>
                <w14:ligatures w14:val="none"/>
              </w:rPr>
              <w:t>油罐设在油罐基础上，油罐固定在油罐筏板基础上的条形钢筋混凝土罐枕上，罐枕与筏板基础一体浇筑，采用钢筋连接为一体。每个罐枕上预埋4根M30螺栓，螺栓与抗浮钢带连接，每台储罐设置两条抗浮钢带，共12条，利用筏板及以上覆土重量防止储罐上浮</w:t>
            </w:r>
          </w:p>
        </w:tc>
        <w:tc>
          <w:tcPr>
            <w:tcW w:w="554" w:type="pct"/>
            <w:noWrap w:val="0"/>
            <w:vAlign w:val="center"/>
          </w:tcPr>
          <w:p w14:paraId="1E18AEB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符合</w:t>
            </w:r>
          </w:p>
        </w:tc>
      </w:tr>
      <w:tr w14:paraId="72366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67AE9A03">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353A46F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p>
        </w:tc>
        <w:tc>
          <w:tcPr>
            <w:tcW w:w="2179" w:type="pct"/>
            <w:noWrap w:val="0"/>
            <w:vAlign w:val="center"/>
          </w:tcPr>
          <w:p w14:paraId="5C25440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 xml:space="preserve">本工程站房内窗户采用平开窗。 </w:t>
            </w:r>
          </w:p>
          <w:p w14:paraId="5711AEB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站内工艺装置均设在室外，无需另设通风系统。</w:t>
            </w:r>
          </w:p>
        </w:tc>
        <w:tc>
          <w:tcPr>
            <w:tcW w:w="1438" w:type="pct"/>
            <w:noWrap w:val="0"/>
            <w:vAlign w:val="center"/>
          </w:tcPr>
          <w:p w14:paraId="1D44196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sz w:val="21"/>
                <w:highlight w:val="none"/>
                <w14:ligatures w14:val="none"/>
              </w:rPr>
              <w:t>本工程站房内窗户采用平开窗</w:t>
            </w:r>
            <w:r>
              <w:rPr>
                <w:rFonts w:hint="eastAsia" w:ascii="Times New Roman" w:hAnsi="Times New Roman" w:eastAsia="宋体" w:cs="Times New Roman"/>
                <w:sz w:val="21"/>
                <w:highlight w:val="none"/>
                <w:lang w:eastAsia="zh-CN"/>
                <w14:ligatures w14:val="none"/>
              </w:rPr>
              <w:t>，</w:t>
            </w:r>
            <w:r>
              <w:rPr>
                <w:rFonts w:hint="default" w:ascii="Times New Roman" w:hAnsi="Times New Roman" w:eastAsia="宋体" w:cs="Times New Roman"/>
                <w:sz w:val="21"/>
                <w:highlight w:val="none"/>
                <w14:ligatures w14:val="none"/>
              </w:rPr>
              <w:t>站内工艺装置均设在室外，无通风系统</w:t>
            </w:r>
          </w:p>
        </w:tc>
        <w:tc>
          <w:tcPr>
            <w:tcW w:w="554" w:type="pct"/>
            <w:noWrap w:val="0"/>
            <w:vAlign w:val="center"/>
          </w:tcPr>
          <w:p w14:paraId="5701659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符合</w:t>
            </w:r>
          </w:p>
        </w:tc>
      </w:tr>
      <w:tr w14:paraId="67179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5000" w:type="pct"/>
            <w:gridSpan w:val="5"/>
            <w:noWrap w:val="0"/>
            <w:vAlign w:val="center"/>
          </w:tcPr>
          <w:p w14:paraId="4C05E32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七、其他防范设施</w:t>
            </w:r>
          </w:p>
        </w:tc>
      </w:tr>
      <w:tr w14:paraId="0E05C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121E2166">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2AA7326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其他防范设施</w:t>
            </w:r>
          </w:p>
        </w:tc>
        <w:tc>
          <w:tcPr>
            <w:tcW w:w="2179" w:type="pct"/>
            <w:noWrap w:val="0"/>
            <w:vAlign w:val="center"/>
          </w:tcPr>
          <w:p w14:paraId="580EAC2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根据参考周边地勘，本地区无软弱地质层及灾害性地质情况，地基土较为均匀，适宜该工程的建设。本工程所有埋地设施及基础均采取防冻胀垫层处理措施。本工程所在抗震设防烈度小于7度，基本风压为0.55KN/㎡进行设计，结构设计均按国家现行规范要求进行计算及设防。</w:t>
            </w:r>
          </w:p>
        </w:tc>
        <w:tc>
          <w:tcPr>
            <w:tcW w:w="1438" w:type="pct"/>
            <w:noWrap w:val="0"/>
            <w:vAlign w:val="center"/>
          </w:tcPr>
          <w:p w14:paraId="7D134FE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本工程所有埋地设施及基础均采取防冻胀垫层处理措施。</w:t>
            </w:r>
          </w:p>
        </w:tc>
        <w:tc>
          <w:tcPr>
            <w:tcW w:w="554" w:type="pct"/>
            <w:noWrap w:val="0"/>
            <w:vAlign w:val="center"/>
          </w:tcPr>
          <w:p w14:paraId="4984FCA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4D2BB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0EA8D9CF">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3312BEF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p>
        </w:tc>
        <w:tc>
          <w:tcPr>
            <w:tcW w:w="2179" w:type="pct"/>
            <w:noWrap w:val="0"/>
            <w:vAlign w:val="center"/>
          </w:tcPr>
          <w:p w14:paraId="39512BC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本站主要的噪声源为潜油泵、加油机等设备。采用的潜油泵、加油机噪声值符合国家有关要求。</w:t>
            </w:r>
          </w:p>
          <w:p w14:paraId="1F16267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加油岛周边设有防撞栏。进出站及加油区设有地面画线。</w:t>
            </w:r>
          </w:p>
        </w:tc>
        <w:tc>
          <w:tcPr>
            <w:tcW w:w="1438" w:type="pct"/>
            <w:noWrap w:val="0"/>
            <w:vAlign w:val="center"/>
          </w:tcPr>
          <w:p w14:paraId="5653198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采用的潜油泵、加油机噪声值符合国家有关要求。</w:t>
            </w:r>
          </w:p>
          <w:p w14:paraId="1329587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加油岛周边设有防撞栏。进出站及加油区设有地面画线。</w:t>
            </w:r>
          </w:p>
        </w:tc>
        <w:tc>
          <w:tcPr>
            <w:tcW w:w="554" w:type="pct"/>
            <w:noWrap w:val="0"/>
            <w:vAlign w:val="center"/>
          </w:tcPr>
          <w:p w14:paraId="2F8BCFF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1BB71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0F43C779">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6D29969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p>
        </w:tc>
        <w:tc>
          <w:tcPr>
            <w:tcW w:w="2179" w:type="pct"/>
            <w:noWrap w:val="0"/>
            <w:vAlign w:val="center"/>
          </w:tcPr>
          <w:p w14:paraId="77B9200B">
            <w:pPr>
              <w:tabs>
                <w:tab w:val="left" w:pos="871"/>
              </w:tabs>
              <w:adjustRightInd/>
              <w:snapToGrid w:val="0"/>
              <w:spacing w:after="0" w:line="360" w:lineRule="auto"/>
              <w:ind w:firstLine="0" w:firstLineChars="0"/>
              <w:jc w:val="both"/>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按《个体防护装备选用规范》配备个人防护用品，见下表</w:t>
            </w:r>
          </w:p>
          <w:p w14:paraId="37B576C7">
            <w:pPr>
              <w:tabs>
                <w:tab w:val="left" w:pos="871"/>
              </w:tabs>
              <w:adjustRightInd/>
              <w:snapToGrid w:val="0"/>
              <w:spacing w:after="0" w:line="360" w:lineRule="auto"/>
              <w:ind w:firstLine="0" w:firstLineChars="0"/>
              <w:jc w:val="center"/>
              <w:rPr>
                <w:rFonts w:hint="eastAsia" w:ascii="宋体" w:hAnsi="宋体" w:eastAsia="宋体" w:cs="宋体"/>
                <w:b w:val="0"/>
                <w:bCs/>
                <w:color w:val="auto"/>
                <w:sz w:val="15"/>
                <w:szCs w:val="15"/>
                <w:highlight w:val="none"/>
                <w14:ligatures w14:val="none"/>
              </w:rPr>
            </w:pPr>
            <w:r>
              <w:rPr>
                <w:rFonts w:hint="eastAsia" w:ascii="宋体" w:hAnsi="宋体" w:eastAsia="宋体" w:cs="宋体"/>
                <w:b w:val="0"/>
                <w:bCs/>
                <w:color w:val="auto"/>
                <w:sz w:val="15"/>
                <w:szCs w:val="15"/>
                <w:highlight w:val="none"/>
                <w14:ligatures w14:val="none"/>
              </w:rPr>
              <w:t>表4.</w:t>
            </w:r>
            <w:r>
              <w:rPr>
                <w:rFonts w:hint="eastAsia" w:ascii="宋体" w:hAnsi="宋体" w:eastAsia="宋体" w:cs="宋体"/>
                <w:b w:val="0"/>
                <w:bCs/>
                <w:color w:val="auto"/>
                <w:sz w:val="15"/>
                <w:szCs w:val="15"/>
                <w:highlight w:val="none"/>
                <w:lang w:val="en-US" w:eastAsia="zh-CN"/>
                <w14:ligatures w14:val="none"/>
              </w:rPr>
              <w:t>7</w:t>
            </w:r>
            <w:r>
              <w:rPr>
                <w:rFonts w:hint="eastAsia" w:ascii="宋体" w:hAnsi="宋体" w:eastAsia="宋体" w:cs="宋体"/>
                <w:b w:val="0"/>
                <w:bCs/>
                <w:color w:val="auto"/>
                <w:sz w:val="15"/>
                <w:szCs w:val="15"/>
                <w:highlight w:val="none"/>
                <w14:ligatures w14:val="none"/>
              </w:rPr>
              <w:t>.3-1  个体防护装备配备表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10"/>
              <w:gridCol w:w="2657"/>
            </w:tblGrid>
            <w:tr w14:paraId="6400A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10021981">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1</w:t>
                  </w:r>
                </w:p>
              </w:tc>
              <w:tc>
                <w:tcPr>
                  <w:tcW w:w="3435" w:type="pct"/>
                  <w:noWrap w:val="0"/>
                  <w:vAlign w:val="center"/>
                </w:tcPr>
                <w:p w14:paraId="1081F179">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防静电手套</w:t>
                  </w:r>
                </w:p>
              </w:tc>
            </w:tr>
            <w:tr w14:paraId="479D9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60791188">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2</w:t>
                  </w:r>
                </w:p>
              </w:tc>
              <w:tc>
                <w:tcPr>
                  <w:tcW w:w="3435" w:type="pct"/>
                  <w:noWrap w:val="0"/>
                  <w:vAlign w:val="center"/>
                </w:tcPr>
                <w:p w14:paraId="5CA9937D">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防静电鞋</w:t>
                  </w:r>
                </w:p>
              </w:tc>
            </w:tr>
            <w:tr w14:paraId="07A88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7F4EE12B">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3</w:t>
                  </w:r>
                </w:p>
              </w:tc>
              <w:tc>
                <w:tcPr>
                  <w:tcW w:w="3435" w:type="pct"/>
                  <w:noWrap w:val="0"/>
                  <w:vAlign w:val="center"/>
                </w:tcPr>
                <w:p w14:paraId="66797B60">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化学品防护服</w:t>
                  </w:r>
                </w:p>
              </w:tc>
            </w:tr>
            <w:tr w14:paraId="1F81C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178B96B2">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4</w:t>
                  </w:r>
                </w:p>
              </w:tc>
              <w:tc>
                <w:tcPr>
                  <w:tcW w:w="3435" w:type="pct"/>
                  <w:noWrap w:val="0"/>
                  <w:vAlign w:val="center"/>
                </w:tcPr>
                <w:p w14:paraId="3896118A">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阻燃防护服</w:t>
                  </w:r>
                </w:p>
              </w:tc>
            </w:tr>
            <w:tr w14:paraId="5A26E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0E0C81A4">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5</w:t>
                  </w:r>
                </w:p>
              </w:tc>
              <w:tc>
                <w:tcPr>
                  <w:tcW w:w="3435" w:type="pct"/>
                  <w:noWrap w:val="0"/>
                  <w:vAlign w:val="center"/>
                </w:tcPr>
                <w:p w14:paraId="431300A3">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防静电服</w:t>
                  </w:r>
                </w:p>
              </w:tc>
            </w:tr>
            <w:tr w14:paraId="1D009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709895DD">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6</w:t>
                  </w:r>
                </w:p>
              </w:tc>
              <w:tc>
                <w:tcPr>
                  <w:tcW w:w="3435" w:type="pct"/>
                  <w:noWrap w:val="0"/>
                  <w:vAlign w:val="center"/>
                </w:tcPr>
                <w:p w14:paraId="34DE4295">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棉布工作服</w:t>
                  </w:r>
                </w:p>
              </w:tc>
            </w:tr>
            <w:tr w14:paraId="301D0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30D3E1DA">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7</w:t>
                  </w:r>
                </w:p>
              </w:tc>
              <w:tc>
                <w:tcPr>
                  <w:tcW w:w="3435" w:type="pct"/>
                  <w:noWrap w:val="0"/>
                  <w:vAlign w:val="center"/>
                </w:tcPr>
                <w:p w14:paraId="73A22A58">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防尘口罩</w:t>
                  </w:r>
                </w:p>
              </w:tc>
            </w:tr>
            <w:tr w14:paraId="2717E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4F61B615">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8</w:t>
                  </w:r>
                </w:p>
              </w:tc>
              <w:tc>
                <w:tcPr>
                  <w:tcW w:w="3435" w:type="pct"/>
                  <w:noWrap w:val="0"/>
                  <w:vAlign w:val="center"/>
                </w:tcPr>
                <w:p w14:paraId="65892426">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防毒面具</w:t>
                  </w:r>
                </w:p>
              </w:tc>
            </w:tr>
            <w:tr w14:paraId="2F028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6147B606">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9</w:t>
                  </w:r>
                </w:p>
              </w:tc>
              <w:tc>
                <w:tcPr>
                  <w:tcW w:w="3435" w:type="pct"/>
                  <w:noWrap w:val="0"/>
                  <w:vAlign w:val="center"/>
                </w:tcPr>
                <w:p w14:paraId="307FD95A">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防尘服</w:t>
                  </w:r>
                </w:p>
              </w:tc>
            </w:tr>
            <w:tr w14:paraId="1B361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noWrap w:val="0"/>
                  <w:vAlign w:val="center"/>
                </w:tcPr>
                <w:p w14:paraId="2D38F905">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auto"/>
                    <w:rPr>
                      <w:rFonts w:hint="eastAsia" w:ascii="宋体" w:hAnsi="宋体" w:eastAsia="宋体" w:cs="宋体"/>
                      <w:color w:val="auto"/>
                      <w:sz w:val="15"/>
                      <w:szCs w:val="15"/>
                      <w:highlight w:val="none"/>
                      <w14:ligatures w14:val="none"/>
                    </w:rPr>
                  </w:pPr>
                  <w:r>
                    <w:rPr>
                      <w:rFonts w:hint="eastAsia" w:ascii="宋体" w:hAnsi="宋体" w:eastAsia="宋体" w:cs="宋体"/>
                      <w:color w:val="auto"/>
                      <w:sz w:val="15"/>
                      <w:szCs w:val="15"/>
                      <w:highlight w:val="none"/>
                      <w14:ligatures w14:val="none"/>
                    </w:rPr>
                    <w:t>10</w:t>
                  </w:r>
                </w:p>
              </w:tc>
              <w:tc>
                <w:tcPr>
                  <w:tcW w:w="3435" w:type="pct"/>
                  <w:noWrap w:val="0"/>
                  <w:vAlign w:val="center"/>
                </w:tcPr>
                <w:p w14:paraId="6C6E03C4">
                  <w:pPr>
                    <w:pStyle w:val="129"/>
                    <w:keepNext w:val="0"/>
                    <w:keepLines w:val="0"/>
                    <w:pageBreakBefore w:val="0"/>
                    <w:widowControl/>
                    <w:kinsoku/>
                    <w:wordWrap/>
                    <w:overflowPunct/>
                    <w:topLinePunct w:val="0"/>
                    <w:autoSpaceDE/>
                    <w:autoSpaceDN/>
                    <w:bidi w:val="0"/>
                    <w:adjustRightInd w:val="0"/>
                    <w:snapToGrid w:val="0"/>
                    <w:spacing w:after="0" w:line="240" w:lineRule="auto"/>
                    <w:ind w:firstLine="0" w:firstLineChars="0"/>
                    <w:textAlignment w:val="auto"/>
                    <w:rPr>
                      <w:rFonts w:hint="eastAsia" w:ascii="宋体" w:hAnsi="宋体" w:eastAsia="宋体"/>
                      <w:color w:val="auto"/>
                      <w:kern w:val="0"/>
                      <w:sz w:val="15"/>
                      <w:szCs w:val="15"/>
                      <w:highlight w:val="none"/>
                      <w14:ligatures w14:val="none"/>
                    </w:rPr>
                  </w:pPr>
                  <w:r>
                    <w:rPr>
                      <w:rFonts w:hint="eastAsia" w:ascii="宋体" w:hAnsi="宋体" w:eastAsia="宋体"/>
                      <w:color w:val="auto"/>
                      <w:kern w:val="0"/>
                      <w:sz w:val="15"/>
                      <w:szCs w:val="15"/>
                      <w:highlight w:val="none"/>
                      <w14:ligatures w14:val="none"/>
                    </w:rPr>
                    <w:t>防寒服</w:t>
                  </w:r>
                </w:p>
              </w:tc>
            </w:tr>
          </w:tbl>
          <w:p w14:paraId="5717BEF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p>
        </w:tc>
        <w:tc>
          <w:tcPr>
            <w:tcW w:w="1438" w:type="pct"/>
            <w:noWrap w:val="0"/>
            <w:vAlign w:val="center"/>
          </w:tcPr>
          <w:p w14:paraId="1A2D1B3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按《个体防护装备选用规范》配备个人防护用品</w:t>
            </w:r>
          </w:p>
        </w:tc>
        <w:tc>
          <w:tcPr>
            <w:tcW w:w="554" w:type="pct"/>
            <w:noWrap w:val="0"/>
            <w:vAlign w:val="center"/>
          </w:tcPr>
          <w:p w14:paraId="2936D73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14:ligatures w14:val="none"/>
              </w:rPr>
            </w:pPr>
            <w:r>
              <w:rPr>
                <w:rFonts w:hint="default" w:ascii="Times New Roman" w:hAnsi="Times New Roman" w:eastAsia="宋体" w:cs="Times New Roman"/>
                <w:color w:val="auto"/>
                <w:sz w:val="21"/>
                <w:szCs w:val="21"/>
                <w:highlight w:val="none"/>
                <w14:ligatures w14:val="none"/>
              </w:rPr>
              <w:t>符合</w:t>
            </w:r>
          </w:p>
        </w:tc>
      </w:tr>
      <w:tr w14:paraId="06426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5000" w:type="pct"/>
            <w:gridSpan w:val="5"/>
            <w:noWrap w:val="0"/>
            <w:vAlign w:val="center"/>
          </w:tcPr>
          <w:p w14:paraId="586D669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14:ligatures w14:val="none"/>
              </w:rPr>
            </w:pPr>
            <w:r>
              <w:rPr>
                <w:rFonts w:hint="eastAsia" w:ascii="Times New Roman" w:hAnsi="Times New Roman" w:eastAsia="宋体" w:cs="Times New Roman"/>
                <w:color w:val="auto"/>
                <w:sz w:val="21"/>
                <w:szCs w:val="21"/>
                <w:highlight w:val="none"/>
                <w:lang w:val="en-US" w:eastAsia="zh-CN"/>
                <w14:ligatures w14:val="none"/>
              </w:rPr>
              <w:t>八、事故应急措施及安全管理机构</w:t>
            </w:r>
          </w:p>
        </w:tc>
      </w:tr>
      <w:tr w14:paraId="04DB1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5EE2D60B">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restart"/>
            <w:noWrap w:val="0"/>
            <w:vAlign w:val="center"/>
          </w:tcPr>
          <w:p w14:paraId="243E88A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p>
        </w:tc>
        <w:tc>
          <w:tcPr>
            <w:tcW w:w="2179" w:type="pct"/>
            <w:noWrap w:val="0"/>
            <w:vAlign w:val="center"/>
          </w:tcPr>
          <w:p w14:paraId="75BCA6F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加油站应配备相应的应急救援设施，医用急救箱、防化手套、绝缘鞋、绝缘手套等。</w:t>
            </w:r>
          </w:p>
        </w:tc>
        <w:tc>
          <w:tcPr>
            <w:tcW w:w="1438" w:type="pct"/>
            <w:noWrap w:val="0"/>
            <w:vAlign w:val="center"/>
          </w:tcPr>
          <w:p w14:paraId="355CDB2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sz w:val="21"/>
                <w:highlight w:val="none"/>
                <w14:ligatures w14:val="none"/>
              </w:rPr>
              <w:t>加油站配备相应的应急救援设施，医用急救箱、防化手套、绝缘鞋、绝缘手套等</w:t>
            </w:r>
          </w:p>
        </w:tc>
        <w:tc>
          <w:tcPr>
            <w:tcW w:w="554" w:type="pct"/>
            <w:noWrap w:val="0"/>
            <w:vAlign w:val="center"/>
          </w:tcPr>
          <w:p w14:paraId="0BC190F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符合</w:t>
            </w:r>
          </w:p>
        </w:tc>
      </w:tr>
      <w:tr w14:paraId="061A6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noWrap w:val="0"/>
            <w:vAlign w:val="center"/>
          </w:tcPr>
          <w:p w14:paraId="3E86A318">
            <w:pPr>
              <w:keepNext w:val="0"/>
              <w:keepLines w:val="0"/>
              <w:pageBreakBefore w:val="0"/>
              <w:widowControl w:val="0"/>
              <w:numPr>
                <w:ilvl w:val="0"/>
                <w:numId w:val="5"/>
              </w:numPr>
              <w:tabs>
                <w:tab w:val="clear" w:pos="0"/>
              </w:tabs>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color w:val="auto"/>
                <w:kern w:val="28"/>
                <w:sz w:val="21"/>
                <w:szCs w:val="21"/>
                <w:highlight w:val="none"/>
                <w14:ligatures w14:val="none"/>
              </w:rPr>
            </w:pPr>
          </w:p>
        </w:tc>
        <w:tc>
          <w:tcPr>
            <w:tcW w:w="447" w:type="pct"/>
            <w:vMerge w:val="continue"/>
            <w:noWrap w:val="0"/>
            <w:vAlign w:val="center"/>
          </w:tcPr>
          <w:p w14:paraId="0E5C39A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p>
        </w:tc>
        <w:tc>
          <w:tcPr>
            <w:tcW w:w="2179" w:type="pct"/>
            <w:noWrap w:val="0"/>
            <w:vAlign w:val="center"/>
          </w:tcPr>
          <w:p w14:paraId="546034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sz w:val="21"/>
                <w:highlight w:val="none"/>
                <w14:ligatures w14:val="none"/>
              </w:rPr>
            </w:pPr>
            <w:r>
              <w:rPr>
                <w:rFonts w:hint="default" w:ascii="Times New Roman" w:hAnsi="Times New Roman" w:eastAsia="宋体" w:cs="Times New Roman"/>
                <w:sz w:val="21"/>
                <w:highlight w:val="none"/>
                <w14:ligatures w14:val="none"/>
              </w:rPr>
              <w:t>生产运行岗位的操作人员上岗前必须进行岗前技能培训和安全培训。电工应经过劳动及电力部门的培训并取得上岗证。</w:t>
            </w:r>
          </w:p>
        </w:tc>
        <w:tc>
          <w:tcPr>
            <w:tcW w:w="1438" w:type="pct"/>
            <w:noWrap w:val="0"/>
            <w:vAlign w:val="center"/>
          </w:tcPr>
          <w:p w14:paraId="2671D55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sz w:val="21"/>
                <w:highlight w:val="none"/>
                <w14:ligatures w14:val="none"/>
              </w:rPr>
              <w:t>生产运行岗位的操作人员上岗前必须进行岗前技能培训和安全培训。电工经过劳动及电力部门的培训并取得上岗证</w:t>
            </w:r>
          </w:p>
        </w:tc>
        <w:tc>
          <w:tcPr>
            <w:tcW w:w="554" w:type="pct"/>
            <w:noWrap w:val="0"/>
            <w:vAlign w:val="center"/>
          </w:tcPr>
          <w:p w14:paraId="45AC679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color w:val="auto"/>
                <w:sz w:val="21"/>
                <w:szCs w:val="21"/>
                <w:highlight w:val="none"/>
                <w:lang w:val="en-US" w:eastAsia="zh-CN"/>
                <w14:ligatures w14:val="none"/>
              </w:rPr>
            </w:pPr>
            <w:r>
              <w:rPr>
                <w:rFonts w:hint="default" w:ascii="Times New Roman" w:hAnsi="Times New Roman" w:eastAsia="宋体" w:cs="Times New Roman"/>
                <w:color w:val="auto"/>
                <w:sz w:val="21"/>
                <w:szCs w:val="21"/>
                <w:highlight w:val="none"/>
                <w14:ligatures w14:val="none"/>
              </w:rPr>
              <w:t>符合</w:t>
            </w:r>
          </w:p>
        </w:tc>
      </w:tr>
    </w:tbl>
    <w:p w14:paraId="0629F10C">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63" w:name="_Toc187310010"/>
      <w:r>
        <w:rPr>
          <w:rFonts w:ascii="Times New Roman" w:hAnsi="Times New Roman" w:eastAsia="楷体" w:cs="Times New Roman"/>
          <w:b/>
          <w:bCs/>
          <w:sz w:val="32"/>
          <w:szCs w:val="32"/>
          <w:highlight w:val="none"/>
        </w:rPr>
        <w:t>6.4事故案例分析</w:t>
      </w:r>
      <w:bookmarkEnd w:id="63"/>
    </w:p>
    <w:p w14:paraId="1D4B287A">
      <w:pPr>
        <w:ind w:firstLine="560"/>
        <w:rPr>
          <w:rFonts w:ascii="Times New Roman" w:hAnsi="Times New Roman" w:eastAsia="宋体"/>
          <w:highlight w:val="none"/>
        </w:rPr>
      </w:pPr>
      <w:r>
        <w:rPr>
          <w:rFonts w:ascii="Times New Roman" w:hAnsi="Times New Roman" w:eastAsia="宋体"/>
          <w:highlight w:val="none"/>
        </w:rPr>
        <w:t>案例</w:t>
      </w:r>
      <w:r>
        <w:rPr>
          <w:rFonts w:hint="eastAsia" w:ascii="Times New Roman" w:hAnsi="Times New Roman" w:eastAsia="宋体"/>
          <w:highlight w:val="none"/>
        </w:rPr>
        <w:t>一</w:t>
      </w:r>
      <w:r>
        <w:rPr>
          <w:rFonts w:ascii="Times New Roman" w:hAnsi="Times New Roman" w:eastAsia="宋体"/>
          <w:highlight w:val="none"/>
        </w:rPr>
        <w:t>：临海市顺风加油站爆燃事故</w:t>
      </w:r>
    </w:p>
    <w:p w14:paraId="675C7FF9">
      <w:pPr>
        <w:ind w:firstLine="560"/>
        <w:rPr>
          <w:rFonts w:ascii="Times New Roman" w:hAnsi="Times New Roman" w:eastAsia="宋体"/>
          <w:highlight w:val="none"/>
        </w:rPr>
      </w:pPr>
      <w:r>
        <w:rPr>
          <w:rFonts w:ascii="Times New Roman" w:hAnsi="Times New Roman" w:eastAsia="宋体"/>
          <w:highlight w:val="none"/>
        </w:rPr>
        <w:t>（1）加油站基本状况</w:t>
      </w:r>
    </w:p>
    <w:p w14:paraId="62A66160">
      <w:pPr>
        <w:ind w:firstLine="560"/>
        <w:rPr>
          <w:rFonts w:ascii="Times New Roman" w:hAnsi="Times New Roman" w:eastAsia="宋体"/>
          <w:highlight w:val="none"/>
        </w:rPr>
      </w:pPr>
      <w:r>
        <w:rPr>
          <w:rFonts w:ascii="Times New Roman" w:hAnsi="Times New Roman" w:eastAsia="宋体"/>
          <w:highlight w:val="none"/>
        </w:rPr>
        <w:t>临海市顺风加油站，位于临海市桃渚镇项庄村西边马路旁，法人代表：项某。加油站储备、经营93号车用乙醇汽油和0号柴油两种成品油。站内有两个地下储油罐，每个储油罐约24吨。</w:t>
      </w:r>
    </w:p>
    <w:p w14:paraId="23F28BA0">
      <w:pPr>
        <w:ind w:firstLine="560"/>
        <w:rPr>
          <w:rFonts w:ascii="Times New Roman" w:hAnsi="Times New Roman" w:eastAsia="宋体"/>
          <w:highlight w:val="none"/>
        </w:rPr>
      </w:pPr>
      <w:r>
        <w:rPr>
          <w:rFonts w:ascii="Times New Roman" w:hAnsi="Times New Roman" w:eastAsia="宋体"/>
          <w:highlight w:val="none"/>
        </w:rPr>
        <w:t>（2）事故经过</w:t>
      </w:r>
    </w:p>
    <w:p w14:paraId="2AE3343F">
      <w:pPr>
        <w:ind w:firstLine="560"/>
        <w:rPr>
          <w:rFonts w:ascii="Times New Roman" w:hAnsi="Times New Roman" w:eastAsia="宋体"/>
          <w:highlight w:val="none"/>
        </w:rPr>
      </w:pPr>
      <w:r>
        <w:rPr>
          <w:rFonts w:ascii="Times New Roman" w:hAnsi="Times New Roman" w:eastAsia="宋体"/>
          <w:highlight w:val="none"/>
        </w:rPr>
        <w:t>2022年6月1日中午，满载车用乙醇汽油（29.48t）的浙BR257大油罐车到达临海市顺风加油站，并在11点50分左右起先向加油站地下储油罐卸油，当时加油站卸油作业现场人员有林某（浙BR257大油罐车驾驶员，事故发生时在副驾驶室）、潘某（浙BR257大油罐车押送员）、朱某（加油站工作人员，小油罐车浙J76829驾驶员）等3人。</w:t>
      </w:r>
    </w:p>
    <w:p w14:paraId="6958146C">
      <w:pPr>
        <w:ind w:firstLine="560"/>
        <w:rPr>
          <w:rFonts w:ascii="Times New Roman" w:hAnsi="Times New Roman" w:eastAsia="宋体"/>
          <w:highlight w:val="none"/>
        </w:rPr>
      </w:pPr>
      <w:r>
        <w:rPr>
          <w:rFonts w:ascii="Times New Roman" w:hAnsi="Times New Roman" w:eastAsia="宋体"/>
          <w:highlight w:val="none"/>
        </w:rPr>
        <w:t>在车用乙醇汽油槽罐车卸油的同时，加油站工作人员朱某考虑到地下储油罐装不下这么多油，就开来一辆小油罐车，停到大油罐车旁，从大油罐吸油，来分装一部分车用乙醇汽油。现场由潘某跟朱某两人负责卸油和抽油作业，潘某站在大油罐车车顶负责看护，朱某操作浙J76829小型油罐车从大油罐车吸油。因为抽油时，须要开启抽油泵，抽油泵利用小油罐车的发动机作为动力，因此整个抽油作业过程中小油罐车的发动机并未熄火。12点30分左右，当朱某从小油罐车车顶下来，去开车门的时候，突然发生爆燃，瞬间火焰高窜，朱某被火焰烧伤。火焰甚至喷到距地面有5米高的潘某，将其右脸颊和手灼伤。</w:t>
      </w:r>
    </w:p>
    <w:p w14:paraId="731474A2">
      <w:pPr>
        <w:ind w:firstLine="560"/>
        <w:rPr>
          <w:rFonts w:ascii="Times New Roman" w:hAnsi="Times New Roman" w:eastAsia="宋体"/>
          <w:highlight w:val="none"/>
        </w:rPr>
      </w:pPr>
      <w:r>
        <w:rPr>
          <w:rFonts w:ascii="Times New Roman" w:hAnsi="Times New Roman" w:eastAsia="宋体"/>
          <w:highlight w:val="none"/>
        </w:rPr>
        <w:t>12时40分，临海市消防大队接到临海市公安局指挥中心指令，马上出动7辆消防车和42名消防官兵赶往火灾现场。经过消防官兵奋力扑救，大火于15时左右被扑灭，此次火灾造成2人受伤。</w:t>
      </w:r>
    </w:p>
    <w:p w14:paraId="72CB5F4A">
      <w:pPr>
        <w:ind w:firstLine="560"/>
        <w:rPr>
          <w:rFonts w:ascii="Times New Roman" w:hAnsi="Times New Roman" w:eastAsia="宋体"/>
          <w:highlight w:val="none"/>
        </w:rPr>
      </w:pPr>
      <w:r>
        <w:rPr>
          <w:rFonts w:ascii="Times New Roman" w:hAnsi="Times New Roman" w:eastAsia="宋体"/>
          <w:highlight w:val="none"/>
        </w:rPr>
        <w:t>（3）事故缘由</w:t>
      </w:r>
    </w:p>
    <w:p w14:paraId="7F137E35">
      <w:pPr>
        <w:ind w:firstLine="560"/>
        <w:rPr>
          <w:rFonts w:ascii="Times New Roman" w:hAnsi="Times New Roman" w:eastAsia="宋体"/>
          <w:highlight w:val="none"/>
        </w:rPr>
      </w:pPr>
      <w:r>
        <w:rPr>
          <w:rFonts w:ascii="Times New Roman" w:hAnsi="Times New Roman" w:eastAsia="宋体"/>
          <w:highlight w:val="none"/>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29DDBFDA">
      <w:pPr>
        <w:ind w:firstLine="560"/>
        <w:rPr>
          <w:rFonts w:ascii="Times New Roman" w:hAnsi="Times New Roman" w:eastAsia="宋体"/>
          <w:highlight w:val="none"/>
        </w:rPr>
      </w:pPr>
      <w:r>
        <w:rPr>
          <w:rFonts w:ascii="Times New Roman" w:hAnsi="Times New Roman" w:eastAsia="宋体"/>
          <w:highlight w:val="none"/>
        </w:rPr>
        <w:t>（4）事故教训</w:t>
      </w:r>
    </w:p>
    <w:p w14:paraId="3B15C6C4">
      <w:pPr>
        <w:ind w:firstLine="560"/>
        <w:rPr>
          <w:rFonts w:ascii="Times New Roman" w:hAnsi="Times New Roman" w:eastAsia="宋体"/>
          <w:highlight w:val="none"/>
        </w:rPr>
      </w:pPr>
      <w:r>
        <w:rPr>
          <w:rFonts w:hint="eastAsia" w:ascii="宋体" w:hAnsi="宋体" w:eastAsia="宋体" w:cs="宋体"/>
          <w:highlight w:val="none"/>
        </w:rPr>
        <w:t>①</w:t>
      </w:r>
      <w:r>
        <w:rPr>
          <w:rFonts w:ascii="Times New Roman" w:hAnsi="Times New Roman" w:eastAsia="宋体"/>
          <w:highlight w:val="none"/>
        </w:rPr>
        <w:t>加油站工作人员风险防范意识淡薄。加油站工作人员朱某用来分装车用乙醇汽油的小型油罐车没有独立的抽油泵，利用外部抽油泵并利用车辆发动机作为动力，因此整个抽油作业过程中小油罐车的发动机并未熄火，且该车排气管未安装阻火器，在这种状况下，当事人还是贸然利用此车抽吸车用乙醇汽油，导致发生爆燃事故。</w:t>
      </w:r>
    </w:p>
    <w:p w14:paraId="4D772C5D">
      <w:pPr>
        <w:ind w:firstLine="560"/>
        <w:rPr>
          <w:rFonts w:ascii="Times New Roman" w:hAnsi="Times New Roman" w:eastAsia="宋体"/>
          <w:highlight w:val="none"/>
        </w:rPr>
      </w:pPr>
      <w:r>
        <w:rPr>
          <w:rFonts w:hint="eastAsia" w:ascii="宋体" w:hAnsi="宋体" w:eastAsia="宋体" w:cs="宋体"/>
          <w:highlight w:val="none"/>
        </w:rPr>
        <w:t>②</w:t>
      </w:r>
      <w:r>
        <w:rPr>
          <w:rFonts w:ascii="Times New Roman" w:hAnsi="Times New Roman" w:eastAsia="宋体"/>
          <w:highlight w:val="none"/>
        </w:rPr>
        <w:t>加油站安全防范措施不到位。</w:t>
      </w:r>
    </w:p>
    <w:p w14:paraId="6FEDB97C">
      <w:pPr>
        <w:ind w:firstLine="560"/>
        <w:rPr>
          <w:rFonts w:ascii="Times New Roman" w:hAnsi="Times New Roman" w:eastAsia="宋体"/>
          <w:highlight w:val="none"/>
        </w:rPr>
      </w:pPr>
      <w:r>
        <w:rPr>
          <w:rFonts w:hint="eastAsia" w:ascii="宋体" w:hAnsi="宋体" w:eastAsia="宋体" w:cs="宋体"/>
          <w:highlight w:val="none"/>
        </w:rPr>
        <w:t>③</w:t>
      </w:r>
      <w:r>
        <w:rPr>
          <w:rFonts w:ascii="Times New Roman" w:hAnsi="Times New Roman" w:eastAsia="宋体"/>
          <w:highlight w:val="none"/>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车用乙醇汽油外漏，致使小油罐车下方积聚大量油气。</w:t>
      </w:r>
    </w:p>
    <w:p w14:paraId="46B75EEB">
      <w:pPr>
        <w:ind w:firstLine="560"/>
        <w:rPr>
          <w:rFonts w:ascii="Times New Roman" w:hAnsi="Times New Roman" w:eastAsia="宋体"/>
          <w:highlight w:val="none"/>
        </w:rPr>
      </w:pPr>
      <w:r>
        <w:rPr>
          <w:rFonts w:ascii="Times New Roman" w:hAnsi="Times New Roman" w:eastAsia="宋体"/>
          <w:highlight w:val="none"/>
        </w:rPr>
        <w:t>案例</w:t>
      </w:r>
      <w:r>
        <w:rPr>
          <w:rFonts w:hint="eastAsia" w:ascii="Times New Roman" w:hAnsi="Times New Roman" w:eastAsia="宋体"/>
          <w:highlight w:val="none"/>
        </w:rPr>
        <w:t>二</w:t>
      </w:r>
      <w:r>
        <w:rPr>
          <w:rFonts w:ascii="Times New Roman" w:hAnsi="Times New Roman" w:eastAsia="宋体"/>
          <w:highlight w:val="none"/>
        </w:rPr>
        <w:t>：山东济南分公司第63加油站施工闪爆事故</w:t>
      </w:r>
    </w:p>
    <w:p w14:paraId="03C12B86">
      <w:pPr>
        <w:ind w:firstLine="560"/>
        <w:rPr>
          <w:rFonts w:ascii="Times New Roman" w:hAnsi="Times New Roman" w:eastAsia="宋体"/>
          <w:highlight w:val="none"/>
        </w:rPr>
      </w:pPr>
      <w:r>
        <w:rPr>
          <w:rFonts w:ascii="Times New Roman" w:hAnsi="Times New Roman" w:eastAsia="宋体"/>
          <w:highlight w:val="none"/>
        </w:rPr>
        <w:t>（1）事故概况</w:t>
      </w:r>
    </w:p>
    <w:p w14:paraId="24AF7877">
      <w:pPr>
        <w:ind w:firstLine="560"/>
        <w:rPr>
          <w:rFonts w:ascii="Times New Roman" w:hAnsi="Times New Roman" w:eastAsia="宋体"/>
          <w:highlight w:val="none"/>
        </w:rPr>
      </w:pPr>
      <w:r>
        <w:rPr>
          <w:rFonts w:ascii="Times New Roman" w:hAnsi="Times New Roman" w:eastAsia="宋体"/>
          <w:highlight w:val="none"/>
        </w:rPr>
        <w:t>2022年9月8日15:40左右，山东济南分公司第63加油站在安装加油机和潜油泵过程中，由于油罐人孔盖不符合安装潜油泵的条件，对油罐人孔盖进行改造，承包商天津华北有色建设工程公司山东分公司的施工人员，擅自用自带泵将2号埋地罐中的注水抽空，并在无人监控的状况下，在操作井边沿用气割对油罐法兰盘、管线短管开坡口，切割过程中，引燃油罐内残余油气发生闪爆，李洪革当即受伤，送医院经抢救无效，于9月9日凌晨死亡。</w:t>
      </w:r>
    </w:p>
    <w:p w14:paraId="7AAD3D53">
      <w:pPr>
        <w:ind w:firstLine="560"/>
        <w:rPr>
          <w:rFonts w:ascii="Times New Roman" w:hAnsi="Times New Roman" w:eastAsia="宋体"/>
          <w:highlight w:val="none"/>
        </w:rPr>
      </w:pPr>
      <w:r>
        <w:rPr>
          <w:rFonts w:ascii="Times New Roman" w:hAnsi="Times New Roman" w:eastAsia="宋体"/>
          <w:highlight w:val="none"/>
        </w:rPr>
        <w:t>（2）事故原因及分析</w:t>
      </w:r>
    </w:p>
    <w:p w14:paraId="6316A005">
      <w:pPr>
        <w:ind w:firstLine="560"/>
        <w:rPr>
          <w:rFonts w:ascii="Times New Roman" w:hAnsi="Times New Roman" w:eastAsia="宋体"/>
          <w:highlight w:val="none"/>
        </w:rPr>
      </w:pPr>
      <w:r>
        <w:rPr>
          <w:rFonts w:ascii="Times New Roman" w:hAnsi="Times New Roman" w:eastAsia="宋体"/>
          <w:highlight w:val="none"/>
        </w:rPr>
        <w:t>这是一起典型的施工组织混乱、施工安全监管不严、安全制度落实不到位造成的事故。</w:t>
      </w:r>
    </w:p>
    <w:p w14:paraId="7605DE38">
      <w:pPr>
        <w:ind w:firstLine="560"/>
        <w:rPr>
          <w:rFonts w:ascii="Times New Roman" w:hAnsi="Times New Roman" w:eastAsia="宋体"/>
          <w:highlight w:val="none"/>
        </w:rPr>
      </w:pPr>
      <w:r>
        <w:rPr>
          <w:rFonts w:hint="eastAsia" w:ascii="宋体" w:hAnsi="宋体" w:eastAsia="宋体" w:cs="宋体"/>
          <w:highlight w:val="none"/>
        </w:rPr>
        <w:t>①</w:t>
      </w:r>
      <w:r>
        <w:rPr>
          <w:rFonts w:ascii="Times New Roman" w:hAnsi="Times New Roman" w:eastAsia="宋体"/>
          <w:highlight w:val="none"/>
        </w:rPr>
        <w:t>事故发生的直接缘由</w:t>
      </w:r>
    </w:p>
    <w:p w14:paraId="5A2AF497">
      <w:pPr>
        <w:ind w:firstLine="560"/>
        <w:rPr>
          <w:rFonts w:ascii="Times New Roman" w:hAnsi="Times New Roman" w:eastAsia="宋体"/>
          <w:highlight w:val="none"/>
        </w:rPr>
      </w:pPr>
      <w:r>
        <w:rPr>
          <w:rFonts w:ascii="Times New Roman" w:hAnsi="Times New Roman" w:eastAsia="宋体"/>
          <w:highlight w:val="none"/>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CF63493">
      <w:pPr>
        <w:ind w:firstLine="560"/>
        <w:rPr>
          <w:rFonts w:ascii="Times New Roman" w:hAnsi="Times New Roman" w:eastAsia="宋体"/>
          <w:highlight w:val="none"/>
        </w:rPr>
      </w:pPr>
      <w:r>
        <w:rPr>
          <w:rFonts w:hint="eastAsia" w:ascii="宋体" w:hAnsi="宋体" w:eastAsia="宋体" w:cs="宋体"/>
          <w:highlight w:val="none"/>
        </w:rPr>
        <w:t>②</w:t>
      </w:r>
      <w:r>
        <w:rPr>
          <w:rFonts w:ascii="Times New Roman" w:hAnsi="Times New Roman" w:eastAsia="宋体"/>
          <w:highlight w:val="none"/>
        </w:rPr>
        <w:t>事故发生的间接缘由</w:t>
      </w:r>
    </w:p>
    <w:p w14:paraId="4C4BBE93">
      <w:pPr>
        <w:ind w:firstLine="560"/>
        <w:rPr>
          <w:rFonts w:ascii="Times New Roman" w:hAnsi="Times New Roman" w:eastAsia="宋体"/>
          <w:highlight w:val="none"/>
        </w:rPr>
      </w:pPr>
      <w:r>
        <w:rPr>
          <w:rFonts w:ascii="Times New Roman" w:hAnsi="Times New Roman" w:eastAsia="宋体"/>
          <w:highlight w:val="none"/>
        </w:rPr>
        <w:t>a.济南分公司没有落实集团公司新、改、扩建项目</w:t>
      </w:r>
      <w:r>
        <w:rPr>
          <w:rFonts w:hint="eastAsia" w:ascii="Times New Roman" w:hAnsi="Times New Roman" w:eastAsia="宋体"/>
          <w:highlight w:val="none"/>
        </w:rPr>
        <w:t>“</w:t>
      </w:r>
      <w:r>
        <w:rPr>
          <w:rFonts w:ascii="Times New Roman" w:hAnsi="Times New Roman" w:eastAsia="宋体"/>
          <w:highlight w:val="none"/>
        </w:rPr>
        <w:t>三同时</w:t>
      </w:r>
      <w:r>
        <w:rPr>
          <w:rFonts w:hint="eastAsia" w:ascii="Times New Roman" w:hAnsi="Times New Roman" w:eastAsia="宋体"/>
          <w:highlight w:val="none"/>
        </w:rPr>
        <w:t>”</w:t>
      </w:r>
      <w:r>
        <w:rPr>
          <w:rFonts w:ascii="Times New Roman" w:hAnsi="Times New Roman" w:eastAsia="宋体"/>
          <w:highlight w:val="none"/>
        </w:rPr>
        <w:t>管理规定，对施工单位资质审查不严，导致不具备施工资质的单位进站施工，为事故的发生埋下了隐患。</w:t>
      </w:r>
    </w:p>
    <w:p w14:paraId="10DAD8B5">
      <w:pPr>
        <w:ind w:firstLine="560"/>
        <w:rPr>
          <w:rFonts w:ascii="Times New Roman" w:hAnsi="Times New Roman" w:eastAsia="宋体"/>
          <w:highlight w:val="none"/>
        </w:rPr>
      </w:pPr>
      <w:r>
        <w:rPr>
          <w:rFonts w:ascii="Times New Roman" w:hAnsi="Times New Roman" w:eastAsia="宋体"/>
          <w:highlight w:val="none"/>
        </w:rPr>
        <w:t>b.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36B86049">
      <w:pPr>
        <w:ind w:firstLine="560"/>
        <w:rPr>
          <w:rFonts w:ascii="Times New Roman" w:hAnsi="Times New Roman" w:eastAsia="宋体"/>
          <w:highlight w:val="none"/>
        </w:rPr>
      </w:pPr>
      <w:r>
        <w:rPr>
          <w:rFonts w:ascii="Times New Roman" w:hAnsi="Times New Roman" w:eastAsia="宋体"/>
          <w:highlight w:val="none"/>
        </w:rPr>
        <w:t>c.施工现场监管严重失职，现场监管责任人（站长）对动火等重大安全作业监管不力，现场安全监督职责未执行到位。</w:t>
      </w:r>
    </w:p>
    <w:p w14:paraId="5A52A3C3">
      <w:pPr>
        <w:ind w:firstLine="560"/>
        <w:rPr>
          <w:rFonts w:ascii="Times New Roman" w:hAnsi="Times New Roman" w:eastAsia="宋体"/>
          <w:highlight w:val="none"/>
        </w:rPr>
      </w:pPr>
      <w:r>
        <w:rPr>
          <w:rFonts w:ascii="Times New Roman" w:hAnsi="Times New Roman" w:eastAsia="宋体"/>
          <w:highlight w:val="none"/>
        </w:rPr>
        <w:t>d.济南分公司对施工人员安全教化制度落实不到位，对外来施工人员安全教化没有针对性、走过场，施工人员对危害不了解，违规施工成为必定。</w:t>
      </w:r>
    </w:p>
    <w:p w14:paraId="2F61687A">
      <w:pPr>
        <w:ind w:firstLine="560"/>
        <w:rPr>
          <w:rFonts w:ascii="Times New Roman" w:hAnsi="Times New Roman" w:eastAsia="宋体"/>
          <w:highlight w:val="none"/>
        </w:rPr>
      </w:pPr>
      <w:r>
        <w:rPr>
          <w:rFonts w:ascii="Times New Roman" w:hAnsi="Times New Roman" w:eastAsia="宋体"/>
          <w:highlight w:val="none"/>
        </w:rPr>
        <w:t>（3）事故教训</w:t>
      </w:r>
    </w:p>
    <w:p w14:paraId="1C42211A">
      <w:pPr>
        <w:ind w:firstLine="560"/>
        <w:rPr>
          <w:rFonts w:ascii="Times New Roman" w:hAnsi="Times New Roman" w:eastAsia="宋体"/>
          <w:highlight w:val="none"/>
        </w:rPr>
      </w:pPr>
      <w:r>
        <w:rPr>
          <w:rFonts w:ascii="Times New Roman" w:hAnsi="Times New Roman" w:eastAsia="宋体"/>
          <w:highlight w:val="none"/>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rFonts w:hint="eastAsia" w:ascii="Times New Roman" w:hAnsi="Times New Roman" w:eastAsia="宋体"/>
          <w:highlight w:val="none"/>
        </w:rPr>
        <w:t>“</w:t>
      </w:r>
      <w:r>
        <w:rPr>
          <w:rFonts w:ascii="Times New Roman" w:hAnsi="Times New Roman" w:eastAsia="宋体"/>
          <w:highlight w:val="none"/>
        </w:rPr>
        <w:t>以包代管</w:t>
      </w:r>
      <w:r>
        <w:rPr>
          <w:rFonts w:hint="eastAsia" w:ascii="Times New Roman" w:hAnsi="Times New Roman" w:eastAsia="宋体"/>
          <w:highlight w:val="none"/>
        </w:rPr>
        <w:t>”</w:t>
      </w:r>
      <w:r>
        <w:rPr>
          <w:rFonts w:ascii="Times New Roman" w:hAnsi="Times New Roman" w:eastAsia="宋体"/>
          <w:highlight w:val="none"/>
        </w:rPr>
        <w:t>现象。</w:t>
      </w:r>
    </w:p>
    <w:p w14:paraId="6DEA03E3">
      <w:pPr>
        <w:ind w:firstLine="560"/>
        <w:rPr>
          <w:rFonts w:ascii="Times New Roman" w:hAnsi="Times New Roman" w:eastAsia="宋体"/>
          <w:highlight w:val="none"/>
        </w:rPr>
      </w:pPr>
      <w:r>
        <w:rPr>
          <w:rFonts w:ascii="Times New Roman" w:hAnsi="Times New Roman" w:eastAsia="宋体"/>
          <w:highlight w:val="none"/>
        </w:rPr>
        <w:t>以上加油站火灾、爆炸事故2例案例，从事故案例的分析来看，发生火灾事故的加油站都存在违规建设和违章操作。因此在加油站的设计和施工建设中应严格按《汽车加油加气加氢站技术标准》（GB50156-2021）要求进行。</w:t>
      </w:r>
    </w:p>
    <w:p w14:paraId="4897D492">
      <w:pPr>
        <w:ind w:firstLine="560"/>
        <w:rPr>
          <w:rFonts w:ascii="Times New Roman" w:hAnsi="Times New Roman" w:eastAsia="宋体"/>
          <w:highlight w:val="none"/>
        </w:rPr>
      </w:pPr>
      <w:r>
        <w:rPr>
          <w:rFonts w:ascii="Times New Roman" w:hAnsi="Times New Roman" w:eastAsia="宋体"/>
          <w:highlight w:val="none"/>
        </w:rPr>
        <w:br w:type="page"/>
      </w:r>
    </w:p>
    <w:p w14:paraId="6DDF1E79">
      <w:pPr>
        <w:spacing w:before="468" w:beforeLines="150" w:after="468" w:afterLines="150"/>
        <w:ind w:firstLine="0" w:firstLineChars="0"/>
        <w:jc w:val="center"/>
        <w:outlineLvl w:val="0"/>
        <w:rPr>
          <w:rFonts w:ascii="Times New Roman" w:hAnsi="Times New Roman" w:eastAsia="黑体" w:cs="Times New Roman"/>
          <w:b/>
          <w:bCs/>
          <w:sz w:val="32"/>
          <w:szCs w:val="32"/>
          <w:highlight w:val="none"/>
        </w:rPr>
      </w:pPr>
      <w:bookmarkStart w:id="64" w:name="_Toc187310011"/>
      <w:r>
        <w:rPr>
          <w:rFonts w:ascii="Times New Roman" w:hAnsi="Times New Roman" w:eastAsia="黑体" w:cs="Times New Roman"/>
          <w:b/>
          <w:bCs/>
          <w:sz w:val="32"/>
          <w:szCs w:val="32"/>
          <w:highlight w:val="none"/>
        </w:rPr>
        <w:t>7安全设施的施工、检验、检测和调试情况</w:t>
      </w:r>
      <w:bookmarkEnd w:id="64"/>
    </w:p>
    <w:p w14:paraId="23A0F0C9">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65" w:name="_Toc187310012"/>
      <w:r>
        <w:rPr>
          <w:rFonts w:ascii="Times New Roman" w:hAnsi="Times New Roman" w:eastAsia="楷体" w:cs="Times New Roman"/>
          <w:b/>
          <w:bCs/>
          <w:sz w:val="32"/>
          <w:szCs w:val="32"/>
          <w:highlight w:val="none"/>
        </w:rPr>
        <w:t>7.1安全设施的施工质量情况</w:t>
      </w:r>
      <w:bookmarkEnd w:id="65"/>
    </w:p>
    <w:p w14:paraId="684FD58C">
      <w:pPr>
        <w:ind w:firstLine="560"/>
        <w:rPr>
          <w:rFonts w:ascii="Times New Roman" w:hAnsi="Times New Roman" w:eastAsia="宋体"/>
          <w:highlight w:val="none"/>
        </w:rPr>
      </w:pPr>
      <w:r>
        <w:rPr>
          <w:rFonts w:ascii="Times New Roman" w:hAnsi="Times New Roman" w:eastAsia="宋体"/>
          <w:highlight w:val="none"/>
        </w:rPr>
        <w:t>本项目设计单位是设计单位：中交城市能源研究设计院有限公司：化工石化医药行业（石油及化工产品储运）专业甲级等，满足本项目要求；本项目安全设施施工承包单位</w:t>
      </w:r>
      <w:r>
        <w:rPr>
          <w:rFonts w:hint="eastAsia" w:ascii="Times New Roman" w:hAnsi="Times New Roman" w:eastAsia="宋体"/>
          <w:highlight w:val="none"/>
        </w:rPr>
        <w:t>是黑龙江逸景建筑工程有限公司：石油化工工程施工总承包二级，</w:t>
      </w:r>
      <w:r>
        <w:rPr>
          <w:rFonts w:ascii="Times New Roman" w:hAnsi="Times New Roman" w:eastAsia="宋体"/>
          <w:highlight w:val="none"/>
        </w:rPr>
        <w:t>承包工程范围满足本项目要求</w:t>
      </w:r>
      <w:r>
        <w:rPr>
          <w:rFonts w:hint="eastAsia" w:ascii="Times New Roman" w:hAnsi="Times New Roman" w:eastAsia="宋体"/>
          <w:highlight w:val="none"/>
        </w:rPr>
        <w:t>。</w:t>
      </w:r>
    </w:p>
    <w:p w14:paraId="79129EE9">
      <w:pPr>
        <w:ind w:firstLine="560"/>
        <w:rPr>
          <w:rFonts w:ascii="Times New Roman" w:hAnsi="Times New Roman" w:eastAsia="宋体"/>
          <w:highlight w:val="none"/>
        </w:rPr>
      </w:pPr>
      <w:r>
        <w:rPr>
          <w:rFonts w:ascii="Times New Roman" w:hAnsi="Times New Roman" w:eastAsia="宋体"/>
          <w:highlight w:val="none"/>
        </w:rPr>
        <w:t>中交城市能源研究设计院有限公司承担了本项目的设计，在设计阶段根据建设项目的特点和过程的危险源及危险和有害因素分析的结果，严格执行现行国家、行业及地方相关法律、法规、标准和规范规定的要求，基于本质安全设计、事故预防优先、可靠性优先等设计原则，采取具有针对性、可操作性和经济合理的安全设施。</w:t>
      </w:r>
    </w:p>
    <w:p w14:paraId="5EFDD92C">
      <w:pPr>
        <w:ind w:firstLine="560"/>
        <w:rPr>
          <w:rFonts w:ascii="Times New Roman" w:hAnsi="Times New Roman" w:eastAsia="宋体"/>
          <w:highlight w:val="none"/>
        </w:rPr>
      </w:pPr>
      <w:r>
        <w:rPr>
          <w:rFonts w:hint="eastAsia" w:ascii="Times New Roman" w:hAnsi="Times New Roman" w:eastAsia="宋体"/>
          <w:highlight w:val="none"/>
        </w:rPr>
        <w:t>黑龙江逸景建筑工程有限公司</w:t>
      </w:r>
      <w:r>
        <w:rPr>
          <w:rFonts w:ascii="Times New Roman" w:hAnsi="Times New Roman" w:eastAsia="宋体"/>
          <w:highlight w:val="none"/>
        </w:rPr>
        <w:t>承担了本项目的施工建设，施工前期已制定了全套施工方案及质量保证体系，施工过程中，从原材料的进场检验到土建施工及设备安装过程严格受控于施工方案及质量保证体系，具体落实到每个责任人，确保施工质量合格。</w:t>
      </w:r>
    </w:p>
    <w:p w14:paraId="7200CAA2">
      <w:pPr>
        <w:ind w:firstLine="560"/>
        <w:rPr>
          <w:rFonts w:ascii="Times New Roman" w:hAnsi="Times New Roman" w:eastAsia="宋体"/>
          <w:highlight w:val="none"/>
        </w:rPr>
      </w:pPr>
      <w:r>
        <w:rPr>
          <w:rFonts w:hint="eastAsia" w:ascii="Times New Roman" w:hAnsi="Times New Roman" w:eastAsia="宋体"/>
          <w:highlight w:val="none"/>
        </w:rPr>
        <w:t>建设单位已与中交城市能源研究设计院有限公司、黑龙江逸景建筑工程有限公司、辽宁省交通规划设计院有限责任公司对加油站设计及施工质量进行验收，验收合格并形成单位工程质量竣工验收记录。</w:t>
      </w:r>
    </w:p>
    <w:p w14:paraId="62000BFC">
      <w:pPr>
        <w:keepNext/>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66" w:name="_Toc187310013"/>
      <w:r>
        <w:rPr>
          <w:rFonts w:ascii="Times New Roman" w:hAnsi="Times New Roman" w:eastAsia="楷体" w:cs="Times New Roman"/>
          <w:b/>
          <w:bCs/>
          <w:sz w:val="32"/>
          <w:szCs w:val="32"/>
          <w:highlight w:val="none"/>
        </w:rPr>
        <w:t>7.2安全设施在施工前后的检验、检测情况及有效性情况</w:t>
      </w:r>
      <w:bookmarkEnd w:id="66"/>
    </w:p>
    <w:p w14:paraId="36D8BF4E">
      <w:pPr>
        <w:ind w:firstLine="560"/>
        <w:rPr>
          <w:rFonts w:ascii="Times New Roman" w:hAnsi="Times New Roman" w:eastAsia="宋体"/>
          <w:highlight w:val="none"/>
        </w:rPr>
      </w:pPr>
      <w:r>
        <w:rPr>
          <w:rFonts w:ascii="Times New Roman" w:hAnsi="Times New Roman" w:eastAsia="宋体"/>
          <w:highlight w:val="none"/>
        </w:rPr>
        <w:t>本项目的安全设施在施工进场前，都有专职工程师对照设计蓝图检验是否符合设计要求，同时查验相关质量文件是否齐全，液位仪、防渗漏检测等检测报警设施都进行了报验，进场检查全部合格后，进行现场安装。防雷接地工程施工过程中，对防雷设施用接地摇表测量，未经负责人员验收合格的地下工程，绝不允许回填。</w:t>
      </w:r>
    </w:p>
    <w:p w14:paraId="342FD75F">
      <w:pPr>
        <w:ind w:firstLine="560"/>
        <w:rPr>
          <w:rFonts w:ascii="Times New Roman" w:hAnsi="Times New Roman" w:eastAsia="宋体"/>
          <w:highlight w:val="none"/>
        </w:rPr>
      </w:pPr>
      <w:r>
        <w:rPr>
          <w:rFonts w:ascii="Times New Roman" w:hAnsi="Times New Roman" w:eastAsia="宋体"/>
          <w:highlight w:val="none"/>
        </w:rPr>
        <w:t>项目施工结束后，对液位仪、防渗漏检测仪、防雷（静电）设施、防火涂料、消防设施</w:t>
      </w:r>
      <w:r>
        <w:rPr>
          <w:rFonts w:hint="eastAsia" w:ascii="Times New Roman" w:hAnsi="Times New Roman" w:eastAsia="宋体"/>
          <w:highlight w:val="none"/>
          <w:lang w:eastAsia="zh-CN"/>
        </w:rPr>
        <w:t>、</w:t>
      </w:r>
      <w:r>
        <w:rPr>
          <w:rFonts w:hint="eastAsia" w:ascii="Times New Roman" w:hAnsi="Times New Roman" w:eastAsia="宋体"/>
          <w:highlight w:val="none"/>
          <w:lang w:val="en-US" w:eastAsia="zh-CN"/>
        </w:rPr>
        <w:t>管道施工</w:t>
      </w:r>
      <w:r>
        <w:rPr>
          <w:rFonts w:ascii="Times New Roman" w:hAnsi="Times New Roman" w:eastAsia="宋体"/>
          <w:highlight w:val="none"/>
        </w:rPr>
        <w:t>等安全设施进行了检验，检验结论都为有效，相关检验报告或合格证见附件。</w:t>
      </w:r>
    </w:p>
    <w:p w14:paraId="2A662EA8">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67" w:name="_Toc187310014"/>
      <w:r>
        <w:rPr>
          <w:rFonts w:ascii="Times New Roman" w:hAnsi="Times New Roman" w:eastAsia="楷体" w:cs="Times New Roman"/>
          <w:b/>
          <w:bCs/>
          <w:sz w:val="32"/>
          <w:szCs w:val="32"/>
          <w:highlight w:val="none"/>
        </w:rPr>
        <w:t>7.3安全设施试生产（使用）前的调试情况</w:t>
      </w:r>
      <w:bookmarkEnd w:id="67"/>
    </w:p>
    <w:p w14:paraId="0F392850">
      <w:pPr>
        <w:ind w:firstLine="560"/>
        <w:rPr>
          <w:rFonts w:ascii="Times New Roman" w:hAnsi="Times New Roman" w:eastAsia="宋体"/>
          <w:highlight w:val="none"/>
        </w:rPr>
      </w:pPr>
      <w:r>
        <w:rPr>
          <w:rFonts w:ascii="Times New Roman" w:hAnsi="Times New Roman" w:eastAsia="宋体"/>
          <w:highlight w:val="none"/>
        </w:rPr>
        <w:t>在试生产前，本项目的主要负责人、安全管理</w:t>
      </w:r>
      <w:r>
        <w:rPr>
          <w:rFonts w:hint="eastAsia" w:ascii="Times New Roman" w:hAnsi="Times New Roman" w:eastAsia="宋体"/>
          <w:highlight w:val="none"/>
        </w:rPr>
        <w:t>员</w:t>
      </w:r>
      <w:r>
        <w:rPr>
          <w:rFonts w:ascii="Times New Roman" w:hAnsi="Times New Roman" w:eastAsia="宋体"/>
          <w:highlight w:val="none"/>
        </w:rPr>
        <w:t>、维护人员共同对加油机、油罐液位监测系统、防渗检测系统及安全设施等进行了检验、检测和调试，同时有</w:t>
      </w:r>
      <w:r>
        <w:rPr>
          <w:rFonts w:hint="eastAsia" w:ascii="Times New Roman" w:hAnsi="Times New Roman" w:eastAsia="宋体"/>
          <w:highlight w:val="none"/>
        </w:rPr>
        <w:t>调试</w:t>
      </w:r>
      <w:r>
        <w:rPr>
          <w:rFonts w:ascii="Times New Roman" w:hAnsi="Times New Roman" w:eastAsia="宋体"/>
          <w:highlight w:val="none"/>
        </w:rPr>
        <w:t>记录文件，保证了安全设施能够正常发挥作用。</w:t>
      </w:r>
    </w:p>
    <w:p w14:paraId="70BA3AEB">
      <w:pPr>
        <w:ind w:firstLine="560"/>
        <w:rPr>
          <w:rFonts w:ascii="Times New Roman" w:hAnsi="Times New Roman" w:eastAsia="宋体"/>
          <w:highlight w:val="none"/>
        </w:rPr>
      </w:pPr>
      <w:r>
        <w:rPr>
          <w:rFonts w:ascii="Times New Roman" w:hAnsi="Times New Roman" w:eastAsia="宋体"/>
          <w:highlight w:val="none"/>
        </w:rPr>
        <w:br w:type="page"/>
      </w:r>
    </w:p>
    <w:p w14:paraId="3372158C">
      <w:pPr>
        <w:spacing w:before="468" w:beforeLines="150" w:after="468" w:afterLines="150"/>
        <w:ind w:firstLine="0" w:firstLineChars="0"/>
        <w:jc w:val="center"/>
        <w:outlineLvl w:val="0"/>
        <w:rPr>
          <w:rFonts w:ascii="Times New Roman" w:hAnsi="Times New Roman" w:eastAsia="黑体" w:cs="Times New Roman"/>
          <w:b/>
          <w:bCs/>
          <w:sz w:val="32"/>
          <w:szCs w:val="32"/>
          <w:highlight w:val="none"/>
        </w:rPr>
      </w:pPr>
      <w:bookmarkStart w:id="68" w:name="_Toc187310015"/>
      <w:r>
        <w:rPr>
          <w:rFonts w:ascii="Times New Roman" w:hAnsi="Times New Roman" w:eastAsia="黑体" w:cs="Times New Roman"/>
          <w:b/>
          <w:bCs/>
          <w:sz w:val="32"/>
          <w:szCs w:val="32"/>
          <w:highlight w:val="none"/>
        </w:rPr>
        <w:t>8结论和建议</w:t>
      </w:r>
      <w:bookmarkEnd w:id="68"/>
    </w:p>
    <w:p w14:paraId="3AB173AD">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69" w:name="_Toc187310016"/>
      <w:r>
        <w:rPr>
          <w:rFonts w:ascii="Times New Roman" w:hAnsi="Times New Roman" w:eastAsia="楷体" w:cs="Times New Roman"/>
          <w:b/>
          <w:bCs/>
          <w:sz w:val="32"/>
          <w:szCs w:val="32"/>
          <w:highlight w:val="none"/>
        </w:rPr>
        <w:t>8.1结论</w:t>
      </w:r>
      <w:bookmarkEnd w:id="69"/>
    </w:p>
    <w:p w14:paraId="44AF8931">
      <w:pPr>
        <w:ind w:firstLine="560"/>
        <w:rPr>
          <w:rFonts w:ascii="Times New Roman" w:hAnsi="Times New Roman" w:eastAsia="宋体"/>
          <w:highlight w:val="none"/>
        </w:rPr>
      </w:pPr>
      <w:r>
        <w:rPr>
          <w:rFonts w:ascii="Times New Roman" w:hAnsi="Times New Roman" w:eastAsia="宋体"/>
          <w:highlight w:val="none"/>
        </w:rPr>
        <w:t>根据国家现行有关安全生产法律、法规、部门规章、标准、规范的规定和要求，对</w:t>
      </w:r>
      <w:r>
        <w:rPr>
          <w:rFonts w:hint="eastAsia" w:ascii="Times New Roman" w:hAnsi="Times New Roman" w:eastAsia="宋体"/>
          <w:highlight w:val="none"/>
          <w:lang w:eastAsia="zh-CN"/>
        </w:rPr>
        <w:t>中铁（辽宁）本桓高速公路有限公司八里甸子服务区北侧加油站新建项目</w:t>
      </w:r>
      <w:r>
        <w:rPr>
          <w:rFonts w:ascii="Times New Roman" w:hAnsi="Times New Roman" w:eastAsia="宋体"/>
          <w:highlight w:val="none"/>
        </w:rPr>
        <w:t>进行现场核查后，得出安全评价结论。</w:t>
      </w:r>
    </w:p>
    <w:p w14:paraId="1D2EF25F">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8.1.1建设项目所在地的安全条件和与周边的安全防护距离</w:t>
      </w:r>
    </w:p>
    <w:p w14:paraId="2D14EA9F">
      <w:pPr>
        <w:ind w:firstLine="560"/>
        <w:rPr>
          <w:rFonts w:ascii="Times New Roman" w:hAnsi="Times New Roman" w:eastAsia="宋体"/>
          <w:highlight w:val="none"/>
        </w:rPr>
      </w:pPr>
      <w:r>
        <w:rPr>
          <w:rFonts w:ascii="Times New Roman" w:hAnsi="Times New Roman" w:eastAsia="宋体"/>
          <w:highlight w:val="none"/>
        </w:rPr>
        <w:t>本项目设立安全评价和安全设施设计专篇阶段所依托的外部安全环境和安全条件与项目现阶段未发生变化。</w:t>
      </w:r>
    </w:p>
    <w:p w14:paraId="1679B3E0">
      <w:pPr>
        <w:ind w:firstLine="560"/>
        <w:rPr>
          <w:rFonts w:ascii="Times New Roman" w:hAnsi="Times New Roman" w:eastAsia="宋体"/>
          <w:highlight w:val="none"/>
        </w:rPr>
      </w:pPr>
      <w:r>
        <w:rPr>
          <w:rFonts w:ascii="Times New Roman" w:hAnsi="Times New Roman" w:eastAsia="宋体"/>
          <w:highlight w:val="none"/>
        </w:rPr>
        <w:t>本项目与站外其它企业建筑物、设施的安全间距符合《汽车加油加气加氢站技术标准》（GB50156-2021）第4.0.4条的要求。</w:t>
      </w:r>
    </w:p>
    <w:p w14:paraId="55F6513F">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8.1.2建设项目安全设施设计的采纳情况及其安全设施水平</w:t>
      </w:r>
    </w:p>
    <w:p w14:paraId="6597B28E">
      <w:pPr>
        <w:ind w:firstLine="560"/>
        <w:rPr>
          <w:rFonts w:ascii="Times New Roman" w:hAnsi="Times New Roman" w:eastAsia="宋体"/>
          <w:highlight w:val="none"/>
        </w:rPr>
      </w:pPr>
      <w:r>
        <w:rPr>
          <w:rFonts w:ascii="Times New Roman" w:hAnsi="Times New Roman" w:eastAsia="宋体"/>
          <w:highlight w:val="none"/>
        </w:rPr>
        <w:t>（1）安全设施设计的采纳情况</w:t>
      </w:r>
    </w:p>
    <w:p w14:paraId="07A9D52B">
      <w:pPr>
        <w:ind w:firstLine="560"/>
        <w:rPr>
          <w:rFonts w:ascii="Times New Roman" w:hAnsi="Times New Roman" w:eastAsia="宋体"/>
          <w:highlight w:val="none"/>
        </w:rPr>
      </w:pPr>
      <w:r>
        <w:rPr>
          <w:rFonts w:ascii="Times New Roman" w:hAnsi="Times New Roman" w:eastAsia="宋体"/>
          <w:highlight w:val="none"/>
        </w:rPr>
        <w:t>本项目的全部采纳了安全设施设计专篇提出的要求，安全设施设置较为完善，安全状态良好，需要检验检测的安全设施经检验检测合格，处于有效期内。</w:t>
      </w:r>
    </w:p>
    <w:p w14:paraId="19639576">
      <w:pPr>
        <w:ind w:firstLine="560"/>
        <w:rPr>
          <w:rFonts w:ascii="Times New Roman" w:hAnsi="Times New Roman" w:eastAsia="宋体"/>
          <w:highlight w:val="none"/>
        </w:rPr>
      </w:pPr>
      <w:r>
        <w:rPr>
          <w:rFonts w:ascii="Times New Roman" w:hAnsi="Times New Roman" w:eastAsia="宋体"/>
          <w:highlight w:val="none"/>
        </w:rPr>
        <w:t>（2）采纳的安全设施水平</w:t>
      </w:r>
    </w:p>
    <w:p w14:paraId="1C69843F">
      <w:pPr>
        <w:ind w:firstLine="560"/>
        <w:rPr>
          <w:rFonts w:ascii="Times New Roman" w:hAnsi="Times New Roman" w:eastAsia="宋体"/>
          <w:highlight w:val="none"/>
        </w:rPr>
      </w:pPr>
      <w:r>
        <w:rPr>
          <w:rFonts w:ascii="Times New Roman" w:hAnsi="Times New Roman" w:eastAsia="宋体"/>
          <w:highlight w:val="none"/>
        </w:rPr>
        <w:t>本项目现场的安全设施为目前国内领先水平。</w:t>
      </w:r>
    </w:p>
    <w:p w14:paraId="17031717">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8.1.3技术、工艺和设备、设施的安全、可靠性和安全水平</w:t>
      </w:r>
    </w:p>
    <w:p w14:paraId="6C999BA7">
      <w:pPr>
        <w:ind w:firstLine="560"/>
        <w:rPr>
          <w:rFonts w:ascii="Times New Roman" w:hAnsi="Times New Roman" w:eastAsia="宋体"/>
          <w:highlight w:val="none"/>
        </w:rPr>
      </w:pPr>
      <w:r>
        <w:rPr>
          <w:rFonts w:ascii="Times New Roman" w:hAnsi="Times New Roman" w:eastAsia="宋体"/>
          <w:highlight w:val="none"/>
        </w:rPr>
        <w:t>采用成熟的工艺技术，具有安全可靠性；选用的设备系专业制造商生产，具有安全可靠性；防雷防静电设施均经相关机构检测合格，具有安全可靠性；各设备、设施日常管理、维护较好，具有较高的安全水平，能够满足安全生产的要求。</w:t>
      </w:r>
    </w:p>
    <w:p w14:paraId="5BF54EC0">
      <w:pPr>
        <w:keepNext/>
        <w:keepLines/>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8.1.4建设项目试生产（使用）中发现的设计缺陷和事故隐患及其整改情况</w:t>
      </w:r>
    </w:p>
    <w:p w14:paraId="14624F4B">
      <w:pPr>
        <w:ind w:firstLine="560"/>
        <w:rPr>
          <w:rFonts w:ascii="Times New Roman" w:hAnsi="Times New Roman" w:eastAsia="宋体"/>
          <w:highlight w:val="none"/>
        </w:rPr>
      </w:pPr>
      <w:r>
        <w:rPr>
          <w:rFonts w:ascii="Times New Roman" w:hAnsi="Times New Roman" w:eastAsia="宋体"/>
          <w:highlight w:val="none"/>
        </w:rPr>
        <w:t>评价组通过现场检查和核查该公司提供的相关工程技术资料，从本项目平面布置、工艺设计、设备设施、自动控制、供配电、消防、有害因素控制措施、安全管理措施等方面编制了安全检查表进行检查，</w:t>
      </w:r>
      <w:r>
        <w:rPr>
          <w:rFonts w:hint="eastAsia" w:ascii="Times New Roman" w:hAnsi="Times New Roman" w:eastAsia="宋体"/>
          <w:highlight w:val="none"/>
        </w:rPr>
        <w:t>均符合要求</w:t>
      </w:r>
      <w:r>
        <w:rPr>
          <w:rFonts w:ascii="Times New Roman" w:hAnsi="Times New Roman" w:eastAsia="宋体"/>
          <w:highlight w:val="none"/>
        </w:rPr>
        <w:t>。本项目在试运行过程中未出现设计缺陷和事故隐患。目前，本项目试运行状况良好、稳定，具备了安全验收的基本条件。</w:t>
      </w:r>
    </w:p>
    <w:p w14:paraId="2A1A505A">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8.1.5建设项目具备的安全生产条件</w:t>
      </w:r>
    </w:p>
    <w:p w14:paraId="1DB7AF89">
      <w:pPr>
        <w:ind w:firstLine="560"/>
        <w:rPr>
          <w:rFonts w:ascii="Times New Roman" w:hAnsi="Times New Roman" w:eastAsia="宋体"/>
          <w:highlight w:val="none"/>
        </w:rPr>
      </w:pPr>
      <w:r>
        <w:rPr>
          <w:rFonts w:hint="eastAsia" w:ascii="Times New Roman" w:hAnsi="Times New Roman" w:eastAsia="宋体"/>
          <w:highlight w:val="none"/>
        </w:rPr>
        <w:t>本</w:t>
      </w:r>
      <w:r>
        <w:rPr>
          <w:rFonts w:ascii="Times New Roman" w:hAnsi="Times New Roman" w:eastAsia="宋体"/>
          <w:highlight w:val="none"/>
        </w:rPr>
        <w:t>项目</w:t>
      </w:r>
      <w:r>
        <w:rPr>
          <w:rFonts w:hint="eastAsia" w:ascii="Times New Roman" w:hAnsi="Times New Roman" w:eastAsia="宋体"/>
          <w:highlight w:val="none"/>
        </w:rPr>
        <w:t>选址</w:t>
      </w:r>
      <w:r>
        <w:rPr>
          <w:rFonts w:ascii="Times New Roman" w:hAnsi="Times New Roman" w:eastAsia="宋体"/>
          <w:highlight w:val="none"/>
        </w:rPr>
        <w:t>符合有关规划、环境保护和防火安全的要求，并选在交通便利、用户使用方便的地点</w:t>
      </w:r>
      <w:r>
        <w:rPr>
          <w:rFonts w:hint="eastAsia" w:ascii="Times New Roman" w:hAnsi="Times New Roman" w:eastAsia="宋体"/>
          <w:highlight w:val="none"/>
        </w:rPr>
        <w:t>。</w:t>
      </w:r>
    </w:p>
    <w:p w14:paraId="5815625F">
      <w:pPr>
        <w:ind w:firstLine="560"/>
        <w:rPr>
          <w:rFonts w:ascii="Times New Roman" w:hAnsi="Times New Roman" w:eastAsia="宋体"/>
          <w:highlight w:val="none"/>
        </w:rPr>
      </w:pPr>
      <w:r>
        <w:rPr>
          <w:rFonts w:hint="eastAsia" w:ascii="Times New Roman" w:hAnsi="Times New Roman" w:eastAsia="宋体"/>
          <w:highlight w:val="none"/>
        </w:rPr>
        <w:t>本项目加油机距</w:t>
      </w:r>
      <w:r>
        <w:rPr>
          <w:rFonts w:ascii="Times New Roman" w:hAnsi="Times New Roman" w:eastAsia="宋体"/>
          <w:highlight w:val="none"/>
        </w:rPr>
        <w:t>本溪至集安高速公路（G9111）</w:t>
      </w:r>
      <w:r>
        <w:rPr>
          <w:rFonts w:hint="eastAsia" w:ascii="Times New Roman" w:hAnsi="Times New Roman" w:eastAsia="宋体"/>
          <w:highlight w:val="none"/>
          <w:lang w:val="en-US" w:eastAsia="zh-CN"/>
        </w:rPr>
        <w:t>33.7</w:t>
      </w:r>
      <w:r>
        <w:rPr>
          <w:rFonts w:hint="eastAsia" w:ascii="Times New Roman" w:hAnsi="Times New Roman" w:eastAsia="宋体"/>
          <w:highlight w:val="none"/>
        </w:rPr>
        <w:t>m，周边无以下敏感区域：</w:t>
      </w:r>
      <w:r>
        <w:rPr>
          <w:rFonts w:ascii="Times New Roman" w:hAnsi="Times New Roman" w:eastAsia="宋体"/>
          <w:highlight w:val="none"/>
        </w:rPr>
        <w:t>居民区、商业中心、公园等人口密集区域；学校、医院、影剧院、体育场（馆）等公共设施；供水水源、水厂及水源保护区；车站、码头（按照国家规定，经批准，专门从事危险化学品装卸作业的除外）、机场以及铁路、水路交通干线、地铁风亭及出入口；基本农田保护区、畜牧区、渔业水域和种子、种畜、水产苗种生产基地；河流、湖泊、风景名胜区和自然保护区；军事禁区、军事管理区；法律、行政法规规定予以保护的其他区域。</w:t>
      </w:r>
    </w:p>
    <w:p w14:paraId="173962D9">
      <w:pPr>
        <w:ind w:firstLine="560"/>
        <w:rPr>
          <w:rFonts w:ascii="Times New Roman" w:hAnsi="Times New Roman" w:eastAsia="宋体"/>
          <w:highlight w:val="none"/>
        </w:rPr>
      </w:pPr>
      <w:r>
        <w:rPr>
          <w:rFonts w:hint="eastAsia" w:ascii="Times New Roman" w:hAnsi="Times New Roman" w:eastAsia="宋体"/>
          <w:highlight w:val="none"/>
        </w:rPr>
        <w:t>本项目</w:t>
      </w:r>
      <w:r>
        <w:rPr>
          <w:rFonts w:ascii="Times New Roman" w:hAnsi="Times New Roman" w:eastAsia="宋体"/>
          <w:highlight w:val="none"/>
        </w:rPr>
        <w:t>与站外其它建筑物、设施的安全间距符合《汽车加油加气加氢站技术标准》（GB50156-2021）第4.0.4条的要求。</w:t>
      </w:r>
    </w:p>
    <w:p w14:paraId="06E1F672">
      <w:pPr>
        <w:keepNext/>
        <w:keepLines/>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70" w:name="_Toc187310017"/>
      <w:r>
        <w:rPr>
          <w:rFonts w:ascii="Times New Roman" w:hAnsi="Times New Roman" w:eastAsia="楷体" w:cs="Times New Roman"/>
          <w:b/>
          <w:bCs/>
          <w:sz w:val="32"/>
          <w:szCs w:val="32"/>
          <w:highlight w:val="none"/>
        </w:rPr>
        <w:t>8.2对建设项目的建议</w:t>
      </w:r>
      <w:bookmarkEnd w:id="70"/>
    </w:p>
    <w:p w14:paraId="25B83820">
      <w:pPr>
        <w:ind w:firstLine="560"/>
        <w:rPr>
          <w:rFonts w:ascii="Times New Roman" w:hAnsi="Times New Roman" w:eastAsia="宋体"/>
          <w:highlight w:val="none"/>
        </w:rPr>
      </w:pPr>
      <w:r>
        <w:rPr>
          <w:rFonts w:ascii="Times New Roman" w:hAnsi="Times New Roman" w:eastAsia="宋体"/>
          <w:highlight w:val="none"/>
        </w:rPr>
        <w:t>依据国家有关安全生产法律、法规和部门规章及标准，为确保本项目投产后实现长周期安全、平稳运行，保障作业人员身体健康，从区域安全、生产装置运行安全及持续改进的角度出发，提出如下几方面建议。</w:t>
      </w:r>
    </w:p>
    <w:p w14:paraId="274DECC2">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8.2.1安全设施的更新与改进建议</w:t>
      </w:r>
    </w:p>
    <w:p w14:paraId="73808CBD">
      <w:pPr>
        <w:ind w:firstLine="560"/>
        <w:rPr>
          <w:rFonts w:ascii="Times New Roman" w:hAnsi="Times New Roman" w:eastAsia="宋体"/>
          <w:highlight w:val="none"/>
        </w:rPr>
      </w:pPr>
      <w:r>
        <w:rPr>
          <w:rFonts w:ascii="Times New Roman" w:hAnsi="Times New Roman" w:eastAsia="宋体"/>
          <w:highlight w:val="none"/>
        </w:rPr>
        <w:t>（1）应重点提高爆炸危险区内的防火防爆安全管理水平，定期开展各类设施、设备的检查、检验、检测，确保安全设施的有效性，避免因仪表设备、设施的防爆功能下降和失效产生潜在的引火源，消除各类安全隐患。</w:t>
      </w:r>
    </w:p>
    <w:p w14:paraId="25A42CB1">
      <w:pPr>
        <w:ind w:firstLine="560"/>
        <w:rPr>
          <w:rFonts w:ascii="Times New Roman" w:hAnsi="Times New Roman" w:eastAsia="宋体"/>
          <w:highlight w:val="none"/>
        </w:rPr>
      </w:pPr>
      <w:r>
        <w:rPr>
          <w:rFonts w:ascii="Times New Roman" w:hAnsi="Times New Roman" w:eastAsia="宋体"/>
          <w:highlight w:val="none"/>
        </w:rPr>
        <w:t>（2）做好液位检测报警、防渗漏报警等设备的定期校对、检验工作，确保其完好，正常投用。</w:t>
      </w:r>
    </w:p>
    <w:p w14:paraId="265349DC">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8.2.2安全条件和安全生产条件的完善与维护的建议</w:t>
      </w:r>
    </w:p>
    <w:p w14:paraId="6445424E">
      <w:pPr>
        <w:ind w:firstLine="560"/>
        <w:rPr>
          <w:rFonts w:ascii="Times New Roman" w:hAnsi="Times New Roman" w:eastAsia="宋体"/>
          <w:highlight w:val="none"/>
        </w:rPr>
      </w:pPr>
      <w:r>
        <w:rPr>
          <w:rFonts w:ascii="Times New Roman" w:hAnsi="Times New Roman" w:eastAsia="宋体"/>
          <w:highlight w:val="none"/>
        </w:rPr>
        <w:t>（1）</w:t>
      </w:r>
      <w:r>
        <w:rPr>
          <w:rFonts w:hint="eastAsia" w:ascii="Times New Roman" w:hAnsi="Times New Roman" w:eastAsia="宋体"/>
          <w:highlight w:val="none"/>
        </w:rPr>
        <w:t>火灾</w:t>
      </w:r>
      <w:r>
        <w:rPr>
          <w:rFonts w:ascii="Times New Roman" w:hAnsi="Times New Roman" w:eastAsia="宋体"/>
          <w:highlight w:val="none"/>
        </w:rPr>
        <w:t>事故发生都存在着潜伏期、发展初期、发展扩大期、发展后期，从安全管理理念和安全理论上讲，在发展初期的5分钟左右若能正确应对，完全可以控制事态的扩大。为此，公司应加强应急救援预案的培训演练，并不断加强员工技能教育，定期组织开展多种形式的应急预案演练，不断对预案的实用性、可操作性进行完善，提高对事故现场的应急处置能力，防止和控制事态的扩大。</w:t>
      </w:r>
    </w:p>
    <w:p w14:paraId="500D8BD1">
      <w:pPr>
        <w:ind w:firstLine="560"/>
        <w:rPr>
          <w:rFonts w:ascii="Times New Roman" w:hAnsi="Times New Roman" w:eastAsia="宋体"/>
          <w:highlight w:val="none"/>
        </w:rPr>
      </w:pPr>
      <w:r>
        <w:rPr>
          <w:rFonts w:ascii="Times New Roman" w:hAnsi="Times New Roman" w:eastAsia="宋体"/>
          <w:highlight w:val="none"/>
        </w:rPr>
        <w:t>（2）企业应提高现场管理水平，对加油站经营过程中出现的渗漏、滴漏等低标准问题要及时整改。同时对应急防护设施及抢险器材，应定期检查维护，确保其完好有效。</w:t>
      </w:r>
    </w:p>
    <w:p w14:paraId="32B9B6D4">
      <w:pPr>
        <w:ind w:firstLine="560"/>
        <w:rPr>
          <w:rFonts w:ascii="Times New Roman" w:hAnsi="Times New Roman" w:eastAsia="宋体"/>
          <w:highlight w:val="none"/>
        </w:rPr>
      </w:pPr>
      <w:r>
        <w:rPr>
          <w:rFonts w:ascii="Times New Roman" w:hAnsi="Times New Roman" w:eastAsia="宋体"/>
          <w:highlight w:val="none"/>
        </w:rPr>
        <w:t>（3）加大现场隐患排查力度，及时整改装置运行过程中发现的问题。</w:t>
      </w:r>
    </w:p>
    <w:p w14:paraId="19A7BE0E">
      <w:pPr>
        <w:ind w:firstLine="560"/>
        <w:rPr>
          <w:rFonts w:ascii="Times New Roman" w:hAnsi="Times New Roman" w:eastAsia="宋体"/>
          <w:highlight w:val="none"/>
        </w:rPr>
      </w:pPr>
      <w:r>
        <w:rPr>
          <w:rFonts w:ascii="Times New Roman" w:hAnsi="Times New Roman" w:eastAsia="宋体"/>
          <w:highlight w:val="none"/>
        </w:rPr>
        <w:t>（4）保证若有新建的建（构）筑物应与站内现有的设备、设施、建（构）筑物的安全间距符合规定要求，特别应加强对周边后建的建（构）筑物与站内的设备、设施、建（构）筑物的安全间距的符合性进行监督，发现问题及时报告相关领导和政府有关部门。</w:t>
      </w:r>
    </w:p>
    <w:p w14:paraId="5332ED29">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8.2.3主要设备和特种设备的完善与维护的建议</w:t>
      </w:r>
    </w:p>
    <w:p w14:paraId="63C12212">
      <w:pPr>
        <w:ind w:firstLine="560"/>
        <w:rPr>
          <w:rFonts w:ascii="Times New Roman" w:hAnsi="Times New Roman" w:eastAsia="宋体"/>
          <w:highlight w:val="none"/>
        </w:rPr>
      </w:pPr>
      <w:r>
        <w:rPr>
          <w:rFonts w:ascii="Times New Roman" w:hAnsi="Times New Roman" w:eastAsia="宋体"/>
          <w:highlight w:val="none"/>
        </w:rPr>
        <w:t>本项目不存在特种设备，对本项目内的主要设备提出以下建议：</w:t>
      </w:r>
    </w:p>
    <w:p w14:paraId="03450720">
      <w:pPr>
        <w:ind w:firstLine="560"/>
        <w:rPr>
          <w:rFonts w:ascii="Times New Roman" w:hAnsi="Times New Roman" w:eastAsia="宋体"/>
          <w:highlight w:val="none"/>
        </w:rPr>
      </w:pPr>
      <w:r>
        <w:rPr>
          <w:rFonts w:ascii="Times New Roman" w:hAnsi="Times New Roman" w:eastAsia="宋体"/>
          <w:highlight w:val="none"/>
        </w:rPr>
        <w:t>（1）加强工艺、设施、设备的变更管理。变更严格按照程序进行设计、选材、施工，特别是慎重对待设备、设施更换与维修时材质的选取和焊接材料的选用及施工方法，防止改造过程中因人的随意行为导致选材错误、施工缺陷等形成的重大隐患。</w:t>
      </w:r>
    </w:p>
    <w:p w14:paraId="0A2F1066">
      <w:pPr>
        <w:ind w:firstLine="560"/>
        <w:rPr>
          <w:rFonts w:ascii="Times New Roman" w:hAnsi="Times New Roman" w:eastAsia="宋体"/>
          <w:highlight w:val="none"/>
        </w:rPr>
      </w:pPr>
      <w:r>
        <w:rPr>
          <w:rFonts w:ascii="Times New Roman" w:hAnsi="Times New Roman" w:eastAsia="宋体"/>
          <w:highlight w:val="none"/>
        </w:rPr>
        <w:t>（2）在正常经营过程中，应该从加强安全管理等方面入手，及时发现和消除由设备故障可能造成的安全隐患和危险。</w:t>
      </w:r>
    </w:p>
    <w:p w14:paraId="4A94CE41">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8.2.4安全投入</w:t>
      </w:r>
    </w:p>
    <w:p w14:paraId="49B98319">
      <w:pPr>
        <w:ind w:firstLine="560"/>
        <w:rPr>
          <w:rFonts w:ascii="Times New Roman" w:hAnsi="Times New Roman" w:eastAsia="宋体"/>
          <w:highlight w:val="none"/>
        </w:rPr>
      </w:pPr>
      <w:r>
        <w:rPr>
          <w:rFonts w:ascii="Times New Roman" w:hAnsi="Times New Roman" w:eastAsia="宋体"/>
          <w:highlight w:val="none"/>
        </w:rPr>
        <w:t>（1）随着本项目启动运行，可能暴露出一些影响安全生产的问题，如安全设施失效、设备出现故障，会给安全生产带来一定的威胁，企业应在该装置通过安全设施竣工验收以后，及时将其纳入正常的生产管理体系，建立长效的安全检查、隐患治理的管理机制。</w:t>
      </w:r>
    </w:p>
    <w:p w14:paraId="6CE72B6C">
      <w:pPr>
        <w:ind w:firstLine="560"/>
        <w:rPr>
          <w:rFonts w:ascii="Times New Roman" w:hAnsi="Times New Roman" w:eastAsia="宋体"/>
          <w:highlight w:val="none"/>
        </w:rPr>
      </w:pPr>
      <w:r>
        <w:rPr>
          <w:rFonts w:ascii="Times New Roman" w:hAnsi="Times New Roman" w:eastAsia="宋体"/>
          <w:highlight w:val="none"/>
        </w:rPr>
        <w:t>（2）企业应按要求设置专项安全资金，用于治理隐患、配置劳动防护用品、配备应急救援器材和装备、组织安全培训、设置安全奖励金等。</w:t>
      </w:r>
    </w:p>
    <w:p w14:paraId="7B79CA2A">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8.2.5其它方面的建议</w:t>
      </w:r>
    </w:p>
    <w:p w14:paraId="0A4D97E2">
      <w:pPr>
        <w:ind w:firstLine="560"/>
        <w:rPr>
          <w:rFonts w:ascii="Times New Roman" w:hAnsi="Times New Roman" w:eastAsia="宋体"/>
          <w:highlight w:val="none"/>
        </w:rPr>
      </w:pPr>
      <w:r>
        <w:rPr>
          <w:rFonts w:ascii="Times New Roman" w:hAnsi="Times New Roman" w:eastAsia="宋体"/>
          <w:highlight w:val="none"/>
        </w:rPr>
        <w:t>（</w:t>
      </w:r>
      <w:r>
        <w:rPr>
          <w:rFonts w:hint="eastAsia" w:ascii="Times New Roman" w:hAnsi="Times New Roman" w:eastAsia="宋体"/>
          <w:highlight w:val="none"/>
        </w:rPr>
        <w:t>1</w:t>
      </w:r>
      <w:r>
        <w:rPr>
          <w:rFonts w:ascii="Times New Roman" w:hAnsi="Times New Roman" w:eastAsia="宋体"/>
          <w:highlight w:val="none"/>
        </w:rPr>
        <w:t>）开展全员、全过程的危害识别和风险评价</w:t>
      </w:r>
    </w:p>
    <w:p w14:paraId="5DC87EDC">
      <w:pPr>
        <w:ind w:firstLine="560"/>
        <w:rPr>
          <w:rFonts w:ascii="Times New Roman" w:hAnsi="Times New Roman" w:eastAsia="宋体"/>
          <w:highlight w:val="none"/>
        </w:rPr>
      </w:pPr>
      <w:r>
        <w:rPr>
          <w:rFonts w:ascii="Times New Roman" w:hAnsi="Times New Roman" w:eastAsia="宋体"/>
          <w:highlight w:val="none"/>
        </w:rPr>
        <w:t>危害识别和风险评估是企业安全管理的基础，应针对本项目涉及的危险化学品车用乙醇汽油和柴油易燃、可燃特点，从以下两方面做好危害识别和风险评估工作。</w:t>
      </w:r>
    </w:p>
    <w:p w14:paraId="6FB79BE1">
      <w:pPr>
        <w:ind w:firstLine="560"/>
        <w:rPr>
          <w:rFonts w:ascii="Times New Roman" w:hAnsi="Times New Roman" w:eastAsia="宋体"/>
          <w:highlight w:val="none"/>
        </w:rPr>
      </w:pPr>
      <w:r>
        <w:rPr>
          <w:rFonts w:hint="eastAsia" w:ascii="宋体" w:hAnsi="宋体" w:eastAsia="宋体"/>
          <w:highlight w:val="none"/>
        </w:rPr>
        <w:t>①</w:t>
      </w:r>
      <w:r>
        <w:rPr>
          <w:rFonts w:ascii="Times New Roman" w:hAnsi="Times New Roman" w:eastAsia="宋体"/>
          <w:highlight w:val="none"/>
        </w:rPr>
        <w:t>全面充分地识别危险化学品的危险有害特性及操作注意事项、应急处理措施，组织培训操作人员学习掌握，达到有效地预知风险的目的。</w:t>
      </w:r>
    </w:p>
    <w:p w14:paraId="71E3FE65">
      <w:pPr>
        <w:ind w:firstLine="560"/>
        <w:rPr>
          <w:rFonts w:ascii="Times New Roman" w:hAnsi="Times New Roman" w:eastAsia="宋体"/>
          <w:highlight w:val="none"/>
        </w:rPr>
      </w:pPr>
      <w:r>
        <w:rPr>
          <w:rFonts w:hint="eastAsia" w:ascii="宋体" w:hAnsi="宋体" w:eastAsia="宋体"/>
          <w:highlight w:val="none"/>
        </w:rPr>
        <w:t>②</w:t>
      </w:r>
      <w:r>
        <w:rPr>
          <w:rFonts w:ascii="Times New Roman" w:hAnsi="Times New Roman" w:eastAsia="宋体"/>
          <w:highlight w:val="none"/>
        </w:rPr>
        <w:t>针对作业现场的各项操作、检维修施工作业，尤其是正常操作规程之外的临时作业，必须从人的不安全行为、物的不安全状态、有害的作业环境、管理缺陷等方面全方位开展危害及风险识别和评估，有的放矢地控制重大风险，实现作业的安全。</w:t>
      </w:r>
    </w:p>
    <w:p w14:paraId="52A36C0A">
      <w:pPr>
        <w:ind w:firstLine="560"/>
        <w:rPr>
          <w:rFonts w:ascii="Times New Roman" w:hAnsi="Times New Roman" w:eastAsia="宋体"/>
          <w:highlight w:val="none"/>
        </w:rPr>
      </w:pPr>
      <w:r>
        <w:rPr>
          <w:rFonts w:ascii="Times New Roman" w:hAnsi="Times New Roman" w:eastAsia="宋体"/>
          <w:highlight w:val="none"/>
        </w:rPr>
        <w:t>（</w:t>
      </w:r>
      <w:r>
        <w:rPr>
          <w:rFonts w:hint="eastAsia" w:ascii="Times New Roman" w:hAnsi="Times New Roman" w:eastAsia="宋体"/>
          <w:highlight w:val="none"/>
        </w:rPr>
        <w:t>2</w:t>
      </w:r>
      <w:r>
        <w:rPr>
          <w:rFonts w:ascii="Times New Roman" w:hAnsi="Times New Roman" w:eastAsia="宋体"/>
          <w:highlight w:val="none"/>
        </w:rPr>
        <w:t>）加强应急救援预案管理</w:t>
      </w:r>
    </w:p>
    <w:p w14:paraId="75EA37AD">
      <w:pPr>
        <w:ind w:firstLine="560"/>
        <w:rPr>
          <w:rFonts w:ascii="Times New Roman" w:hAnsi="Times New Roman" w:eastAsia="宋体"/>
          <w:highlight w:val="none"/>
        </w:rPr>
      </w:pPr>
      <w:r>
        <w:rPr>
          <w:rFonts w:ascii="Times New Roman" w:hAnsi="Times New Roman" w:eastAsia="宋体"/>
          <w:highlight w:val="none"/>
        </w:rPr>
        <w:t>通过预案演练，定期检验和评价其有效程度，进一步提高员工的应急处置水平、反应速度、协调能力，真正发挥预案在应急状态下的指导书作用。按规定要求完成应急预案的备案工作，建立与相关部门的沟通、联动机制。</w:t>
      </w:r>
    </w:p>
    <w:p w14:paraId="1F0094A3">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71" w:name="_Toc187310018"/>
      <w:r>
        <w:rPr>
          <w:rFonts w:ascii="Times New Roman" w:hAnsi="Times New Roman" w:eastAsia="楷体" w:cs="Times New Roman"/>
          <w:b/>
          <w:bCs/>
          <w:sz w:val="32"/>
          <w:szCs w:val="32"/>
          <w:highlight w:val="none"/>
        </w:rPr>
        <w:t>8.3建设项目竣工验收安全评价总结论</w:t>
      </w:r>
      <w:bookmarkEnd w:id="71"/>
    </w:p>
    <w:p w14:paraId="1EAD22F0">
      <w:pPr>
        <w:ind w:firstLine="560"/>
        <w:rPr>
          <w:rFonts w:ascii="Times New Roman" w:hAnsi="Times New Roman" w:eastAsia="宋体"/>
          <w:highlight w:val="none"/>
        </w:rPr>
      </w:pPr>
      <w:r>
        <w:rPr>
          <w:rFonts w:ascii="Times New Roman" w:hAnsi="Times New Roman" w:eastAsia="宋体"/>
          <w:highlight w:val="none"/>
        </w:rPr>
        <w:t>通过对本项目的全面调研、检查、分析、验收，得出凌海市冠融新能源有限公司新建加油站</w:t>
      </w:r>
      <w:r>
        <w:rPr>
          <w:rFonts w:hint="eastAsia" w:ascii="Times New Roman" w:hAnsi="Times New Roman" w:eastAsia="宋体"/>
          <w:highlight w:val="none"/>
        </w:rPr>
        <w:t>项目</w:t>
      </w:r>
      <w:r>
        <w:rPr>
          <w:rFonts w:ascii="Times New Roman" w:hAnsi="Times New Roman" w:eastAsia="宋体"/>
          <w:highlight w:val="none"/>
        </w:rPr>
        <w:t>安全设施竣工验收安全评价结论：</w:t>
      </w:r>
    </w:p>
    <w:p w14:paraId="6274A581">
      <w:pPr>
        <w:ind w:firstLine="560"/>
        <w:rPr>
          <w:rFonts w:ascii="Times New Roman" w:hAnsi="Times New Roman" w:eastAsia="宋体"/>
          <w:highlight w:val="none"/>
        </w:rPr>
      </w:pPr>
      <w:r>
        <w:rPr>
          <w:rFonts w:hint="eastAsia" w:ascii="Times New Roman" w:hAnsi="Times New Roman" w:eastAsia="宋体"/>
          <w:highlight w:val="none"/>
        </w:rPr>
        <w:t>中铁（辽宁）本桓高速公路有限公司八里甸子服务区北侧加油站新建项目</w:t>
      </w:r>
      <w:r>
        <w:rPr>
          <w:rFonts w:ascii="Times New Roman" w:hAnsi="Times New Roman" w:eastAsia="宋体"/>
          <w:highlight w:val="none"/>
        </w:rPr>
        <w:t>的安全条件和安全生产条件符合国家安全生产有关法律、法规和标准以及部门规章及标准的要求，具备竣工安全验收条件，满足</w:t>
      </w:r>
      <w:r>
        <w:rPr>
          <w:rFonts w:hint="eastAsia" w:ascii="Times New Roman" w:hAnsi="Times New Roman" w:eastAsia="宋体"/>
          <w:highlight w:val="none"/>
        </w:rPr>
        <w:t>储存、经营车用乙醇汽油、柴油的</w:t>
      </w:r>
      <w:r>
        <w:rPr>
          <w:rFonts w:ascii="Times New Roman" w:hAnsi="Times New Roman" w:eastAsia="宋体"/>
          <w:highlight w:val="none"/>
        </w:rPr>
        <w:t>条件。</w:t>
      </w:r>
      <w:r>
        <w:rPr>
          <w:rFonts w:ascii="Times New Roman" w:hAnsi="Times New Roman" w:eastAsia="宋体"/>
          <w:highlight w:val="none"/>
        </w:rPr>
        <w:br w:type="page"/>
      </w:r>
    </w:p>
    <w:p w14:paraId="7DEF09AD">
      <w:pPr>
        <w:spacing w:before="468" w:beforeLines="150" w:after="468" w:afterLines="150"/>
        <w:ind w:firstLine="0" w:firstLineChars="0"/>
        <w:jc w:val="center"/>
        <w:outlineLvl w:val="0"/>
        <w:rPr>
          <w:rFonts w:ascii="Times New Roman" w:hAnsi="Times New Roman" w:eastAsia="黑体" w:cs="Times New Roman"/>
          <w:b/>
          <w:bCs/>
          <w:sz w:val="32"/>
          <w:szCs w:val="32"/>
          <w:highlight w:val="none"/>
        </w:rPr>
      </w:pPr>
      <w:bookmarkStart w:id="72" w:name="_Toc187310019"/>
      <w:r>
        <w:rPr>
          <w:rFonts w:ascii="Times New Roman" w:hAnsi="Times New Roman" w:eastAsia="黑体" w:cs="Times New Roman"/>
          <w:b/>
          <w:bCs/>
          <w:sz w:val="32"/>
          <w:szCs w:val="32"/>
          <w:highlight w:val="none"/>
        </w:rPr>
        <w:t>9与建设单位交换意见</w:t>
      </w:r>
      <w:bookmarkEnd w:id="72"/>
    </w:p>
    <w:p w14:paraId="6F1150D7">
      <w:pPr>
        <w:ind w:firstLine="560"/>
        <w:rPr>
          <w:rFonts w:ascii="Times New Roman" w:hAnsi="Times New Roman" w:eastAsia="宋体"/>
          <w:highlight w:val="none"/>
        </w:rPr>
      </w:pPr>
      <w:r>
        <w:rPr>
          <w:rFonts w:ascii="Times New Roman" w:hAnsi="Times New Roman" w:eastAsia="宋体"/>
          <w:highlight w:val="none"/>
        </w:rPr>
        <w:t>辽宁诺诚安全科技有限公司与</w:t>
      </w:r>
      <w:r>
        <w:rPr>
          <w:rFonts w:hint="eastAsia" w:ascii="Times New Roman" w:hAnsi="Times New Roman" w:eastAsia="宋体"/>
          <w:highlight w:val="none"/>
        </w:rPr>
        <w:t>中铁（辽宁）本桓高速公路有限公司</w:t>
      </w:r>
      <w:r>
        <w:rPr>
          <w:rFonts w:ascii="Times New Roman" w:hAnsi="Times New Roman" w:eastAsia="宋体"/>
          <w:highlight w:val="none"/>
        </w:rPr>
        <w:t>签定了安全设施竣工验收评价技术服务合同后，在评价实施过程中，双方就评价中的问题进行了多次交流，对安全评价内容和评价结果达成了一致意见。</w:t>
      </w:r>
      <w:r>
        <w:rPr>
          <w:rFonts w:ascii="Times New Roman" w:hAnsi="Times New Roman" w:eastAsia="宋体"/>
          <w:highlight w:val="none"/>
        </w:rPr>
        <w:br w:type="page"/>
      </w:r>
    </w:p>
    <w:p w14:paraId="2B208159">
      <w:pPr>
        <w:spacing w:before="468" w:beforeLines="150" w:after="468" w:afterLines="150"/>
        <w:ind w:firstLine="0" w:firstLineChars="0"/>
        <w:jc w:val="center"/>
        <w:outlineLvl w:val="0"/>
        <w:rPr>
          <w:rFonts w:ascii="Times New Roman" w:hAnsi="Times New Roman" w:eastAsia="黑体" w:cs="Times New Roman"/>
          <w:b/>
          <w:bCs/>
          <w:sz w:val="32"/>
          <w:szCs w:val="32"/>
          <w:highlight w:val="none"/>
        </w:rPr>
      </w:pPr>
      <w:bookmarkStart w:id="73" w:name="_Toc187310020"/>
      <w:r>
        <w:rPr>
          <w:rFonts w:ascii="Times New Roman" w:hAnsi="Times New Roman" w:eastAsia="黑体" w:cs="Times New Roman"/>
          <w:b/>
          <w:bCs/>
          <w:sz w:val="32"/>
          <w:szCs w:val="32"/>
          <w:highlight w:val="none"/>
        </w:rPr>
        <w:t>附件1平面布置图等图表</w:t>
      </w:r>
      <w:bookmarkEnd w:id="73"/>
    </w:p>
    <w:p w14:paraId="190F0AED">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74" w:name="_Toc187310021"/>
      <w:r>
        <w:rPr>
          <w:rFonts w:ascii="Times New Roman" w:hAnsi="Times New Roman" w:eastAsia="楷体" w:cs="Times New Roman"/>
          <w:b/>
          <w:bCs/>
          <w:sz w:val="32"/>
          <w:szCs w:val="32"/>
          <w:highlight w:val="none"/>
        </w:rPr>
        <w:t>F1.1周边环境及总平面布置示意图</w:t>
      </w:r>
      <w:bookmarkEnd w:id="74"/>
    </w:p>
    <w:p w14:paraId="7122E689">
      <w:pPr>
        <w:ind w:firstLine="560"/>
        <w:rPr>
          <w:rFonts w:ascii="Times New Roman" w:hAnsi="Times New Roman" w:eastAsia="宋体"/>
          <w:highlight w:val="none"/>
        </w:rPr>
      </w:pPr>
      <w:r>
        <w:rPr>
          <w:rFonts w:ascii="Times New Roman" w:hAnsi="Times New Roman" w:eastAsia="宋体"/>
          <w:highlight w:val="none"/>
        </w:rPr>
        <w:t>本项目总平面布置情况，详见附图。</w:t>
      </w:r>
    </w:p>
    <w:p w14:paraId="62F2F7B3">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75" w:name="_Toc187310022"/>
      <w:r>
        <w:rPr>
          <w:rFonts w:ascii="Times New Roman" w:hAnsi="Times New Roman" w:eastAsia="楷体" w:cs="Times New Roman"/>
          <w:b/>
          <w:bCs/>
          <w:sz w:val="32"/>
          <w:szCs w:val="32"/>
          <w:highlight w:val="none"/>
        </w:rPr>
        <w:t>F1.2工艺流程图</w:t>
      </w:r>
      <w:bookmarkEnd w:id="75"/>
    </w:p>
    <w:p w14:paraId="1E157774">
      <w:pPr>
        <w:ind w:firstLine="560"/>
        <w:rPr>
          <w:rFonts w:ascii="Times New Roman" w:hAnsi="Times New Roman" w:eastAsia="宋体"/>
          <w:highlight w:val="none"/>
        </w:rPr>
      </w:pPr>
      <w:r>
        <w:rPr>
          <w:rFonts w:ascii="Times New Roman" w:hAnsi="Times New Roman" w:eastAsia="宋体"/>
          <w:highlight w:val="none"/>
        </w:rPr>
        <w:t>本项目工艺流程图，详见附图。</w:t>
      </w:r>
    </w:p>
    <w:p w14:paraId="3894666C">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76" w:name="_Toc187310023"/>
      <w:r>
        <w:rPr>
          <w:rFonts w:ascii="Times New Roman" w:hAnsi="Times New Roman" w:eastAsia="楷体" w:cs="Times New Roman"/>
          <w:b/>
          <w:bCs/>
          <w:sz w:val="32"/>
          <w:szCs w:val="32"/>
          <w:highlight w:val="none"/>
        </w:rPr>
        <w:t>F1.3爆炸危险区域划分图</w:t>
      </w:r>
      <w:bookmarkEnd w:id="76"/>
    </w:p>
    <w:p w14:paraId="38334300">
      <w:pPr>
        <w:ind w:firstLine="560"/>
        <w:rPr>
          <w:rFonts w:ascii="Times New Roman" w:hAnsi="Times New Roman" w:eastAsia="宋体"/>
          <w:highlight w:val="none"/>
        </w:rPr>
      </w:pPr>
      <w:r>
        <w:rPr>
          <w:rFonts w:ascii="Times New Roman" w:hAnsi="Times New Roman" w:eastAsia="宋体"/>
          <w:highlight w:val="none"/>
        </w:rPr>
        <w:t>本项目爆炸危险区域划分图，详见附图。</w:t>
      </w:r>
      <w:r>
        <w:rPr>
          <w:rFonts w:ascii="Times New Roman" w:hAnsi="Times New Roman" w:eastAsia="宋体"/>
          <w:highlight w:val="none"/>
        </w:rPr>
        <w:br w:type="page"/>
      </w:r>
    </w:p>
    <w:p w14:paraId="55B96CED">
      <w:pPr>
        <w:spacing w:before="468" w:beforeLines="150" w:after="468" w:afterLines="150"/>
        <w:ind w:firstLine="0" w:firstLineChars="0"/>
        <w:jc w:val="center"/>
        <w:outlineLvl w:val="0"/>
        <w:rPr>
          <w:rFonts w:ascii="Times New Roman" w:hAnsi="Times New Roman" w:eastAsia="黑体" w:cs="Times New Roman"/>
          <w:b/>
          <w:bCs/>
          <w:sz w:val="32"/>
          <w:szCs w:val="32"/>
          <w:highlight w:val="none"/>
        </w:rPr>
      </w:pPr>
      <w:bookmarkStart w:id="77" w:name="_Toc13728"/>
      <w:bookmarkStart w:id="78" w:name="_Toc187310024"/>
      <w:r>
        <w:rPr>
          <w:rFonts w:ascii="Times New Roman" w:hAnsi="Times New Roman" w:eastAsia="黑体" w:cs="Times New Roman"/>
          <w:b/>
          <w:bCs/>
          <w:sz w:val="32"/>
          <w:szCs w:val="32"/>
          <w:highlight w:val="none"/>
        </w:rPr>
        <w:t>附件2选用的安全评价方法简介</w:t>
      </w:r>
      <w:bookmarkEnd w:id="77"/>
      <w:bookmarkEnd w:id="78"/>
    </w:p>
    <w:p w14:paraId="4594ABC5">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79" w:name="_Toc216935518"/>
      <w:bookmarkStart w:id="80" w:name="_Toc4735"/>
      <w:bookmarkStart w:id="81" w:name="_Toc6292"/>
      <w:bookmarkStart w:id="82" w:name="_Toc207697495"/>
      <w:bookmarkStart w:id="83" w:name="_Toc192321823"/>
      <w:bookmarkStart w:id="84" w:name="_Toc187310025"/>
      <w:bookmarkStart w:id="85" w:name="_Toc249942908"/>
      <w:bookmarkStart w:id="86" w:name="_Toc2484"/>
      <w:bookmarkStart w:id="87" w:name="_Toc17981"/>
      <w:r>
        <w:rPr>
          <w:rFonts w:ascii="Times New Roman" w:hAnsi="Times New Roman" w:eastAsia="楷体" w:cs="Times New Roman"/>
          <w:b/>
          <w:bCs/>
          <w:sz w:val="32"/>
          <w:szCs w:val="32"/>
          <w:highlight w:val="none"/>
        </w:rPr>
        <w:t>F2.1重大危险源辨识</w:t>
      </w:r>
      <w:bookmarkEnd w:id="79"/>
      <w:bookmarkEnd w:id="80"/>
      <w:bookmarkEnd w:id="81"/>
      <w:bookmarkEnd w:id="82"/>
      <w:bookmarkEnd w:id="83"/>
      <w:bookmarkEnd w:id="84"/>
      <w:bookmarkEnd w:id="85"/>
    </w:p>
    <w:p w14:paraId="206073BE">
      <w:pPr>
        <w:ind w:firstLine="560"/>
        <w:rPr>
          <w:rFonts w:ascii="Times New Roman" w:hAnsi="Times New Roman" w:eastAsia="宋体"/>
          <w:highlight w:val="none"/>
        </w:rPr>
      </w:pPr>
      <w:r>
        <w:rPr>
          <w:rFonts w:hint="eastAsia" w:ascii="Times New Roman" w:hAnsi="Times New Roman" w:eastAsia="宋体"/>
          <w:highlight w:val="none"/>
        </w:rPr>
        <w:t>根据《危险化学品重大危险源辨识》GB18218-2018的规定，重大危险源的辨识指标如下：</w:t>
      </w:r>
    </w:p>
    <w:p w14:paraId="2F450E8D">
      <w:pPr>
        <w:ind w:firstLine="560"/>
        <w:rPr>
          <w:rFonts w:ascii="Times New Roman" w:hAnsi="Times New Roman" w:eastAsia="宋体"/>
          <w:highlight w:val="none"/>
        </w:rPr>
      </w:pPr>
      <w:r>
        <w:rPr>
          <w:rFonts w:hint="eastAsia" w:ascii="Times New Roman" w:hAnsi="Times New Roman" w:eastAsia="宋体"/>
          <w:highlight w:val="none"/>
        </w:rPr>
        <w:t>长期地或临时地生产、储存、使用和经营危险化学品，且危险化学品的数量等于或者超过临界量的单元。</w:t>
      </w:r>
    </w:p>
    <w:p w14:paraId="074BF87D">
      <w:pPr>
        <w:ind w:firstLine="560"/>
        <w:rPr>
          <w:rFonts w:ascii="Times New Roman" w:hAnsi="Times New Roman" w:eastAsia="宋体"/>
          <w:highlight w:val="none"/>
        </w:rPr>
      </w:pPr>
      <w:r>
        <w:rPr>
          <w:rFonts w:hint="eastAsia" w:ascii="Times New Roman" w:hAnsi="Times New Roman" w:eastAsia="宋体"/>
          <w:highlight w:val="none"/>
        </w:rPr>
        <w:t>生产单元：危险化学品的生产、加工及使用等的装置及设施，当装置与设施之间又有切断阀时，以切断阀作为分隔界限划分为独立的单元。</w:t>
      </w:r>
    </w:p>
    <w:p w14:paraId="08888EE8">
      <w:pPr>
        <w:ind w:firstLine="560"/>
        <w:rPr>
          <w:rFonts w:ascii="Times New Roman" w:hAnsi="Times New Roman" w:eastAsia="宋体"/>
          <w:highlight w:val="none"/>
        </w:rPr>
      </w:pPr>
      <w:r>
        <w:rPr>
          <w:rFonts w:hint="eastAsia" w:ascii="Times New Roman" w:hAnsi="Times New Roman" w:eastAsia="宋体"/>
          <w:highlight w:val="none"/>
        </w:rPr>
        <w:t>储存单元：用于储存危险化学品的储罐或仓库组成的相对独立的区域，储罐区以罐区防火堤为界限划分为独立的单元，从仓库以独立库房（独立建筑物）为界限划分为的独立的单元。</w:t>
      </w:r>
    </w:p>
    <w:p w14:paraId="79DF164C">
      <w:pPr>
        <w:ind w:firstLine="560"/>
        <w:rPr>
          <w:rFonts w:ascii="Times New Roman" w:hAnsi="Times New Roman" w:eastAsia="宋体"/>
          <w:highlight w:val="none"/>
        </w:rPr>
      </w:pPr>
      <w:r>
        <w:rPr>
          <w:rFonts w:hint="eastAsia" w:ascii="Times New Roman" w:hAnsi="Times New Roman" w:eastAsia="宋体"/>
          <w:highlight w:val="none"/>
        </w:rPr>
        <w:t>生产单元、储存单元内存在危险化学品的数量等于或者出超过表1、表2规定地点临界量，即被定为重大危险源，单元内存在的危险化学品的数量根据危险化学品种类的多少区分为以下两种情况：</w:t>
      </w:r>
    </w:p>
    <w:p w14:paraId="7E674E67">
      <w:pPr>
        <w:ind w:firstLine="560"/>
        <w:rPr>
          <w:rFonts w:ascii="Times New Roman" w:hAnsi="Times New Roman" w:eastAsia="宋体"/>
          <w:highlight w:val="none"/>
        </w:rPr>
      </w:pPr>
      <w:r>
        <w:rPr>
          <w:rFonts w:hint="eastAsia" w:ascii="Times New Roman" w:hAnsi="Times New Roman" w:eastAsia="宋体"/>
          <w:highlight w:val="none"/>
        </w:rPr>
        <w:t>（1）生产单元、储存单元内存在的危险化学品为单一品种，该危险化学品的数量即为单元内危险化学品的总量，若等于或超过相应的临界量，则定为重大危险源。</w:t>
      </w:r>
    </w:p>
    <w:p w14:paraId="5C37BBBA">
      <w:pPr>
        <w:ind w:firstLine="560"/>
        <w:rPr>
          <w:rFonts w:ascii="Times New Roman" w:hAnsi="Times New Roman" w:eastAsia="宋体"/>
          <w:highlight w:val="none"/>
        </w:rPr>
      </w:pPr>
      <w:r>
        <w:rPr>
          <w:rFonts w:hint="eastAsia" w:ascii="Times New Roman" w:hAnsi="Times New Roman" w:eastAsia="宋体"/>
          <w:highlight w:val="none"/>
        </w:rPr>
        <w:t>（2）生产单元、储存单元内存在的危险化学品为多品种时，则按下式计算，若满足下面公式，则定为重大危险源：</w:t>
      </w:r>
    </w:p>
    <w:p w14:paraId="6129C794">
      <w:pPr>
        <w:ind w:firstLine="560"/>
        <w:rPr>
          <w:rFonts w:ascii="Times New Roman" w:hAnsi="Times New Roman" w:eastAsia="宋体"/>
          <w:highlight w:val="none"/>
        </w:rPr>
      </w:pPr>
      <m:oMathPara>
        <m:oMath>
          <m:r>
            <m:rPr/>
            <w:rPr>
              <w:rFonts w:hint="eastAsia" w:ascii="Cambria Math" w:hAnsi="Cambria Math" w:eastAsia="宋体"/>
              <w:highlight w:val="none"/>
            </w:rPr>
            <m:t>S</m:t>
          </m:r>
          <m:r>
            <m:rPr/>
            <w:rPr>
              <w:rFonts w:ascii="Cambria Math" w:hAnsi="Cambria Math" w:eastAsia="宋体"/>
              <w:highlight w:val="none"/>
            </w:rPr>
            <m:t>=</m:t>
          </m:r>
          <m:f>
            <m:fPr>
              <m:ctrlPr>
                <w:rPr>
                  <w:rFonts w:ascii="Cambria Math" w:hAnsi="Cambria Math" w:eastAsia="宋体"/>
                  <w:i/>
                  <w:highlight w:val="none"/>
                </w:rPr>
              </m:ctrlPr>
            </m:fPr>
            <m:num>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1</m:t>
                  </m:r>
                  <m:ctrlPr>
                    <w:rPr>
                      <w:rFonts w:ascii="Cambria Math" w:hAnsi="Cambria Math" w:eastAsia="宋体"/>
                      <w:i/>
                      <w:highlight w:val="none"/>
                    </w:rPr>
                  </m:ctrlPr>
                </m:sub>
              </m:sSub>
              <m:ctrlPr>
                <w:rPr>
                  <w:rFonts w:ascii="Cambria Math" w:hAnsi="Cambria Math" w:eastAsia="宋体"/>
                  <w:i/>
                  <w:highlight w:val="none"/>
                </w:rPr>
              </m:ctrlPr>
            </m:num>
            <m:den>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1</m:t>
                  </m:r>
                  <m:ctrlPr>
                    <w:rPr>
                      <w:rFonts w:ascii="Cambria Math" w:hAnsi="Cambria Math" w:eastAsia="宋体"/>
                      <w:i/>
                      <w:highlight w:val="none"/>
                    </w:rPr>
                  </m:ctrlPr>
                </m:sub>
              </m:sSub>
              <m:ctrlPr>
                <w:rPr>
                  <w:rFonts w:ascii="Cambria Math" w:hAnsi="Cambria Math" w:eastAsia="宋体"/>
                  <w:i/>
                  <w:highlight w:val="none"/>
                </w:rPr>
              </m:ctrlPr>
            </m:den>
          </m:f>
          <m:r>
            <m:rPr/>
            <w:rPr>
              <w:rFonts w:ascii="Cambria Math" w:hAnsi="Cambria Math" w:eastAsia="宋体"/>
              <w:highlight w:val="none"/>
            </w:rPr>
            <m:t>+</m:t>
          </m:r>
          <m:f>
            <m:fPr>
              <m:ctrlPr>
                <w:rPr>
                  <w:rFonts w:ascii="Cambria Math" w:hAnsi="Cambria Math" w:eastAsia="宋体"/>
                  <w:i/>
                  <w:highlight w:val="none"/>
                </w:rPr>
              </m:ctrlPr>
            </m:fPr>
            <m:num>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2</m:t>
                  </m:r>
                  <m:ctrlPr>
                    <w:rPr>
                      <w:rFonts w:ascii="Cambria Math" w:hAnsi="Cambria Math" w:eastAsia="宋体"/>
                      <w:i/>
                      <w:highlight w:val="none"/>
                    </w:rPr>
                  </m:ctrlPr>
                </m:sub>
              </m:sSub>
              <m:ctrlPr>
                <w:rPr>
                  <w:rFonts w:ascii="Cambria Math" w:hAnsi="Cambria Math" w:eastAsia="宋体"/>
                  <w:i/>
                  <w:highlight w:val="none"/>
                </w:rPr>
              </m:ctrlPr>
            </m:num>
            <m:den>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2</m:t>
                  </m:r>
                  <m:ctrlPr>
                    <w:rPr>
                      <w:rFonts w:ascii="Cambria Math" w:hAnsi="Cambria Math" w:eastAsia="宋体"/>
                      <w:i/>
                      <w:highlight w:val="none"/>
                    </w:rPr>
                  </m:ctrlPr>
                </m:sub>
              </m:sSub>
              <m:ctrlPr>
                <w:rPr>
                  <w:rFonts w:ascii="Cambria Math" w:hAnsi="Cambria Math" w:eastAsia="宋体"/>
                  <w:i/>
                  <w:highlight w:val="none"/>
                </w:rPr>
              </m:ctrlPr>
            </m:den>
          </m:f>
          <m:r>
            <m:rPr/>
            <w:rPr>
              <w:rFonts w:ascii="Cambria Math" w:hAnsi="Cambria Math" w:eastAsia="宋体"/>
              <w:highlight w:val="none"/>
            </w:rPr>
            <m:t>+⋯+</m:t>
          </m:r>
          <m:f>
            <m:fPr>
              <m:ctrlPr>
                <w:rPr>
                  <w:rFonts w:ascii="Cambria Math" w:hAnsi="Cambria Math" w:eastAsia="宋体"/>
                  <w:i/>
                  <w:highlight w:val="none"/>
                </w:rPr>
              </m:ctrlPr>
            </m:fPr>
            <m:num>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n</m:t>
                  </m:r>
                  <m:ctrlPr>
                    <w:rPr>
                      <w:rFonts w:ascii="Cambria Math" w:hAnsi="Cambria Math" w:eastAsia="宋体"/>
                      <w:i/>
                      <w:highlight w:val="none"/>
                    </w:rPr>
                  </m:ctrlPr>
                </m:sub>
              </m:sSub>
              <m:ctrlPr>
                <w:rPr>
                  <w:rFonts w:ascii="Cambria Math" w:hAnsi="Cambria Math" w:eastAsia="宋体"/>
                  <w:i/>
                  <w:highlight w:val="none"/>
                </w:rPr>
              </m:ctrlPr>
            </m:num>
            <m:den>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n</m:t>
                  </m:r>
                  <m:ctrlPr>
                    <w:rPr>
                      <w:rFonts w:ascii="Cambria Math" w:hAnsi="Cambria Math" w:eastAsia="宋体"/>
                      <w:i/>
                      <w:highlight w:val="none"/>
                    </w:rPr>
                  </m:ctrlPr>
                </m:sub>
              </m:sSub>
              <m:ctrlPr>
                <w:rPr>
                  <w:rFonts w:ascii="Cambria Math" w:hAnsi="Cambria Math" w:eastAsia="宋体"/>
                  <w:i/>
                  <w:highlight w:val="none"/>
                </w:rPr>
              </m:ctrlPr>
            </m:den>
          </m:f>
          <m:r>
            <m:rPr/>
            <w:rPr>
              <w:rFonts w:ascii="Cambria Math" w:hAnsi="Cambria Math" w:eastAsia="宋体"/>
              <w:highlight w:val="none"/>
            </w:rPr>
            <m:t>≥1</m:t>
          </m:r>
        </m:oMath>
      </m:oMathPara>
    </w:p>
    <w:p w14:paraId="1ADA6005">
      <w:pPr>
        <w:ind w:firstLine="560"/>
        <w:rPr>
          <w:rFonts w:ascii="Times New Roman" w:hAnsi="Times New Roman" w:eastAsia="宋体"/>
          <w:highlight w:val="none"/>
        </w:rPr>
      </w:pPr>
      <w:r>
        <w:rPr>
          <w:rFonts w:hint="eastAsia" w:ascii="Times New Roman" w:hAnsi="Times New Roman" w:eastAsia="宋体"/>
          <w:highlight w:val="none"/>
        </w:rPr>
        <w:t>式中：q</w:t>
      </w:r>
      <w:r>
        <w:rPr>
          <w:rFonts w:hint="eastAsia" w:ascii="Times New Roman" w:hAnsi="Times New Roman" w:eastAsia="宋体"/>
          <w:highlight w:val="none"/>
          <w:vertAlign w:val="subscript"/>
        </w:rPr>
        <w:t>1</w:t>
      </w:r>
      <w:r>
        <w:rPr>
          <w:rFonts w:hint="eastAsia" w:ascii="Times New Roman" w:hAnsi="Times New Roman" w:eastAsia="宋体"/>
          <w:highlight w:val="none"/>
        </w:rPr>
        <w:t>，q</w:t>
      </w:r>
      <w:r>
        <w:rPr>
          <w:rFonts w:hint="eastAsia" w:ascii="Times New Roman" w:hAnsi="Times New Roman" w:eastAsia="宋体"/>
          <w:highlight w:val="none"/>
          <w:vertAlign w:val="subscript"/>
        </w:rPr>
        <w:t>2</w:t>
      </w:r>
      <w:r>
        <w:rPr>
          <w:rFonts w:hint="eastAsia" w:ascii="Times New Roman" w:hAnsi="Times New Roman" w:eastAsia="宋体"/>
          <w:highlight w:val="none"/>
        </w:rPr>
        <w:t>，</w:t>
      </w:r>
      <w:r>
        <w:rPr>
          <w:rFonts w:ascii="Times New Roman" w:hAnsi="Times New Roman" w:eastAsia="宋体"/>
          <w:highlight w:val="none"/>
        </w:rPr>
        <w:t>…</w:t>
      </w:r>
      <w:r>
        <w:rPr>
          <w:rFonts w:hint="eastAsia" w:ascii="Times New Roman" w:hAnsi="Times New Roman" w:eastAsia="宋体"/>
          <w:highlight w:val="none"/>
        </w:rPr>
        <w:t>，q</w:t>
      </w:r>
      <w:r>
        <w:rPr>
          <w:rFonts w:hint="eastAsia" w:ascii="Times New Roman" w:hAnsi="Times New Roman" w:eastAsia="宋体"/>
          <w:highlight w:val="none"/>
          <w:vertAlign w:val="subscript"/>
        </w:rPr>
        <w:t>n</w:t>
      </w:r>
      <w:r>
        <w:rPr>
          <w:rFonts w:hint="eastAsia" w:ascii="Times New Roman" w:hAnsi="Times New Roman" w:eastAsia="宋体"/>
          <w:highlight w:val="none"/>
        </w:rPr>
        <w:t>—每种危险物质实际存在的量，t。</w:t>
      </w:r>
    </w:p>
    <w:p w14:paraId="46A25ED5">
      <w:pPr>
        <w:ind w:firstLine="1400" w:firstLineChars="500"/>
        <w:rPr>
          <w:rFonts w:ascii="Times New Roman" w:hAnsi="Times New Roman" w:eastAsia="宋体"/>
          <w:highlight w:val="none"/>
        </w:rPr>
      </w:pPr>
      <w:r>
        <w:rPr>
          <w:rFonts w:hint="eastAsia" w:ascii="Times New Roman" w:hAnsi="Times New Roman" w:eastAsia="宋体"/>
          <w:highlight w:val="none"/>
        </w:rPr>
        <w:t>Q</w:t>
      </w:r>
      <w:r>
        <w:rPr>
          <w:rFonts w:hint="eastAsia" w:ascii="Times New Roman" w:hAnsi="Times New Roman" w:eastAsia="宋体"/>
          <w:highlight w:val="none"/>
          <w:vertAlign w:val="subscript"/>
        </w:rPr>
        <w:t>1</w:t>
      </w:r>
      <w:r>
        <w:rPr>
          <w:rFonts w:hint="eastAsia" w:ascii="Times New Roman" w:hAnsi="Times New Roman" w:eastAsia="宋体"/>
          <w:highlight w:val="none"/>
        </w:rPr>
        <w:t>，Q</w:t>
      </w:r>
      <w:r>
        <w:rPr>
          <w:rFonts w:hint="eastAsia" w:ascii="Times New Roman" w:hAnsi="Times New Roman" w:eastAsia="宋体"/>
          <w:highlight w:val="none"/>
          <w:vertAlign w:val="subscript"/>
        </w:rPr>
        <w:t>2</w:t>
      </w:r>
      <w:r>
        <w:rPr>
          <w:rFonts w:hint="eastAsia" w:ascii="Times New Roman" w:hAnsi="Times New Roman" w:eastAsia="宋体"/>
          <w:highlight w:val="none"/>
        </w:rPr>
        <w:t>，</w:t>
      </w:r>
      <w:r>
        <w:rPr>
          <w:rFonts w:ascii="Times New Roman" w:hAnsi="Times New Roman" w:eastAsia="宋体"/>
          <w:highlight w:val="none"/>
        </w:rPr>
        <w:t>…</w:t>
      </w:r>
      <w:r>
        <w:rPr>
          <w:rFonts w:hint="eastAsia" w:ascii="Times New Roman" w:hAnsi="Times New Roman" w:eastAsia="宋体"/>
          <w:highlight w:val="none"/>
        </w:rPr>
        <w:t>，Q</w:t>
      </w:r>
      <w:r>
        <w:rPr>
          <w:rFonts w:hint="eastAsia" w:ascii="Times New Roman" w:hAnsi="Times New Roman" w:eastAsia="宋体"/>
          <w:highlight w:val="none"/>
          <w:vertAlign w:val="subscript"/>
        </w:rPr>
        <w:t>n</w:t>
      </w:r>
      <w:r>
        <w:rPr>
          <w:rFonts w:hint="eastAsia" w:ascii="Times New Roman" w:hAnsi="Times New Roman" w:eastAsia="宋体"/>
          <w:highlight w:val="none"/>
        </w:rPr>
        <w:t>—与各危险物质相对应的临界量，t。</w:t>
      </w:r>
    </w:p>
    <w:p w14:paraId="34EAC13A">
      <w:pPr>
        <w:adjustRightInd/>
        <w:snapToGrid/>
        <w:ind w:firstLine="0" w:firstLineChars="0"/>
        <w:jc w:val="center"/>
        <w:rPr>
          <w:rFonts w:ascii="Times New Roman" w:hAnsi="Times New Roman" w:eastAsia="宋体" w:cs="Times New Roman"/>
          <w:bCs/>
          <w:szCs w:val="28"/>
          <w:highlight w:val="none"/>
          <w:lang w:val="zh-CN"/>
          <w14:ligatures w14:val="none"/>
        </w:rPr>
      </w:pPr>
      <w:r>
        <w:rPr>
          <w:rFonts w:ascii="Times New Roman" w:hAnsi="Times New Roman" w:eastAsia="宋体" w:cs="Times New Roman"/>
          <w:sz w:val="21"/>
          <w:highlight w:val="none"/>
          <w14:ligatures w14:val="none"/>
        </w:rPr>
        <w:drawing>
          <wp:inline distT="0" distB="0" distL="0" distR="0">
            <wp:extent cx="5831840" cy="5935980"/>
            <wp:effectExtent l="0" t="0" r="0" b="7620"/>
            <wp:docPr id="996502741"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502741" name="图片 7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831840" cy="5935980"/>
                    </a:xfrm>
                    <a:prstGeom prst="rect">
                      <a:avLst/>
                    </a:prstGeom>
                    <a:noFill/>
                    <a:ln>
                      <a:noFill/>
                    </a:ln>
                  </pic:spPr>
                </pic:pic>
              </a:graphicData>
            </a:graphic>
          </wp:inline>
        </w:drawing>
      </w:r>
    </w:p>
    <w:p w14:paraId="2D03AE5B">
      <w:pPr>
        <w:pStyle w:val="42"/>
        <w:spacing w:before="156" w:beforeLines="50" w:after="156" w:afterLines="50"/>
        <w:rPr>
          <w:rFonts w:eastAsia="黑体"/>
          <w:sz w:val="24"/>
          <w:highlight w:val="none"/>
        </w:rPr>
      </w:pPr>
      <w:r>
        <w:rPr>
          <w:rFonts w:eastAsia="黑体"/>
          <w:sz w:val="24"/>
          <w:highlight w:val="none"/>
        </w:rPr>
        <w:t>图F2.1-1</w:t>
      </w:r>
      <w:r>
        <w:rPr>
          <w:rFonts w:hint="eastAsia" w:eastAsia="黑体"/>
          <w:sz w:val="24"/>
          <w:highlight w:val="none"/>
        </w:rPr>
        <w:t xml:space="preserve">  </w:t>
      </w:r>
      <w:r>
        <w:rPr>
          <w:rFonts w:eastAsia="黑体"/>
          <w:sz w:val="24"/>
          <w:highlight w:val="none"/>
        </w:rPr>
        <w:t>危险化学品重大危险源辨识流程图</w:t>
      </w:r>
    </w:p>
    <w:p w14:paraId="01449C33">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88" w:name="_Toc187310026"/>
      <w:bookmarkStart w:id="89" w:name="_Toc20846"/>
      <w:r>
        <w:rPr>
          <w:rFonts w:ascii="Times New Roman" w:hAnsi="Times New Roman" w:eastAsia="楷体" w:cs="Times New Roman"/>
          <w:b/>
          <w:bCs/>
          <w:sz w:val="32"/>
          <w:szCs w:val="32"/>
          <w:highlight w:val="none"/>
        </w:rPr>
        <w:t>F2.2安全检查表法</w:t>
      </w:r>
      <w:bookmarkEnd w:id="86"/>
      <w:bookmarkEnd w:id="87"/>
      <w:bookmarkEnd w:id="88"/>
      <w:bookmarkEnd w:id="89"/>
    </w:p>
    <w:p w14:paraId="4028FA6A">
      <w:pPr>
        <w:ind w:firstLine="560"/>
        <w:rPr>
          <w:rFonts w:ascii="Times New Roman" w:hAnsi="Times New Roman" w:eastAsia="宋体"/>
          <w:highlight w:val="none"/>
        </w:rPr>
      </w:pPr>
      <w:r>
        <w:rPr>
          <w:rFonts w:ascii="Times New Roman" w:hAnsi="Times New Roman" w:eastAsia="宋体"/>
          <w:highlight w:val="none"/>
        </w:rPr>
        <w:t>安全检查表法是系统安全工程的一种最基础、最简便、最广泛应用的系统安全评价方法。安全检查表不仅用于查找系统中各种潜在的事故隐患，还对检查项目给予量化，用于进行系统安全评价。</w:t>
      </w:r>
    </w:p>
    <w:p w14:paraId="7F1B7C96">
      <w:pPr>
        <w:ind w:firstLine="560"/>
        <w:rPr>
          <w:rFonts w:ascii="Times New Roman" w:hAnsi="Times New Roman" w:eastAsia="宋体"/>
          <w:highlight w:val="none"/>
        </w:rPr>
      </w:pPr>
      <w:r>
        <w:rPr>
          <w:rFonts w:ascii="Times New Roman" w:hAnsi="Times New Roman" w:eastAsia="宋体"/>
          <w:highlight w:val="none"/>
        </w:rPr>
        <w:t>安全检查表是由一些对工艺过程、机械设备和作业情况熟悉，并富有安全技术、安全管理经验的人员，事先对分析对象进行详尽分析和讨论，列出检查单元和部位、检查项目、检查要求、各项赋分标准、评定系统安全等级分值标准等内容的表格。</w:t>
      </w:r>
    </w:p>
    <w:p w14:paraId="5C87881E">
      <w:pPr>
        <w:ind w:firstLine="560"/>
        <w:rPr>
          <w:rFonts w:ascii="Times New Roman" w:hAnsi="Times New Roman" w:eastAsia="宋体"/>
          <w:highlight w:val="none"/>
        </w:rPr>
      </w:pPr>
      <w:r>
        <w:rPr>
          <w:rFonts w:ascii="Times New Roman" w:hAnsi="Times New Roman" w:eastAsia="宋体"/>
          <w:highlight w:val="none"/>
        </w:rPr>
        <w:t>对系统进行评价时，对照安全检查表逐项检查、赋分，从而评价出系统的安全等级。</w:t>
      </w:r>
    </w:p>
    <w:p w14:paraId="567DCA07">
      <w:pPr>
        <w:ind w:firstLine="560"/>
        <w:rPr>
          <w:rFonts w:ascii="Times New Roman" w:hAnsi="Times New Roman" w:eastAsia="宋体"/>
          <w:highlight w:val="none"/>
        </w:rPr>
      </w:pPr>
      <w:r>
        <w:rPr>
          <w:rFonts w:ascii="Times New Roman" w:hAnsi="Times New Roman" w:eastAsia="宋体"/>
          <w:highlight w:val="none"/>
        </w:rPr>
        <w:t>当安全检查表用于设计、维修、环境、管理等方面查找缺陷或隐患时，可省略赋分、评级等内容和步骤。</w:t>
      </w:r>
    </w:p>
    <w:p w14:paraId="32BC544C">
      <w:pPr>
        <w:ind w:firstLine="560"/>
        <w:rPr>
          <w:rFonts w:ascii="Times New Roman" w:hAnsi="Times New Roman" w:eastAsia="宋体"/>
          <w:highlight w:val="none"/>
        </w:rPr>
      </w:pPr>
      <w:r>
        <w:rPr>
          <w:rFonts w:ascii="Times New Roman" w:hAnsi="Times New Roman" w:eastAsia="宋体"/>
          <w:highlight w:val="none"/>
        </w:rPr>
        <w:t>本次评价所使用的安全检查表为提问型安全检查表，具体形式见附表2.2-1。</w:t>
      </w:r>
    </w:p>
    <w:p w14:paraId="7DFAB4B5">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附表2.2-1  安全检查表</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083"/>
        <w:gridCol w:w="2401"/>
        <w:gridCol w:w="2115"/>
        <w:gridCol w:w="2462"/>
        <w:gridCol w:w="1157"/>
      </w:tblGrid>
      <w:tr w14:paraId="1F74C23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083" w:type="dxa"/>
            <w:vAlign w:val="center"/>
          </w:tcPr>
          <w:p w14:paraId="15F38070">
            <w:pPr>
              <w:adjustRightInd/>
              <w:snapToGrid/>
              <w:spacing w:line="240" w:lineRule="exact"/>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序号</w:t>
            </w:r>
          </w:p>
        </w:tc>
        <w:tc>
          <w:tcPr>
            <w:tcW w:w="2401" w:type="dxa"/>
            <w:vAlign w:val="center"/>
          </w:tcPr>
          <w:p w14:paraId="399305C1">
            <w:pPr>
              <w:adjustRightInd/>
              <w:snapToGrid/>
              <w:spacing w:line="240" w:lineRule="exact"/>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检查项目</w:t>
            </w:r>
          </w:p>
        </w:tc>
        <w:tc>
          <w:tcPr>
            <w:tcW w:w="2115" w:type="dxa"/>
            <w:vAlign w:val="center"/>
          </w:tcPr>
          <w:p w14:paraId="58509860">
            <w:pPr>
              <w:adjustRightInd/>
              <w:snapToGrid/>
              <w:spacing w:line="240" w:lineRule="exact"/>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检查依据</w:t>
            </w:r>
          </w:p>
        </w:tc>
        <w:tc>
          <w:tcPr>
            <w:tcW w:w="2462" w:type="dxa"/>
            <w:vAlign w:val="center"/>
          </w:tcPr>
          <w:p w14:paraId="26F27DDB">
            <w:pPr>
              <w:adjustRightInd/>
              <w:snapToGrid/>
              <w:spacing w:line="240" w:lineRule="exact"/>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实际情况</w:t>
            </w:r>
          </w:p>
        </w:tc>
        <w:tc>
          <w:tcPr>
            <w:tcW w:w="1157" w:type="dxa"/>
            <w:vAlign w:val="center"/>
          </w:tcPr>
          <w:p w14:paraId="3FD31260">
            <w:pPr>
              <w:adjustRightInd/>
              <w:snapToGrid/>
              <w:spacing w:line="240" w:lineRule="exact"/>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结论</w:t>
            </w:r>
          </w:p>
        </w:tc>
      </w:tr>
      <w:tr w14:paraId="57E516D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083" w:type="dxa"/>
            <w:vAlign w:val="center"/>
          </w:tcPr>
          <w:p w14:paraId="5D4BB3E9">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2401" w:type="dxa"/>
            <w:vAlign w:val="center"/>
          </w:tcPr>
          <w:p w14:paraId="3C41DC1E">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2115" w:type="dxa"/>
            <w:vAlign w:val="center"/>
          </w:tcPr>
          <w:p w14:paraId="45A64902">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2462" w:type="dxa"/>
            <w:vAlign w:val="center"/>
          </w:tcPr>
          <w:p w14:paraId="174BB0F7">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157" w:type="dxa"/>
            <w:vAlign w:val="center"/>
          </w:tcPr>
          <w:p w14:paraId="4DD0A209">
            <w:pPr>
              <w:spacing w:line="240" w:lineRule="auto"/>
              <w:ind w:firstLine="0" w:firstLineChars="0"/>
              <w:jc w:val="center"/>
              <w:rPr>
                <w:rFonts w:ascii="Times New Roman" w:hAnsi="Times New Roman" w:eastAsia="宋体" w:cs="Times New Roman"/>
                <w:sz w:val="21"/>
                <w:szCs w:val="21"/>
                <w:highlight w:val="none"/>
                <w14:ligatures w14:val="none"/>
              </w:rPr>
            </w:pPr>
          </w:p>
        </w:tc>
      </w:tr>
    </w:tbl>
    <w:p w14:paraId="0AAA6C09">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90" w:name="_Toc3683"/>
      <w:bookmarkStart w:id="91" w:name="_Toc18931"/>
      <w:bookmarkStart w:id="92" w:name="_Toc187310027"/>
      <w:bookmarkStart w:id="93" w:name="_Toc10022"/>
      <w:bookmarkStart w:id="94" w:name="_Toc3450"/>
      <w:r>
        <w:rPr>
          <w:rFonts w:ascii="Times New Roman" w:hAnsi="Times New Roman" w:eastAsia="楷体" w:cs="Times New Roman"/>
          <w:b/>
          <w:bCs/>
          <w:sz w:val="32"/>
          <w:szCs w:val="32"/>
          <w:highlight w:val="none"/>
        </w:rPr>
        <w:t>F2.3</w:t>
      </w:r>
      <w:bookmarkEnd w:id="90"/>
      <w:bookmarkEnd w:id="91"/>
      <w:r>
        <w:rPr>
          <w:rFonts w:ascii="Times New Roman" w:hAnsi="Times New Roman" w:eastAsia="楷体" w:cs="Times New Roman"/>
          <w:b/>
          <w:bCs/>
          <w:sz w:val="32"/>
          <w:szCs w:val="32"/>
          <w:highlight w:val="none"/>
        </w:rPr>
        <w:t>作业条件危险性分析法</w:t>
      </w:r>
      <w:bookmarkEnd w:id="92"/>
    </w:p>
    <w:p w14:paraId="46FF49A5">
      <w:pPr>
        <w:ind w:firstLine="560"/>
        <w:rPr>
          <w:rFonts w:ascii="Times New Roman" w:hAnsi="Times New Roman" w:eastAsia="宋体"/>
          <w:highlight w:val="none"/>
        </w:rPr>
      </w:pPr>
      <w:r>
        <w:rPr>
          <w:rFonts w:ascii="Times New Roman" w:hAnsi="Times New Roman" w:eastAsia="宋体"/>
          <w:highlight w:val="none"/>
        </w:rPr>
        <w:t>作业条件危险性分析法是对危险物质或危险作业场所中可能发生的事故事件进行综合评价和分析，以确定其引发事故的频率和后果的程度，并通过评价结果来加强危险物质或危险作业场所的安全措施的安全评价方法。</w:t>
      </w:r>
    </w:p>
    <w:p w14:paraId="546F26D5">
      <w:pPr>
        <w:ind w:firstLine="560"/>
        <w:rPr>
          <w:rFonts w:hint="eastAsia" w:ascii="Times New Roman" w:hAnsi="宋体" w:eastAsia="宋体" w:cs="Times New Roman"/>
          <w:szCs w:val="28"/>
          <w:highlight w:val="none"/>
          <w14:ligatures w14:val="none"/>
        </w:rPr>
      </w:pPr>
      <w:bookmarkStart w:id="95" w:name="_Toc26905"/>
      <w:bookmarkStart w:id="96" w:name="_Toc24219"/>
      <w:r>
        <w:rPr>
          <w:rFonts w:ascii="Times New Roman" w:hAnsi="宋体" w:eastAsia="宋体" w:cs="Times New Roman"/>
          <w:szCs w:val="28"/>
          <w:highlight w:val="none"/>
          <w14:ligatures w14:val="none"/>
        </w:rPr>
        <w:t>美国的K.J.格雷厄姆（Keneth J. Graham）和G.F.金尼（Gilbert F. Kinney）研究了人们在具有潜在危险环境中作业的危险性，提出了以所评价的环境与某些作为参考环境的对比为基础，将作业条件的危险性作因变量（D），事故或危险事件发生的可能性（L）、暴露于危险环境的频率（E）及危险严重程度（C）为自变量，用这三个因素分值的乘积表示作业条件的危险性（D），即D＝L.E.C。D值越大，作业条件的危险性就越大。</w:t>
      </w:r>
    </w:p>
    <w:p w14:paraId="47319E4F">
      <w:pPr>
        <w:ind w:firstLine="560"/>
        <w:rPr>
          <w:rFonts w:hint="eastAsia" w:ascii="Times New Roman" w:hAnsi="宋体" w:eastAsia="宋体" w:cs="Times New Roman"/>
          <w:szCs w:val="28"/>
          <w:highlight w:val="none"/>
          <w14:ligatures w14:val="none"/>
        </w:rPr>
      </w:pPr>
      <w:r>
        <w:rPr>
          <w:rFonts w:ascii="Times New Roman" w:hAnsi="宋体" w:eastAsia="宋体" w:cs="Times New Roman"/>
          <w:szCs w:val="28"/>
          <w:highlight w:val="none"/>
          <w14:ligatures w14:val="none"/>
        </w:rPr>
        <w:t>根据实际经验他们给出了3个自变量的各种不同情况的分数值，采取对所评价的对象根据情况进行“打分”的办法，然后根据公式计算出其危险性分数值，再在按经验将危险性分数值划分的危险程度等级表或图上，查出其危险程度的一种评价方法。这是一种简单易行的评价作业条件危险性的方法。</w:t>
      </w:r>
    </w:p>
    <w:p w14:paraId="559309E0">
      <w:pPr>
        <w:ind w:firstLine="560"/>
        <w:rPr>
          <w:rFonts w:hint="eastAsia" w:ascii="Times New Roman" w:hAnsi="宋体" w:eastAsia="宋体" w:cs="Times New Roman"/>
          <w:szCs w:val="28"/>
          <w:highlight w:val="none"/>
          <w14:ligatures w14:val="none"/>
        </w:rPr>
      </w:pPr>
      <w:r>
        <w:rPr>
          <w:rFonts w:ascii="Times New Roman" w:hAnsi="宋体" w:eastAsia="宋体" w:cs="Times New Roman"/>
          <w:szCs w:val="28"/>
          <w:highlight w:val="none"/>
          <w14:ligatures w14:val="none"/>
        </w:rPr>
        <w:t>（1）赋分标准</w:t>
      </w:r>
    </w:p>
    <w:p w14:paraId="04EEB3AA">
      <w:pPr>
        <w:ind w:firstLine="560"/>
        <w:rPr>
          <w:rFonts w:hint="eastAsia" w:ascii="Times New Roman" w:hAnsi="宋体" w:eastAsia="宋体" w:cs="Times New Roman"/>
          <w:szCs w:val="28"/>
          <w:highlight w:val="none"/>
          <w14:ligatures w14:val="none"/>
        </w:rPr>
      </w:pPr>
      <w:r>
        <w:rPr>
          <w:rFonts w:hint="eastAsia" w:ascii="Times New Roman" w:hAnsi="宋体" w:eastAsia="宋体" w:cs="Times New Roman"/>
          <w:szCs w:val="28"/>
          <w:highlight w:val="none"/>
          <w14:ligatures w14:val="none"/>
        </w:rPr>
        <w:t>①</w:t>
      </w:r>
      <w:r>
        <w:rPr>
          <w:rFonts w:ascii="Times New Roman" w:hAnsi="宋体" w:eastAsia="宋体" w:cs="Times New Roman"/>
          <w:szCs w:val="28"/>
          <w:highlight w:val="none"/>
          <w14:ligatures w14:val="none"/>
        </w:rPr>
        <w:t>事故发生的可能性（L）</w:t>
      </w:r>
    </w:p>
    <w:p w14:paraId="546F39B4">
      <w:pPr>
        <w:ind w:firstLine="560"/>
        <w:rPr>
          <w:rFonts w:hint="eastAsia" w:ascii="Times New Roman" w:hAnsi="宋体" w:eastAsia="宋体" w:cs="Times New Roman"/>
          <w:szCs w:val="28"/>
          <w:highlight w:val="none"/>
          <w14:ligatures w14:val="none"/>
        </w:rPr>
      </w:pPr>
      <w:r>
        <w:rPr>
          <w:rFonts w:ascii="Times New Roman" w:hAnsi="宋体" w:eastAsia="宋体" w:cs="Times New Roman"/>
          <w:szCs w:val="28"/>
          <w:highlight w:val="none"/>
          <w14:ligatures w14:val="none"/>
        </w:rPr>
        <w:t>事故发生的可能性（L）定性表达了事故发生概率。必然发生的事故概率为1，规定对应的分值为；绝对不可能发生事故的概率为0，而生产作业中不存在绝对不发生的事故的情况，故规定实际上不可能发生事故的情况对应分值为0.1；以此为基础规定其他情况相对应的分值，见</w:t>
      </w:r>
      <w:r>
        <w:rPr>
          <w:rFonts w:hint="eastAsia" w:ascii="Times New Roman" w:hAnsi="宋体" w:eastAsia="宋体" w:cs="Times New Roman"/>
          <w:szCs w:val="28"/>
          <w:highlight w:val="none"/>
          <w14:ligatures w14:val="none"/>
        </w:rPr>
        <w:t>附</w:t>
      </w:r>
      <w:r>
        <w:rPr>
          <w:rFonts w:ascii="Times New Roman" w:hAnsi="宋体" w:eastAsia="宋体" w:cs="Times New Roman"/>
          <w:szCs w:val="28"/>
          <w:highlight w:val="none"/>
          <w14:ligatures w14:val="none"/>
        </w:rPr>
        <w:t>表</w:t>
      </w:r>
      <w:r>
        <w:rPr>
          <w:rFonts w:hint="eastAsia" w:ascii="Times New Roman" w:hAnsi="宋体" w:eastAsia="宋体" w:cs="Times New Roman"/>
          <w:szCs w:val="28"/>
          <w:highlight w:val="none"/>
          <w14:ligatures w14:val="none"/>
        </w:rPr>
        <w:t>2.3-1</w:t>
      </w:r>
      <w:r>
        <w:rPr>
          <w:rFonts w:ascii="Times New Roman" w:hAnsi="宋体" w:eastAsia="宋体" w:cs="Times New Roman"/>
          <w:szCs w:val="28"/>
          <w:highlight w:val="none"/>
          <w14:ligatures w14:val="none"/>
        </w:rPr>
        <w:t>。</w:t>
      </w:r>
    </w:p>
    <w:p w14:paraId="4A058A07">
      <w:pPr>
        <w:spacing w:before="156" w:beforeLines="50" w:after="156" w:afterLines="50" w:line="240" w:lineRule="auto"/>
        <w:ind w:firstLine="0" w:firstLineChars="0"/>
        <w:jc w:val="center"/>
        <w:rPr>
          <w:rFonts w:ascii="Times New Roman" w:hAnsi="Times New Roman" w:eastAsia="黑体" w:cs="Times New Roman"/>
          <w:kern w:val="0"/>
          <w:sz w:val="24"/>
          <w:highlight w:val="none"/>
          <w14:ligatures w14:val="none"/>
        </w:rPr>
      </w:pPr>
      <w:r>
        <w:rPr>
          <w:rFonts w:hint="eastAsia" w:ascii="Times New Roman" w:hAnsi="Times New Roman" w:eastAsia="黑体" w:cs="Times New Roman"/>
          <w:kern w:val="0"/>
          <w:sz w:val="24"/>
          <w:highlight w:val="none"/>
          <w14:ligatures w14:val="none"/>
        </w:rPr>
        <w:t>附表2.3-1</w:t>
      </w:r>
      <w:r>
        <w:rPr>
          <w:rFonts w:ascii="Times New Roman" w:hAnsi="Times New Roman" w:eastAsia="黑体" w:cs="Times New Roman"/>
          <w:kern w:val="0"/>
          <w:sz w:val="24"/>
          <w:highlight w:val="none"/>
          <w14:ligatures w14:val="none"/>
        </w:rPr>
        <w:t xml:space="preserve">  </w:t>
      </w:r>
      <w:r>
        <w:rPr>
          <w:rFonts w:hint="eastAsia" w:ascii="Times New Roman" w:hAnsi="Times New Roman" w:eastAsia="黑体" w:cs="Times New Roman"/>
          <w:kern w:val="0"/>
          <w:sz w:val="24"/>
          <w:highlight w:val="none"/>
          <w14:ligatures w14:val="none"/>
        </w:rPr>
        <w:t>事故发生可能性分值（</w:t>
      </w:r>
      <w:r>
        <w:rPr>
          <w:rFonts w:ascii="Times New Roman" w:hAnsi="Times New Roman" w:eastAsia="黑体" w:cs="Times New Roman"/>
          <w:kern w:val="0"/>
          <w:sz w:val="24"/>
          <w:highlight w:val="none"/>
          <w14:ligatures w14:val="none"/>
        </w:rPr>
        <w:t>L</w:t>
      </w:r>
      <w:r>
        <w:rPr>
          <w:rFonts w:hint="eastAsia" w:ascii="Times New Roman" w:hAnsi="Times New Roman" w:eastAsia="黑体" w:cs="Times New Roman"/>
          <w:kern w:val="0"/>
          <w:sz w:val="24"/>
          <w:highlight w:val="none"/>
          <w14:ligatures w14:val="none"/>
        </w:rPr>
        <w:t>）</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30"/>
        <w:gridCol w:w="3373"/>
        <w:gridCol w:w="1330"/>
        <w:gridCol w:w="3373"/>
      </w:tblGrid>
      <w:tr w14:paraId="5136A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707" w:type="pct"/>
            <w:vAlign w:val="center"/>
          </w:tcPr>
          <w:p w14:paraId="518D0E00">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分数值</w:t>
            </w:r>
          </w:p>
        </w:tc>
        <w:tc>
          <w:tcPr>
            <w:tcW w:w="1793" w:type="pct"/>
            <w:vAlign w:val="center"/>
          </w:tcPr>
          <w:p w14:paraId="2B5EFF9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事故发生可能性</w:t>
            </w:r>
          </w:p>
        </w:tc>
        <w:tc>
          <w:tcPr>
            <w:tcW w:w="707" w:type="pct"/>
            <w:vAlign w:val="center"/>
          </w:tcPr>
          <w:p w14:paraId="767F819E">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分数值</w:t>
            </w:r>
          </w:p>
        </w:tc>
        <w:tc>
          <w:tcPr>
            <w:tcW w:w="1793" w:type="pct"/>
            <w:vAlign w:val="center"/>
          </w:tcPr>
          <w:p w14:paraId="149C74BA">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事故发生可能性</w:t>
            </w:r>
          </w:p>
        </w:tc>
      </w:tr>
      <w:tr w14:paraId="7A4FD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7" w:type="pct"/>
            <w:vAlign w:val="center"/>
          </w:tcPr>
          <w:p w14:paraId="39A92996">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10</w:t>
            </w:r>
          </w:p>
          <w:p w14:paraId="29AD2F4B">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6</w:t>
            </w:r>
          </w:p>
          <w:p w14:paraId="73FC14E1">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3</w:t>
            </w:r>
          </w:p>
          <w:p w14:paraId="28B9E444">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w:t>
            </w:r>
          </w:p>
        </w:tc>
        <w:tc>
          <w:tcPr>
            <w:tcW w:w="1793" w:type="pct"/>
            <w:vAlign w:val="center"/>
          </w:tcPr>
          <w:p w14:paraId="7E76C729">
            <w:pPr>
              <w:widowControl/>
              <w:adjustRightInd/>
              <w:snapToGrid/>
              <w:spacing w:line="240" w:lineRule="auto"/>
              <w:ind w:firstLine="0" w:firstLineChars="0"/>
              <w:jc w:val="center"/>
              <w:rPr>
                <w:rFonts w:hint="eastAsia" w:ascii="Times New Roman" w:hAnsi="宋体" w:eastAsia="宋体" w:cs="Times New Roman"/>
                <w:kern w:val="0"/>
                <w:sz w:val="21"/>
                <w:szCs w:val="21"/>
                <w:highlight w:val="none"/>
                <w14:ligatures w14:val="none"/>
              </w:rPr>
            </w:pPr>
            <w:r>
              <w:rPr>
                <w:rFonts w:ascii="Times New Roman" w:hAnsi="宋体" w:eastAsia="宋体" w:cs="Times New Roman"/>
                <w:kern w:val="0"/>
                <w:sz w:val="21"/>
                <w:szCs w:val="21"/>
                <w:highlight w:val="none"/>
                <w14:ligatures w14:val="none"/>
              </w:rPr>
              <w:t>完全会被预料到</w:t>
            </w:r>
          </w:p>
          <w:p w14:paraId="2DC37485">
            <w:pPr>
              <w:widowControl/>
              <w:adjustRightInd/>
              <w:snapToGrid/>
              <w:spacing w:line="240" w:lineRule="auto"/>
              <w:ind w:firstLine="0" w:firstLineChars="0"/>
              <w:jc w:val="center"/>
              <w:rPr>
                <w:rFonts w:hint="eastAsia" w:ascii="Times New Roman" w:hAnsi="宋体" w:eastAsia="宋体" w:cs="Times New Roman"/>
                <w:kern w:val="0"/>
                <w:sz w:val="21"/>
                <w:szCs w:val="21"/>
                <w:highlight w:val="none"/>
                <w14:ligatures w14:val="none"/>
              </w:rPr>
            </w:pPr>
            <w:r>
              <w:rPr>
                <w:rFonts w:ascii="Times New Roman" w:hAnsi="宋体" w:eastAsia="宋体" w:cs="Times New Roman"/>
                <w:kern w:val="0"/>
                <w:sz w:val="21"/>
                <w:szCs w:val="21"/>
                <w:highlight w:val="none"/>
                <w14:ligatures w14:val="none"/>
              </w:rPr>
              <w:t>相当可能</w:t>
            </w:r>
          </w:p>
          <w:p w14:paraId="3E59D946">
            <w:pPr>
              <w:widowControl/>
              <w:adjustRightInd/>
              <w:snapToGrid/>
              <w:spacing w:line="240" w:lineRule="auto"/>
              <w:ind w:firstLine="0" w:firstLineChars="0"/>
              <w:jc w:val="center"/>
              <w:rPr>
                <w:rFonts w:hint="eastAsia" w:ascii="Times New Roman" w:hAnsi="宋体" w:eastAsia="宋体" w:cs="Times New Roman"/>
                <w:kern w:val="0"/>
                <w:sz w:val="21"/>
                <w:szCs w:val="21"/>
                <w:highlight w:val="none"/>
                <w14:ligatures w14:val="none"/>
              </w:rPr>
            </w:pPr>
            <w:r>
              <w:rPr>
                <w:rFonts w:ascii="Times New Roman" w:hAnsi="宋体" w:eastAsia="宋体" w:cs="Times New Roman"/>
                <w:kern w:val="0"/>
                <w:sz w:val="21"/>
                <w:szCs w:val="21"/>
                <w:highlight w:val="none"/>
                <w14:ligatures w14:val="none"/>
              </w:rPr>
              <w:t>可能，但不经常</w:t>
            </w:r>
          </w:p>
          <w:p w14:paraId="17F12CCC">
            <w:pPr>
              <w:widowControl/>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kern w:val="0"/>
                <w:sz w:val="21"/>
                <w:szCs w:val="21"/>
                <w:highlight w:val="none"/>
                <w14:ligatures w14:val="none"/>
              </w:rPr>
              <w:t>完全意外，很少可能</w:t>
            </w:r>
          </w:p>
        </w:tc>
        <w:tc>
          <w:tcPr>
            <w:tcW w:w="707" w:type="pct"/>
            <w:vAlign w:val="center"/>
          </w:tcPr>
          <w:p w14:paraId="1A5043D6">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0.5</w:t>
            </w:r>
          </w:p>
          <w:p w14:paraId="1447254A">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0.2</w:t>
            </w:r>
          </w:p>
          <w:p w14:paraId="086E325F">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0.1</w:t>
            </w:r>
          </w:p>
        </w:tc>
        <w:tc>
          <w:tcPr>
            <w:tcW w:w="1793" w:type="pct"/>
            <w:vAlign w:val="center"/>
          </w:tcPr>
          <w:p w14:paraId="068F199E">
            <w:pPr>
              <w:widowControl/>
              <w:adjustRightInd/>
              <w:snapToGrid/>
              <w:spacing w:line="240" w:lineRule="auto"/>
              <w:ind w:firstLine="0" w:firstLineChars="0"/>
              <w:jc w:val="center"/>
              <w:rPr>
                <w:rFonts w:hint="eastAsia" w:ascii="Times New Roman" w:hAnsi="宋体" w:eastAsia="宋体" w:cs="Times New Roman"/>
                <w:kern w:val="0"/>
                <w:sz w:val="21"/>
                <w:szCs w:val="21"/>
                <w:highlight w:val="none"/>
                <w14:ligatures w14:val="none"/>
              </w:rPr>
            </w:pPr>
            <w:r>
              <w:rPr>
                <w:rFonts w:ascii="Times New Roman" w:hAnsi="宋体" w:eastAsia="宋体" w:cs="Times New Roman"/>
                <w:kern w:val="0"/>
                <w:sz w:val="21"/>
                <w:szCs w:val="21"/>
                <w:highlight w:val="none"/>
                <w14:ligatures w14:val="none"/>
              </w:rPr>
              <w:t>可以设想，但不可能</w:t>
            </w:r>
          </w:p>
          <w:p w14:paraId="3AD6713B">
            <w:pPr>
              <w:widowControl/>
              <w:adjustRightInd/>
              <w:snapToGrid/>
              <w:spacing w:line="240" w:lineRule="auto"/>
              <w:ind w:firstLine="0" w:firstLineChars="0"/>
              <w:jc w:val="center"/>
              <w:rPr>
                <w:rFonts w:hint="eastAsia" w:ascii="Times New Roman" w:hAnsi="宋体" w:eastAsia="宋体" w:cs="Times New Roman"/>
                <w:kern w:val="0"/>
                <w:sz w:val="21"/>
                <w:szCs w:val="21"/>
                <w:highlight w:val="none"/>
                <w14:ligatures w14:val="none"/>
              </w:rPr>
            </w:pPr>
            <w:r>
              <w:rPr>
                <w:rFonts w:ascii="Times New Roman" w:hAnsi="宋体" w:eastAsia="宋体" w:cs="Times New Roman"/>
                <w:kern w:val="0"/>
                <w:sz w:val="21"/>
                <w:szCs w:val="21"/>
                <w:highlight w:val="none"/>
                <w14:ligatures w14:val="none"/>
              </w:rPr>
              <w:t>极不可能</w:t>
            </w:r>
          </w:p>
          <w:p w14:paraId="4FC2AC10">
            <w:pPr>
              <w:widowControl/>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kern w:val="0"/>
                <w:sz w:val="21"/>
                <w:szCs w:val="21"/>
                <w:highlight w:val="none"/>
                <w14:ligatures w14:val="none"/>
              </w:rPr>
              <w:t>实际上不可能</w:t>
            </w:r>
          </w:p>
        </w:tc>
      </w:tr>
    </w:tbl>
    <w:p w14:paraId="63991C67">
      <w:pPr>
        <w:ind w:firstLine="560"/>
        <w:rPr>
          <w:rFonts w:hint="eastAsia" w:ascii="Times New Roman" w:hAnsi="宋体" w:eastAsia="宋体" w:cs="Times New Roman"/>
          <w:szCs w:val="28"/>
          <w:highlight w:val="none"/>
          <w14:ligatures w14:val="none"/>
        </w:rPr>
      </w:pPr>
      <w:r>
        <w:rPr>
          <w:rFonts w:hint="eastAsia" w:ascii="Times New Roman" w:hAnsi="宋体" w:eastAsia="宋体" w:cs="Times New Roman"/>
          <w:szCs w:val="28"/>
          <w:highlight w:val="none"/>
          <w14:ligatures w14:val="none"/>
        </w:rPr>
        <w:t>②</w:t>
      </w:r>
      <w:r>
        <w:rPr>
          <w:rFonts w:ascii="Times New Roman" w:hAnsi="宋体" w:eastAsia="宋体" w:cs="Times New Roman"/>
          <w:szCs w:val="28"/>
          <w:highlight w:val="none"/>
          <w14:ligatures w14:val="none"/>
        </w:rPr>
        <w:t>人员暴露于危险环境的频繁程度（E）</w:t>
      </w:r>
    </w:p>
    <w:p w14:paraId="03E381D9">
      <w:pPr>
        <w:ind w:firstLine="560"/>
        <w:rPr>
          <w:rFonts w:hint="eastAsia" w:ascii="Times New Roman" w:hAnsi="宋体" w:eastAsia="宋体" w:cs="Times New Roman"/>
          <w:szCs w:val="28"/>
          <w:highlight w:val="none"/>
          <w14:ligatures w14:val="none"/>
        </w:rPr>
      </w:pPr>
      <w:r>
        <w:rPr>
          <w:rFonts w:ascii="Times New Roman" w:hAnsi="宋体" w:eastAsia="宋体" w:cs="Times New Roman"/>
          <w:szCs w:val="28"/>
          <w:highlight w:val="none"/>
          <w14:ligatures w14:val="none"/>
        </w:rPr>
        <w:t>人员暴露于危险环境中的时间越多，受到伤害的可能性越大，相应的危险也越大。规定人员连续出现在危险环境的分值为10，最小分值为0.5，分值0表示人员根本不暴露危险环境中的情况没有实际意义。</w:t>
      </w:r>
      <w:r>
        <w:rPr>
          <w:rFonts w:hint="eastAsia" w:ascii="Times New Roman" w:hAnsi="宋体" w:eastAsia="宋体" w:cs="Times New Roman"/>
          <w:szCs w:val="28"/>
          <w:highlight w:val="none"/>
          <w14:ligatures w14:val="none"/>
        </w:rPr>
        <w:t>具体打分的标准见附表2.3-2。</w:t>
      </w:r>
    </w:p>
    <w:p w14:paraId="49F920EC">
      <w:pPr>
        <w:spacing w:before="156" w:beforeLines="50" w:after="156" w:afterLines="50" w:line="240" w:lineRule="auto"/>
        <w:ind w:firstLine="0" w:firstLineChars="0"/>
        <w:jc w:val="center"/>
        <w:rPr>
          <w:rFonts w:ascii="Times New Roman" w:hAnsi="Times New Roman" w:eastAsia="黑体" w:cs="Times New Roman"/>
          <w:kern w:val="0"/>
          <w:sz w:val="24"/>
          <w:highlight w:val="none"/>
          <w14:ligatures w14:val="none"/>
        </w:rPr>
      </w:pPr>
      <w:r>
        <w:rPr>
          <w:rFonts w:hint="eastAsia" w:ascii="Times New Roman" w:hAnsi="Times New Roman" w:eastAsia="黑体" w:cs="Times New Roman"/>
          <w:kern w:val="0"/>
          <w:sz w:val="24"/>
          <w:highlight w:val="none"/>
          <w14:ligatures w14:val="none"/>
        </w:rPr>
        <w:t>附表2.3-2</w:t>
      </w:r>
      <w:r>
        <w:rPr>
          <w:rFonts w:ascii="Times New Roman" w:hAnsi="Times New Roman" w:eastAsia="黑体" w:cs="Times New Roman"/>
          <w:kern w:val="0"/>
          <w:sz w:val="24"/>
          <w:highlight w:val="none"/>
          <w14:ligatures w14:val="none"/>
        </w:rPr>
        <w:t xml:space="preserve">  </w:t>
      </w:r>
      <w:r>
        <w:rPr>
          <w:rFonts w:hint="eastAsia" w:ascii="Times New Roman" w:hAnsi="Times New Roman" w:eastAsia="黑体" w:cs="Times New Roman"/>
          <w:kern w:val="0"/>
          <w:sz w:val="24"/>
          <w:highlight w:val="none"/>
          <w14:ligatures w14:val="none"/>
        </w:rPr>
        <w:t>暴露于危险环境的频繁程度（</w:t>
      </w:r>
      <w:r>
        <w:rPr>
          <w:rFonts w:ascii="Times New Roman" w:hAnsi="Times New Roman" w:eastAsia="黑体" w:cs="Times New Roman"/>
          <w:kern w:val="0"/>
          <w:sz w:val="24"/>
          <w:highlight w:val="none"/>
          <w14:ligatures w14:val="none"/>
        </w:rPr>
        <w:t>E</w:t>
      </w:r>
      <w:r>
        <w:rPr>
          <w:rFonts w:hint="eastAsia" w:ascii="Times New Roman" w:hAnsi="Times New Roman" w:eastAsia="黑体" w:cs="Times New Roman"/>
          <w:kern w:val="0"/>
          <w:sz w:val="24"/>
          <w:highlight w:val="none"/>
          <w14:ligatures w14:val="none"/>
        </w:rPr>
        <w:t>）</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0"/>
        <w:gridCol w:w="3593"/>
        <w:gridCol w:w="1110"/>
        <w:gridCol w:w="3593"/>
      </w:tblGrid>
      <w:tr w14:paraId="25373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1029" w:type="dxa"/>
            <w:vAlign w:val="center"/>
          </w:tcPr>
          <w:p w14:paraId="7570D55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分数值</w:t>
            </w:r>
          </w:p>
        </w:tc>
        <w:tc>
          <w:tcPr>
            <w:tcW w:w="3331" w:type="dxa"/>
            <w:vAlign w:val="center"/>
          </w:tcPr>
          <w:p w14:paraId="04B4B7F5">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暴露于危险环境的频繁程度</w:t>
            </w:r>
          </w:p>
        </w:tc>
        <w:tc>
          <w:tcPr>
            <w:tcW w:w="1029" w:type="dxa"/>
            <w:vAlign w:val="center"/>
          </w:tcPr>
          <w:p w14:paraId="2401ED9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分数值</w:t>
            </w:r>
          </w:p>
        </w:tc>
        <w:tc>
          <w:tcPr>
            <w:tcW w:w="3331" w:type="dxa"/>
            <w:vAlign w:val="center"/>
          </w:tcPr>
          <w:p w14:paraId="7903E36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暴露于危险环境的频繁程度</w:t>
            </w:r>
          </w:p>
        </w:tc>
      </w:tr>
      <w:tr w14:paraId="1EEE3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29" w:type="dxa"/>
            <w:vAlign w:val="center"/>
          </w:tcPr>
          <w:p w14:paraId="5211A4FA">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10</w:t>
            </w:r>
          </w:p>
          <w:p w14:paraId="09F2E0D7">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6</w:t>
            </w:r>
          </w:p>
          <w:p w14:paraId="45A85FA9">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3</w:t>
            </w:r>
          </w:p>
        </w:tc>
        <w:tc>
          <w:tcPr>
            <w:tcW w:w="3331" w:type="dxa"/>
            <w:vAlign w:val="center"/>
          </w:tcPr>
          <w:p w14:paraId="676AC224">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连续暴露</w:t>
            </w:r>
          </w:p>
          <w:p w14:paraId="05A6C090">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每天工作时间内暴露</w:t>
            </w:r>
          </w:p>
          <w:p w14:paraId="693613D9">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每周一次或偶然暴露</w:t>
            </w:r>
          </w:p>
        </w:tc>
        <w:tc>
          <w:tcPr>
            <w:tcW w:w="1029" w:type="dxa"/>
            <w:vAlign w:val="center"/>
          </w:tcPr>
          <w:p w14:paraId="5AA46D3B">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2</w:t>
            </w:r>
          </w:p>
          <w:p w14:paraId="70FF64DF">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w:t>
            </w:r>
          </w:p>
          <w:p w14:paraId="10CDA332">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0.5</w:t>
            </w:r>
          </w:p>
        </w:tc>
        <w:tc>
          <w:tcPr>
            <w:tcW w:w="3331" w:type="dxa"/>
            <w:vAlign w:val="center"/>
          </w:tcPr>
          <w:p w14:paraId="3BFA6318">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每月暴露一次</w:t>
            </w:r>
          </w:p>
          <w:p w14:paraId="0FB876D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每年几次暴露</w:t>
            </w:r>
          </w:p>
          <w:p w14:paraId="32B32DBB">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非常罕见地暴露</w:t>
            </w:r>
          </w:p>
        </w:tc>
      </w:tr>
    </w:tbl>
    <w:p w14:paraId="33DF7749">
      <w:pPr>
        <w:ind w:firstLine="560"/>
        <w:rPr>
          <w:rFonts w:hint="eastAsia" w:ascii="Times New Roman" w:hAnsi="宋体" w:eastAsia="宋体" w:cs="Times New Roman"/>
          <w:szCs w:val="28"/>
          <w:highlight w:val="none"/>
          <w14:ligatures w14:val="none"/>
        </w:rPr>
      </w:pPr>
      <w:r>
        <w:rPr>
          <w:rFonts w:hint="eastAsia" w:ascii="Times New Roman" w:hAnsi="宋体" w:eastAsia="宋体" w:cs="Times New Roman"/>
          <w:szCs w:val="28"/>
          <w:highlight w:val="none"/>
          <w14:ligatures w14:val="none"/>
        </w:rPr>
        <w:t>③</w:t>
      </w:r>
      <w:r>
        <w:rPr>
          <w:rFonts w:ascii="Times New Roman" w:hAnsi="宋体" w:eastAsia="宋体" w:cs="Times New Roman"/>
          <w:szCs w:val="28"/>
          <w:highlight w:val="none"/>
          <w14:ligatures w14:val="none"/>
        </w:rPr>
        <w:t>发生事故可能造成的后果（C）</w:t>
      </w:r>
    </w:p>
    <w:p w14:paraId="1EEFEDC2">
      <w:pPr>
        <w:ind w:firstLine="560"/>
        <w:rPr>
          <w:rFonts w:hint="eastAsia" w:ascii="Times New Roman" w:hAnsi="宋体" w:eastAsia="宋体" w:cs="Times New Roman"/>
          <w:szCs w:val="28"/>
          <w:highlight w:val="none"/>
          <w14:ligatures w14:val="none"/>
        </w:rPr>
      </w:pPr>
      <w:r>
        <w:rPr>
          <w:rFonts w:ascii="Times New Roman" w:hAnsi="宋体" w:eastAsia="宋体" w:cs="Times New Roman"/>
          <w:szCs w:val="28"/>
          <w:highlight w:val="none"/>
          <w14:ligatures w14:val="none"/>
        </w:rPr>
        <w:t>由于事故造成人员的伤害程度的范围很大，规定把需要治疗的轻伤对应分值为1，许多人同时死亡对应的分值为100，其他情况评分标准见</w:t>
      </w:r>
      <w:r>
        <w:rPr>
          <w:rFonts w:hint="eastAsia" w:ascii="Times New Roman" w:hAnsi="宋体" w:eastAsia="宋体" w:cs="Times New Roman"/>
          <w:szCs w:val="28"/>
          <w:highlight w:val="none"/>
          <w14:ligatures w14:val="none"/>
        </w:rPr>
        <w:t>附</w:t>
      </w:r>
      <w:r>
        <w:rPr>
          <w:rFonts w:ascii="Times New Roman" w:hAnsi="宋体" w:eastAsia="宋体" w:cs="Times New Roman"/>
          <w:szCs w:val="28"/>
          <w:highlight w:val="none"/>
          <w14:ligatures w14:val="none"/>
        </w:rPr>
        <w:t>表</w:t>
      </w:r>
      <w:r>
        <w:rPr>
          <w:rFonts w:hint="eastAsia" w:ascii="Times New Roman" w:hAnsi="宋体" w:eastAsia="宋体" w:cs="Times New Roman"/>
          <w:szCs w:val="28"/>
          <w:highlight w:val="none"/>
          <w14:ligatures w14:val="none"/>
        </w:rPr>
        <w:t>2.3-3</w:t>
      </w:r>
      <w:r>
        <w:rPr>
          <w:rFonts w:ascii="Times New Roman" w:hAnsi="宋体" w:eastAsia="宋体" w:cs="Times New Roman"/>
          <w:szCs w:val="28"/>
          <w:highlight w:val="none"/>
          <w14:ligatures w14:val="none"/>
        </w:rPr>
        <w:t>，并可依据事故后果严重程度应用插分法取值、赋分。</w:t>
      </w:r>
    </w:p>
    <w:p w14:paraId="460D7164">
      <w:pPr>
        <w:keepNext/>
        <w:adjustRightInd/>
        <w:snapToGrid/>
        <w:spacing w:before="156" w:beforeLines="50" w:after="156" w:afterLines="50" w:line="240" w:lineRule="auto"/>
        <w:ind w:firstLine="0" w:firstLineChars="0"/>
        <w:jc w:val="center"/>
        <w:rPr>
          <w:rFonts w:ascii="Times New Roman" w:hAnsi="Times New Roman" w:eastAsia="黑体" w:cs="Times New Roman"/>
          <w:kern w:val="0"/>
          <w:sz w:val="24"/>
          <w:highlight w:val="none"/>
          <w14:ligatures w14:val="none"/>
        </w:rPr>
      </w:pPr>
      <w:r>
        <w:rPr>
          <w:rFonts w:hint="eastAsia" w:ascii="Times New Roman" w:hAnsi="Times New Roman" w:eastAsia="黑体" w:cs="Times New Roman"/>
          <w:kern w:val="0"/>
          <w:sz w:val="24"/>
          <w:highlight w:val="none"/>
          <w14:ligatures w14:val="none"/>
        </w:rPr>
        <w:t>附表2.3-3  事故造成的结果分值（</w:t>
      </w:r>
      <w:r>
        <w:rPr>
          <w:rFonts w:ascii="Times New Roman" w:hAnsi="Times New Roman" w:eastAsia="黑体" w:cs="Times New Roman"/>
          <w:kern w:val="0"/>
          <w:sz w:val="24"/>
          <w:highlight w:val="none"/>
          <w14:ligatures w14:val="none"/>
        </w:rPr>
        <w:t>C</w:t>
      </w:r>
      <w:r>
        <w:rPr>
          <w:rFonts w:hint="eastAsia" w:ascii="Times New Roman" w:hAnsi="Times New Roman" w:eastAsia="黑体" w:cs="Times New Roman"/>
          <w:kern w:val="0"/>
          <w:sz w:val="24"/>
          <w:highlight w:val="none"/>
          <w14:ligatures w14:val="none"/>
        </w:rPr>
        <w:t>）</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7"/>
        <w:gridCol w:w="3616"/>
        <w:gridCol w:w="1044"/>
        <w:gridCol w:w="3659"/>
      </w:tblGrid>
      <w:tr w14:paraId="278EB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1008" w:type="dxa"/>
            <w:vAlign w:val="center"/>
          </w:tcPr>
          <w:p w14:paraId="0CC3DB4E">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分数值</w:t>
            </w:r>
          </w:p>
        </w:tc>
        <w:tc>
          <w:tcPr>
            <w:tcW w:w="3352" w:type="dxa"/>
            <w:vAlign w:val="center"/>
          </w:tcPr>
          <w:p w14:paraId="50C0E7DF">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事故造成的后果</w:t>
            </w:r>
          </w:p>
        </w:tc>
        <w:tc>
          <w:tcPr>
            <w:tcW w:w="968" w:type="dxa"/>
            <w:vAlign w:val="center"/>
          </w:tcPr>
          <w:p w14:paraId="138C3A1E">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分数值</w:t>
            </w:r>
          </w:p>
        </w:tc>
        <w:tc>
          <w:tcPr>
            <w:tcW w:w="3392" w:type="dxa"/>
            <w:vAlign w:val="center"/>
          </w:tcPr>
          <w:p w14:paraId="059E5E27">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事故造成的后果</w:t>
            </w:r>
          </w:p>
        </w:tc>
      </w:tr>
      <w:tr w14:paraId="2B926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08" w:type="dxa"/>
            <w:vAlign w:val="center"/>
          </w:tcPr>
          <w:p w14:paraId="29D166A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100</w:t>
            </w:r>
          </w:p>
          <w:p w14:paraId="615B573A">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40</w:t>
            </w:r>
          </w:p>
          <w:p w14:paraId="082E280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15</w:t>
            </w:r>
          </w:p>
        </w:tc>
        <w:tc>
          <w:tcPr>
            <w:tcW w:w="3352" w:type="dxa"/>
            <w:vAlign w:val="center"/>
          </w:tcPr>
          <w:p w14:paraId="6DC1A9B1">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十人以上死亡</w:t>
            </w:r>
          </w:p>
          <w:p w14:paraId="3997EAC1">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数人死亡</w:t>
            </w:r>
          </w:p>
          <w:p w14:paraId="1415C6E8">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一人死亡</w:t>
            </w:r>
          </w:p>
        </w:tc>
        <w:tc>
          <w:tcPr>
            <w:tcW w:w="968" w:type="dxa"/>
            <w:vAlign w:val="center"/>
          </w:tcPr>
          <w:p w14:paraId="227C6F20">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7</w:t>
            </w:r>
          </w:p>
          <w:p w14:paraId="1ABFE4FC">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3</w:t>
            </w:r>
          </w:p>
          <w:p w14:paraId="4EC06087">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w:t>
            </w:r>
          </w:p>
        </w:tc>
        <w:tc>
          <w:tcPr>
            <w:tcW w:w="3392" w:type="dxa"/>
            <w:vAlign w:val="center"/>
          </w:tcPr>
          <w:p w14:paraId="4543F1BC">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严重伤残</w:t>
            </w:r>
          </w:p>
          <w:p w14:paraId="5A9D9934">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有伤残</w:t>
            </w:r>
          </w:p>
          <w:p w14:paraId="6B0B4CE9">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轻伤，需救护</w:t>
            </w:r>
          </w:p>
        </w:tc>
      </w:tr>
    </w:tbl>
    <w:p w14:paraId="2B32D3DC">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（2）危险性等级划分标准：</w:t>
      </w:r>
    </w:p>
    <w:p w14:paraId="57F667E7">
      <w:pPr>
        <w:ind w:firstLine="560"/>
        <w:rPr>
          <w:rFonts w:hint="eastAsia" w:ascii="Times New Roman" w:hAnsi="宋体" w:eastAsia="宋体" w:cs="Times New Roman"/>
          <w:szCs w:val="28"/>
          <w:highlight w:val="none"/>
          <w14:ligatures w14:val="none"/>
        </w:rPr>
      </w:pPr>
      <w:r>
        <w:rPr>
          <w:rFonts w:ascii="Times New Roman" w:hAnsi="宋体" w:eastAsia="宋体" w:cs="Times New Roman"/>
          <w:szCs w:val="28"/>
          <w:highlight w:val="none"/>
          <w14:ligatures w14:val="none"/>
        </w:rPr>
        <w:t>根据经验，规定危险性分值在20以下为低危险性，它比日常骑车上班的危险性略低；在70～160之间，有显著的危险性，需要采取措施整改；在160～320之间，有高度危险性，必须立即整改；大于320时，有异常危险性，应立即停止作业，彻底整改。按危险性分值划分危险性等级的标准如</w:t>
      </w:r>
      <w:r>
        <w:rPr>
          <w:rFonts w:hint="eastAsia" w:ascii="Times New Roman" w:hAnsi="宋体" w:eastAsia="宋体" w:cs="Times New Roman"/>
          <w:szCs w:val="28"/>
          <w:highlight w:val="none"/>
          <w14:ligatures w14:val="none"/>
        </w:rPr>
        <w:t>附</w:t>
      </w:r>
      <w:r>
        <w:rPr>
          <w:rFonts w:ascii="Times New Roman" w:hAnsi="宋体" w:eastAsia="宋体" w:cs="Times New Roman"/>
          <w:szCs w:val="28"/>
          <w:highlight w:val="none"/>
          <w14:ligatures w14:val="none"/>
        </w:rPr>
        <w:t>表</w:t>
      </w:r>
      <w:r>
        <w:rPr>
          <w:rFonts w:hint="eastAsia" w:ascii="Times New Roman" w:hAnsi="宋体" w:eastAsia="宋体" w:cs="Times New Roman"/>
          <w:szCs w:val="28"/>
          <w:highlight w:val="none"/>
          <w14:ligatures w14:val="none"/>
        </w:rPr>
        <w:t>2.3-4</w:t>
      </w:r>
      <w:r>
        <w:rPr>
          <w:rFonts w:ascii="Times New Roman" w:hAnsi="宋体" w:eastAsia="宋体" w:cs="Times New Roman"/>
          <w:szCs w:val="28"/>
          <w:highlight w:val="none"/>
          <w14:ligatures w14:val="none"/>
        </w:rPr>
        <w:t>：</w:t>
      </w:r>
    </w:p>
    <w:p w14:paraId="22FCDF9D">
      <w:pPr>
        <w:adjustRightInd/>
        <w:snapToGrid/>
        <w:spacing w:before="156" w:beforeLines="50" w:after="156" w:afterLines="50" w:line="240" w:lineRule="auto"/>
        <w:ind w:firstLine="0" w:firstLineChars="0"/>
        <w:jc w:val="center"/>
        <w:rPr>
          <w:rFonts w:ascii="Times New Roman" w:hAnsi="Times New Roman" w:eastAsia="黑体" w:cs="Times New Roman"/>
          <w:kern w:val="0"/>
          <w:sz w:val="24"/>
          <w:highlight w:val="none"/>
          <w14:ligatures w14:val="none"/>
        </w:rPr>
      </w:pPr>
      <w:r>
        <w:rPr>
          <w:rFonts w:hint="eastAsia" w:ascii="Times New Roman" w:hAnsi="Times New Roman" w:eastAsia="黑体" w:cs="Times New Roman"/>
          <w:kern w:val="0"/>
          <w:sz w:val="24"/>
          <w:highlight w:val="none"/>
          <w14:ligatures w14:val="none"/>
        </w:rPr>
        <w:t>附表2.3-4  危险性等级划分标准</w:t>
      </w:r>
    </w:p>
    <w:tbl>
      <w:tblPr>
        <w:tblStyle w:val="32"/>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798"/>
        <w:gridCol w:w="3143"/>
        <w:gridCol w:w="1902"/>
        <w:gridCol w:w="2563"/>
      </w:tblGrid>
      <w:tr w14:paraId="79156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blHeader/>
        </w:trPr>
        <w:tc>
          <w:tcPr>
            <w:tcW w:w="956" w:type="pct"/>
            <w:vAlign w:val="center"/>
          </w:tcPr>
          <w:p w14:paraId="5A1B4394">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危险性分值（D）</w:t>
            </w:r>
          </w:p>
        </w:tc>
        <w:tc>
          <w:tcPr>
            <w:tcW w:w="1671" w:type="pct"/>
            <w:vAlign w:val="center"/>
          </w:tcPr>
          <w:p w14:paraId="62FC71C9">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事故造成的后果</w:t>
            </w:r>
          </w:p>
        </w:tc>
        <w:tc>
          <w:tcPr>
            <w:tcW w:w="1011" w:type="pct"/>
            <w:vAlign w:val="center"/>
          </w:tcPr>
          <w:p w14:paraId="09A610E0">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危险性分值（D）</w:t>
            </w:r>
          </w:p>
        </w:tc>
        <w:tc>
          <w:tcPr>
            <w:tcW w:w="1362" w:type="pct"/>
            <w:vAlign w:val="center"/>
          </w:tcPr>
          <w:p w14:paraId="42E22795">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事故造成的后果</w:t>
            </w:r>
          </w:p>
        </w:tc>
      </w:tr>
      <w:tr w14:paraId="2198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956" w:type="pct"/>
            <w:vAlign w:val="center"/>
          </w:tcPr>
          <w:p w14:paraId="442546B4">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≥320</w:t>
            </w:r>
          </w:p>
          <w:p w14:paraId="6516469F">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≥160～320</w:t>
            </w:r>
          </w:p>
          <w:p w14:paraId="22A03CCC">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≥70～160</w:t>
            </w:r>
          </w:p>
        </w:tc>
        <w:tc>
          <w:tcPr>
            <w:tcW w:w="1671" w:type="pct"/>
            <w:vAlign w:val="center"/>
          </w:tcPr>
          <w:p w14:paraId="78491B5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极度危险，不能继续作业</w:t>
            </w:r>
          </w:p>
          <w:p w14:paraId="27AA285A">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高度危险，需要立即整改</w:t>
            </w:r>
          </w:p>
          <w:p w14:paraId="45DADF6F">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显著危险，需要整改</w:t>
            </w:r>
          </w:p>
        </w:tc>
        <w:tc>
          <w:tcPr>
            <w:tcW w:w="1011" w:type="pct"/>
            <w:vAlign w:val="center"/>
          </w:tcPr>
          <w:p w14:paraId="78BA7DE3">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≥20～70</w:t>
            </w:r>
          </w:p>
          <w:p w14:paraId="257C6221">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＜20</w:t>
            </w:r>
          </w:p>
        </w:tc>
        <w:tc>
          <w:tcPr>
            <w:tcW w:w="1362" w:type="pct"/>
            <w:vAlign w:val="center"/>
          </w:tcPr>
          <w:p w14:paraId="2FCD5EC9">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比较危险，需要注意</w:t>
            </w:r>
          </w:p>
          <w:p w14:paraId="74BA13D7">
            <w:pPr>
              <w:autoSpaceDE w:val="0"/>
              <w:autoSpaceDN w:val="0"/>
              <w:adjustRightInd/>
              <w:snapToGrid/>
              <w:spacing w:line="240" w:lineRule="auto"/>
              <w:ind w:firstLine="0" w:firstLineChars="0"/>
              <w:jc w:val="center"/>
              <w:rPr>
                <w:rFonts w:hint="eastAsia" w:ascii="Times New Roman" w:hAnsi="宋体" w:eastAsia="宋体" w:cs="Times New Roman"/>
                <w:sz w:val="21"/>
                <w:szCs w:val="21"/>
                <w:highlight w:val="none"/>
                <w:lang w:val="zh-CN"/>
                <w14:ligatures w14:val="none"/>
              </w:rPr>
            </w:pPr>
            <w:r>
              <w:rPr>
                <w:rFonts w:ascii="Times New Roman" w:hAnsi="宋体" w:eastAsia="宋体" w:cs="Times New Roman"/>
                <w:sz w:val="21"/>
                <w:szCs w:val="21"/>
                <w:highlight w:val="none"/>
                <w:lang w:val="zh-CN"/>
                <w14:ligatures w14:val="none"/>
              </w:rPr>
              <w:t>稍有危险，可以接受</w:t>
            </w:r>
          </w:p>
        </w:tc>
      </w:tr>
    </w:tbl>
    <w:p w14:paraId="28A09ADF">
      <w:pPr>
        <w:keepNext/>
        <w:keepLines/>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97" w:name="_Toc187310028"/>
      <w:r>
        <w:rPr>
          <w:rFonts w:ascii="Times New Roman" w:hAnsi="Times New Roman" w:eastAsia="楷体" w:cs="Times New Roman"/>
          <w:b/>
          <w:bCs/>
          <w:sz w:val="32"/>
          <w:szCs w:val="32"/>
          <w:highlight w:val="none"/>
        </w:rPr>
        <w:t>F2.4</w:t>
      </w:r>
      <w:bookmarkEnd w:id="93"/>
      <w:bookmarkEnd w:id="94"/>
      <w:bookmarkEnd w:id="95"/>
      <w:r>
        <w:rPr>
          <w:rFonts w:ascii="Times New Roman" w:hAnsi="Times New Roman" w:eastAsia="楷体" w:cs="Times New Roman"/>
          <w:b/>
          <w:bCs/>
          <w:sz w:val="32"/>
          <w:szCs w:val="32"/>
          <w:highlight w:val="none"/>
        </w:rPr>
        <w:t>TNT当量计算</w:t>
      </w:r>
      <w:bookmarkEnd w:id="96"/>
      <w:bookmarkEnd w:id="97"/>
    </w:p>
    <w:p w14:paraId="346215E2">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8"/>
          <w:highlight w:val="none"/>
          <w14:ligatures w14:val="none"/>
        </w:rPr>
        <w:t>储罐区物质泄漏后形成蒸汽云，蒸汽云爆炸的能量常用TNT当量描述，即将参与爆炸的可燃气体释放的能量折合为能释放相同能量的TNT炸药描述。</w:t>
      </w:r>
    </w:p>
    <w:p w14:paraId="31EE53C6">
      <w:pPr>
        <w:ind w:firstLine="560"/>
        <w:rPr>
          <w:rFonts w:ascii="Times New Roman" w:hAnsi="Times New Roman" w:eastAsia="宋体" w:cs="Times New Roman"/>
          <w:szCs w:val="28"/>
          <w:highlight w:val="none"/>
          <w14:ligatures w14:val="none"/>
        </w:rPr>
      </w:pPr>
      <w:r>
        <w:rPr>
          <w:rFonts w:hint="eastAsia" w:ascii="Times New Roman" w:hAnsi="Times New Roman" w:eastAsia="宋体" w:cs="Times New Roman"/>
          <w:szCs w:val="28"/>
          <w:highlight w:val="none"/>
          <w14:ligatures w14:val="none"/>
        </w:rPr>
        <w:t>（1）</w:t>
      </w:r>
      <w:r>
        <w:rPr>
          <w:rFonts w:ascii="Times New Roman" w:hAnsi="Times New Roman" w:eastAsia="宋体" w:cs="Times New Roman"/>
          <w:szCs w:val="28"/>
          <w:highlight w:val="none"/>
          <w14:ligatures w14:val="none"/>
        </w:rPr>
        <w:t>TNT当量计算公式如下：</w:t>
      </w:r>
    </w:p>
    <w:p w14:paraId="1F109026">
      <w:pPr>
        <w:ind w:firstLine="560"/>
        <w:rPr>
          <w:rFonts w:ascii="Times New Roman" w:hAnsi="Times New Roman" w:eastAsia="宋体" w:cs="Times New Roman"/>
          <w:szCs w:val="28"/>
          <w:highlight w:val="none"/>
          <w14:ligatures w14:val="none"/>
        </w:rPr>
      </w:pPr>
      <w:bookmarkStart w:id="98" w:name="_Toc20236"/>
      <w:r>
        <w:rPr>
          <w:rFonts w:ascii="Times New Roman" w:hAnsi="Times New Roman" w:eastAsia="宋体" w:cs="Times New Roman"/>
          <w:szCs w:val="28"/>
          <w:highlight w:val="none"/>
          <w14:ligatures w14:val="none"/>
        </w:rPr>
        <w:t>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=βAW</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Q</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/Q</w:t>
      </w:r>
      <w:r>
        <w:rPr>
          <w:rFonts w:ascii="Times New Roman" w:hAnsi="Times New Roman" w:eastAsia="宋体" w:cs="Times New Roman"/>
          <w:szCs w:val="28"/>
          <w:highlight w:val="none"/>
          <w:vertAlign w:val="subscript"/>
          <w14:ligatures w14:val="none"/>
        </w:rPr>
        <w:t>TNT</w:t>
      </w:r>
      <w:bookmarkEnd w:id="98"/>
    </w:p>
    <w:p w14:paraId="5976C4A4">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式中：W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——蒸气云的TNT当量，kg；</w:t>
      </w:r>
    </w:p>
    <w:p w14:paraId="3C62A251">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β——地面爆炸系数，取β=1.8；</w:t>
      </w:r>
    </w:p>
    <w:p w14:paraId="2EF9D5FE">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A——蒸气云的TNT当量系数，A=4%；</w:t>
      </w:r>
    </w:p>
    <w:p w14:paraId="41933F93">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W</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——蒸气云中燃料的总质量：kg；</w:t>
      </w:r>
    </w:p>
    <w:p w14:paraId="48FABD1F">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Q</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——燃料的燃烧热，kJ/kg；</w:t>
      </w:r>
    </w:p>
    <w:p w14:paraId="56363C7B">
      <w:pPr>
        <w:ind w:firstLine="560"/>
        <w:rPr>
          <w:rFonts w:ascii="Times New Roman" w:hAnsi="Times New Roman" w:eastAsia="宋体" w:cs="Times New Roman"/>
          <w:kern w:val="0"/>
          <w:szCs w:val="20"/>
          <w:highlight w:val="none"/>
          <w14:ligatures w14:val="none"/>
        </w:rPr>
      </w:pPr>
      <w:r>
        <w:rPr>
          <w:rFonts w:ascii="Times New Roman" w:hAnsi="Times New Roman" w:eastAsia="宋体" w:cs="Times New Roman"/>
          <w:kern w:val="0"/>
          <w:szCs w:val="28"/>
          <w:highlight w:val="none"/>
          <w14:ligatures w14:val="none"/>
        </w:rPr>
        <w:t xml:space="preserve">  </w:t>
      </w:r>
      <w:r>
        <w:rPr>
          <w:rFonts w:hint="eastAsia" w:ascii="Times New Roman" w:hAnsi="Times New Roman" w:eastAsia="宋体" w:cs="Times New Roman"/>
          <w:kern w:val="0"/>
          <w:szCs w:val="28"/>
          <w:highlight w:val="none"/>
          <w14:ligatures w14:val="none"/>
        </w:rPr>
        <w:t xml:space="preserve">    </w:t>
      </w:r>
      <w:r>
        <w:rPr>
          <w:rFonts w:ascii="Times New Roman" w:hAnsi="Times New Roman" w:eastAsia="宋体" w:cs="Times New Roman"/>
          <w:kern w:val="0"/>
          <w:szCs w:val="28"/>
          <w:highlight w:val="none"/>
          <w14:ligatures w14:val="none"/>
        </w:rPr>
        <w:t>Q</w:t>
      </w:r>
      <w:r>
        <w:rPr>
          <w:rFonts w:ascii="Times New Roman" w:hAnsi="Times New Roman" w:eastAsia="宋体" w:cs="Times New Roman"/>
          <w:kern w:val="0"/>
          <w:szCs w:val="28"/>
          <w:highlight w:val="none"/>
          <w:vertAlign w:val="subscript"/>
          <w14:ligatures w14:val="none"/>
        </w:rPr>
        <w:t>TNT</w:t>
      </w:r>
      <w:r>
        <w:rPr>
          <w:rFonts w:ascii="Times New Roman" w:hAnsi="Times New Roman" w:eastAsia="宋体" w:cs="Times New Roman"/>
          <w:kern w:val="0"/>
          <w:szCs w:val="28"/>
          <w:highlight w:val="none"/>
          <w14:ligatures w14:val="none"/>
        </w:rPr>
        <w:t>——TNT的爆热，QTNT=4520kJ/kg。</w:t>
      </w:r>
    </w:p>
    <w:p w14:paraId="79BB1BF0">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8"/>
          <w:highlight w:val="none"/>
          <w14:ligatures w14:val="none"/>
        </w:rPr>
        <w:t>（以汽油储罐蒸汽云爆炸的TNT当量计算为例，可假设参加蒸气云爆炸的量为10%）</w:t>
      </w:r>
    </w:p>
    <w:p w14:paraId="1B138B57">
      <w:pPr>
        <w:tabs>
          <w:tab w:val="left" w:pos="312"/>
        </w:tabs>
        <w:ind w:left="560" w:firstLine="0" w:firstLineChars="0"/>
        <w:rPr>
          <w:rFonts w:ascii="Times New Roman" w:hAnsi="Times New Roman" w:eastAsia="宋体" w:cs="Times New Roman"/>
          <w:szCs w:val="28"/>
          <w:highlight w:val="none"/>
          <w14:ligatures w14:val="none"/>
        </w:rPr>
      </w:pPr>
      <w:r>
        <w:rPr>
          <w:rFonts w:hint="eastAsia" w:ascii="Times New Roman" w:hAnsi="Times New Roman" w:eastAsia="宋体" w:cs="Times New Roman"/>
          <w:szCs w:val="28"/>
          <w:highlight w:val="none"/>
          <w14:ligatures w14:val="none"/>
        </w:rPr>
        <w:t>（2）</w:t>
      </w:r>
      <w:r>
        <w:rPr>
          <w:rFonts w:ascii="Times New Roman" w:hAnsi="Times New Roman" w:eastAsia="宋体" w:cs="Times New Roman"/>
          <w:szCs w:val="28"/>
          <w:highlight w:val="none"/>
          <w14:ligatures w14:val="none"/>
        </w:rPr>
        <w:t>死亡半径计算根据超压-冲量准则和概率模型得出的死亡半径公式如下：R</w:t>
      </w:r>
      <w:r>
        <w:rPr>
          <w:rFonts w:ascii="Times New Roman" w:hAnsi="Times New Roman" w:eastAsia="宋体" w:cs="Times New Roman"/>
          <w:szCs w:val="28"/>
          <w:highlight w:val="none"/>
          <w:vertAlign w:val="subscript"/>
          <w14:ligatures w14:val="none"/>
        </w:rPr>
        <w:t>0.5</w:t>
      </w:r>
      <w:r>
        <w:rPr>
          <w:rFonts w:ascii="Times New Roman" w:hAnsi="Times New Roman" w:eastAsia="宋体" w:cs="Times New Roman"/>
          <w:szCs w:val="28"/>
          <w:highlight w:val="none"/>
          <w14:ligatures w14:val="none"/>
        </w:rPr>
        <w:t>=13.6</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/1000</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vertAlign w:val="superscript"/>
          <w14:ligatures w14:val="none"/>
        </w:rPr>
        <w:t>0.37</w:t>
      </w:r>
    </w:p>
    <w:p w14:paraId="667BB49F">
      <w:pPr>
        <w:ind w:firstLine="560"/>
        <w:rPr>
          <w:rFonts w:ascii="Times New Roman" w:hAnsi="Times New Roman" w:eastAsia="宋体"/>
          <w:highlight w:val="none"/>
        </w:rPr>
      </w:pPr>
      <w:r>
        <w:rPr>
          <w:rFonts w:ascii="Times New Roman" w:hAnsi="Times New Roman" w:eastAsia="宋体"/>
          <w:highlight w:val="none"/>
        </w:rPr>
        <w:br w:type="page"/>
      </w:r>
    </w:p>
    <w:p w14:paraId="6D3D8058">
      <w:pPr>
        <w:spacing w:before="468" w:beforeLines="150" w:after="468" w:afterLines="150"/>
        <w:ind w:firstLine="0" w:firstLineChars="0"/>
        <w:jc w:val="center"/>
        <w:outlineLvl w:val="0"/>
        <w:rPr>
          <w:rFonts w:ascii="Times New Roman" w:hAnsi="Times New Roman" w:eastAsia="黑体" w:cs="Times New Roman"/>
          <w:b/>
          <w:bCs/>
          <w:sz w:val="32"/>
          <w:szCs w:val="32"/>
          <w:highlight w:val="none"/>
        </w:rPr>
      </w:pPr>
      <w:bookmarkStart w:id="99" w:name="_Toc187310029"/>
      <w:bookmarkStart w:id="100" w:name="_Toc12207"/>
      <w:bookmarkStart w:id="101" w:name="_Toc31303"/>
      <w:r>
        <w:rPr>
          <w:rFonts w:ascii="Times New Roman" w:hAnsi="Times New Roman" w:eastAsia="黑体" w:cs="Times New Roman"/>
          <w:b/>
          <w:bCs/>
          <w:sz w:val="32"/>
          <w:szCs w:val="32"/>
          <w:highlight w:val="none"/>
        </w:rPr>
        <w:t>附件3危险有害因素分析</w:t>
      </w:r>
      <w:bookmarkEnd w:id="99"/>
      <w:bookmarkEnd w:id="100"/>
      <w:bookmarkEnd w:id="101"/>
    </w:p>
    <w:p w14:paraId="6B71956B">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02" w:name="_Toc16310"/>
      <w:bookmarkStart w:id="103" w:name="_Toc187310030"/>
      <w:bookmarkStart w:id="104" w:name="_Toc12863"/>
      <w:r>
        <w:rPr>
          <w:rFonts w:ascii="Times New Roman" w:hAnsi="Times New Roman" w:eastAsia="楷体" w:cs="Times New Roman"/>
          <w:b/>
          <w:bCs/>
          <w:sz w:val="32"/>
          <w:szCs w:val="32"/>
          <w:highlight w:val="none"/>
        </w:rPr>
        <w:t>F3.1危险化学品的理化性能指标与危险特性</w:t>
      </w:r>
      <w:bookmarkEnd w:id="102"/>
      <w:bookmarkEnd w:id="103"/>
      <w:bookmarkEnd w:id="104"/>
    </w:p>
    <w:p w14:paraId="7F7E27F9">
      <w:pPr>
        <w:ind w:firstLine="560"/>
        <w:rPr>
          <w:rFonts w:ascii="Times New Roman" w:hAnsi="Times New Roman" w:eastAsia="宋体" w:cs="Times New Roman"/>
          <w:szCs w:val="22"/>
          <w:highlight w:val="none"/>
          <w14:ligatures w14:val="none"/>
        </w:rPr>
      </w:pPr>
      <w:r>
        <w:rPr>
          <w:rFonts w:ascii="Times New Roman" w:hAnsi="Times New Roman" w:eastAsia="宋体" w:cs="Times New Roman"/>
          <w:szCs w:val="22"/>
          <w:highlight w:val="none"/>
          <w14:ligatures w14:val="none"/>
        </w:rPr>
        <w:t>危险化学品车用乙醇汽油、柴油的理化性能指标与危险特性的信息来源：《危险化学品目录（2015版）》（2015年版，</w:t>
      </w:r>
      <w:r>
        <w:rPr>
          <w:rFonts w:hint="eastAsia" w:ascii="Times New Roman" w:hAnsi="Times New Roman" w:eastAsia="宋体" w:cs="Times New Roman"/>
          <w:szCs w:val="22"/>
          <w:highlight w:val="none"/>
          <w14:ligatures w14:val="none"/>
        </w:rPr>
        <w:t>国家安全生产监督管理局等十部委公告</w:t>
      </w:r>
      <w:r>
        <w:rPr>
          <w:rFonts w:ascii="Times New Roman" w:hAnsi="Times New Roman" w:eastAsia="宋体" w:cs="Times New Roman"/>
          <w:szCs w:val="22"/>
          <w:highlight w:val="none"/>
          <w14:ligatures w14:val="none"/>
        </w:rPr>
        <w:t>2015年第5号，2015年05月01日施行）、《首批重点监管的危险化学品安全措施和应急处置原则的通知》（安监总厅管三〔2011〕142号）、《危险化学品安全技术全书（第三版）》（化学工业出版社）。</w:t>
      </w:r>
    </w:p>
    <w:p w14:paraId="25D07046">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F3.1.1车用乙醇汽油</w:t>
      </w:r>
    </w:p>
    <w:p w14:paraId="486FE7CC">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附表3.1-1  车用乙醇汽油的理化性质表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8502"/>
      </w:tblGrid>
      <w:tr w14:paraId="16B6B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vAlign w:val="center"/>
          </w:tcPr>
          <w:p w14:paraId="081C6A0F">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特别警示</w:t>
            </w:r>
          </w:p>
        </w:tc>
        <w:tc>
          <w:tcPr>
            <w:tcW w:w="8502" w:type="dxa"/>
            <w:tcBorders>
              <w:top w:val="single" w:color="auto" w:sz="4" w:space="0"/>
              <w:left w:val="single" w:color="auto" w:sz="4" w:space="0"/>
              <w:bottom w:val="single" w:color="auto" w:sz="4" w:space="0"/>
              <w:right w:val="single" w:color="auto" w:sz="4" w:space="0"/>
            </w:tcBorders>
            <w:vAlign w:val="center"/>
          </w:tcPr>
          <w:p w14:paraId="451D78F9">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高度易燃液体；不得使用直流水扑救（用水灭火无效）。</w:t>
            </w:r>
          </w:p>
        </w:tc>
      </w:tr>
      <w:tr w14:paraId="0905C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79F5AA0C">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理</w:t>
            </w:r>
          </w:p>
          <w:p w14:paraId="6089972D">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化</w:t>
            </w:r>
          </w:p>
          <w:p w14:paraId="19798D44">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特</w:t>
            </w:r>
          </w:p>
          <w:p w14:paraId="672D1D1A">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性</w:t>
            </w:r>
          </w:p>
        </w:tc>
        <w:tc>
          <w:tcPr>
            <w:tcW w:w="8502" w:type="dxa"/>
            <w:vAlign w:val="center"/>
          </w:tcPr>
          <w:p w14:paraId="48C25F83">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无色到浅黄色的透明液体。</w:t>
            </w:r>
          </w:p>
          <w:p w14:paraId="63D70219">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依据《车用无铅汽油》(GB17930)生产的车用无铅汽油，按研究法辛烷值(RON)分为90号、93号和95号三个牌号，相对密度（水=1）0.70～0.80，相对蒸气密度（空气=1）3～4，闪点-46℃，爆炸极限1.4～7.6%（体积比），自燃温度415～530℃，最大爆炸压力0.813MPa；石脑油主要成分为C4～C6的烷烃，相对密度0.78～0.97，闪点-2℃，爆炸极限1.1～8.7%（体积比）。</w:t>
            </w:r>
          </w:p>
          <w:p w14:paraId="4A786D4C">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主要用途：汽油主要用作汽油机的燃料, 可用于橡胶、制鞋、印刷、制革、颜料等行业, 也可用作机械零件的去污剂；石脑油主要用作裂解、催化重整和制氨原料，也可作为化工原料或一般溶剂，在石油炼制方面是制作清洁汽油的主要原料。</w:t>
            </w:r>
          </w:p>
        </w:tc>
      </w:tr>
      <w:tr w14:paraId="46D97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3E6B7DAF">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危</w:t>
            </w:r>
          </w:p>
          <w:p w14:paraId="3CC18195">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害</w:t>
            </w:r>
          </w:p>
          <w:p w14:paraId="66951741">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信</w:t>
            </w:r>
          </w:p>
          <w:p w14:paraId="00AA088F">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息</w:t>
            </w:r>
          </w:p>
        </w:tc>
        <w:tc>
          <w:tcPr>
            <w:tcW w:w="8502" w:type="dxa"/>
            <w:vAlign w:val="center"/>
          </w:tcPr>
          <w:p w14:paraId="161717AA">
            <w:pPr>
              <w:widowControl/>
              <w:adjustRightInd/>
              <w:snapToGrid/>
              <w:spacing w:line="360" w:lineRule="exact"/>
              <w:ind w:firstLine="0" w:firstLineChars="0"/>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【燃烧和爆炸危险性】</w:t>
            </w:r>
          </w:p>
          <w:p w14:paraId="0EF393B4">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31760F2F">
            <w:pPr>
              <w:widowControl/>
              <w:adjustRightInd/>
              <w:snapToGrid/>
              <w:spacing w:line="360" w:lineRule="exact"/>
              <w:ind w:firstLine="0" w:firstLineChars="0"/>
              <w:jc w:val="left"/>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【健康危害】</w:t>
            </w:r>
          </w:p>
          <w:p w14:paraId="19315568">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汽油为麻醉性毒物，高浓度吸入出现中毒性脑病，极高浓度吸入引起意识突然丧失、反射性呼吸停止。误将汽油吸入呼吸道可引起吸入性肺炎。</w:t>
            </w:r>
          </w:p>
          <w:p w14:paraId="14A63204">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职业接触限值：PC-TWA(时间加权平均容许浓度)(mg/m</w:t>
            </w:r>
            <w:r>
              <w:rPr>
                <w:rFonts w:ascii="Times New Roman" w:hAnsi="Times New Roman" w:eastAsia="宋体" w:cs="宋体"/>
                <w:kern w:val="0"/>
                <w:sz w:val="21"/>
                <w:szCs w:val="21"/>
                <w:highlight w:val="none"/>
                <w:vertAlign w:val="superscript"/>
                <w14:ligatures w14:val="none"/>
              </w:rPr>
              <w:t>3</w:t>
            </w:r>
            <w:r>
              <w:rPr>
                <w:rFonts w:ascii="Times New Roman" w:hAnsi="Times New Roman" w:eastAsia="宋体" w:cs="宋体"/>
                <w:kern w:val="0"/>
                <w:sz w:val="21"/>
                <w:szCs w:val="21"/>
                <w:highlight w:val="none"/>
                <w14:ligatures w14:val="none"/>
              </w:rPr>
              <w:t>):300（汽油）。</w:t>
            </w:r>
          </w:p>
        </w:tc>
      </w:tr>
      <w:tr w14:paraId="6CE5B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20344461">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安</w:t>
            </w:r>
          </w:p>
          <w:p w14:paraId="10300BEB">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全</w:t>
            </w:r>
          </w:p>
          <w:p w14:paraId="1E45DF36">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措</w:t>
            </w:r>
          </w:p>
          <w:p w14:paraId="7990CDDD">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施</w:t>
            </w:r>
          </w:p>
        </w:tc>
        <w:tc>
          <w:tcPr>
            <w:tcW w:w="8502" w:type="dxa"/>
            <w:vAlign w:val="center"/>
          </w:tcPr>
          <w:p w14:paraId="4336A0C7">
            <w:pPr>
              <w:widowControl/>
              <w:adjustRightInd/>
              <w:snapToGrid/>
              <w:spacing w:line="360" w:lineRule="exact"/>
              <w:ind w:firstLine="0" w:firstLineChars="0"/>
              <w:jc w:val="left"/>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【一般要求】</w:t>
            </w:r>
          </w:p>
          <w:p w14:paraId="21C2D81F">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操作人员必须经过专门培训，严格遵守操作规程，熟练掌握操作技能，具备应急处置知识。</w:t>
            </w:r>
          </w:p>
          <w:p w14:paraId="4AE9F155">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BDC1C14">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储罐等容器和设备应设置液位计、温度计，并应装有带液位、温度远传记录和报警功能的安全装置。</w:t>
            </w:r>
          </w:p>
          <w:p w14:paraId="162DE8B6">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避免与氧化剂接触。</w:t>
            </w:r>
          </w:p>
          <w:p w14:paraId="7A453F7E">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生产、储存区域应设置安全警示标志。灌装时应控制流速，且有接地装置，防止静电积聚。搬运时要轻装轻卸，防止包装及容器损坏。配备相应品种和数量的消防器材及泄漏应急处理设备。</w:t>
            </w:r>
          </w:p>
          <w:p w14:paraId="4DA1B983">
            <w:pPr>
              <w:widowControl/>
              <w:adjustRightInd/>
              <w:snapToGrid/>
              <w:spacing w:line="360" w:lineRule="exact"/>
              <w:ind w:firstLine="0" w:firstLineChars="0"/>
              <w:jc w:val="left"/>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【特殊要求】</w:t>
            </w:r>
          </w:p>
          <w:p w14:paraId="5056B06E">
            <w:pPr>
              <w:widowControl/>
              <w:adjustRightInd/>
              <w:snapToGrid/>
              <w:spacing w:line="360" w:lineRule="exact"/>
              <w:ind w:firstLine="422"/>
              <w:jc w:val="left"/>
              <w:rPr>
                <w:rFonts w:ascii="Times New Roman" w:hAnsi="Times New Roman" w:eastAsia="宋体" w:cs="宋体"/>
                <w:kern w:val="0"/>
                <w:sz w:val="21"/>
                <w:szCs w:val="21"/>
                <w:highlight w:val="none"/>
                <w14:ligatures w14:val="none"/>
              </w:rPr>
            </w:pPr>
            <w:r>
              <w:rPr>
                <w:rFonts w:hint="eastAsia" w:ascii="Times New Roman" w:hAnsi="Times New Roman" w:eastAsia="宋体" w:cs="宋体"/>
                <w:b/>
                <w:kern w:val="0"/>
                <w:sz w:val="21"/>
                <w:szCs w:val="21"/>
                <w:highlight w:val="none"/>
                <w14:ligatures w14:val="none"/>
              </w:rPr>
              <w:t>【</w:t>
            </w:r>
            <w:r>
              <w:rPr>
                <w:rFonts w:ascii="Times New Roman" w:hAnsi="Times New Roman" w:eastAsia="宋体" w:cs="宋体"/>
                <w:kern w:val="0"/>
                <w:sz w:val="21"/>
                <w:szCs w:val="21"/>
                <w:highlight w:val="none"/>
                <w14:ligatures w14:val="none"/>
              </w:rPr>
              <w:t>操作安全</w:t>
            </w:r>
            <w:r>
              <w:rPr>
                <w:rFonts w:hint="eastAsia" w:ascii="Times New Roman" w:hAnsi="Times New Roman" w:eastAsia="宋体" w:cs="宋体"/>
                <w:b/>
                <w:kern w:val="0"/>
                <w:sz w:val="21"/>
                <w:szCs w:val="21"/>
                <w:highlight w:val="none"/>
                <w14:ligatures w14:val="none"/>
              </w:rPr>
              <w:t>】</w:t>
            </w:r>
          </w:p>
          <w:p w14:paraId="28BB3DA2">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（1）油罐及贮存桶装汽油附近要严禁烟火。禁止将汽油与其他易燃物放在一起。</w:t>
            </w:r>
          </w:p>
          <w:p w14:paraId="3238493E">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2）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345E9DC0">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（3）当进行灌装汽油时，邻近的汽车、拖拉机的排气管要戴上防火帽后才能发动，存汽油地点附近严禁检修车辆。</w:t>
            </w:r>
          </w:p>
          <w:p w14:paraId="2CD69A81">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（4）汽油油罐和贮存汽油区的上空，不应有电线通过。油罐、库房与电线的距离要为电杆长度的1.5倍以上。</w:t>
            </w:r>
          </w:p>
          <w:p w14:paraId="3FF212D7">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（5）注意仓库及操作场所的通风，使油蒸气容易逸散。</w:t>
            </w:r>
          </w:p>
          <w:p w14:paraId="44C9A2FD">
            <w:pPr>
              <w:adjustRightInd/>
              <w:snapToGrid/>
              <w:spacing w:line="360" w:lineRule="exact"/>
              <w:ind w:firstLine="420"/>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【储存安全】</w:t>
            </w:r>
          </w:p>
          <w:p w14:paraId="067E986F">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（1）储存于阴凉、通风的库房。远离火种、热源。库房温度不宜超过30℃。炎热季节应采取喷淋、通风等降温措施。</w:t>
            </w:r>
          </w:p>
          <w:p w14:paraId="41AA899B">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（2）应与氧化剂分开存放，切忌混储。用储罐、铁桶等容器盛装，不要用塑料桶来存放汽油。盛装时，切不可充满，要留出必要的安全空间。</w:t>
            </w:r>
          </w:p>
          <w:p w14:paraId="466DCA63">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（3）采用防爆型照明、通风设施。禁止使用易产生火花的机械设备和工具。储存区应备有泄漏应急处理设备和合适的收容材料。罐储时要有防火防爆技术措施。对于1000m</w:t>
            </w:r>
            <w:r>
              <w:rPr>
                <w:rFonts w:ascii="Times New Roman" w:hAnsi="Times New Roman" w:eastAsia="宋体" w:cs="宋体"/>
                <w:kern w:val="0"/>
                <w:sz w:val="21"/>
                <w:szCs w:val="21"/>
                <w:highlight w:val="none"/>
                <w:vertAlign w:val="superscript"/>
                <w14:ligatures w14:val="none"/>
              </w:rPr>
              <w:t>3</w:t>
            </w:r>
            <w:r>
              <w:rPr>
                <w:rFonts w:ascii="Times New Roman" w:hAnsi="Times New Roman" w:eastAsia="宋体" w:cs="宋体"/>
                <w:kern w:val="0"/>
                <w:sz w:val="21"/>
                <w:szCs w:val="21"/>
                <w:highlight w:val="none"/>
                <w14:ligatures w14:val="none"/>
              </w:rPr>
              <w:t>及以上的储罐顶部应有泡沫灭火设施等。</w:t>
            </w:r>
          </w:p>
          <w:p w14:paraId="7CFA11F3">
            <w:pPr>
              <w:adjustRightInd/>
              <w:snapToGrid/>
              <w:spacing w:line="360" w:lineRule="exact"/>
              <w:ind w:firstLine="420"/>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【运输安全】</w:t>
            </w:r>
          </w:p>
          <w:p w14:paraId="208F9D40">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（1）运输车辆应有危险货物运输标志、安装具有行驶记录功能的卫星定位装置。未经公安机关批准，运输车辆不得进入危险化学品运输车辆限制通行的区域。</w:t>
            </w:r>
          </w:p>
          <w:p w14:paraId="40907166">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（2）汽油装于专用的槽车(船)内运输，槽车(船)应定期清理；用其他包装容器运输时，容器须用盖密封。运送汽油的油罐汽车，必须有导静电拖线。对有每分钟0.5m</w:t>
            </w:r>
            <w:r>
              <w:rPr>
                <w:rFonts w:ascii="Times New Roman" w:hAnsi="Times New Roman" w:eastAsia="宋体" w:cs="宋体"/>
                <w:kern w:val="0"/>
                <w:sz w:val="21"/>
                <w:szCs w:val="21"/>
                <w:highlight w:val="none"/>
                <w:vertAlign w:val="superscript"/>
                <w14:ligatures w14:val="none"/>
              </w:rPr>
              <w:t>3</w:t>
            </w:r>
            <w:r>
              <w:rPr>
                <w:rFonts w:ascii="Times New Roman" w:hAnsi="Times New Roman" w:eastAsia="宋体" w:cs="宋体"/>
                <w:kern w:val="0"/>
                <w:sz w:val="21"/>
                <w:szCs w:val="21"/>
                <w:highlight w:val="none"/>
                <w14:ligatures w14:val="none"/>
              </w:rPr>
              <w:t>以上的快速装卸油设备的油罐汽车，在装卸油时，除了保证铁链接地外，更要将车上油罐的接地线插入地下并不得浅于100mm。运输时运输车辆应配备相应品种和数量的消防器材。装运该物品的车辆排气管必须配备阻火装置，禁止使用易产生火花的机械设备和工具装卸。汽车槽罐内可设孔隔板以减少震荡产生静电。</w:t>
            </w:r>
          </w:p>
          <w:p w14:paraId="005B2509">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（3）严禁与氧化剂等混装混运。夏季最好早晚运输，运输途中应防曝晒、防雨淋、防高温。中途停留时应远离火种、热源、高温区及人口密集地段。</w:t>
            </w:r>
          </w:p>
          <w:p w14:paraId="43A8689E">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4）输送汽油的管道不应靠近热源敷设；管道采用地上敷设时，应在人员活动较多和易遭车辆、外来物撞击的地段，采取保护措施并设置明显的警示标志；汽油管道架空敷设时，管道应敷设在非燃烧体的支架或栈桥上。在已敷设的汽油管道下面，不得修建与汽油管道无关的建筑物和堆放易燃物品；汽油管道外壁颜色、标志应执行《工业管道的基本识别色、识别符号和安全标识》（GB 7231）的规定。</w:t>
            </w:r>
          </w:p>
          <w:p w14:paraId="2EC23E88">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（5）输油管道地下铺设时，沿线应设置里程桩、转角桩、标志桩和测试桩，并设警示标志。运行应符合有关法律法规规定。</w:t>
            </w:r>
          </w:p>
        </w:tc>
      </w:tr>
      <w:tr w14:paraId="723A4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43397652">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应</w:t>
            </w:r>
          </w:p>
          <w:p w14:paraId="0E7CFDBC">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急</w:t>
            </w:r>
          </w:p>
          <w:p w14:paraId="6C1ED5E2">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处</w:t>
            </w:r>
          </w:p>
          <w:p w14:paraId="76002EF7">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置</w:t>
            </w:r>
          </w:p>
          <w:p w14:paraId="0016C148">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原</w:t>
            </w:r>
          </w:p>
          <w:p w14:paraId="04018AE7">
            <w:pPr>
              <w:adjustRightInd/>
              <w:snapToGrid/>
              <w:spacing w:line="360" w:lineRule="exact"/>
              <w:ind w:firstLine="0" w:firstLineChars="0"/>
              <w:jc w:val="center"/>
              <w:rPr>
                <w:rFonts w:ascii="Times New Roman" w:hAnsi="Times New Roman" w:eastAsia="宋体" w:cs="宋体"/>
                <w:bCs/>
                <w:kern w:val="0"/>
                <w:sz w:val="21"/>
                <w:szCs w:val="21"/>
                <w:highlight w:val="none"/>
                <w14:ligatures w14:val="none"/>
              </w:rPr>
            </w:pPr>
            <w:r>
              <w:rPr>
                <w:rFonts w:hint="eastAsia" w:ascii="Times New Roman" w:hAnsi="Times New Roman" w:eastAsia="宋体" w:cs="宋体"/>
                <w:bCs/>
                <w:kern w:val="0"/>
                <w:sz w:val="21"/>
                <w:szCs w:val="21"/>
                <w:highlight w:val="none"/>
                <w14:ligatures w14:val="none"/>
              </w:rPr>
              <w:t>则</w:t>
            </w:r>
          </w:p>
        </w:tc>
        <w:tc>
          <w:tcPr>
            <w:tcW w:w="8502" w:type="dxa"/>
            <w:vAlign w:val="center"/>
          </w:tcPr>
          <w:p w14:paraId="4A3A65AF">
            <w:pPr>
              <w:adjustRightInd/>
              <w:snapToGrid/>
              <w:spacing w:line="360" w:lineRule="exact"/>
              <w:ind w:firstLine="420"/>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【急救措施】</w:t>
            </w:r>
          </w:p>
          <w:p w14:paraId="3D5BC0B0">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吸入：迅速脱离现场至空气新鲜处。保持呼吸道通畅。如呼吸困难，给氧。如呼吸停止，立即进行人工呼吸。就医。</w:t>
            </w:r>
          </w:p>
          <w:p w14:paraId="03FBE699">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食入：给饮牛奶或用植物油洗胃和灌肠。就医。</w:t>
            </w:r>
          </w:p>
          <w:p w14:paraId="71CA3A12">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皮肤接触：立即脱去污染的衣着，用肥皂水和清水彻底冲洗皮肤。就医。</w:t>
            </w:r>
          </w:p>
          <w:p w14:paraId="7622B11B">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眼睛接触：立即提起眼睑，用大量流动清水或生理盐水彻底冲洗至少15分钟。就医。</w:t>
            </w:r>
          </w:p>
          <w:p w14:paraId="2BF160A8">
            <w:pPr>
              <w:adjustRightInd/>
              <w:snapToGrid/>
              <w:spacing w:line="360" w:lineRule="exact"/>
              <w:ind w:firstLine="420"/>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【灭火方法】</w:t>
            </w:r>
          </w:p>
          <w:p w14:paraId="6615CCA5">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喷水冷却容器，尽可能将容器从火场移至空旷处。</w:t>
            </w:r>
          </w:p>
          <w:p w14:paraId="6D58B7F2">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灭火剂：泡沫、干粉、二氧化碳。用水灭火无效。</w:t>
            </w:r>
          </w:p>
          <w:p w14:paraId="7F95AF3A">
            <w:pPr>
              <w:adjustRightInd/>
              <w:snapToGrid/>
              <w:spacing w:line="360" w:lineRule="exact"/>
              <w:ind w:firstLine="420"/>
              <w:rPr>
                <w:rFonts w:ascii="Times New Roman" w:hAnsi="Times New Roman" w:eastAsia="宋体" w:cs="宋体"/>
                <w:b/>
                <w:kern w:val="0"/>
                <w:sz w:val="21"/>
                <w:szCs w:val="21"/>
                <w:highlight w:val="none"/>
                <w14:ligatures w14:val="none"/>
              </w:rPr>
            </w:pPr>
            <w:r>
              <w:rPr>
                <w:rFonts w:hint="eastAsia" w:ascii="Times New Roman" w:hAnsi="Times New Roman" w:eastAsia="宋体" w:cs="宋体"/>
                <w:kern w:val="0"/>
                <w:sz w:val="21"/>
                <w:szCs w:val="21"/>
                <w:highlight w:val="none"/>
                <w14:ligatures w14:val="none"/>
              </w:rPr>
              <w:t>【泄漏应急处置】</w:t>
            </w:r>
          </w:p>
          <w:p w14:paraId="2C704F10">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6B95F08D">
            <w:pPr>
              <w:widowControl/>
              <w:adjustRightInd/>
              <w:snapToGrid/>
              <w:spacing w:line="360" w:lineRule="exact"/>
              <w:ind w:firstLine="420"/>
              <w:jc w:val="left"/>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作为一项紧急预防措施，泄漏隔离距离至少为50m。如果为大量泄漏，下风向的初始疏散距离应至少为300m。</w:t>
            </w:r>
          </w:p>
        </w:tc>
      </w:tr>
    </w:tbl>
    <w:p w14:paraId="0CFF6B01">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F3.1.2柴油</w:t>
      </w:r>
    </w:p>
    <w:p w14:paraId="3DB8BF5C">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附表3.1-2  柴油的理化特性表</w:t>
      </w:r>
    </w:p>
    <w:tbl>
      <w:tblPr>
        <w:tblStyle w:val="32"/>
        <w:tblW w:w="9319"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44"/>
        <w:gridCol w:w="8575"/>
      </w:tblGrid>
      <w:tr w14:paraId="67551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7391F686">
            <w:pPr>
              <w:spacing w:line="240" w:lineRule="auto"/>
              <w:ind w:firstLine="0" w:firstLineChars="0"/>
              <w:jc w:val="center"/>
              <w:rPr>
                <w:rFonts w:ascii="Times New Roman" w:hAnsi="Times New Roman" w:eastAsia="宋体" w:cs="Times New Roman"/>
                <w:bCs/>
                <w:sz w:val="21"/>
                <w:highlight w:val="none"/>
                <w14:ligatures w14:val="none"/>
              </w:rPr>
            </w:pPr>
            <w:r>
              <w:rPr>
                <w:rFonts w:ascii="Times New Roman" w:hAnsi="Times New Roman" w:eastAsia="宋体" w:cs="Times New Roman"/>
                <w:bCs/>
                <w:kern w:val="0"/>
                <w:sz w:val="21"/>
                <w:highlight w:val="none"/>
                <w14:ligatures w14:val="none"/>
              </w:rPr>
              <w:t>特别警示</w:t>
            </w:r>
          </w:p>
        </w:tc>
        <w:tc>
          <w:tcPr>
            <w:tcW w:w="8575" w:type="dxa"/>
          </w:tcPr>
          <w:p w14:paraId="41AB652C">
            <w:pPr>
              <w:widowControl/>
              <w:spacing w:line="240" w:lineRule="auto"/>
              <w:ind w:firstLine="0" w:firstLineChars="0"/>
              <w:rPr>
                <w:rFonts w:ascii="Times New Roman" w:hAnsi="Times New Roman" w:eastAsia="宋体" w:cs="Times New Roman"/>
                <w:sz w:val="21"/>
                <w:szCs w:val="22"/>
                <w:highlight w:val="none"/>
                <w14:ligatures w14:val="none"/>
              </w:rPr>
            </w:pPr>
            <w:r>
              <w:rPr>
                <w:rFonts w:ascii="Times New Roman" w:hAnsi="Times New Roman" w:eastAsia="宋体" w:cs="Times New Roman"/>
                <w:kern w:val="0"/>
                <w:sz w:val="21"/>
                <w:szCs w:val="22"/>
                <w:highlight w:val="none"/>
                <w14:ligatures w14:val="none"/>
              </w:rPr>
              <w:t>该物质对环境有危害，建议不要让其进入环境。对水体和大气可造成污染，破坏水生生物呼吸系统。对海藻应给予特别注意。</w:t>
            </w:r>
          </w:p>
        </w:tc>
      </w:tr>
      <w:tr w14:paraId="576EC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458AE854">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理</w:t>
            </w:r>
          </w:p>
          <w:p w14:paraId="7CFFB4E8">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化</w:t>
            </w:r>
          </w:p>
          <w:p w14:paraId="78CC12AD">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特</w:t>
            </w:r>
          </w:p>
          <w:p w14:paraId="47F5745A">
            <w:pPr>
              <w:spacing w:line="240" w:lineRule="auto"/>
              <w:ind w:firstLine="0" w:firstLineChars="0"/>
              <w:jc w:val="center"/>
              <w:rPr>
                <w:rFonts w:ascii="Times New Roman" w:hAnsi="Times New Roman" w:eastAsia="宋体" w:cs="Times New Roman"/>
                <w:bCs/>
                <w:sz w:val="21"/>
                <w:highlight w:val="none"/>
                <w14:ligatures w14:val="none"/>
              </w:rPr>
            </w:pPr>
            <w:r>
              <w:rPr>
                <w:rFonts w:ascii="Times New Roman" w:hAnsi="Times New Roman" w:eastAsia="宋体" w:cs="Times New Roman"/>
                <w:bCs/>
                <w:kern w:val="0"/>
                <w:sz w:val="21"/>
                <w:highlight w:val="none"/>
                <w14:ligatures w14:val="none"/>
              </w:rPr>
              <w:t>性</w:t>
            </w:r>
          </w:p>
        </w:tc>
        <w:tc>
          <w:tcPr>
            <w:tcW w:w="8575" w:type="dxa"/>
          </w:tcPr>
          <w:p w14:paraId="2E7D8420">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稍有粘性的棕色液体。</w:t>
            </w:r>
          </w:p>
          <w:p w14:paraId="20429AE4">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相对密度（水=1）0.79～0.85，闪点（闭口）（℃）：其中5号、0号、-10号柴油的闪点不低于60℃；-20号柴油闪点不低于50℃；-35号、-50号柴油的闪点不低于45℃，沸点282-338℃，引燃温度257℃。</w:t>
            </w:r>
          </w:p>
          <w:p w14:paraId="363CD972">
            <w:pPr>
              <w:widowControl/>
              <w:spacing w:line="240" w:lineRule="auto"/>
              <w:ind w:firstLine="0" w:firstLineChars="0"/>
              <w:rPr>
                <w:rFonts w:ascii="Times New Roman" w:hAnsi="Times New Roman" w:eastAsia="宋体" w:cs="Times New Roman"/>
                <w:sz w:val="21"/>
                <w:szCs w:val="22"/>
                <w:highlight w:val="none"/>
                <w14:ligatures w14:val="none"/>
              </w:rPr>
            </w:pPr>
            <w:r>
              <w:rPr>
                <w:rFonts w:ascii="Times New Roman" w:hAnsi="Times New Roman" w:eastAsia="宋体" w:cs="Times New Roman"/>
                <w:kern w:val="0"/>
                <w:sz w:val="21"/>
                <w:szCs w:val="22"/>
                <w:highlight w:val="none"/>
                <w14:ligatures w14:val="none"/>
              </w:rPr>
              <w:t>主要用途：柴油主要用作柴油机的燃料。</w:t>
            </w:r>
          </w:p>
        </w:tc>
      </w:tr>
      <w:tr w14:paraId="741A0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4F1E26C7">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危</w:t>
            </w:r>
          </w:p>
          <w:p w14:paraId="52C275DC">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害</w:t>
            </w:r>
          </w:p>
          <w:p w14:paraId="09306366">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信</w:t>
            </w:r>
          </w:p>
          <w:p w14:paraId="2061F7CE">
            <w:pPr>
              <w:spacing w:line="240" w:lineRule="auto"/>
              <w:ind w:firstLine="0" w:firstLineChars="0"/>
              <w:jc w:val="center"/>
              <w:rPr>
                <w:rFonts w:ascii="Times New Roman" w:hAnsi="Times New Roman" w:eastAsia="宋体" w:cs="Times New Roman"/>
                <w:bCs/>
                <w:sz w:val="21"/>
                <w:highlight w:val="none"/>
                <w14:ligatures w14:val="none"/>
              </w:rPr>
            </w:pPr>
            <w:r>
              <w:rPr>
                <w:rFonts w:ascii="Times New Roman" w:hAnsi="Times New Roman" w:eastAsia="宋体" w:cs="Times New Roman"/>
                <w:bCs/>
                <w:kern w:val="0"/>
                <w:sz w:val="21"/>
                <w:highlight w:val="none"/>
                <w14:ligatures w14:val="none"/>
              </w:rPr>
              <w:t>息</w:t>
            </w:r>
          </w:p>
        </w:tc>
        <w:tc>
          <w:tcPr>
            <w:tcW w:w="8575" w:type="dxa"/>
          </w:tcPr>
          <w:p w14:paraId="696C52B4">
            <w:pPr>
              <w:widowControl/>
              <w:spacing w:line="240" w:lineRule="auto"/>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highlight w:val="none"/>
                <w14:ligatures w14:val="none"/>
              </w:rPr>
              <w:t>【燃烧和爆炸危险性】</w:t>
            </w:r>
          </w:p>
          <w:p w14:paraId="7BADBE6B">
            <w:pPr>
              <w:widowControl/>
              <w:spacing w:line="240" w:lineRule="auto"/>
              <w:ind w:firstLine="0" w:firstLineChars="0"/>
              <w:rPr>
                <w:rFonts w:ascii="Times New Roman" w:hAnsi="Times New Roman" w:eastAsia="宋体" w:cs="Times New Roman"/>
                <w:kern w:val="0"/>
                <w:sz w:val="21"/>
                <w:szCs w:val="22"/>
                <w:highlight w:val="none"/>
                <w14:ligatures w14:val="none"/>
              </w:rPr>
            </w:pPr>
            <w:r>
              <w:rPr>
                <w:rFonts w:ascii="Times New Roman" w:hAnsi="Times New Roman" w:eastAsia="宋体" w:cs="Times New Roman"/>
                <w:kern w:val="0"/>
                <w:sz w:val="21"/>
                <w:szCs w:val="22"/>
                <w:highlight w:val="none"/>
                <w14:ligatures w14:val="none"/>
              </w:rPr>
              <w:t>本品易燃，具刺激性。遇明火、高热或与氧化剂接触，有引起燃烧爆炸的危险。若遇高热，容器内压增大，有开裂和爆炸的危险。</w:t>
            </w:r>
          </w:p>
          <w:p w14:paraId="536F18D0">
            <w:pPr>
              <w:widowControl/>
              <w:spacing w:line="240" w:lineRule="auto"/>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highlight w:val="none"/>
                <w14:ligatures w14:val="none"/>
              </w:rPr>
              <w:t>【健康危害】</w:t>
            </w:r>
          </w:p>
          <w:p w14:paraId="6817CCD6">
            <w:pPr>
              <w:widowControl/>
              <w:spacing w:line="240" w:lineRule="auto"/>
              <w:ind w:firstLine="0" w:firstLineChars="0"/>
              <w:rPr>
                <w:rFonts w:ascii="Times New Roman" w:hAnsi="Times New Roman" w:eastAsia="宋体" w:cs="Times New Roman"/>
                <w:sz w:val="21"/>
                <w:szCs w:val="20"/>
                <w:highlight w:val="none"/>
                <w14:ligatures w14:val="none"/>
              </w:rPr>
            </w:pPr>
            <w:r>
              <w:rPr>
                <w:rFonts w:ascii="Times New Roman" w:hAnsi="Times New Roman" w:eastAsia="宋体" w:cs="Times New Roman"/>
                <w:kern w:val="0"/>
                <w:sz w:val="21"/>
                <w:szCs w:val="22"/>
                <w:highlight w:val="none"/>
                <w14:ligatures w14:val="none"/>
              </w:rPr>
              <w:t>皮肤接触可为主要吸收途径，可致急性肾脏损害。柴油可引起接触性皮炎、油性痤疮。吸入其雾滴或液体呛入可引起吸入性肺炎。能经胎盘进入胎儿血中。柴油废气可引起眼、鼻刺激症状，头晕及头痛。</w:t>
            </w:r>
          </w:p>
        </w:tc>
      </w:tr>
      <w:tr w14:paraId="24839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26CF8339">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安</w:t>
            </w:r>
          </w:p>
          <w:p w14:paraId="01E9F076">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全</w:t>
            </w:r>
          </w:p>
          <w:p w14:paraId="06BA8EAD">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措</w:t>
            </w:r>
          </w:p>
          <w:p w14:paraId="3E0031FB">
            <w:pPr>
              <w:spacing w:line="240" w:lineRule="auto"/>
              <w:ind w:firstLine="0" w:firstLineChars="0"/>
              <w:jc w:val="center"/>
              <w:rPr>
                <w:rFonts w:ascii="Times New Roman" w:hAnsi="Times New Roman" w:eastAsia="宋体" w:cs="Times New Roman"/>
                <w:bCs/>
                <w:sz w:val="21"/>
                <w:highlight w:val="none"/>
                <w14:ligatures w14:val="none"/>
              </w:rPr>
            </w:pPr>
            <w:r>
              <w:rPr>
                <w:rFonts w:ascii="Times New Roman" w:hAnsi="Times New Roman" w:eastAsia="宋体" w:cs="Times New Roman"/>
                <w:bCs/>
                <w:kern w:val="0"/>
                <w:sz w:val="21"/>
                <w:highlight w:val="none"/>
                <w14:ligatures w14:val="none"/>
              </w:rPr>
              <w:t>施</w:t>
            </w:r>
          </w:p>
        </w:tc>
        <w:tc>
          <w:tcPr>
            <w:tcW w:w="8575" w:type="dxa"/>
          </w:tcPr>
          <w:p w14:paraId="288A3E52">
            <w:pPr>
              <w:widowControl/>
              <w:spacing w:line="240" w:lineRule="auto"/>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highlight w:val="none"/>
                <w14:ligatures w14:val="none"/>
              </w:rPr>
              <w:t>【一般要求】</w:t>
            </w:r>
          </w:p>
          <w:p w14:paraId="5A8599AB">
            <w:pPr>
              <w:widowControl/>
              <w:spacing w:line="240" w:lineRule="auto"/>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szCs w:val="22"/>
                <w:highlight w:val="none"/>
                <w14:ligatures w14:val="none"/>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526512B5">
            <w:pPr>
              <w:spacing w:line="240" w:lineRule="auto"/>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highlight w:val="none"/>
                <w14:ligatures w14:val="none"/>
              </w:rPr>
              <w:t>【储存安全】</w:t>
            </w:r>
          </w:p>
          <w:p w14:paraId="0A8B7E94">
            <w:pPr>
              <w:widowControl/>
              <w:spacing w:line="240" w:lineRule="auto"/>
              <w:ind w:firstLine="0" w:firstLineChars="0"/>
              <w:rPr>
                <w:rFonts w:ascii="Times New Roman" w:hAnsi="Times New Roman" w:eastAsia="宋体" w:cs="Times New Roman"/>
                <w:sz w:val="21"/>
                <w:szCs w:val="22"/>
                <w:highlight w:val="none"/>
                <w14:ligatures w14:val="none"/>
              </w:rPr>
            </w:pPr>
            <w:r>
              <w:rPr>
                <w:rFonts w:ascii="Times New Roman" w:hAnsi="Times New Roman" w:eastAsia="宋体" w:cs="Times New Roman"/>
                <w:kern w:val="0"/>
                <w:sz w:val="21"/>
                <w:szCs w:val="22"/>
                <w:highlight w:val="none"/>
                <w14:ligatures w14:val="none"/>
              </w:rPr>
              <w:t>储存于阴凉、通风的库房。远离火种、热源。应与氧化剂、卤素分开存放，切忌混储。采用防爆型照明、通风设施。禁止使用易产生火花的机械设备和工具。储区应备有泄漏应急处理设备和合适的收容材料。</w:t>
            </w:r>
          </w:p>
        </w:tc>
      </w:tr>
      <w:tr w14:paraId="1D1D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6780608B">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应</w:t>
            </w:r>
          </w:p>
          <w:p w14:paraId="43048FFC">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急</w:t>
            </w:r>
          </w:p>
          <w:p w14:paraId="21148812">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处</w:t>
            </w:r>
          </w:p>
          <w:p w14:paraId="2BB4E5FE">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置</w:t>
            </w:r>
          </w:p>
          <w:p w14:paraId="55E817BD">
            <w:pPr>
              <w:spacing w:line="240" w:lineRule="auto"/>
              <w:ind w:firstLine="0" w:firstLineChars="0"/>
              <w:jc w:val="center"/>
              <w:rPr>
                <w:rFonts w:ascii="Times New Roman" w:hAnsi="Times New Roman" w:eastAsia="宋体" w:cs="Times New Roman"/>
                <w:bCs/>
                <w:kern w:val="0"/>
                <w:sz w:val="21"/>
                <w:highlight w:val="none"/>
                <w14:ligatures w14:val="none"/>
              </w:rPr>
            </w:pPr>
            <w:r>
              <w:rPr>
                <w:rFonts w:ascii="Times New Roman" w:hAnsi="Times New Roman" w:eastAsia="宋体" w:cs="Times New Roman"/>
                <w:bCs/>
                <w:kern w:val="0"/>
                <w:sz w:val="21"/>
                <w:highlight w:val="none"/>
                <w14:ligatures w14:val="none"/>
              </w:rPr>
              <w:t>原</w:t>
            </w:r>
          </w:p>
          <w:p w14:paraId="43E39F07">
            <w:pPr>
              <w:spacing w:line="240" w:lineRule="auto"/>
              <w:ind w:firstLine="0" w:firstLineChars="0"/>
              <w:jc w:val="center"/>
              <w:rPr>
                <w:rFonts w:ascii="Times New Roman" w:hAnsi="Times New Roman" w:eastAsia="宋体" w:cs="Times New Roman"/>
                <w:bCs/>
                <w:sz w:val="21"/>
                <w:highlight w:val="none"/>
                <w14:ligatures w14:val="none"/>
              </w:rPr>
            </w:pPr>
            <w:r>
              <w:rPr>
                <w:rFonts w:ascii="Times New Roman" w:hAnsi="Times New Roman" w:eastAsia="宋体" w:cs="Times New Roman"/>
                <w:bCs/>
                <w:kern w:val="0"/>
                <w:sz w:val="21"/>
                <w:highlight w:val="none"/>
                <w14:ligatures w14:val="none"/>
              </w:rPr>
              <w:t>则</w:t>
            </w:r>
          </w:p>
        </w:tc>
        <w:tc>
          <w:tcPr>
            <w:tcW w:w="8575" w:type="dxa"/>
          </w:tcPr>
          <w:p w14:paraId="0E58A291">
            <w:pPr>
              <w:adjustRightInd/>
              <w:snapToGrid/>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highlight w:val="none"/>
                <w14:ligatures w14:val="none"/>
              </w:rPr>
              <w:t>【急救措施】</w:t>
            </w:r>
          </w:p>
          <w:p w14:paraId="7961520A">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吸入：迅速脱离现场至空气新鲜处。保持呼吸道通畅。如呼吸困难，给输氧。如呼吸停止，立即进行人工呼吸。就医。</w:t>
            </w:r>
          </w:p>
          <w:p w14:paraId="259540C5">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食入：尽快彻底洗胃。就医。</w:t>
            </w:r>
          </w:p>
          <w:p w14:paraId="69E29836">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皮肤接触：立即脱去污染的衣着，用肥皂水和清水彻底冲洗皮肤。就医。</w:t>
            </w:r>
          </w:p>
          <w:p w14:paraId="34F636DF">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眼睛接触：提起眼睑，用流动清水或生理盐水冲洗。就医。</w:t>
            </w:r>
          </w:p>
          <w:p w14:paraId="64A3C806">
            <w:pPr>
              <w:adjustRightInd/>
              <w:snapToGrid/>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highlight w:val="none"/>
                <w14:ligatures w14:val="none"/>
              </w:rPr>
              <w:t>【灭火方法】</w:t>
            </w:r>
          </w:p>
          <w:p w14:paraId="7A3D852A">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252A872F">
            <w:pPr>
              <w:widowControl/>
              <w:spacing w:line="240" w:lineRule="auto"/>
              <w:ind w:firstLine="0" w:firstLineChars="0"/>
              <w:rPr>
                <w:rFonts w:ascii="Times New Roman" w:hAnsi="Times New Roman" w:eastAsia="宋体" w:cs="Times New Roman"/>
                <w:kern w:val="0"/>
                <w:sz w:val="21"/>
                <w:highlight w:val="none"/>
                <w14:ligatures w14:val="none"/>
              </w:rPr>
            </w:pPr>
            <w:r>
              <w:rPr>
                <w:rFonts w:ascii="Times New Roman" w:hAnsi="Times New Roman" w:eastAsia="宋体" w:cs="Times New Roman"/>
                <w:kern w:val="0"/>
                <w:sz w:val="21"/>
                <w:szCs w:val="22"/>
                <w:highlight w:val="none"/>
                <w14:ligatures w14:val="none"/>
              </w:rPr>
              <w:t>灭火剂：雾状水、泡沫、干粉、二氧化碳、砂土。</w:t>
            </w:r>
          </w:p>
          <w:p w14:paraId="6B90D157">
            <w:pPr>
              <w:adjustRightInd/>
              <w:snapToGrid/>
              <w:ind w:firstLine="0" w:firstLineChars="0"/>
              <w:rPr>
                <w:rFonts w:ascii="Times New Roman" w:hAnsi="Times New Roman" w:eastAsia="宋体" w:cs="Times New Roman"/>
                <w:b/>
                <w:kern w:val="0"/>
                <w:sz w:val="21"/>
                <w:highlight w:val="none"/>
                <w14:ligatures w14:val="none"/>
              </w:rPr>
            </w:pPr>
            <w:r>
              <w:rPr>
                <w:rFonts w:ascii="Times New Roman" w:hAnsi="Times New Roman" w:eastAsia="宋体" w:cs="Times New Roman"/>
                <w:kern w:val="0"/>
                <w:sz w:val="21"/>
                <w:highlight w:val="none"/>
                <w14:ligatures w14:val="none"/>
              </w:rPr>
              <w:t>【泄漏应急处置】</w:t>
            </w:r>
          </w:p>
          <w:p w14:paraId="2DBBEA72">
            <w:pPr>
              <w:widowControl/>
              <w:spacing w:line="240" w:lineRule="auto"/>
              <w:ind w:firstLine="0" w:firstLineChars="0"/>
              <w:rPr>
                <w:rFonts w:ascii="Times New Roman" w:hAnsi="Times New Roman" w:eastAsia="宋体" w:cs="Times New Roman"/>
                <w:sz w:val="21"/>
                <w:szCs w:val="20"/>
                <w:highlight w:val="none"/>
                <w14:ligatures w14:val="none"/>
              </w:rPr>
            </w:pPr>
            <w:r>
              <w:rPr>
                <w:rFonts w:ascii="Times New Roman" w:hAnsi="Times New Roman" w:eastAsia="宋体" w:cs="Times New Roman"/>
                <w:kern w:val="0"/>
                <w:sz w:val="21"/>
                <w:szCs w:val="22"/>
                <w:highlight w:val="none"/>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它惰性材料吸收。大量泄漏：构筑围堤或挖坑收容。用泵转移至槽车或专用收集器内，回收并运至废物处理厂处置。</w:t>
            </w:r>
          </w:p>
        </w:tc>
      </w:tr>
    </w:tbl>
    <w:p w14:paraId="14190105">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05" w:name="_Toc187310031"/>
      <w:r>
        <w:rPr>
          <w:rFonts w:ascii="Times New Roman" w:hAnsi="Times New Roman" w:eastAsia="楷体" w:cs="Times New Roman"/>
          <w:b/>
          <w:bCs/>
          <w:sz w:val="32"/>
          <w:szCs w:val="32"/>
          <w:highlight w:val="none"/>
        </w:rPr>
        <w:t>F3.2火灾、爆炸、中毒和窒息事故分析</w:t>
      </w:r>
      <w:bookmarkEnd w:id="105"/>
    </w:p>
    <w:p w14:paraId="2CF82005">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w:t>
      </w:r>
      <w:r>
        <w:rPr>
          <w:rFonts w:ascii="Times New Roman" w:hAnsi="Times New Roman" w:eastAsia="黑体" w:cs="Times New Roman"/>
          <w:b/>
          <w:bCs/>
          <w:highlight w:val="none"/>
        </w:rPr>
        <w:t>.2.1火灾、爆炸</w:t>
      </w:r>
    </w:p>
    <w:p w14:paraId="45F11F6E">
      <w:pPr>
        <w:ind w:firstLine="560"/>
        <w:rPr>
          <w:rFonts w:ascii="Times New Roman" w:hAnsi="Times New Roman" w:eastAsia="宋体"/>
          <w:highlight w:val="none"/>
        </w:rPr>
      </w:pPr>
      <w:r>
        <w:rPr>
          <w:rFonts w:ascii="Times New Roman" w:hAnsi="Times New Roman" w:eastAsia="宋体"/>
          <w:highlight w:val="none"/>
        </w:rPr>
        <w:t>（1）油品的装卸</w:t>
      </w:r>
    </w:p>
    <w:p w14:paraId="4E4FA0F7">
      <w:pPr>
        <w:ind w:firstLine="560"/>
        <w:rPr>
          <w:rFonts w:ascii="Times New Roman" w:hAnsi="Times New Roman" w:eastAsia="宋体"/>
          <w:highlight w:val="none"/>
        </w:rPr>
      </w:pPr>
      <w:r>
        <w:rPr>
          <w:rFonts w:ascii="Times New Roman" w:hAnsi="Times New Roman" w:eastAsia="宋体"/>
          <w:highlight w:val="none"/>
        </w:rPr>
        <w:t>如果装卸油品过程中因设备泄漏跑油、罐装过满冒油或卸油时逸散油气，遇明火、机械火星、静电火花、雷电、烟囱飞火等点火源，有导致火灾爆炸的危险。</w:t>
      </w:r>
    </w:p>
    <w:p w14:paraId="5FDF140C">
      <w:pPr>
        <w:ind w:firstLine="560"/>
        <w:rPr>
          <w:rFonts w:ascii="Times New Roman" w:hAnsi="Times New Roman" w:eastAsia="宋体"/>
          <w:highlight w:val="none"/>
        </w:rPr>
      </w:pPr>
      <w:r>
        <w:rPr>
          <w:rFonts w:ascii="Times New Roman" w:hAnsi="Times New Roman" w:eastAsia="宋体"/>
          <w:highlight w:val="none"/>
        </w:rPr>
        <w:t>在接卸油品或加油的作业中，汽车油罐车不熄火、静电接地不良、卸油时连通软管静电传导性能差；雷雨天往油罐卸油或往汽车油箱加油速度过快；加油操作失误；密闭卸油接口处漏油；卸油时对液位监测不力，造成油罐漫溢；对明火源管理不严等，都会导致火灾爆炸、设备损坏或人身伤亡事故。</w:t>
      </w:r>
    </w:p>
    <w:p w14:paraId="0C10F4EB">
      <w:pPr>
        <w:ind w:firstLine="560"/>
        <w:rPr>
          <w:rFonts w:ascii="Times New Roman" w:hAnsi="Times New Roman" w:eastAsia="宋体"/>
          <w:highlight w:val="none"/>
        </w:rPr>
      </w:pPr>
      <w:r>
        <w:rPr>
          <w:rFonts w:ascii="Times New Roman" w:hAnsi="Times New Roman" w:eastAsia="宋体"/>
          <w:highlight w:val="none"/>
        </w:rPr>
        <w:t>（2）埋地储罐</w:t>
      </w:r>
    </w:p>
    <w:p w14:paraId="019085B6">
      <w:pPr>
        <w:ind w:firstLine="560"/>
        <w:rPr>
          <w:rFonts w:ascii="Times New Roman" w:hAnsi="Times New Roman" w:eastAsia="宋体"/>
          <w:highlight w:val="none"/>
        </w:rPr>
      </w:pPr>
      <w:r>
        <w:rPr>
          <w:rFonts w:ascii="Times New Roman" w:hAnsi="Times New Roman" w:eastAsia="宋体"/>
          <w:highlight w:val="none"/>
        </w:rPr>
        <w:t>加油站的卧式油罐埋地设置是比较安全的。从国内外的有关调查资料统计来看，油罐埋地设置，火灾发生机率较低，即使油罐发生着火，也容易扑救。但也存在一定的火灾、爆炸事故可能，如地面水进入地下油罐，使油品溢出；油罐管线腐蚀穿孔或外力，如抗浮措施不当、机械损害等造成管线断裂而发生漏油、跑油；埋地油罐注油过量溢出；输油管未插入油面以下或接近罐的底部，导致卸油时油品喷溅，与空气摩擦发生火灾爆炸；卸油时油气外逸明火引爆；油罐、卸油接管等处接地不良，通气管遇雷击或静电闪火均会引起燃爆事故的发生；在油罐区附近违规实施动火作业及汽车修理作业等。</w:t>
      </w:r>
    </w:p>
    <w:p w14:paraId="20663C49">
      <w:pPr>
        <w:ind w:firstLine="560"/>
        <w:rPr>
          <w:rFonts w:ascii="Times New Roman" w:hAnsi="Times New Roman" w:eastAsia="宋体"/>
          <w:highlight w:val="none"/>
        </w:rPr>
      </w:pPr>
      <w:r>
        <w:rPr>
          <w:rFonts w:ascii="Times New Roman" w:hAnsi="Times New Roman" w:eastAsia="宋体"/>
          <w:highlight w:val="none"/>
        </w:rPr>
        <w:t>（3）加油场地</w:t>
      </w:r>
    </w:p>
    <w:p w14:paraId="0D237399">
      <w:pPr>
        <w:ind w:firstLine="560"/>
        <w:rPr>
          <w:rFonts w:ascii="Times New Roman" w:hAnsi="Times New Roman" w:eastAsia="宋体"/>
          <w:highlight w:val="none"/>
        </w:rPr>
      </w:pPr>
      <w:r>
        <w:rPr>
          <w:rFonts w:ascii="Times New Roman" w:hAnsi="Times New Roman" w:eastAsia="宋体"/>
          <w:highlight w:val="none"/>
        </w:rPr>
        <w:t>加油场地是安装有不同种类加油机专为各种机动车辆加油的作业区域。由于人员、车辆流动频繁，不安全因素较多，是加油站事故多发高发的危险场所。譬如：未熄火加油、油箱漏油、加油过满溢出、加油机漏油、电气故障，加油作业过程中因修车或机械碰撞产生火花等原因，均容易引发火灾爆炸事故。未在指定地点给摩托车加油、违章用油枪往塑料桶（瓶）注汽、柴油等，也可能会引发爆炸与火灾事故的发生。此外，加油场地也可能因外来加油车辆违章驾驶、路面沉积油污、路面积雪积冰，以及加油岛照明不好等原因造成车辆及人员伤害或燃爆事故等。</w:t>
      </w:r>
    </w:p>
    <w:p w14:paraId="2416609B">
      <w:pPr>
        <w:ind w:firstLine="560"/>
        <w:rPr>
          <w:rFonts w:ascii="Times New Roman" w:hAnsi="Times New Roman" w:eastAsia="宋体"/>
          <w:highlight w:val="none"/>
        </w:rPr>
      </w:pPr>
      <w:r>
        <w:rPr>
          <w:rFonts w:ascii="Times New Roman" w:hAnsi="Times New Roman" w:eastAsia="宋体"/>
          <w:highlight w:val="none"/>
        </w:rPr>
        <w:t>（4）站房</w:t>
      </w:r>
    </w:p>
    <w:p w14:paraId="0984D5FE">
      <w:pPr>
        <w:ind w:firstLine="560"/>
        <w:rPr>
          <w:rFonts w:ascii="Times New Roman" w:hAnsi="Times New Roman" w:eastAsia="宋体"/>
          <w:highlight w:val="none"/>
        </w:rPr>
      </w:pPr>
      <w:r>
        <w:rPr>
          <w:rFonts w:ascii="Times New Roman" w:hAnsi="Times New Roman" w:eastAsia="宋体"/>
          <w:highlight w:val="none"/>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48122B88">
      <w:pPr>
        <w:ind w:firstLine="560"/>
        <w:rPr>
          <w:rFonts w:ascii="Times New Roman" w:hAnsi="Times New Roman" w:eastAsia="宋体"/>
          <w:highlight w:val="none"/>
        </w:rPr>
      </w:pPr>
      <w:r>
        <w:rPr>
          <w:rFonts w:ascii="Times New Roman" w:hAnsi="Times New Roman" w:eastAsia="宋体"/>
          <w:highlight w:val="none"/>
        </w:rPr>
        <w:t>（5）其他</w:t>
      </w:r>
    </w:p>
    <w:p w14:paraId="7C1CCFB7">
      <w:pPr>
        <w:ind w:firstLine="560"/>
        <w:rPr>
          <w:rFonts w:ascii="Times New Roman" w:hAnsi="Times New Roman" w:eastAsia="宋体"/>
          <w:highlight w:val="none"/>
        </w:rPr>
      </w:pPr>
      <w:r>
        <w:rPr>
          <w:rFonts w:ascii="Times New Roman" w:hAnsi="Times New Roman" w:eastAsia="宋体"/>
          <w:highlight w:val="none"/>
        </w:rPr>
        <w:t>站内配电线路老化、乱接、超负荷过载、配电间进入小动物啃食电线等可能会引起电气火灾，导致加油站发生火灾、爆炸、设备损坏等事故。</w:t>
      </w:r>
    </w:p>
    <w:p w14:paraId="785996C3">
      <w:pPr>
        <w:ind w:firstLine="560"/>
        <w:rPr>
          <w:rFonts w:ascii="Times New Roman" w:hAnsi="Times New Roman" w:eastAsia="宋体"/>
          <w:highlight w:val="none"/>
        </w:rPr>
      </w:pPr>
      <w:r>
        <w:rPr>
          <w:rFonts w:ascii="Times New Roman" w:hAnsi="Times New Roman" w:eastAsia="宋体"/>
          <w:highlight w:val="none"/>
        </w:rPr>
        <w:t>（6）检维修</w:t>
      </w:r>
    </w:p>
    <w:p w14:paraId="1FF9BDA3">
      <w:pPr>
        <w:ind w:firstLine="560"/>
        <w:rPr>
          <w:rFonts w:ascii="Times New Roman" w:hAnsi="Times New Roman" w:eastAsia="宋体"/>
          <w:highlight w:val="none"/>
        </w:rPr>
      </w:pPr>
      <w:r>
        <w:rPr>
          <w:rFonts w:hint="eastAsia" w:ascii="宋体" w:hAnsi="宋体" w:eastAsia="宋体" w:cs="宋体"/>
          <w:highlight w:val="none"/>
        </w:rPr>
        <w:t>①</w:t>
      </w:r>
      <w:r>
        <w:rPr>
          <w:rFonts w:ascii="Times New Roman" w:hAnsi="Times New Roman" w:eastAsia="宋体"/>
          <w:highlight w:val="none"/>
        </w:rPr>
        <w:t>在加油作业区修理加油机是加油站火灾隐患之一，因为在加油机的拆卸过程中难免会洒出一些油品，修理过程中使用工具对零部件进行敲打，容易引起火花，遇到混合性爆炸气体，容易引起火灾爆炸事故。</w:t>
      </w:r>
    </w:p>
    <w:p w14:paraId="4AECE75D">
      <w:pPr>
        <w:ind w:firstLine="560"/>
        <w:rPr>
          <w:rFonts w:ascii="Times New Roman" w:hAnsi="Times New Roman" w:eastAsia="宋体"/>
          <w:highlight w:val="none"/>
        </w:rPr>
      </w:pPr>
      <w:r>
        <w:rPr>
          <w:rFonts w:hint="eastAsia" w:ascii="宋体" w:hAnsi="宋体" w:eastAsia="宋体" w:cs="宋体"/>
          <w:highlight w:val="none"/>
        </w:rPr>
        <w:t>②</w:t>
      </w:r>
      <w:r>
        <w:rPr>
          <w:rFonts w:ascii="Times New Roman" w:hAnsi="Times New Roman" w:eastAsia="宋体"/>
          <w:highlight w:val="none"/>
        </w:rPr>
        <w:t>在卸油作业的防爆区域内作业时，使用工具敲打容易产生火花或有其他明火，可引起爆炸事故。</w:t>
      </w:r>
    </w:p>
    <w:p w14:paraId="7D74A9C2">
      <w:pPr>
        <w:ind w:firstLine="560"/>
        <w:rPr>
          <w:rFonts w:ascii="Times New Roman" w:hAnsi="Times New Roman" w:eastAsia="宋体"/>
          <w:highlight w:val="none"/>
        </w:rPr>
      </w:pPr>
      <w:r>
        <w:rPr>
          <w:rFonts w:hint="eastAsia" w:ascii="宋体" w:hAnsi="宋体" w:eastAsia="宋体" w:cs="宋体"/>
          <w:highlight w:val="none"/>
        </w:rPr>
        <w:t>③</w:t>
      </w:r>
      <w:r>
        <w:rPr>
          <w:rFonts w:ascii="Times New Roman" w:hAnsi="Times New Roman" w:eastAsia="宋体"/>
          <w:highlight w:val="none"/>
        </w:rPr>
        <w:t>在储罐区检修管道、油罐时，如没按要求进行置换、清洗、检测油品蒸汽，违章动火极易发生火灾爆炸事故。</w:t>
      </w:r>
    </w:p>
    <w:p w14:paraId="7FA1628C">
      <w:pPr>
        <w:ind w:firstLine="560"/>
        <w:rPr>
          <w:rFonts w:ascii="Times New Roman" w:hAnsi="Times New Roman" w:eastAsia="宋体"/>
          <w:highlight w:val="none"/>
        </w:rPr>
      </w:pPr>
      <w:r>
        <w:rPr>
          <w:rFonts w:hint="eastAsia" w:ascii="宋体" w:hAnsi="宋体" w:eastAsia="宋体" w:cs="宋体"/>
          <w:highlight w:val="none"/>
        </w:rPr>
        <w:t>④</w:t>
      </w:r>
      <w:r>
        <w:rPr>
          <w:rFonts w:ascii="Times New Roman" w:hAnsi="Times New Roman" w:eastAsia="宋体"/>
          <w:highlight w:val="none"/>
        </w:rPr>
        <w:t>违反动火作业制度，作业前未按规定进行风险辨识等开动火或临电票据，或在电气设施及罐区等存在电火火灾危害及爆炸危险区域范围内进行动火作业及临时用电作业，容易产生火灾爆炸事故。</w:t>
      </w:r>
    </w:p>
    <w:p w14:paraId="6D4E846D">
      <w:pPr>
        <w:ind w:firstLine="560"/>
        <w:rPr>
          <w:rFonts w:ascii="Times New Roman" w:hAnsi="Times New Roman" w:eastAsia="宋体"/>
          <w:highlight w:val="none"/>
        </w:rPr>
      </w:pPr>
      <w:r>
        <w:rPr>
          <w:rFonts w:hint="eastAsia" w:ascii="宋体" w:hAnsi="宋体" w:eastAsia="宋体" w:cs="宋体"/>
          <w:highlight w:val="none"/>
        </w:rPr>
        <w:t>⑤</w:t>
      </w:r>
      <w:r>
        <w:rPr>
          <w:rFonts w:ascii="Times New Roman" w:hAnsi="Times New Roman" w:eastAsia="宋体"/>
          <w:highlight w:val="none"/>
        </w:rPr>
        <w:t>进行清罐作业时，穿戴化纤服装、使用化纤物品、气液或液固摩擦产生静电火花、不规范使用电器设备引起电火花、穿带铁钉的鞋、用铁制工具作业引起装机火花、通风不良至油气浓度在爆炸极限内都易引起火灾爆炸事故。</w:t>
      </w:r>
    </w:p>
    <w:p w14:paraId="783B3544">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w:t>
      </w:r>
      <w:r>
        <w:rPr>
          <w:rFonts w:ascii="Times New Roman" w:hAnsi="Times New Roman" w:eastAsia="黑体" w:cs="Times New Roman"/>
          <w:b/>
          <w:bCs/>
          <w:highlight w:val="none"/>
        </w:rPr>
        <w:t>.2.2中毒和窒息</w:t>
      </w:r>
    </w:p>
    <w:p w14:paraId="127772A8">
      <w:pPr>
        <w:ind w:firstLine="560"/>
        <w:rPr>
          <w:rFonts w:ascii="Times New Roman" w:hAnsi="Times New Roman" w:eastAsia="宋体"/>
          <w:highlight w:val="none"/>
        </w:rPr>
      </w:pPr>
      <w:r>
        <w:rPr>
          <w:rFonts w:ascii="Times New Roman" w:hAnsi="Times New Roman" w:eastAsia="宋体"/>
          <w:highlight w:val="none"/>
        </w:rPr>
        <w:t>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0B7661BD">
      <w:pPr>
        <w:ind w:firstLine="560"/>
        <w:rPr>
          <w:rFonts w:ascii="Times New Roman" w:hAnsi="Times New Roman" w:eastAsia="宋体"/>
          <w:highlight w:val="none"/>
        </w:rPr>
      </w:pPr>
      <w:r>
        <w:rPr>
          <w:rFonts w:ascii="Times New Roman" w:hAnsi="Times New Roman" w:eastAsia="宋体"/>
          <w:highlight w:val="none"/>
        </w:rPr>
        <w:t>在清理、维修储罐作业时，操作人员处于受限空间，罐内油气浓度较高或罐体内残留油品会使进罐作业人员存在缺氧发生油品中毒和窒息。</w:t>
      </w:r>
    </w:p>
    <w:p w14:paraId="3C777715">
      <w:pPr>
        <w:ind w:firstLine="560"/>
        <w:rPr>
          <w:rFonts w:ascii="Times New Roman" w:hAnsi="Times New Roman" w:eastAsia="宋体"/>
          <w:highlight w:val="none"/>
        </w:rPr>
      </w:pPr>
      <w:r>
        <w:rPr>
          <w:rFonts w:ascii="Times New Roman" w:hAnsi="Times New Roman" w:eastAsia="宋体"/>
          <w:highlight w:val="none"/>
        </w:rPr>
        <w:t>若不慎发生火灾事故，引发汽油、柴油燃烧会产生CO、CO</w:t>
      </w:r>
      <w:r>
        <w:rPr>
          <w:rFonts w:ascii="Times New Roman" w:hAnsi="Times New Roman" w:eastAsia="宋体"/>
          <w:highlight w:val="none"/>
          <w:vertAlign w:val="subscript"/>
        </w:rPr>
        <w:t>2</w:t>
      </w:r>
      <w:r>
        <w:rPr>
          <w:rFonts w:ascii="Times New Roman" w:hAnsi="Times New Roman" w:eastAsia="宋体"/>
          <w:highlight w:val="none"/>
        </w:rPr>
        <w:t>有毒气体，造成人员中毒窒息。</w:t>
      </w:r>
    </w:p>
    <w:p w14:paraId="79415EFE">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06" w:name="_Toc187310032"/>
      <w:r>
        <w:rPr>
          <w:rFonts w:ascii="Times New Roman" w:hAnsi="Times New Roman" w:eastAsia="楷体" w:cs="Times New Roman"/>
          <w:b/>
          <w:bCs/>
          <w:sz w:val="32"/>
          <w:szCs w:val="32"/>
          <w:highlight w:val="none"/>
        </w:rPr>
        <w:t>F3.3可能造成作业人员伤亡的其它危险、有害因素分析</w:t>
      </w:r>
      <w:bookmarkEnd w:id="106"/>
    </w:p>
    <w:p w14:paraId="3AF42FCE">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w:t>
      </w:r>
      <w:r>
        <w:rPr>
          <w:rFonts w:ascii="Times New Roman" w:hAnsi="Times New Roman" w:eastAsia="黑体" w:cs="Times New Roman"/>
          <w:b/>
          <w:bCs/>
          <w:highlight w:val="none"/>
        </w:rPr>
        <w:t>.</w:t>
      </w:r>
      <w:r>
        <w:rPr>
          <w:rFonts w:hint="eastAsia" w:ascii="Times New Roman" w:hAnsi="Times New Roman" w:eastAsia="黑体" w:cs="Times New Roman"/>
          <w:b/>
          <w:bCs/>
          <w:highlight w:val="none"/>
        </w:rPr>
        <w:t>3</w:t>
      </w:r>
      <w:r>
        <w:rPr>
          <w:rFonts w:ascii="Times New Roman" w:hAnsi="Times New Roman" w:eastAsia="黑体" w:cs="Times New Roman"/>
          <w:b/>
          <w:bCs/>
          <w:highlight w:val="none"/>
        </w:rPr>
        <w:t>.</w:t>
      </w:r>
      <w:r>
        <w:rPr>
          <w:rFonts w:hint="eastAsia" w:ascii="Times New Roman" w:hAnsi="Times New Roman" w:eastAsia="黑体" w:cs="Times New Roman"/>
          <w:b/>
          <w:bCs/>
          <w:highlight w:val="none"/>
        </w:rPr>
        <w:t>1</w:t>
      </w:r>
      <w:r>
        <w:rPr>
          <w:rFonts w:ascii="Times New Roman" w:hAnsi="Times New Roman" w:eastAsia="黑体" w:cs="Times New Roman"/>
          <w:b/>
          <w:bCs/>
          <w:highlight w:val="none"/>
        </w:rPr>
        <w:t>触电</w:t>
      </w:r>
    </w:p>
    <w:p w14:paraId="44DABECA">
      <w:pPr>
        <w:ind w:firstLine="560"/>
        <w:rPr>
          <w:rFonts w:ascii="Times New Roman" w:hAnsi="Times New Roman" w:eastAsia="宋体"/>
          <w:highlight w:val="none"/>
        </w:rPr>
      </w:pPr>
      <w:r>
        <w:rPr>
          <w:rFonts w:ascii="Times New Roman" w:hAnsi="Times New Roman" w:eastAsia="宋体"/>
          <w:highlight w:val="none"/>
        </w:rPr>
        <w:t>（1）触电伤害</w:t>
      </w:r>
    </w:p>
    <w:p w14:paraId="16D613C4">
      <w:pPr>
        <w:ind w:firstLine="560"/>
        <w:rPr>
          <w:rFonts w:ascii="Times New Roman" w:hAnsi="Times New Roman" w:eastAsia="宋体"/>
          <w:highlight w:val="none"/>
        </w:rPr>
      </w:pPr>
      <w:r>
        <w:rPr>
          <w:rFonts w:ascii="Times New Roman" w:hAnsi="Times New Roman" w:eastAsia="宋体"/>
          <w:highlight w:val="none"/>
        </w:rPr>
        <w:t>电流对人体的伤害有两种类型：电击和电伤。电击通常是指电流通过人体内部所造成的伤害，主要影响呼吸、心脏和神经系统，对人体内部组织造成破坏甚至死亡。电伤是指电流通过人体外部组织所造成的伤害，包括电弧烧伤、熔化的金属微粒渗入皮肤等，它通常分为灼伤、烙伤和皮肤金属化三种。</w:t>
      </w:r>
    </w:p>
    <w:p w14:paraId="2DC10B83">
      <w:pPr>
        <w:ind w:firstLine="560"/>
        <w:rPr>
          <w:rFonts w:ascii="Times New Roman" w:hAnsi="Times New Roman" w:eastAsia="宋体"/>
          <w:highlight w:val="none"/>
        </w:rPr>
      </w:pPr>
      <w:r>
        <w:rPr>
          <w:rFonts w:ascii="Times New Roman" w:hAnsi="Times New Roman" w:eastAsia="宋体"/>
          <w:highlight w:val="none"/>
        </w:rPr>
        <w:t>通常绝大部分的触电事故都属于电击，而电击伤害的严重程度与通过人体电流的大小，持续时间、部位、电流频率有关。通过人体的电流强度越大，允许持续时间越短；通过人体的电流频率越高，对人体的危害性越小。</w:t>
      </w:r>
    </w:p>
    <w:p w14:paraId="61E37B1A">
      <w:pPr>
        <w:ind w:firstLine="560"/>
        <w:rPr>
          <w:rFonts w:ascii="Times New Roman" w:hAnsi="Times New Roman" w:eastAsia="宋体"/>
          <w:highlight w:val="none"/>
        </w:rPr>
      </w:pPr>
      <w:r>
        <w:rPr>
          <w:rFonts w:ascii="Times New Roman" w:hAnsi="Times New Roman" w:eastAsia="宋体"/>
          <w:highlight w:val="none"/>
        </w:rPr>
        <w:t>该项目用电系统的电气设备、线路和正常不带电的金属部件等，在异常情况下均有可能对人体造成电击和电伤。</w:t>
      </w:r>
    </w:p>
    <w:p w14:paraId="6EF67E77">
      <w:pPr>
        <w:ind w:firstLine="560"/>
        <w:rPr>
          <w:rFonts w:ascii="Times New Roman" w:hAnsi="Times New Roman" w:eastAsia="宋体"/>
          <w:highlight w:val="none"/>
        </w:rPr>
      </w:pPr>
      <w:r>
        <w:rPr>
          <w:rFonts w:ascii="Times New Roman" w:hAnsi="Times New Roman" w:eastAsia="宋体"/>
          <w:highlight w:val="none"/>
        </w:rPr>
        <w:t>（2）静电伤害</w:t>
      </w:r>
    </w:p>
    <w:p w14:paraId="015E9C43">
      <w:pPr>
        <w:ind w:firstLine="560"/>
        <w:rPr>
          <w:rFonts w:ascii="Times New Roman" w:hAnsi="Times New Roman" w:eastAsia="宋体"/>
          <w:highlight w:val="none"/>
        </w:rPr>
      </w:pPr>
      <w:r>
        <w:rPr>
          <w:rFonts w:ascii="Times New Roman" w:hAnsi="Times New Roman" w:eastAsia="宋体"/>
          <w:highlight w:val="none"/>
        </w:rPr>
        <w:t>汽柴油在流动、充装等过程中不断地进行相对运动、摩擦、碰撞，会产生静电、积聚静电荷。当静电荷积聚到一定的程度时就可能发生火花放电，从而可能引起爆炸和着火。因此应严格对金属管道、设备、构架的金属构件，进行等电位连接并接地。</w:t>
      </w:r>
    </w:p>
    <w:p w14:paraId="259D61BA">
      <w:pPr>
        <w:ind w:firstLine="560"/>
        <w:rPr>
          <w:rFonts w:ascii="Times New Roman" w:hAnsi="Times New Roman" w:eastAsia="宋体"/>
          <w:highlight w:val="none"/>
        </w:rPr>
      </w:pPr>
      <w:r>
        <w:rPr>
          <w:rFonts w:ascii="Times New Roman" w:hAnsi="Times New Roman" w:eastAsia="宋体"/>
          <w:highlight w:val="none"/>
        </w:rPr>
        <w:t>（</w:t>
      </w:r>
      <w:r>
        <w:rPr>
          <w:rFonts w:hint="eastAsia" w:ascii="Times New Roman" w:hAnsi="Times New Roman" w:eastAsia="宋体"/>
          <w:highlight w:val="none"/>
        </w:rPr>
        <w:t>3</w:t>
      </w:r>
      <w:r>
        <w:rPr>
          <w:rFonts w:ascii="Times New Roman" w:hAnsi="Times New Roman" w:eastAsia="宋体"/>
          <w:highlight w:val="none"/>
        </w:rPr>
        <w:t>）雷电伤害</w:t>
      </w:r>
    </w:p>
    <w:p w14:paraId="21BAD691">
      <w:pPr>
        <w:ind w:firstLine="560"/>
        <w:rPr>
          <w:rFonts w:ascii="Times New Roman" w:hAnsi="Times New Roman" w:eastAsia="宋体"/>
          <w:highlight w:val="none"/>
        </w:rPr>
      </w:pPr>
      <w:r>
        <w:rPr>
          <w:rFonts w:ascii="Times New Roman" w:hAnsi="Times New Roman" w:eastAsia="宋体"/>
          <w:highlight w:val="none"/>
        </w:rPr>
        <w:t>加油站工艺设施、罩棚、站房等建（构）筑物在雷雨天气存在着被雷击的危险。由于雷电具有电流很大、电压很高、冲击性很强的特点，一旦被雷电击中，不但有可能损坏生产设备和设施，造成停电，而且还会导致火灾和爆炸，造成人员伤亡事故。</w:t>
      </w:r>
    </w:p>
    <w:p w14:paraId="17C64E49">
      <w:pPr>
        <w:ind w:firstLine="560"/>
        <w:rPr>
          <w:rFonts w:ascii="Times New Roman" w:hAnsi="Times New Roman" w:eastAsia="宋体"/>
          <w:highlight w:val="none"/>
        </w:rPr>
      </w:pPr>
      <w:r>
        <w:rPr>
          <w:rFonts w:ascii="Times New Roman" w:hAnsi="Times New Roman" w:eastAsia="宋体"/>
          <w:highlight w:val="none"/>
        </w:rPr>
        <w:t>雷电伤害的方式：直接雷击放电、二次放电、雷电流的热量可能引起爆炸和火灾；雷击的直接击中、跨步电压的作用及火灾爆炸的间接作用会造成人员伤亡；直接损坏建（构）筑物，导致电气设备击穿或烧毁；变压器、电力线路等遭受雷击，可导致大规模停电事故。</w:t>
      </w:r>
    </w:p>
    <w:p w14:paraId="2DB5FAEF">
      <w:pPr>
        <w:ind w:firstLine="560"/>
        <w:rPr>
          <w:rFonts w:ascii="Times New Roman" w:hAnsi="Times New Roman" w:eastAsia="宋体"/>
          <w:highlight w:val="none"/>
        </w:rPr>
      </w:pPr>
      <w:r>
        <w:rPr>
          <w:rFonts w:ascii="Times New Roman" w:hAnsi="Times New Roman" w:eastAsia="宋体"/>
          <w:highlight w:val="none"/>
        </w:rPr>
        <w:t>伤害的途径：由直击雷、雷蜗居感应、雷电波的电性质、热性质、机械性质的破坏作用引起。</w:t>
      </w:r>
    </w:p>
    <w:p w14:paraId="39686BB1">
      <w:pPr>
        <w:ind w:firstLine="560"/>
        <w:rPr>
          <w:rFonts w:ascii="Times New Roman" w:hAnsi="Times New Roman" w:eastAsia="宋体"/>
          <w:highlight w:val="none"/>
        </w:rPr>
      </w:pPr>
      <w:r>
        <w:rPr>
          <w:rFonts w:ascii="Times New Roman" w:hAnsi="Times New Roman" w:eastAsia="宋体"/>
          <w:highlight w:val="none"/>
        </w:rPr>
        <w:t>从雷电防护的角度分析，雷电危险因素的产生原因主要有：</w:t>
      </w:r>
    </w:p>
    <w:p w14:paraId="75F844B8">
      <w:pPr>
        <w:ind w:firstLine="560"/>
        <w:rPr>
          <w:rFonts w:ascii="Times New Roman" w:hAnsi="Times New Roman" w:eastAsia="宋体"/>
          <w:highlight w:val="none"/>
        </w:rPr>
      </w:pPr>
      <w:r>
        <w:rPr>
          <w:rFonts w:hint="eastAsia" w:ascii="宋体" w:hAnsi="宋体" w:eastAsia="宋体" w:cs="宋体"/>
          <w:highlight w:val="none"/>
        </w:rPr>
        <w:t>①</w:t>
      </w:r>
      <w:r>
        <w:rPr>
          <w:rFonts w:ascii="Times New Roman" w:hAnsi="Times New Roman" w:eastAsia="宋体"/>
          <w:highlight w:val="none"/>
        </w:rPr>
        <w:t>防雷装置设计不合理；</w:t>
      </w:r>
    </w:p>
    <w:p w14:paraId="50714014">
      <w:pPr>
        <w:ind w:firstLine="560"/>
        <w:rPr>
          <w:rFonts w:ascii="Times New Roman" w:hAnsi="Times New Roman" w:eastAsia="宋体"/>
          <w:highlight w:val="none"/>
        </w:rPr>
      </w:pPr>
      <w:r>
        <w:rPr>
          <w:rFonts w:hint="eastAsia" w:ascii="宋体" w:hAnsi="宋体" w:eastAsia="宋体" w:cs="宋体"/>
          <w:highlight w:val="none"/>
        </w:rPr>
        <w:t>②</w:t>
      </w:r>
      <w:r>
        <w:rPr>
          <w:rFonts w:ascii="Times New Roman" w:hAnsi="Times New Roman" w:eastAsia="宋体"/>
          <w:highlight w:val="none"/>
        </w:rPr>
        <w:t>防雷装置安装存在缺陷；</w:t>
      </w:r>
    </w:p>
    <w:p w14:paraId="23B41536">
      <w:pPr>
        <w:ind w:firstLine="560"/>
        <w:rPr>
          <w:rFonts w:ascii="Times New Roman" w:hAnsi="Times New Roman" w:eastAsia="宋体"/>
          <w:highlight w:val="none"/>
        </w:rPr>
      </w:pPr>
      <w:r>
        <w:rPr>
          <w:rFonts w:hint="eastAsia" w:ascii="宋体" w:hAnsi="宋体" w:eastAsia="宋体" w:cs="宋体"/>
          <w:highlight w:val="none"/>
        </w:rPr>
        <w:t>③</w:t>
      </w:r>
      <w:r>
        <w:rPr>
          <w:rFonts w:ascii="Times New Roman" w:hAnsi="Times New Roman" w:eastAsia="宋体"/>
          <w:highlight w:val="none"/>
        </w:rPr>
        <w:t>防雷装置失效，防雷接地体接地电阻不符合要求；</w:t>
      </w:r>
    </w:p>
    <w:p w14:paraId="4E9E7934">
      <w:pPr>
        <w:ind w:firstLine="560"/>
        <w:rPr>
          <w:rFonts w:ascii="Times New Roman" w:hAnsi="Times New Roman" w:eastAsia="宋体"/>
          <w:highlight w:val="none"/>
        </w:rPr>
      </w:pPr>
      <w:r>
        <w:rPr>
          <w:rFonts w:hint="eastAsia" w:ascii="宋体" w:hAnsi="宋体" w:eastAsia="宋体" w:cs="宋体"/>
          <w:highlight w:val="none"/>
        </w:rPr>
        <w:t>④</w:t>
      </w:r>
      <w:r>
        <w:rPr>
          <w:rFonts w:ascii="Times New Roman" w:hAnsi="Times New Roman" w:eastAsia="宋体"/>
          <w:highlight w:val="none"/>
        </w:rPr>
        <w:t>缺乏必要的人身防雷安全知识等。</w:t>
      </w:r>
    </w:p>
    <w:p w14:paraId="309CAFC3">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F3.3.2</w:t>
      </w:r>
      <w:r>
        <w:rPr>
          <w:rFonts w:ascii="Times New Roman" w:hAnsi="Times New Roman" w:eastAsia="黑体" w:cs="Times New Roman"/>
          <w:b/>
          <w:bCs/>
          <w:highlight w:val="none"/>
        </w:rPr>
        <w:t>物体打击</w:t>
      </w:r>
    </w:p>
    <w:p w14:paraId="060F8696">
      <w:pPr>
        <w:ind w:firstLine="560"/>
        <w:rPr>
          <w:rFonts w:ascii="Times New Roman" w:hAnsi="Times New Roman" w:eastAsia="宋体"/>
          <w:highlight w:val="none"/>
        </w:rPr>
      </w:pPr>
      <w:r>
        <w:rPr>
          <w:rFonts w:ascii="Times New Roman" w:hAnsi="Times New Roman" w:eastAsia="宋体"/>
          <w:highlight w:val="none"/>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CAAEB8E">
      <w:pPr>
        <w:keepNext/>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F3.3.3</w:t>
      </w:r>
      <w:r>
        <w:rPr>
          <w:rFonts w:ascii="Times New Roman" w:hAnsi="Times New Roman" w:eastAsia="黑体" w:cs="Times New Roman"/>
          <w:b/>
          <w:bCs/>
          <w:highlight w:val="none"/>
        </w:rPr>
        <w:t>车辆伤害</w:t>
      </w:r>
    </w:p>
    <w:p w14:paraId="641B6FDD">
      <w:pPr>
        <w:ind w:firstLine="560"/>
        <w:rPr>
          <w:rFonts w:ascii="Times New Roman" w:hAnsi="Times New Roman" w:eastAsia="宋体"/>
          <w:highlight w:val="none"/>
        </w:rPr>
      </w:pPr>
      <w:r>
        <w:rPr>
          <w:rFonts w:ascii="Times New Roman" w:hAnsi="Times New Roman" w:eastAsia="宋体"/>
          <w:highlight w:val="none"/>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B9F63DB">
      <w:pPr>
        <w:ind w:firstLine="560"/>
        <w:rPr>
          <w:rFonts w:ascii="Times New Roman" w:hAnsi="Times New Roman" w:eastAsia="宋体"/>
          <w:highlight w:val="none"/>
        </w:rPr>
      </w:pPr>
      <w:r>
        <w:rPr>
          <w:rFonts w:ascii="Times New Roman" w:hAnsi="Times New Roman" w:eastAsia="宋体"/>
          <w:highlight w:val="none"/>
        </w:rPr>
        <w:t>当汽车进站加油时，罩棚及罩棚支柱、加油机和作业人员可能受到车辆的碰撞，造成财产损失和人员伤害。</w:t>
      </w:r>
    </w:p>
    <w:p w14:paraId="7CC6719E">
      <w:pPr>
        <w:ind w:firstLine="560"/>
        <w:rPr>
          <w:rFonts w:ascii="Times New Roman" w:hAnsi="Times New Roman" w:eastAsia="宋体"/>
          <w:highlight w:val="none"/>
        </w:rPr>
      </w:pPr>
      <w:r>
        <w:rPr>
          <w:rFonts w:ascii="Times New Roman" w:hAnsi="Times New Roman" w:eastAsia="宋体"/>
          <w:highlight w:val="none"/>
        </w:rPr>
        <w:t>另外，当汽车槽车入站卸油时，若操作不当或事先未进行车辆人员疏导，易造成人员、车辆伤害。</w:t>
      </w:r>
    </w:p>
    <w:p w14:paraId="6401A8EA">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F3.3.4</w:t>
      </w:r>
      <w:r>
        <w:rPr>
          <w:rFonts w:ascii="Times New Roman" w:hAnsi="Times New Roman" w:eastAsia="黑体" w:cs="Times New Roman"/>
          <w:b/>
          <w:bCs/>
          <w:highlight w:val="none"/>
        </w:rPr>
        <w:t>高处坠落</w:t>
      </w:r>
    </w:p>
    <w:p w14:paraId="2EBA1637">
      <w:pPr>
        <w:ind w:firstLine="560"/>
        <w:rPr>
          <w:rFonts w:ascii="Times New Roman" w:hAnsi="Times New Roman" w:eastAsia="宋体"/>
          <w:highlight w:val="none"/>
        </w:rPr>
      </w:pPr>
      <w:r>
        <w:rPr>
          <w:rFonts w:ascii="Times New Roman" w:hAnsi="Times New Roman" w:eastAsia="宋体"/>
          <w:highlight w:val="none"/>
        </w:rPr>
        <w:t>高处坠落是指作业人员在坠落高度基准面2m以上（含2m）的可能坠落的高处进行作业时，因为未防护、防护不好或作业不当而发生人或物的坠落。</w:t>
      </w:r>
    </w:p>
    <w:p w14:paraId="33F30377">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F3.3.5</w:t>
      </w:r>
      <w:r>
        <w:rPr>
          <w:rFonts w:ascii="Times New Roman" w:hAnsi="Times New Roman" w:eastAsia="黑体" w:cs="Times New Roman"/>
          <w:b/>
          <w:bCs/>
          <w:highlight w:val="none"/>
        </w:rPr>
        <w:t>坍塌</w:t>
      </w:r>
    </w:p>
    <w:p w14:paraId="0CD8AAA6">
      <w:pPr>
        <w:ind w:firstLine="560"/>
        <w:rPr>
          <w:rFonts w:ascii="Times New Roman" w:hAnsi="Times New Roman" w:eastAsia="宋体"/>
          <w:highlight w:val="none"/>
        </w:rPr>
      </w:pPr>
      <w:r>
        <w:rPr>
          <w:rFonts w:ascii="Times New Roman" w:hAnsi="Times New Roman" w:eastAsia="宋体"/>
          <w:highlight w:val="none"/>
        </w:rPr>
        <w:t>坍塌是指物体在外力和重力的作用下，超过自身极限强度，结构稳定失衡塌落。大风尤以春季多发、暴雪和外腐蚀等原因，容易造成站内罩棚、站房等建（构）筑物坍塌，对作业人员、加油机及车辆造成伤害。</w:t>
      </w:r>
      <w:r>
        <w:rPr>
          <w:rFonts w:hint="eastAsia" w:ascii="Times New Roman" w:hAnsi="Times New Roman" w:eastAsia="宋体"/>
          <w:highlight w:val="none"/>
        </w:rPr>
        <w:t>此外，若</w:t>
      </w:r>
      <w:r>
        <w:rPr>
          <w:rFonts w:ascii="Times New Roman" w:hAnsi="Times New Roman" w:eastAsia="宋体"/>
          <w:highlight w:val="none"/>
        </w:rPr>
        <w:t>罩棚设计有缺陷</w:t>
      </w:r>
      <w:r>
        <w:rPr>
          <w:rFonts w:hint="eastAsia" w:ascii="Times New Roman" w:hAnsi="Times New Roman" w:eastAsia="宋体"/>
          <w:highlight w:val="none"/>
        </w:rPr>
        <w:t>、施工质量不良、</w:t>
      </w:r>
      <w:r>
        <w:rPr>
          <w:rFonts w:ascii="Times New Roman" w:hAnsi="Times New Roman" w:eastAsia="宋体"/>
          <w:highlight w:val="none"/>
        </w:rPr>
        <w:t>罩棚高度不足，大型超高车辆通过时碰撞</w:t>
      </w:r>
      <w:r>
        <w:rPr>
          <w:rFonts w:hint="eastAsia" w:ascii="Times New Roman" w:hAnsi="Times New Roman" w:eastAsia="宋体"/>
          <w:highlight w:val="none"/>
        </w:rPr>
        <w:t>、</w:t>
      </w:r>
      <w:r>
        <w:rPr>
          <w:rFonts w:ascii="Times New Roman" w:hAnsi="Times New Roman" w:eastAsia="宋体"/>
          <w:highlight w:val="none"/>
        </w:rPr>
        <w:t>罩棚支柱距岛端的距离不足，失控车辆碰撞支柱，驾驶员注意力不集中碰撞支柱</w:t>
      </w:r>
      <w:r>
        <w:rPr>
          <w:rFonts w:hint="eastAsia" w:ascii="Times New Roman" w:hAnsi="Times New Roman" w:eastAsia="宋体"/>
          <w:highlight w:val="none"/>
        </w:rPr>
        <w:t>等都会导致罩棚坍塌。</w:t>
      </w:r>
    </w:p>
    <w:p w14:paraId="55862556">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F3.3.6机械伤害</w:t>
      </w:r>
    </w:p>
    <w:p w14:paraId="1653331B">
      <w:pPr>
        <w:ind w:firstLine="560"/>
        <w:rPr>
          <w:rFonts w:ascii="Times New Roman" w:hAnsi="Times New Roman" w:eastAsia="宋体"/>
          <w:highlight w:val="none"/>
        </w:rPr>
      </w:pPr>
      <w:r>
        <w:rPr>
          <w:rFonts w:ascii="Times New Roman" w:hAnsi="Times New Roman" w:eastAsia="宋体"/>
          <w:highlight w:val="none"/>
        </w:rPr>
        <w:t>加油机、油泵等机械设备在运行过程中，如果操作人员违反操作规程</w:t>
      </w:r>
      <w:r>
        <w:rPr>
          <w:rFonts w:hint="eastAsia" w:ascii="Times New Roman" w:hAnsi="Times New Roman" w:eastAsia="宋体"/>
          <w:highlight w:val="none"/>
        </w:rPr>
        <w:t>、</w:t>
      </w:r>
      <w:r>
        <w:rPr>
          <w:rFonts w:ascii="Times New Roman" w:hAnsi="Times New Roman" w:eastAsia="宋体"/>
          <w:highlight w:val="none"/>
        </w:rPr>
        <w:t>设备防护装置失效</w:t>
      </w:r>
      <w:r>
        <w:rPr>
          <w:rFonts w:hint="eastAsia" w:ascii="Times New Roman" w:hAnsi="Times New Roman" w:eastAsia="宋体"/>
          <w:highlight w:val="none"/>
        </w:rPr>
        <w:t>、</w:t>
      </w:r>
      <w:r>
        <w:rPr>
          <w:rFonts w:ascii="Times New Roman" w:hAnsi="Times New Roman" w:eastAsia="宋体"/>
          <w:highlight w:val="none"/>
        </w:rPr>
        <w:t>加油机零部件老化、磨损</w:t>
      </w:r>
      <w:r>
        <w:rPr>
          <w:rFonts w:hint="eastAsia" w:ascii="Times New Roman" w:hAnsi="Times New Roman" w:eastAsia="宋体"/>
          <w:highlight w:val="none"/>
        </w:rPr>
        <w:t>等</w:t>
      </w:r>
      <w:r>
        <w:rPr>
          <w:rFonts w:ascii="Times New Roman" w:hAnsi="Times New Roman" w:eastAsia="宋体"/>
          <w:highlight w:val="none"/>
        </w:rPr>
        <w:t>可能导致机械伤害事故</w:t>
      </w:r>
      <w:r>
        <w:rPr>
          <w:rFonts w:hint="eastAsia" w:ascii="Times New Roman" w:hAnsi="Times New Roman" w:eastAsia="宋体"/>
          <w:highlight w:val="none"/>
        </w:rPr>
        <w:t>。在检维修过程中，若操作人员错误使用机械设备，也会造成机械伤害事故。</w:t>
      </w:r>
    </w:p>
    <w:p w14:paraId="6F17618B">
      <w:pPr>
        <w:spacing w:before="156" w:beforeLines="50" w:after="156" w:afterLines="50"/>
        <w:ind w:firstLine="562"/>
        <w:outlineLvl w:val="2"/>
        <w:rPr>
          <w:rFonts w:ascii="Times New Roman" w:hAnsi="Times New Roman" w:eastAsia="黑体" w:cs="Times New Roman"/>
          <w:b/>
          <w:bCs/>
          <w:highlight w:val="none"/>
        </w:rPr>
      </w:pPr>
      <w:r>
        <w:rPr>
          <w:rFonts w:hint="eastAsia" w:ascii="Times New Roman" w:hAnsi="Times New Roman" w:eastAsia="黑体" w:cs="Times New Roman"/>
          <w:b/>
          <w:bCs/>
          <w:highlight w:val="none"/>
        </w:rPr>
        <w:t>F3.3.7</w:t>
      </w:r>
      <w:r>
        <w:rPr>
          <w:rFonts w:ascii="Times New Roman" w:hAnsi="Times New Roman" w:eastAsia="黑体" w:cs="Times New Roman"/>
          <w:b/>
          <w:bCs/>
          <w:highlight w:val="none"/>
        </w:rPr>
        <w:t>噪声</w:t>
      </w:r>
      <w:r>
        <w:rPr>
          <w:rFonts w:hint="eastAsia" w:ascii="Times New Roman" w:hAnsi="Times New Roman" w:eastAsia="黑体" w:cs="Times New Roman"/>
          <w:b/>
          <w:bCs/>
          <w:highlight w:val="none"/>
        </w:rPr>
        <w:t>与振动</w:t>
      </w:r>
    </w:p>
    <w:p w14:paraId="6F05F705">
      <w:pPr>
        <w:ind w:firstLine="560"/>
        <w:rPr>
          <w:rFonts w:ascii="Times New Roman" w:hAnsi="Times New Roman" w:eastAsia="宋体"/>
          <w:highlight w:val="none"/>
        </w:rPr>
      </w:pPr>
      <w:r>
        <w:rPr>
          <w:rFonts w:ascii="Times New Roman" w:hAnsi="Times New Roman" w:eastAsia="宋体"/>
          <w:highlight w:val="none"/>
        </w:rPr>
        <w:t>噪声主要损害人的听力，引起神经系统、心血管系统及消化系统功能的障碍。噪声还影响人们交谈与思考，可使人反应迟钝，判断或操作失误，从而增加事故发生频率。噪声干扰可导致报警信号失效，引起各种事故。</w:t>
      </w:r>
    </w:p>
    <w:p w14:paraId="30ED30F8">
      <w:pPr>
        <w:ind w:firstLine="560"/>
        <w:rPr>
          <w:rFonts w:ascii="Times New Roman" w:hAnsi="Times New Roman" w:eastAsia="宋体"/>
          <w:highlight w:val="none"/>
        </w:rPr>
      </w:pPr>
      <w:r>
        <w:rPr>
          <w:rFonts w:ascii="Times New Roman" w:hAnsi="Times New Roman" w:eastAsia="宋体"/>
          <w:highlight w:val="none"/>
        </w:rPr>
        <w:t>该项目中的噪声源主要为加油机及潜油泵产生的空气动力性噪声和机械性噪声。因此应尽量选用低噪声设备，同时应减少工作人员的连续接触噪声时间。</w:t>
      </w:r>
    </w:p>
    <w:p w14:paraId="0894B743">
      <w:pPr>
        <w:keepNext/>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07" w:name="_Toc187310033"/>
      <w:bookmarkStart w:id="108" w:name="_Toc179746381"/>
      <w:r>
        <w:rPr>
          <w:rFonts w:hint="eastAsia" w:ascii="Times New Roman" w:hAnsi="Times New Roman" w:eastAsia="楷体" w:cs="Times New Roman"/>
          <w:b/>
          <w:bCs/>
          <w:sz w:val="32"/>
          <w:szCs w:val="32"/>
          <w:highlight w:val="none"/>
        </w:rPr>
        <w:t>F3.4重大危险源辨识</w:t>
      </w:r>
      <w:bookmarkEnd w:id="107"/>
      <w:bookmarkEnd w:id="108"/>
    </w:p>
    <w:p w14:paraId="4C4744A7">
      <w:pPr>
        <w:keepNext/>
        <w:spacing w:before="156" w:beforeLines="50" w:after="156" w:afterLines="50"/>
        <w:ind w:firstLine="562"/>
        <w:outlineLvl w:val="2"/>
        <w:rPr>
          <w:rFonts w:hint="eastAsia" w:ascii="黑体" w:hAnsi="黑体" w:eastAsia="黑体"/>
          <w:b/>
          <w:bCs/>
          <w:highlight w:val="none"/>
        </w:rPr>
      </w:pPr>
      <w:r>
        <w:rPr>
          <w:rFonts w:hint="eastAsia" w:ascii="Times New Roman" w:hAnsi="Times New Roman" w:eastAsia="黑体" w:cs="Times New Roman"/>
          <w:b/>
          <w:bCs/>
          <w:highlight w:val="none"/>
        </w:rPr>
        <w:t>F3.4.1</w:t>
      </w:r>
      <w:r>
        <w:rPr>
          <w:rFonts w:hint="eastAsia" w:ascii="黑体" w:hAnsi="黑体" w:eastAsia="黑体"/>
          <w:b/>
          <w:bCs/>
          <w:highlight w:val="none"/>
        </w:rPr>
        <w:t>重大危险源定义</w:t>
      </w:r>
    </w:p>
    <w:p w14:paraId="6521A72A">
      <w:pPr>
        <w:ind w:firstLine="560"/>
        <w:rPr>
          <w:rFonts w:ascii="Times New Roman" w:hAnsi="Times New Roman" w:eastAsia="宋体"/>
          <w:highlight w:val="none"/>
        </w:rPr>
      </w:pPr>
      <w:r>
        <w:rPr>
          <w:rFonts w:hint="eastAsia" w:ascii="Times New Roman" w:hAnsi="Times New Roman" w:eastAsia="宋体"/>
          <w:highlight w:val="none"/>
        </w:rPr>
        <w:t>根据《危险化学品重大危险源辨识》GB18218-2018的规定，重大危险源的辨识指标如下：</w:t>
      </w:r>
    </w:p>
    <w:p w14:paraId="5716D0B2">
      <w:pPr>
        <w:ind w:firstLine="560"/>
        <w:rPr>
          <w:rFonts w:ascii="Times New Roman" w:hAnsi="Times New Roman" w:eastAsia="宋体"/>
          <w:highlight w:val="none"/>
        </w:rPr>
      </w:pPr>
      <w:r>
        <w:rPr>
          <w:rFonts w:hint="eastAsia" w:ascii="Times New Roman" w:hAnsi="Times New Roman" w:eastAsia="宋体"/>
          <w:highlight w:val="none"/>
        </w:rPr>
        <w:t>长期地或临时地生产、储存、使用和经营危险化学品，且危险化学品的数量等于或者超过临界量的单元。</w:t>
      </w:r>
    </w:p>
    <w:p w14:paraId="21511FB9">
      <w:pPr>
        <w:ind w:firstLine="560"/>
        <w:rPr>
          <w:rFonts w:ascii="Times New Roman" w:hAnsi="Times New Roman" w:eastAsia="宋体"/>
          <w:highlight w:val="none"/>
        </w:rPr>
      </w:pPr>
      <w:r>
        <w:rPr>
          <w:rFonts w:hint="eastAsia" w:ascii="Times New Roman" w:hAnsi="Times New Roman" w:eastAsia="宋体"/>
          <w:highlight w:val="none"/>
        </w:rPr>
        <w:t>生产单元：危险化学品的生产、加工及使用等的装置及设施，当装置与设施之间又有切断阀时，以切断阀作为分隔界限划分为独立的单元。</w:t>
      </w:r>
    </w:p>
    <w:p w14:paraId="403AB4A1">
      <w:pPr>
        <w:ind w:firstLine="560"/>
        <w:rPr>
          <w:rFonts w:ascii="Times New Roman" w:hAnsi="Times New Roman" w:eastAsia="宋体"/>
          <w:highlight w:val="none"/>
        </w:rPr>
      </w:pPr>
      <w:r>
        <w:rPr>
          <w:rFonts w:hint="eastAsia" w:ascii="Times New Roman" w:hAnsi="Times New Roman" w:eastAsia="宋体"/>
          <w:highlight w:val="none"/>
        </w:rPr>
        <w:t>储存单元：用于储存危险化学品的储罐或仓库组成的相对独立的区域，储罐区以罐区防火堤为界限划分为独立的单元，从仓库以独立库房（独立建筑物）为界限划分为的独立的单元。</w:t>
      </w:r>
    </w:p>
    <w:p w14:paraId="273055B6">
      <w:pPr>
        <w:ind w:firstLine="560"/>
        <w:rPr>
          <w:rFonts w:ascii="Times New Roman" w:hAnsi="Times New Roman" w:eastAsia="宋体"/>
          <w:highlight w:val="none"/>
        </w:rPr>
      </w:pPr>
      <w:r>
        <w:rPr>
          <w:rFonts w:hint="eastAsia" w:ascii="Times New Roman" w:hAnsi="Times New Roman" w:eastAsia="宋体"/>
          <w:highlight w:val="none"/>
        </w:rPr>
        <w:t>生产单元、储存单元内存在危险化学品的数量等于或者出超过表1、表2规定地点临界量，即被定为重大危险源，单元内存在的危险化学品的数量根据危险化学品种类的多少区分为以下两种情况：</w:t>
      </w:r>
    </w:p>
    <w:p w14:paraId="0454FD10">
      <w:pPr>
        <w:ind w:firstLine="560"/>
        <w:rPr>
          <w:rFonts w:ascii="Times New Roman" w:hAnsi="Times New Roman" w:eastAsia="宋体"/>
          <w:highlight w:val="none"/>
        </w:rPr>
      </w:pPr>
      <w:r>
        <w:rPr>
          <w:rFonts w:hint="eastAsia" w:ascii="Times New Roman" w:hAnsi="Times New Roman" w:eastAsia="宋体"/>
          <w:highlight w:val="none"/>
        </w:rPr>
        <w:t>（1）生产单元、储存单元内存在的危险化学品为单一品种，该危险化学品的数量即为单元内危险化学品的总量，若等于或超过相应的临界量，则定为重大危险源。</w:t>
      </w:r>
    </w:p>
    <w:p w14:paraId="4B7D0F66">
      <w:pPr>
        <w:ind w:firstLine="560"/>
        <w:rPr>
          <w:rFonts w:ascii="Times New Roman" w:hAnsi="Times New Roman" w:eastAsia="宋体"/>
          <w:highlight w:val="none"/>
        </w:rPr>
      </w:pPr>
      <w:r>
        <w:rPr>
          <w:rFonts w:hint="eastAsia" w:ascii="Times New Roman" w:hAnsi="Times New Roman" w:eastAsia="宋体"/>
          <w:highlight w:val="none"/>
        </w:rPr>
        <w:t>（2）生产单元、储存单元内存在的危险化学品为多品种时，则按下式计算，若满足下面公式，则定为重大危险源：</w:t>
      </w:r>
    </w:p>
    <w:p w14:paraId="17C4ABED">
      <w:pPr>
        <w:ind w:firstLine="560"/>
        <w:rPr>
          <w:rFonts w:ascii="Times New Roman" w:hAnsi="Times New Roman" w:eastAsia="宋体"/>
          <w:highlight w:val="none"/>
        </w:rPr>
      </w:pPr>
      <m:oMathPara>
        <m:oMath>
          <m:r>
            <m:rPr/>
            <w:rPr>
              <w:rFonts w:hint="eastAsia" w:ascii="Cambria Math" w:hAnsi="Cambria Math" w:eastAsia="宋体"/>
              <w:highlight w:val="none"/>
            </w:rPr>
            <m:t>S</m:t>
          </m:r>
          <m:r>
            <m:rPr/>
            <w:rPr>
              <w:rFonts w:ascii="Cambria Math" w:hAnsi="Cambria Math" w:eastAsia="宋体"/>
              <w:highlight w:val="none"/>
            </w:rPr>
            <m:t>=</m:t>
          </m:r>
          <m:f>
            <m:fPr>
              <m:ctrlPr>
                <w:rPr>
                  <w:rFonts w:ascii="Cambria Math" w:hAnsi="Cambria Math" w:eastAsia="宋体"/>
                  <w:i/>
                  <w:highlight w:val="none"/>
                </w:rPr>
              </m:ctrlPr>
            </m:fPr>
            <m:num>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1</m:t>
                  </m:r>
                  <m:ctrlPr>
                    <w:rPr>
                      <w:rFonts w:ascii="Cambria Math" w:hAnsi="Cambria Math" w:eastAsia="宋体"/>
                      <w:i/>
                      <w:highlight w:val="none"/>
                    </w:rPr>
                  </m:ctrlPr>
                </m:sub>
              </m:sSub>
              <m:ctrlPr>
                <w:rPr>
                  <w:rFonts w:ascii="Cambria Math" w:hAnsi="Cambria Math" w:eastAsia="宋体"/>
                  <w:i/>
                  <w:highlight w:val="none"/>
                </w:rPr>
              </m:ctrlPr>
            </m:num>
            <m:den>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1</m:t>
                  </m:r>
                  <m:ctrlPr>
                    <w:rPr>
                      <w:rFonts w:ascii="Cambria Math" w:hAnsi="Cambria Math" w:eastAsia="宋体"/>
                      <w:i/>
                      <w:highlight w:val="none"/>
                    </w:rPr>
                  </m:ctrlPr>
                </m:sub>
              </m:sSub>
              <m:ctrlPr>
                <w:rPr>
                  <w:rFonts w:ascii="Cambria Math" w:hAnsi="Cambria Math" w:eastAsia="宋体"/>
                  <w:i/>
                  <w:highlight w:val="none"/>
                </w:rPr>
              </m:ctrlPr>
            </m:den>
          </m:f>
          <m:r>
            <m:rPr/>
            <w:rPr>
              <w:rFonts w:ascii="Cambria Math" w:hAnsi="Cambria Math" w:eastAsia="宋体"/>
              <w:highlight w:val="none"/>
            </w:rPr>
            <m:t>+</m:t>
          </m:r>
          <m:f>
            <m:fPr>
              <m:ctrlPr>
                <w:rPr>
                  <w:rFonts w:ascii="Cambria Math" w:hAnsi="Cambria Math" w:eastAsia="宋体"/>
                  <w:i/>
                  <w:highlight w:val="none"/>
                </w:rPr>
              </m:ctrlPr>
            </m:fPr>
            <m:num>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2</m:t>
                  </m:r>
                  <m:ctrlPr>
                    <w:rPr>
                      <w:rFonts w:ascii="Cambria Math" w:hAnsi="Cambria Math" w:eastAsia="宋体"/>
                      <w:i/>
                      <w:highlight w:val="none"/>
                    </w:rPr>
                  </m:ctrlPr>
                </m:sub>
              </m:sSub>
              <m:ctrlPr>
                <w:rPr>
                  <w:rFonts w:ascii="Cambria Math" w:hAnsi="Cambria Math" w:eastAsia="宋体"/>
                  <w:i/>
                  <w:highlight w:val="none"/>
                </w:rPr>
              </m:ctrlPr>
            </m:num>
            <m:den>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2</m:t>
                  </m:r>
                  <m:ctrlPr>
                    <w:rPr>
                      <w:rFonts w:ascii="Cambria Math" w:hAnsi="Cambria Math" w:eastAsia="宋体"/>
                      <w:i/>
                      <w:highlight w:val="none"/>
                    </w:rPr>
                  </m:ctrlPr>
                </m:sub>
              </m:sSub>
              <m:ctrlPr>
                <w:rPr>
                  <w:rFonts w:ascii="Cambria Math" w:hAnsi="Cambria Math" w:eastAsia="宋体"/>
                  <w:i/>
                  <w:highlight w:val="none"/>
                </w:rPr>
              </m:ctrlPr>
            </m:den>
          </m:f>
          <m:r>
            <m:rPr/>
            <w:rPr>
              <w:rFonts w:ascii="Cambria Math" w:hAnsi="Cambria Math" w:eastAsia="宋体"/>
              <w:highlight w:val="none"/>
            </w:rPr>
            <m:t>+⋯+</m:t>
          </m:r>
          <m:f>
            <m:fPr>
              <m:ctrlPr>
                <w:rPr>
                  <w:rFonts w:ascii="Cambria Math" w:hAnsi="Cambria Math" w:eastAsia="宋体"/>
                  <w:i/>
                  <w:highlight w:val="none"/>
                </w:rPr>
              </m:ctrlPr>
            </m:fPr>
            <m:num>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n</m:t>
                  </m:r>
                  <m:ctrlPr>
                    <w:rPr>
                      <w:rFonts w:ascii="Cambria Math" w:hAnsi="Cambria Math" w:eastAsia="宋体"/>
                      <w:i/>
                      <w:highlight w:val="none"/>
                    </w:rPr>
                  </m:ctrlPr>
                </m:sub>
              </m:sSub>
              <m:ctrlPr>
                <w:rPr>
                  <w:rFonts w:ascii="Cambria Math" w:hAnsi="Cambria Math" w:eastAsia="宋体"/>
                  <w:i/>
                  <w:highlight w:val="none"/>
                </w:rPr>
              </m:ctrlPr>
            </m:num>
            <m:den>
              <m:sSub>
                <m:sSubPr>
                  <m:ctrlPr>
                    <w:rPr>
                      <w:rFonts w:ascii="Cambria Math" w:hAnsi="Cambria Math" w:eastAsia="宋体"/>
                      <w:i/>
                      <w:highlight w:val="none"/>
                    </w:rPr>
                  </m:ctrlPr>
                </m:sSubPr>
                <m:e>
                  <m:r>
                    <m:rPr/>
                    <w:rPr>
                      <w:rFonts w:ascii="Cambria Math" w:hAnsi="Cambria Math" w:eastAsia="宋体"/>
                      <w:highlight w:val="none"/>
                    </w:rPr>
                    <m:t>Q</m:t>
                  </m:r>
                  <m:ctrlPr>
                    <w:rPr>
                      <w:rFonts w:ascii="Cambria Math" w:hAnsi="Cambria Math" w:eastAsia="宋体"/>
                      <w:i/>
                      <w:highlight w:val="none"/>
                    </w:rPr>
                  </m:ctrlPr>
                </m:e>
                <m:sub>
                  <m:r>
                    <m:rPr/>
                    <w:rPr>
                      <w:rFonts w:ascii="Cambria Math" w:hAnsi="Cambria Math" w:eastAsia="宋体"/>
                      <w:highlight w:val="none"/>
                    </w:rPr>
                    <m:t>n</m:t>
                  </m:r>
                  <m:ctrlPr>
                    <w:rPr>
                      <w:rFonts w:ascii="Cambria Math" w:hAnsi="Cambria Math" w:eastAsia="宋体"/>
                      <w:i/>
                      <w:highlight w:val="none"/>
                    </w:rPr>
                  </m:ctrlPr>
                </m:sub>
              </m:sSub>
              <m:ctrlPr>
                <w:rPr>
                  <w:rFonts w:ascii="Cambria Math" w:hAnsi="Cambria Math" w:eastAsia="宋体"/>
                  <w:i/>
                  <w:highlight w:val="none"/>
                </w:rPr>
              </m:ctrlPr>
            </m:den>
          </m:f>
          <m:r>
            <m:rPr/>
            <w:rPr>
              <w:rFonts w:ascii="Cambria Math" w:hAnsi="Cambria Math" w:eastAsia="宋体"/>
              <w:highlight w:val="none"/>
            </w:rPr>
            <m:t>≥1</m:t>
          </m:r>
        </m:oMath>
      </m:oMathPara>
    </w:p>
    <w:p w14:paraId="6F045DD7">
      <w:pPr>
        <w:ind w:firstLine="560"/>
        <w:rPr>
          <w:rFonts w:ascii="Times New Roman" w:hAnsi="Times New Roman" w:eastAsia="宋体"/>
          <w:highlight w:val="none"/>
        </w:rPr>
      </w:pPr>
      <w:r>
        <w:rPr>
          <w:rFonts w:hint="eastAsia" w:ascii="Times New Roman" w:hAnsi="Times New Roman" w:eastAsia="宋体"/>
          <w:highlight w:val="none"/>
        </w:rPr>
        <w:t>式中：q</w:t>
      </w:r>
      <w:r>
        <w:rPr>
          <w:rFonts w:hint="eastAsia" w:ascii="Times New Roman" w:hAnsi="Times New Roman" w:eastAsia="宋体"/>
          <w:highlight w:val="none"/>
          <w:vertAlign w:val="subscript"/>
        </w:rPr>
        <w:t>1</w:t>
      </w:r>
      <w:r>
        <w:rPr>
          <w:rFonts w:hint="eastAsia" w:ascii="Times New Roman" w:hAnsi="Times New Roman" w:eastAsia="宋体"/>
          <w:highlight w:val="none"/>
        </w:rPr>
        <w:t>，q</w:t>
      </w:r>
      <w:r>
        <w:rPr>
          <w:rFonts w:hint="eastAsia" w:ascii="Times New Roman" w:hAnsi="Times New Roman" w:eastAsia="宋体"/>
          <w:highlight w:val="none"/>
          <w:vertAlign w:val="subscript"/>
        </w:rPr>
        <w:t>2</w:t>
      </w:r>
      <w:r>
        <w:rPr>
          <w:rFonts w:hint="eastAsia" w:ascii="Times New Roman" w:hAnsi="Times New Roman" w:eastAsia="宋体"/>
          <w:highlight w:val="none"/>
        </w:rPr>
        <w:t>，</w:t>
      </w:r>
      <w:r>
        <w:rPr>
          <w:rFonts w:ascii="Times New Roman" w:hAnsi="Times New Roman" w:eastAsia="宋体"/>
          <w:highlight w:val="none"/>
        </w:rPr>
        <w:t>…</w:t>
      </w:r>
      <w:r>
        <w:rPr>
          <w:rFonts w:hint="eastAsia" w:ascii="Times New Roman" w:hAnsi="Times New Roman" w:eastAsia="宋体"/>
          <w:highlight w:val="none"/>
        </w:rPr>
        <w:t>，q</w:t>
      </w:r>
      <w:r>
        <w:rPr>
          <w:rFonts w:hint="eastAsia" w:ascii="Times New Roman" w:hAnsi="Times New Roman" w:eastAsia="宋体"/>
          <w:highlight w:val="none"/>
          <w:vertAlign w:val="subscript"/>
        </w:rPr>
        <w:t>n</w:t>
      </w:r>
      <w:r>
        <w:rPr>
          <w:rFonts w:hint="eastAsia" w:ascii="Times New Roman" w:hAnsi="Times New Roman" w:eastAsia="宋体"/>
          <w:highlight w:val="none"/>
        </w:rPr>
        <w:t>—每种危险物质实际存在的量，t。</w:t>
      </w:r>
    </w:p>
    <w:p w14:paraId="1590EA88">
      <w:pPr>
        <w:ind w:firstLine="1400" w:firstLineChars="500"/>
        <w:rPr>
          <w:rFonts w:ascii="Times New Roman" w:hAnsi="Times New Roman" w:eastAsia="宋体"/>
          <w:highlight w:val="none"/>
        </w:rPr>
      </w:pPr>
      <w:r>
        <w:rPr>
          <w:rFonts w:hint="eastAsia" w:ascii="Times New Roman" w:hAnsi="Times New Roman" w:eastAsia="宋体"/>
          <w:highlight w:val="none"/>
        </w:rPr>
        <w:t>Q</w:t>
      </w:r>
      <w:r>
        <w:rPr>
          <w:rFonts w:hint="eastAsia" w:ascii="Times New Roman" w:hAnsi="Times New Roman" w:eastAsia="宋体"/>
          <w:highlight w:val="none"/>
          <w:vertAlign w:val="subscript"/>
        </w:rPr>
        <w:t>1</w:t>
      </w:r>
      <w:r>
        <w:rPr>
          <w:rFonts w:hint="eastAsia" w:ascii="Times New Roman" w:hAnsi="Times New Roman" w:eastAsia="宋体"/>
          <w:highlight w:val="none"/>
        </w:rPr>
        <w:t>，Q</w:t>
      </w:r>
      <w:r>
        <w:rPr>
          <w:rFonts w:hint="eastAsia" w:ascii="Times New Roman" w:hAnsi="Times New Roman" w:eastAsia="宋体"/>
          <w:highlight w:val="none"/>
          <w:vertAlign w:val="subscript"/>
        </w:rPr>
        <w:t>2</w:t>
      </w:r>
      <w:r>
        <w:rPr>
          <w:rFonts w:hint="eastAsia" w:ascii="Times New Roman" w:hAnsi="Times New Roman" w:eastAsia="宋体"/>
          <w:highlight w:val="none"/>
        </w:rPr>
        <w:t>，</w:t>
      </w:r>
      <w:r>
        <w:rPr>
          <w:rFonts w:ascii="Times New Roman" w:hAnsi="Times New Roman" w:eastAsia="宋体"/>
          <w:highlight w:val="none"/>
        </w:rPr>
        <w:t>…</w:t>
      </w:r>
      <w:r>
        <w:rPr>
          <w:rFonts w:hint="eastAsia" w:ascii="Times New Roman" w:hAnsi="Times New Roman" w:eastAsia="宋体"/>
          <w:highlight w:val="none"/>
        </w:rPr>
        <w:t>，Q</w:t>
      </w:r>
      <w:r>
        <w:rPr>
          <w:rFonts w:hint="eastAsia" w:ascii="Times New Roman" w:hAnsi="Times New Roman" w:eastAsia="宋体"/>
          <w:highlight w:val="none"/>
          <w:vertAlign w:val="subscript"/>
        </w:rPr>
        <w:t>n</w:t>
      </w:r>
      <w:r>
        <w:rPr>
          <w:rFonts w:hint="eastAsia" w:ascii="Times New Roman" w:hAnsi="Times New Roman" w:eastAsia="宋体"/>
          <w:highlight w:val="none"/>
        </w:rPr>
        <w:t>—与各危险物质相对应的临界量，t。</w:t>
      </w:r>
    </w:p>
    <w:p w14:paraId="73822CC2">
      <w:pPr>
        <w:keepNext/>
        <w:spacing w:before="156" w:beforeLines="50" w:after="156" w:afterLines="50"/>
        <w:ind w:firstLine="562"/>
        <w:outlineLvl w:val="2"/>
        <w:rPr>
          <w:rFonts w:hint="eastAsia" w:ascii="黑体" w:hAnsi="黑体" w:eastAsia="黑体"/>
          <w:b/>
          <w:bCs/>
          <w:highlight w:val="none"/>
        </w:rPr>
      </w:pPr>
      <w:r>
        <w:rPr>
          <w:rFonts w:hint="eastAsia" w:ascii="Times New Roman" w:hAnsi="Times New Roman" w:eastAsia="黑体" w:cs="Times New Roman"/>
          <w:b/>
          <w:bCs/>
          <w:highlight w:val="none"/>
        </w:rPr>
        <w:t>F3.4.2</w:t>
      </w:r>
      <w:r>
        <w:rPr>
          <w:rFonts w:hint="eastAsia" w:ascii="黑体" w:hAnsi="黑体" w:eastAsia="黑体"/>
          <w:b/>
          <w:bCs/>
          <w:highlight w:val="none"/>
        </w:rPr>
        <w:t>重大危险源辨识</w:t>
      </w:r>
    </w:p>
    <w:p w14:paraId="63FC0802">
      <w:pPr>
        <w:ind w:firstLine="560"/>
        <w:rPr>
          <w:rFonts w:ascii="Times New Roman" w:hAnsi="Times New Roman" w:eastAsia="宋体"/>
          <w:highlight w:val="none"/>
        </w:rPr>
      </w:pPr>
      <w:r>
        <w:rPr>
          <w:rFonts w:hint="eastAsia" w:ascii="Times New Roman" w:hAnsi="Times New Roman" w:eastAsia="宋体"/>
          <w:highlight w:val="none"/>
        </w:rPr>
        <w:t>根据《危险化学品重大危险源辨识》（GB 18218-2018）的相关规定，危险化学品储罐以及其他容器、设备或仓储区的危险化学品的实际存在量按设计最大量确定。</w:t>
      </w:r>
    </w:p>
    <w:p w14:paraId="56CC268B">
      <w:pPr>
        <w:ind w:firstLine="560"/>
        <w:rPr>
          <w:rFonts w:ascii="Times New Roman" w:hAnsi="Times New Roman" w:eastAsia="宋体"/>
          <w:highlight w:val="none"/>
        </w:rPr>
      </w:pPr>
      <w:r>
        <w:rPr>
          <w:rFonts w:hint="eastAsia" w:ascii="Times New Roman" w:hAnsi="Times New Roman" w:eastAsia="宋体"/>
          <w:highlight w:val="none"/>
        </w:rPr>
        <w:t>对于危险化学品混合物，如果混合物与其纯物质属于相同危险类别，则视混合物为纯物质，按混合物整体进行计算。如果混合物遇其纯物质不属于相同危险类别，则应按新危险类别考虑其临界量。</w:t>
      </w:r>
    </w:p>
    <w:p w14:paraId="70EF78F6">
      <w:pPr>
        <w:ind w:firstLine="560"/>
        <w:rPr>
          <w:rFonts w:ascii="Times New Roman" w:hAnsi="Times New Roman" w:eastAsia="宋体"/>
          <w:highlight w:val="none"/>
        </w:rPr>
      </w:pPr>
      <w:r>
        <w:rPr>
          <w:rFonts w:hint="eastAsia" w:ascii="Times New Roman" w:hAnsi="Times New Roman" w:eastAsia="宋体"/>
          <w:highlight w:val="none"/>
        </w:rPr>
        <w:t>该站在经营、储存过程中，涉及构成危险化学品重大危险源的物质为车用乙醇汽油、柴油，其临界量分别为200t、5000t。</w:t>
      </w:r>
    </w:p>
    <w:p w14:paraId="68751EAC">
      <w:pPr>
        <w:ind w:firstLine="560"/>
        <w:rPr>
          <w:rFonts w:ascii="Times New Roman" w:hAnsi="Times New Roman" w:eastAsia="宋体"/>
          <w:highlight w:val="none"/>
        </w:rPr>
      </w:pPr>
      <w:r>
        <w:rPr>
          <w:rFonts w:hint="eastAsia" w:ascii="Times New Roman" w:hAnsi="Times New Roman" w:eastAsia="宋体"/>
          <w:highlight w:val="none"/>
        </w:rPr>
        <w:t>储罐区单元：</w:t>
      </w:r>
    </w:p>
    <w:p w14:paraId="728D31E9">
      <w:pPr>
        <w:ind w:firstLine="560"/>
        <w:rPr>
          <w:rFonts w:ascii="Times New Roman" w:hAnsi="Times New Roman" w:eastAsia="宋体"/>
          <w:highlight w:val="none"/>
        </w:rPr>
      </w:pPr>
      <w:r>
        <w:rPr>
          <w:rFonts w:hint="eastAsia" w:ascii="Times New Roman" w:hAnsi="Times New Roman" w:eastAsia="宋体"/>
          <w:highlight w:val="none"/>
        </w:rPr>
        <w:t>加油站储罐区单元有2座车用乙醇汽油储罐，总容积为60m³，车用乙醇汽油的密度为0.8t/m³；4座柴油储罐，总容积为120m³，柴油的密度为0.85t/m³。储罐区单元危险化学品的临界量与最大储存量对照见下表。</w:t>
      </w:r>
    </w:p>
    <w:p w14:paraId="68A1353C">
      <w:pPr>
        <w:keepNext/>
        <w:keepLines/>
        <w:spacing w:before="156" w:beforeLines="50" w:after="156" w:afterLines="50" w:line="240" w:lineRule="auto"/>
        <w:ind w:firstLine="0" w:firstLineChars="0"/>
        <w:jc w:val="center"/>
        <w:rPr>
          <w:rFonts w:hint="eastAsia" w:ascii="黑体" w:hAnsi="黑体" w:eastAsia="黑体"/>
          <w:sz w:val="24"/>
          <w:highlight w:val="none"/>
        </w:rPr>
      </w:pPr>
      <w:r>
        <w:rPr>
          <w:rFonts w:hint="eastAsia" w:ascii="黑体" w:hAnsi="黑体" w:eastAsia="黑体"/>
          <w:sz w:val="24"/>
          <w:highlight w:val="none"/>
        </w:rPr>
        <w:t>表</w:t>
      </w:r>
      <w:r>
        <w:rPr>
          <w:rFonts w:hint="eastAsia" w:ascii="Times New Roman" w:hAnsi="Times New Roman" w:eastAsia="黑体" w:cs="Times New Roman"/>
          <w:sz w:val="24"/>
          <w:highlight w:val="none"/>
        </w:rPr>
        <w:t>F3.4-1</w:t>
      </w:r>
      <w:r>
        <w:rPr>
          <w:rFonts w:hint="eastAsia" w:ascii="黑体" w:hAnsi="黑体" w:eastAsia="黑体"/>
          <w:sz w:val="24"/>
          <w:highlight w:val="none"/>
        </w:rPr>
        <w:t xml:space="preserve">  储罐区单元危险化学品的临界量与最大储存量对照表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1"/>
        <w:gridCol w:w="2261"/>
        <w:gridCol w:w="2882"/>
        <w:gridCol w:w="1851"/>
        <w:gridCol w:w="1391"/>
      </w:tblGrid>
      <w:tr w14:paraId="1D5E3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7" w:hRule="atLeast"/>
          <w:tblHeader/>
          <w:jc w:val="center"/>
        </w:trPr>
        <w:tc>
          <w:tcPr>
            <w:tcW w:w="543" w:type="pct"/>
            <w:vAlign w:val="center"/>
          </w:tcPr>
          <w:p w14:paraId="04587E45">
            <w:pPr>
              <w:spacing w:line="240" w:lineRule="auto"/>
              <w:ind w:firstLine="0" w:firstLineChars="0"/>
              <w:jc w:val="center"/>
              <w:rPr>
                <w:rFonts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序号</w:t>
            </w:r>
          </w:p>
        </w:tc>
        <w:tc>
          <w:tcPr>
            <w:tcW w:w="1202" w:type="pct"/>
            <w:vAlign w:val="center"/>
          </w:tcPr>
          <w:p w14:paraId="7389148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物质名称</w:t>
            </w:r>
          </w:p>
        </w:tc>
        <w:tc>
          <w:tcPr>
            <w:tcW w:w="1532" w:type="pct"/>
            <w:vAlign w:val="center"/>
          </w:tcPr>
          <w:p w14:paraId="20E26DBD">
            <w:pPr>
              <w:spacing w:line="240" w:lineRule="auto"/>
              <w:ind w:firstLine="0" w:firstLineChars="0"/>
              <w:jc w:val="center"/>
              <w:rPr>
                <w:rFonts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危险性类别</w:t>
            </w:r>
          </w:p>
        </w:tc>
        <w:tc>
          <w:tcPr>
            <w:tcW w:w="984" w:type="pct"/>
            <w:vAlign w:val="center"/>
          </w:tcPr>
          <w:p w14:paraId="723A5991">
            <w:pPr>
              <w:spacing w:line="240" w:lineRule="auto"/>
              <w:ind w:firstLine="0" w:firstLineChars="0"/>
              <w:jc w:val="center"/>
              <w:rPr>
                <w:rFonts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最大储存量（t）</w:t>
            </w:r>
          </w:p>
        </w:tc>
        <w:tc>
          <w:tcPr>
            <w:tcW w:w="739" w:type="pct"/>
            <w:vAlign w:val="center"/>
          </w:tcPr>
          <w:p w14:paraId="6ECDDE39">
            <w:pPr>
              <w:spacing w:line="240" w:lineRule="auto"/>
              <w:ind w:firstLine="0" w:firstLineChars="0"/>
              <w:jc w:val="center"/>
              <w:rPr>
                <w:rFonts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临界量（t）</w:t>
            </w:r>
          </w:p>
        </w:tc>
      </w:tr>
      <w:tr w14:paraId="3D21F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543" w:type="pct"/>
            <w:vAlign w:val="center"/>
          </w:tcPr>
          <w:p w14:paraId="2E31941E">
            <w:pPr>
              <w:tabs>
                <w:tab w:val="left" w:pos="1200"/>
                <w:tab w:val="left" w:pos="1276"/>
              </w:tabs>
              <w:adjustRightInd/>
              <w:snapToGrid/>
              <w:spacing w:line="240" w:lineRule="auto"/>
              <w:ind w:firstLine="0" w:firstLineChars="0"/>
              <w:jc w:val="center"/>
              <w:rPr>
                <w:rFonts w:ascii="Times New Roman" w:hAnsi="Times New Roman" w:eastAsia="宋体" w:cs="Times New Roman"/>
                <w:kern w:val="0"/>
                <w:sz w:val="21"/>
                <w:highlight w:val="none"/>
                <w14:ligatures w14:val="none"/>
              </w:rPr>
            </w:pPr>
            <w:r>
              <w:rPr>
                <w:rFonts w:hint="eastAsia" w:ascii="Times New Roman" w:hAnsi="Times New Roman" w:eastAsia="宋体" w:cs="Times New Roman"/>
                <w:kern w:val="0"/>
                <w:sz w:val="21"/>
                <w:highlight w:val="none"/>
                <w14:ligatures w14:val="none"/>
              </w:rPr>
              <w:t>1</w:t>
            </w:r>
          </w:p>
        </w:tc>
        <w:tc>
          <w:tcPr>
            <w:tcW w:w="1202" w:type="pct"/>
            <w:vAlign w:val="center"/>
          </w:tcPr>
          <w:p w14:paraId="5384834F">
            <w:pPr>
              <w:spacing w:line="240" w:lineRule="auto"/>
              <w:ind w:firstLine="0" w:firstLineChars="0"/>
              <w:jc w:val="center"/>
              <w:rPr>
                <w:rFonts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车用乙醇汽油</w:t>
            </w:r>
          </w:p>
        </w:tc>
        <w:tc>
          <w:tcPr>
            <w:tcW w:w="1532" w:type="pct"/>
            <w:vAlign w:val="center"/>
          </w:tcPr>
          <w:p w14:paraId="19B6231D">
            <w:pPr>
              <w:widowControl/>
              <w:adjustRightInd/>
              <w:snapToGrid/>
              <w:spacing w:line="240" w:lineRule="auto"/>
              <w:ind w:firstLine="0" w:firstLineChars="0"/>
              <w:jc w:val="center"/>
              <w:rPr>
                <w:rFonts w:ascii="Times New Roman" w:hAnsi="Times New Roman" w:eastAsia="宋体" w:cs="Times New Roman"/>
                <w:kern w:val="0"/>
                <w:sz w:val="21"/>
                <w:highlight w:val="none"/>
                <w14:ligatures w14:val="none"/>
              </w:rPr>
            </w:pPr>
            <w:r>
              <w:rPr>
                <w:rFonts w:ascii="Times New Roman" w:hAnsi="Times New Roman" w:eastAsia="宋体" w:cs="Times New Roman"/>
                <w:sz w:val="21"/>
                <w:highlight w:val="none"/>
                <w14:ligatures w14:val="none"/>
              </w:rPr>
              <w:t>易燃液体，类别2</w:t>
            </w:r>
            <w:r>
              <w:rPr>
                <w:rFonts w:ascii="Times New Roman" w:hAnsi="Times New Roman" w:eastAsia="宋体" w:cs="Times New Roman"/>
                <w:kern w:val="0"/>
                <w:sz w:val="21"/>
                <w:highlight w:val="none"/>
                <w14:ligatures w14:val="none"/>
              </w:rPr>
              <w:t>*</w:t>
            </w:r>
          </w:p>
        </w:tc>
        <w:tc>
          <w:tcPr>
            <w:tcW w:w="984" w:type="pct"/>
            <w:vAlign w:val="center"/>
          </w:tcPr>
          <w:p w14:paraId="3C838C9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48</w:t>
            </w:r>
          </w:p>
        </w:tc>
        <w:tc>
          <w:tcPr>
            <w:tcW w:w="739" w:type="pct"/>
            <w:vAlign w:val="center"/>
          </w:tcPr>
          <w:p w14:paraId="574F5DE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r>
              <w:rPr>
                <w:rFonts w:ascii="Times New Roman" w:hAnsi="Times New Roman" w:eastAsia="宋体" w:cs="Times New Roman"/>
                <w:sz w:val="21"/>
                <w:szCs w:val="21"/>
                <w:highlight w:val="none"/>
                <w14:ligatures w14:val="none"/>
              </w:rPr>
              <w:t>00</w:t>
            </w:r>
          </w:p>
        </w:tc>
      </w:tr>
      <w:tr w14:paraId="3DF96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543" w:type="pct"/>
            <w:vAlign w:val="center"/>
          </w:tcPr>
          <w:p w14:paraId="505E4532">
            <w:pPr>
              <w:tabs>
                <w:tab w:val="left" w:pos="1200"/>
                <w:tab w:val="left" w:pos="1276"/>
              </w:tabs>
              <w:adjustRightInd/>
              <w:snapToGrid/>
              <w:spacing w:line="240" w:lineRule="auto"/>
              <w:ind w:firstLine="0" w:firstLineChars="0"/>
              <w:jc w:val="center"/>
              <w:rPr>
                <w:rFonts w:ascii="Times New Roman" w:hAnsi="Times New Roman" w:eastAsia="宋体" w:cs="Times New Roman"/>
                <w:kern w:val="0"/>
                <w:sz w:val="21"/>
                <w:highlight w:val="none"/>
                <w14:ligatures w14:val="none"/>
              </w:rPr>
            </w:pPr>
            <w:r>
              <w:rPr>
                <w:rFonts w:hint="eastAsia" w:ascii="Times New Roman" w:hAnsi="Times New Roman" w:eastAsia="宋体" w:cs="Times New Roman"/>
                <w:kern w:val="0"/>
                <w:sz w:val="21"/>
                <w:highlight w:val="none"/>
                <w14:ligatures w14:val="none"/>
              </w:rPr>
              <w:t>2</w:t>
            </w:r>
          </w:p>
        </w:tc>
        <w:tc>
          <w:tcPr>
            <w:tcW w:w="1202" w:type="pct"/>
            <w:vAlign w:val="center"/>
          </w:tcPr>
          <w:p w14:paraId="1ABF40AA">
            <w:pPr>
              <w:spacing w:line="240" w:lineRule="auto"/>
              <w:ind w:firstLine="0" w:firstLineChars="0"/>
              <w:jc w:val="center"/>
              <w:rPr>
                <w:rFonts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柴油</w:t>
            </w:r>
          </w:p>
        </w:tc>
        <w:tc>
          <w:tcPr>
            <w:tcW w:w="1532" w:type="pct"/>
            <w:vAlign w:val="center"/>
          </w:tcPr>
          <w:p w14:paraId="01D121F4">
            <w:pPr>
              <w:widowControl/>
              <w:adjustRightInd/>
              <w:snapToGrid/>
              <w:spacing w:line="240" w:lineRule="auto"/>
              <w:ind w:firstLine="0" w:firstLineChars="0"/>
              <w:jc w:val="center"/>
              <w:rPr>
                <w:rFonts w:ascii="Times New Roman" w:hAnsi="Times New Roman" w:eastAsia="宋体" w:cs="Times New Roman"/>
                <w:sz w:val="21"/>
                <w:highlight w:val="none"/>
                <w14:ligatures w14:val="none"/>
              </w:rPr>
            </w:pPr>
            <w:r>
              <w:rPr>
                <w:rFonts w:ascii="Times New Roman" w:hAnsi="Times New Roman" w:eastAsia="宋体" w:cs="Times New Roman"/>
                <w:sz w:val="21"/>
                <w:highlight w:val="none"/>
                <w14:ligatures w14:val="none"/>
              </w:rPr>
              <w:t>易燃液体，类别3</w:t>
            </w:r>
          </w:p>
        </w:tc>
        <w:tc>
          <w:tcPr>
            <w:tcW w:w="984" w:type="pct"/>
            <w:vAlign w:val="center"/>
          </w:tcPr>
          <w:p w14:paraId="63D71AA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102</w:t>
            </w:r>
          </w:p>
        </w:tc>
        <w:tc>
          <w:tcPr>
            <w:tcW w:w="739" w:type="pct"/>
            <w:vAlign w:val="center"/>
          </w:tcPr>
          <w:p w14:paraId="5CED1256">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5000</w:t>
            </w:r>
          </w:p>
        </w:tc>
      </w:tr>
    </w:tbl>
    <w:p w14:paraId="37FC0D7C">
      <w:pPr>
        <w:ind w:firstLine="560"/>
        <w:rPr>
          <w:rFonts w:ascii="Times New Roman" w:hAnsi="Times New Roman" w:eastAsia="宋体"/>
          <w:highlight w:val="none"/>
        </w:rPr>
      </w:pPr>
      <w:r>
        <w:rPr>
          <w:rFonts w:hint="eastAsia" w:ascii="Times New Roman" w:hAnsi="Times New Roman" w:eastAsia="宋体"/>
          <w:highlight w:val="none"/>
        </w:rPr>
        <w:t>S=q</w:t>
      </w:r>
      <w:r>
        <w:rPr>
          <w:rFonts w:hint="eastAsia" w:ascii="Times New Roman" w:hAnsi="Times New Roman" w:eastAsia="宋体"/>
          <w:highlight w:val="none"/>
          <w:vertAlign w:val="subscript"/>
        </w:rPr>
        <w:t>1</w:t>
      </w:r>
      <w:r>
        <w:rPr>
          <w:rFonts w:hint="eastAsia" w:ascii="Times New Roman" w:hAnsi="Times New Roman" w:eastAsia="宋体"/>
          <w:highlight w:val="none"/>
        </w:rPr>
        <w:t>/Q</w:t>
      </w:r>
      <w:r>
        <w:rPr>
          <w:rFonts w:hint="eastAsia" w:ascii="Times New Roman" w:hAnsi="Times New Roman" w:eastAsia="宋体"/>
          <w:highlight w:val="none"/>
          <w:vertAlign w:val="subscript"/>
        </w:rPr>
        <w:t>1</w:t>
      </w:r>
      <w:r>
        <w:rPr>
          <w:rFonts w:hint="eastAsia" w:ascii="Times New Roman" w:hAnsi="Times New Roman" w:eastAsia="宋体"/>
          <w:highlight w:val="none"/>
        </w:rPr>
        <w:t>+q</w:t>
      </w:r>
      <w:r>
        <w:rPr>
          <w:rFonts w:hint="eastAsia" w:ascii="Times New Roman" w:hAnsi="Times New Roman" w:eastAsia="宋体"/>
          <w:highlight w:val="none"/>
          <w:vertAlign w:val="subscript"/>
        </w:rPr>
        <w:t>2</w:t>
      </w:r>
      <w:r>
        <w:rPr>
          <w:rFonts w:hint="eastAsia" w:ascii="Times New Roman" w:hAnsi="Times New Roman" w:eastAsia="宋体"/>
          <w:highlight w:val="none"/>
        </w:rPr>
        <w:t>/Q</w:t>
      </w:r>
      <w:r>
        <w:rPr>
          <w:rFonts w:hint="eastAsia" w:ascii="Times New Roman" w:hAnsi="Times New Roman" w:eastAsia="宋体"/>
          <w:highlight w:val="none"/>
          <w:vertAlign w:val="subscript"/>
        </w:rPr>
        <w:t>2</w:t>
      </w:r>
      <w:r>
        <w:rPr>
          <w:rFonts w:hint="eastAsia" w:ascii="Times New Roman" w:hAnsi="Times New Roman" w:eastAsia="宋体"/>
          <w:highlight w:val="none"/>
        </w:rPr>
        <w:t>=48/200+102/5000=0.2604＜1。</w:t>
      </w:r>
    </w:p>
    <w:p w14:paraId="3DA11EB9">
      <w:pPr>
        <w:ind w:firstLine="560"/>
        <w:rPr>
          <w:rFonts w:ascii="Times New Roman" w:hAnsi="Times New Roman" w:eastAsia="宋体"/>
          <w:highlight w:val="none"/>
        </w:rPr>
      </w:pPr>
      <w:r>
        <w:rPr>
          <w:rFonts w:hint="eastAsia" w:ascii="Times New Roman" w:hAnsi="Times New Roman" w:eastAsia="宋体"/>
          <w:highlight w:val="none"/>
        </w:rPr>
        <w:t>因此，储罐区未构成危险化学品重大危险源。</w:t>
      </w:r>
    </w:p>
    <w:p w14:paraId="72CB9EB7">
      <w:pPr>
        <w:ind w:firstLine="560"/>
        <w:rPr>
          <w:rFonts w:ascii="Times New Roman" w:hAnsi="Times New Roman" w:eastAsia="宋体"/>
          <w:highlight w:val="none"/>
        </w:rPr>
      </w:pPr>
      <w:r>
        <w:rPr>
          <w:rFonts w:hint="eastAsia" w:ascii="Times New Roman" w:hAnsi="Times New Roman" w:eastAsia="宋体"/>
          <w:highlight w:val="none"/>
        </w:rPr>
        <w:t>综上，该站未构成危险化学品重大危险源。</w:t>
      </w:r>
      <w:r>
        <w:rPr>
          <w:rFonts w:ascii="Times New Roman" w:hAnsi="Times New Roman" w:eastAsia="宋体"/>
          <w:highlight w:val="none"/>
        </w:rPr>
        <w:br w:type="page"/>
      </w:r>
    </w:p>
    <w:p w14:paraId="607A46CC">
      <w:pPr>
        <w:keepNext w:val="0"/>
        <w:keepLines w:val="0"/>
        <w:pageBreakBefore w:val="0"/>
        <w:widowControl w:val="0"/>
        <w:kinsoku/>
        <w:wordWrap/>
        <w:overflowPunct/>
        <w:topLinePunct w:val="0"/>
        <w:autoSpaceDE/>
        <w:autoSpaceDN/>
        <w:bidi w:val="0"/>
        <w:adjustRightInd w:val="0"/>
        <w:snapToGrid w:val="0"/>
        <w:spacing w:before="469" w:beforeLines="150" w:after="468" w:afterLines="150"/>
        <w:ind w:firstLine="0" w:firstLineChars="0"/>
        <w:jc w:val="center"/>
        <w:textAlignment w:val="auto"/>
        <w:outlineLvl w:val="0"/>
        <w:rPr>
          <w:rFonts w:ascii="Times New Roman" w:hAnsi="Times New Roman" w:eastAsia="黑体" w:cs="Times New Roman"/>
          <w:b/>
          <w:bCs/>
          <w:sz w:val="32"/>
          <w:szCs w:val="32"/>
          <w:highlight w:val="none"/>
        </w:rPr>
      </w:pPr>
      <w:bookmarkStart w:id="109" w:name="_Toc187310034"/>
      <w:bookmarkStart w:id="110" w:name="_Toc31133"/>
      <w:r>
        <w:rPr>
          <w:rFonts w:ascii="Times New Roman" w:hAnsi="Times New Roman" w:eastAsia="黑体" w:cs="Times New Roman"/>
          <w:b/>
          <w:bCs/>
          <w:sz w:val="32"/>
          <w:szCs w:val="32"/>
          <w:highlight w:val="none"/>
        </w:rPr>
        <w:t>附件4定性、定量分析危险、有害程度的过程</w:t>
      </w:r>
      <w:bookmarkEnd w:id="109"/>
      <w:bookmarkEnd w:id="110"/>
    </w:p>
    <w:p w14:paraId="34BC6D44">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11" w:name="_Toc207368068"/>
      <w:bookmarkStart w:id="112" w:name="_Toc17510"/>
      <w:bookmarkStart w:id="113" w:name="_Toc28797"/>
      <w:bookmarkStart w:id="114" w:name="_Toc6698"/>
      <w:bookmarkStart w:id="115" w:name="_Toc187310035"/>
      <w:bookmarkStart w:id="116" w:name="_Toc15223"/>
      <w:r>
        <w:rPr>
          <w:rFonts w:ascii="Times New Roman" w:hAnsi="Times New Roman" w:eastAsia="楷体" w:cs="Times New Roman"/>
          <w:b/>
          <w:bCs/>
          <w:sz w:val="32"/>
          <w:szCs w:val="32"/>
          <w:highlight w:val="none"/>
        </w:rPr>
        <w:t>F4.1安全检查表法定性评价过程</w:t>
      </w:r>
      <w:bookmarkEnd w:id="111"/>
    </w:p>
    <w:p w14:paraId="35F3051F">
      <w:pPr>
        <w:ind w:firstLine="560"/>
        <w:rPr>
          <w:rFonts w:ascii="Times New Roman" w:hAnsi="Times New Roman" w:eastAsia="宋体" w:cs="Times New Roman"/>
          <w:szCs w:val="28"/>
          <w:highlight w:val="none"/>
          <w14:ligatures w14:val="none"/>
        </w:rPr>
      </w:pPr>
      <w:r>
        <w:rPr>
          <w:rFonts w:hint="eastAsia" w:ascii="Times New Roman" w:hAnsi="Times New Roman" w:eastAsia="宋体" w:cs="Times New Roman"/>
          <w:szCs w:val="20"/>
          <w:highlight w:val="none"/>
          <w14:ligatures w14:val="none"/>
        </w:rPr>
        <w:t>根据《</w:t>
      </w:r>
      <w:r>
        <w:rPr>
          <w:rFonts w:ascii="Times New Roman" w:hAnsi="Times New Roman" w:eastAsia="宋体" w:cs="Times New Roman"/>
          <w:szCs w:val="20"/>
          <w:highlight w:val="none"/>
          <w14:ligatures w14:val="none"/>
        </w:rPr>
        <w:t>中铁（辽宁）本桓高速公路有限公司</w:t>
      </w:r>
      <w:r>
        <w:rPr>
          <w:rFonts w:hint="eastAsia" w:ascii="Times New Roman" w:hAnsi="Times New Roman" w:eastAsia="宋体" w:cs="Times New Roman"/>
          <w:szCs w:val="20"/>
          <w:highlight w:val="none"/>
          <w:lang w:eastAsia="zh-CN"/>
          <w14:ligatures w14:val="none"/>
        </w:rPr>
        <w:t>八里甸子服务区北侧</w:t>
      </w:r>
      <w:r>
        <w:rPr>
          <w:rFonts w:ascii="Times New Roman" w:hAnsi="Times New Roman" w:eastAsia="宋体" w:cs="Times New Roman"/>
          <w:szCs w:val="20"/>
          <w:highlight w:val="none"/>
          <w14:ligatures w14:val="none"/>
        </w:rPr>
        <w:t>加油站新建项目安全设施设计专篇</w:t>
      </w:r>
      <w:r>
        <w:rPr>
          <w:rFonts w:hint="eastAsia" w:ascii="Times New Roman" w:hAnsi="Times New Roman" w:eastAsia="宋体" w:cs="Times New Roman"/>
          <w:szCs w:val="20"/>
          <w:highlight w:val="none"/>
          <w14:ligatures w14:val="none"/>
        </w:rPr>
        <w:t>》针对安全</w:t>
      </w:r>
      <w:r>
        <w:rPr>
          <w:rFonts w:hint="eastAsia" w:ascii="Times New Roman" w:hAnsi="Times New Roman" w:eastAsia="宋体" w:cs="Times New Roman"/>
          <w:szCs w:val="20"/>
          <w:highlight w:val="none"/>
          <w:lang w:val="en-US" w:eastAsia="zh-CN"/>
          <w14:ligatures w14:val="none"/>
        </w:rPr>
        <w:t>条件</w:t>
      </w:r>
      <w:r>
        <w:rPr>
          <w:rFonts w:hint="eastAsia" w:ascii="Times New Roman" w:hAnsi="Times New Roman" w:eastAsia="宋体" w:cs="Times New Roman"/>
          <w:szCs w:val="20"/>
          <w:highlight w:val="none"/>
          <w14:ligatures w14:val="none"/>
        </w:rPr>
        <w:t>评价报告提出安全对策措施的采纳情况，</w:t>
      </w:r>
      <w:r>
        <w:rPr>
          <w:rFonts w:ascii="Times New Roman" w:hAnsi="Times New Roman" w:eastAsia="宋体" w:cs="Times New Roman"/>
          <w:szCs w:val="20"/>
          <w:highlight w:val="none"/>
          <w14:ligatures w14:val="none"/>
        </w:rPr>
        <w:t>采用</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安全检查表法</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对</w:t>
      </w:r>
      <w:r>
        <w:rPr>
          <w:rFonts w:hint="eastAsia" w:ascii="Times New Roman" w:hAnsi="Times New Roman" w:eastAsia="宋体" w:cs="Times New Roman"/>
          <w:szCs w:val="20"/>
          <w:highlight w:val="none"/>
          <w14:ligatures w14:val="none"/>
        </w:rPr>
        <w:t>本项目</w:t>
      </w:r>
      <w:r>
        <w:rPr>
          <w:rFonts w:ascii="Times New Roman" w:hAnsi="Times New Roman" w:eastAsia="宋体" w:cs="Times New Roman"/>
          <w:szCs w:val="20"/>
          <w:highlight w:val="none"/>
          <w14:ligatures w14:val="none"/>
        </w:rPr>
        <w:t>的选址及总平面布置、</w:t>
      </w:r>
      <w:r>
        <w:rPr>
          <w:rFonts w:ascii="Times New Roman" w:hAnsi="Times New Roman" w:eastAsia="宋体" w:cs="Times New Roman"/>
          <w:szCs w:val="28"/>
          <w:highlight w:val="none"/>
          <w14:ligatures w14:val="none"/>
        </w:rPr>
        <w:t>加油工艺设备及设施、公用工程及辅助设施</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消防设施及给排水</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电气、防雷、防静电、报警和紧急切断系统</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建（构）筑物、绿化</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以及安全管理单元</w:t>
      </w:r>
      <w:r>
        <w:rPr>
          <w:rFonts w:ascii="Times New Roman" w:hAnsi="Times New Roman" w:eastAsia="宋体" w:cs="Times New Roman"/>
          <w:szCs w:val="20"/>
          <w:highlight w:val="none"/>
          <w14:ligatures w14:val="none"/>
        </w:rPr>
        <w:t>进行分析评价详见附表4.1-1，</w:t>
      </w:r>
      <w:r>
        <w:rPr>
          <w:rFonts w:hint="eastAsia" w:ascii="Times New Roman" w:hAnsi="Times New Roman" w:eastAsia="宋体" w:cs="Times New Roman"/>
          <w:szCs w:val="20"/>
          <w:highlight w:val="none"/>
          <w14:ligatures w14:val="none"/>
        </w:rPr>
        <w:t>针对</w:t>
      </w:r>
      <w:r>
        <w:rPr>
          <w:rFonts w:ascii="Times New Roman" w:hAnsi="Times New Roman" w:eastAsia="宋体" w:cs="Times New Roman"/>
          <w:szCs w:val="20"/>
          <w:highlight w:val="none"/>
          <w14:ligatures w14:val="none"/>
        </w:rPr>
        <w:t>重大生产安全事故隐患判定</w:t>
      </w:r>
      <w:r>
        <w:rPr>
          <w:rFonts w:hint="eastAsia" w:ascii="Times New Roman" w:hAnsi="Times New Roman" w:eastAsia="宋体" w:cs="Times New Roman"/>
          <w:szCs w:val="20"/>
          <w:highlight w:val="none"/>
          <w14:ligatures w14:val="none"/>
        </w:rPr>
        <w:t>单元</w:t>
      </w:r>
      <w:r>
        <w:rPr>
          <w:rFonts w:ascii="Times New Roman" w:hAnsi="Times New Roman" w:eastAsia="宋体" w:cs="Times New Roman"/>
          <w:szCs w:val="20"/>
          <w:highlight w:val="none"/>
          <w14:ligatures w14:val="none"/>
        </w:rPr>
        <w:t>评价过程</w:t>
      </w:r>
      <w:r>
        <w:rPr>
          <w:rFonts w:hint="eastAsia" w:ascii="Times New Roman" w:hAnsi="Times New Roman" w:eastAsia="宋体" w:cs="Times New Roman"/>
          <w:szCs w:val="20"/>
          <w:highlight w:val="none"/>
          <w14:ligatures w14:val="none"/>
        </w:rPr>
        <w:t>见</w:t>
      </w:r>
      <w:r>
        <w:rPr>
          <w:rFonts w:ascii="Times New Roman" w:hAnsi="Times New Roman" w:eastAsia="宋体" w:cs="Times New Roman"/>
          <w:szCs w:val="20"/>
          <w:highlight w:val="none"/>
          <w14:ligatures w14:val="none"/>
        </w:rPr>
        <w:t>附表4.1-2，站内加油工艺设备</w:t>
      </w:r>
      <w:r>
        <w:rPr>
          <w:rFonts w:hint="eastAsia" w:ascii="Times New Roman" w:hAnsi="Times New Roman" w:eastAsia="宋体" w:cs="Times New Roman"/>
          <w:szCs w:val="20"/>
          <w:highlight w:val="none"/>
          <w14:ligatures w14:val="none"/>
        </w:rPr>
        <w:t>防火间距及</w:t>
      </w:r>
      <w:r>
        <w:rPr>
          <w:rFonts w:ascii="Times New Roman" w:hAnsi="Times New Roman" w:eastAsia="宋体" w:cs="Times New Roman"/>
          <w:szCs w:val="20"/>
          <w:highlight w:val="none"/>
          <w14:ligatures w14:val="none"/>
        </w:rPr>
        <w:t>与站外建（构）筑物安全间距详见附表4.1-3</w:t>
      </w:r>
      <w:r>
        <w:rPr>
          <w:rFonts w:hint="eastAsia" w:ascii="Times New Roman" w:hAnsi="Times New Roman" w:eastAsia="宋体" w:cs="Times New Roman"/>
          <w:szCs w:val="20"/>
          <w:highlight w:val="none"/>
          <w14:ligatures w14:val="none"/>
        </w:rPr>
        <w:t>和</w:t>
      </w:r>
      <w:r>
        <w:rPr>
          <w:rFonts w:ascii="Times New Roman" w:hAnsi="Times New Roman" w:eastAsia="宋体" w:cs="Times New Roman"/>
          <w:szCs w:val="20"/>
          <w:highlight w:val="none"/>
          <w14:ligatures w14:val="none"/>
        </w:rPr>
        <w:t>4.1-4。</w:t>
      </w:r>
    </w:p>
    <w:p w14:paraId="30B1532D">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附表4.1-1  安全检查表</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1"/>
        <w:gridCol w:w="3318"/>
        <w:gridCol w:w="2298"/>
        <w:gridCol w:w="2131"/>
        <w:gridCol w:w="789"/>
      </w:tblGrid>
      <w:tr w14:paraId="7296D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blHeader/>
          <w:jc w:val="center"/>
        </w:trPr>
        <w:tc>
          <w:tcPr>
            <w:tcW w:w="461" w:type="pct"/>
            <w:vAlign w:val="center"/>
          </w:tcPr>
          <w:p w14:paraId="6B32B8A6">
            <w:pPr>
              <w:tabs>
                <w:tab w:val="left" w:pos="3532"/>
              </w:tabs>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项目</w:t>
            </w:r>
          </w:p>
        </w:tc>
        <w:tc>
          <w:tcPr>
            <w:tcW w:w="1768" w:type="pct"/>
            <w:vAlign w:val="center"/>
          </w:tcPr>
          <w:p w14:paraId="13E2A268">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检查内容</w:t>
            </w:r>
          </w:p>
        </w:tc>
        <w:tc>
          <w:tcPr>
            <w:tcW w:w="1225" w:type="pct"/>
            <w:vAlign w:val="center"/>
          </w:tcPr>
          <w:p w14:paraId="787D2B0C">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依据</w:t>
            </w:r>
          </w:p>
        </w:tc>
        <w:tc>
          <w:tcPr>
            <w:tcW w:w="1124" w:type="pct"/>
            <w:vAlign w:val="center"/>
          </w:tcPr>
          <w:p w14:paraId="74E95F32">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检查记录</w:t>
            </w:r>
          </w:p>
        </w:tc>
        <w:tc>
          <w:tcPr>
            <w:tcW w:w="422" w:type="pct"/>
            <w:vAlign w:val="center"/>
          </w:tcPr>
          <w:p w14:paraId="37F5FA79">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结论</w:t>
            </w:r>
          </w:p>
        </w:tc>
      </w:tr>
      <w:tr w14:paraId="66604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1ED4D79C">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一</w:t>
            </w:r>
            <w:r>
              <w:rPr>
                <w:rFonts w:ascii="Times New Roman" w:hAnsi="Times New Roman" w:eastAsia="宋体" w:cs="Times New Roman"/>
                <w:kern w:val="28"/>
                <w:sz w:val="21"/>
                <w:szCs w:val="21"/>
                <w:highlight w:val="none"/>
                <w14:ligatures w14:val="none"/>
              </w:rPr>
              <w:t>、选址及总平面布置</w:t>
            </w:r>
            <w:r>
              <w:rPr>
                <w:rFonts w:hint="eastAsia" w:ascii="Times New Roman" w:hAnsi="Times New Roman" w:eastAsia="宋体" w:cs="Times New Roman"/>
                <w:kern w:val="28"/>
                <w:sz w:val="21"/>
                <w:szCs w:val="21"/>
                <w:highlight w:val="none"/>
                <w14:ligatures w14:val="none"/>
              </w:rPr>
              <w:t>单元</w:t>
            </w:r>
          </w:p>
        </w:tc>
      </w:tr>
      <w:tr w14:paraId="52D25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16FCE870">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选址及总平面布置</w:t>
            </w:r>
            <w:r>
              <w:rPr>
                <w:rFonts w:hint="eastAsia" w:ascii="Times New Roman" w:hAnsi="Times New Roman" w:eastAsia="宋体" w:cs="Times New Roman"/>
                <w:kern w:val="28"/>
                <w:sz w:val="21"/>
                <w:szCs w:val="21"/>
                <w:highlight w:val="none"/>
                <w14:ligatures w14:val="none"/>
              </w:rPr>
              <w:t>单元</w:t>
            </w:r>
          </w:p>
        </w:tc>
        <w:tc>
          <w:tcPr>
            <w:tcW w:w="1768" w:type="pct"/>
            <w:vAlign w:val="center"/>
          </w:tcPr>
          <w:p w14:paraId="7F6DE0C8">
            <w:pPr>
              <w:numPr>
                <w:ilvl w:val="0"/>
                <w:numId w:val="6"/>
              </w:numPr>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加油站内乙醇汽油设施的设计，除应符合本标准的规定外，尚应符合现行国家标准《车用乙醇汽油储运设计规范》（GB/T 50610-2010）的有关规定。</w:t>
            </w:r>
          </w:p>
        </w:tc>
        <w:tc>
          <w:tcPr>
            <w:tcW w:w="1225" w:type="pct"/>
            <w:vAlign w:val="center"/>
          </w:tcPr>
          <w:p w14:paraId="35555F87">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《汽车加油加气加氢站技术标准》</w:t>
            </w:r>
          </w:p>
          <w:p w14:paraId="273E9616">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（GB50156-2021）</w:t>
            </w:r>
          </w:p>
          <w:p w14:paraId="27108DE1">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第3.0.4条</w:t>
            </w:r>
          </w:p>
        </w:tc>
        <w:tc>
          <w:tcPr>
            <w:tcW w:w="1124" w:type="pct"/>
            <w:vAlign w:val="center"/>
          </w:tcPr>
          <w:p w14:paraId="411FB9F2">
            <w:pPr>
              <w:spacing w:line="240" w:lineRule="auto"/>
              <w:ind w:firstLine="0" w:firstLineChars="0"/>
              <w:rPr>
                <w:rFonts w:hint="eastAsia" w:ascii="Times New Roman" w:hAnsi="Times New Roman" w:eastAsia="宋体" w:cs="宋体"/>
                <w:sz w:val="21"/>
                <w:szCs w:val="21"/>
                <w:highlight w:val="none"/>
                <w14:ligatures w14:val="none"/>
              </w:rPr>
            </w:pPr>
            <w:r>
              <w:rPr>
                <w:rFonts w:hint="eastAsia" w:ascii="宋体" w:hAnsi="宋体" w:eastAsia="宋体" w:cs="宋体"/>
                <w:kern w:val="0"/>
                <w:sz w:val="21"/>
                <w:szCs w:val="21"/>
                <w:highlight w:val="none"/>
                <w14:ligatures w14:val="none"/>
              </w:rPr>
              <w:t>站</w:t>
            </w:r>
            <w:r>
              <w:rPr>
                <w:rFonts w:hint="eastAsia" w:ascii="Times New Roman" w:hAnsi="Times New Roman" w:eastAsia="宋体" w:cs="宋体"/>
                <w:sz w:val="21"/>
                <w:szCs w:val="21"/>
                <w:highlight w:val="none"/>
                <w14:ligatures w14:val="none"/>
              </w:rPr>
              <w:t>内乙醇汽油设施的设计符合现行国家标准《车用乙醇汽油储运设计规范》</w:t>
            </w:r>
          </w:p>
          <w:p w14:paraId="792D3E25">
            <w:pPr>
              <w:spacing w:line="240" w:lineRule="auto"/>
              <w:ind w:firstLine="0" w:firstLineChars="0"/>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（GB/T50610-2010）</w:t>
            </w:r>
          </w:p>
          <w:p w14:paraId="57B60B59">
            <w:pPr>
              <w:spacing w:line="240" w:lineRule="auto"/>
              <w:ind w:firstLine="0" w:firstLineChars="0"/>
              <w:rPr>
                <w:rFonts w:ascii="Times New Roman" w:hAnsi="Times New Roman" w:eastAsia="宋体" w:cs="Times New Roman"/>
                <w:color w:val="FF0000"/>
                <w:kern w:val="28"/>
                <w:sz w:val="21"/>
                <w:szCs w:val="21"/>
                <w:highlight w:val="none"/>
                <w14:ligatures w14:val="none"/>
              </w:rPr>
            </w:pPr>
            <w:r>
              <w:rPr>
                <w:rFonts w:hint="eastAsia" w:ascii="Times New Roman" w:hAnsi="Times New Roman" w:eastAsia="宋体" w:cs="宋体"/>
                <w:sz w:val="21"/>
                <w:szCs w:val="21"/>
                <w:highlight w:val="none"/>
                <w14:ligatures w14:val="none"/>
              </w:rPr>
              <w:t>的有关规定</w:t>
            </w:r>
          </w:p>
        </w:tc>
        <w:tc>
          <w:tcPr>
            <w:tcW w:w="422" w:type="pct"/>
            <w:vAlign w:val="center"/>
          </w:tcPr>
          <w:p w14:paraId="7DDE438C">
            <w:pPr>
              <w:spacing w:line="240" w:lineRule="auto"/>
              <w:ind w:firstLine="0" w:firstLineChars="0"/>
              <w:jc w:val="center"/>
              <w:rPr>
                <w:rFonts w:ascii="Times New Roman" w:hAnsi="Times New Roman" w:eastAsia="宋体" w:cs="Times New Roman"/>
                <w:color w:val="FF0000"/>
                <w:kern w:val="28"/>
                <w:sz w:val="21"/>
                <w:szCs w:val="21"/>
                <w:highlight w:val="none"/>
                <w14:ligatures w14:val="none"/>
              </w:rPr>
            </w:pPr>
            <w:r>
              <w:rPr>
                <w:rFonts w:ascii="Times New Roman" w:hAnsi="Times New Roman" w:eastAsia="宋体" w:cs="Times New Roman"/>
                <w:kern w:val="28"/>
                <w:sz w:val="21"/>
                <w:szCs w:val="21"/>
                <w:highlight w:val="none"/>
                <w14:ligatures w14:val="none"/>
              </w:rPr>
              <w:t>符合</w:t>
            </w:r>
          </w:p>
        </w:tc>
      </w:tr>
      <w:tr w14:paraId="21BD3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ABF94D4">
            <w:pPr>
              <w:spacing w:line="240" w:lineRule="auto"/>
              <w:ind w:firstLine="0" w:firstLineChars="0"/>
              <w:jc w:val="center"/>
              <w:rPr>
                <w:rFonts w:ascii="Times New Roman" w:hAnsi="Times New Roman" w:eastAsia="宋体" w:cs="Times New Roman"/>
                <w:kern w:val="28"/>
                <w:sz w:val="21"/>
                <w:szCs w:val="21"/>
                <w:highlight w:val="none"/>
                <w14:ligatures w14:val="none"/>
              </w:rPr>
            </w:pPr>
          </w:p>
        </w:tc>
        <w:tc>
          <w:tcPr>
            <w:tcW w:w="1768" w:type="pct"/>
            <w:vAlign w:val="center"/>
          </w:tcPr>
          <w:p w14:paraId="52BD7E5A">
            <w:pPr>
              <w:numPr>
                <w:ilvl w:val="0"/>
                <w:numId w:val="6"/>
              </w:numPr>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汽车加油加气站内不应设置存放甲、乙类火灾危险性物品的封闭式房间。</w:t>
            </w:r>
          </w:p>
        </w:tc>
        <w:tc>
          <w:tcPr>
            <w:tcW w:w="1225" w:type="pct"/>
            <w:vAlign w:val="center"/>
          </w:tcPr>
          <w:p w14:paraId="4AA52DC4">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《汽车加油加气加氢站技术标准》（GB50156-2021）</w:t>
            </w:r>
          </w:p>
          <w:p w14:paraId="3DD9A7B2">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第3.0.25条</w:t>
            </w:r>
          </w:p>
        </w:tc>
        <w:tc>
          <w:tcPr>
            <w:tcW w:w="1124" w:type="pct"/>
            <w:vAlign w:val="center"/>
          </w:tcPr>
          <w:p w14:paraId="62033C4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宋体" w:hAnsi="宋体" w:eastAsia="宋体" w:cs="宋体"/>
                <w:kern w:val="0"/>
                <w:sz w:val="21"/>
                <w:szCs w:val="21"/>
                <w:highlight w:val="none"/>
                <w14:ligatures w14:val="none"/>
              </w:rPr>
              <w:t>站内未</w:t>
            </w:r>
            <w:r>
              <w:rPr>
                <w:rFonts w:hint="eastAsia" w:ascii="Times New Roman" w:hAnsi="Times New Roman" w:eastAsia="宋体" w:cs="宋体"/>
                <w:sz w:val="21"/>
                <w:szCs w:val="21"/>
                <w:highlight w:val="none"/>
                <w14:ligatures w14:val="none"/>
              </w:rPr>
              <w:t>设置存放甲、乙类火灾危险性物品的封闭式房间</w:t>
            </w:r>
          </w:p>
        </w:tc>
        <w:tc>
          <w:tcPr>
            <w:tcW w:w="422" w:type="pct"/>
            <w:vAlign w:val="center"/>
          </w:tcPr>
          <w:p w14:paraId="312CE0EA">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符合</w:t>
            </w:r>
          </w:p>
        </w:tc>
      </w:tr>
      <w:tr w14:paraId="1BA0F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32A1851">
            <w:pPr>
              <w:spacing w:line="240" w:lineRule="auto"/>
              <w:ind w:firstLine="0" w:firstLineChars="0"/>
              <w:jc w:val="center"/>
              <w:rPr>
                <w:rFonts w:ascii="Times New Roman" w:hAnsi="Times New Roman" w:eastAsia="宋体" w:cs="Times New Roman"/>
                <w:kern w:val="28"/>
                <w:sz w:val="21"/>
                <w:szCs w:val="21"/>
                <w:highlight w:val="none"/>
                <w14:ligatures w14:val="none"/>
              </w:rPr>
            </w:pPr>
          </w:p>
        </w:tc>
        <w:tc>
          <w:tcPr>
            <w:tcW w:w="1768" w:type="pct"/>
            <w:vAlign w:val="center"/>
          </w:tcPr>
          <w:p w14:paraId="30F3C527">
            <w:pPr>
              <w:numPr>
                <w:ilvl w:val="0"/>
                <w:numId w:val="6"/>
              </w:numPr>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汽车加油加气站应设置电视监视系统，监视范围应覆盖作业区。</w:t>
            </w:r>
          </w:p>
        </w:tc>
        <w:tc>
          <w:tcPr>
            <w:tcW w:w="1225" w:type="pct"/>
            <w:vAlign w:val="center"/>
          </w:tcPr>
          <w:p w14:paraId="12DF2809">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《汽车加油加气加氢站技术标准》（GB50156-2021）</w:t>
            </w:r>
          </w:p>
          <w:p w14:paraId="160FA3F5">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第3.0.27条</w:t>
            </w:r>
          </w:p>
        </w:tc>
        <w:tc>
          <w:tcPr>
            <w:tcW w:w="1124" w:type="pct"/>
            <w:vAlign w:val="center"/>
          </w:tcPr>
          <w:p w14:paraId="7111BACE">
            <w:pPr>
              <w:spacing w:line="240" w:lineRule="auto"/>
              <w:ind w:firstLine="0" w:firstLineChars="0"/>
              <w:rPr>
                <w:rFonts w:hint="eastAsia" w:ascii="Times New Roman" w:hAnsi="Times New Roman" w:eastAsia="宋体" w:cs="Times New Roman"/>
                <w:color w:val="FF0000"/>
                <w:kern w:val="28"/>
                <w:sz w:val="21"/>
                <w:szCs w:val="21"/>
                <w:highlight w:val="none"/>
                <w14:ligatures w14:val="none"/>
              </w:rPr>
            </w:pPr>
            <w:r>
              <w:rPr>
                <w:rFonts w:hint="eastAsia" w:ascii="Times New Roman" w:hAnsi="Times New Roman" w:eastAsia="宋体" w:cs="宋体"/>
                <w:sz w:val="21"/>
                <w:szCs w:val="21"/>
                <w:highlight w:val="none"/>
                <w14:ligatures w14:val="none"/>
              </w:rPr>
              <w:t>站内设置电视监视系统，且监视范围覆盖作业区</w:t>
            </w:r>
          </w:p>
        </w:tc>
        <w:tc>
          <w:tcPr>
            <w:tcW w:w="422" w:type="pct"/>
            <w:vAlign w:val="center"/>
          </w:tcPr>
          <w:p w14:paraId="503851A5">
            <w:pPr>
              <w:spacing w:line="240" w:lineRule="auto"/>
              <w:ind w:firstLine="0" w:firstLineChars="0"/>
              <w:jc w:val="center"/>
              <w:rPr>
                <w:rFonts w:ascii="Times New Roman" w:hAnsi="Times New Roman" w:eastAsia="宋体" w:cs="Times New Roman"/>
                <w:color w:val="FF0000"/>
                <w:kern w:val="28"/>
                <w:sz w:val="21"/>
                <w:szCs w:val="21"/>
                <w:highlight w:val="none"/>
                <w14:ligatures w14:val="none"/>
              </w:rPr>
            </w:pPr>
            <w:r>
              <w:rPr>
                <w:rFonts w:ascii="Times New Roman" w:hAnsi="Times New Roman" w:eastAsia="宋体" w:cs="Times New Roman"/>
                <w:kern w:val="28"/>
                <w:sz w:val="21"/>
                <w:szCs w:val="21"/>
                <w:highlight w:val="none"/>
                <w14:ligatures w14:val="none"/>
              </w:rPr>
              <w:t>符合</w:t>
            </w:r>
          </w:p>
        </w:tc>
      </w:tr>
      <w:tr w14:paraId="235DE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8D05F8B">
            <w:pPr>
              <w:spacing w:line="240" w:lineRule="auto"/>
              <w:ind w:firstLine="0" w:firstLineChars="0"/>
              <w:jc w:val="center"/>
              <w:rPr>
                <w:rFonts w:ascii="Times New Roman" w:hAnsi="Times New Roman" w:eastAsia="宋体" w:cs="Times New Roman"/>
                <w:kern w:val="28"/>
                <w:sz w:val="21"/>
                <w:szCs w:val="21"/>
                <w:highlight w:val="none"/>
                <w14:ligatures w14:val="none"/>
              </w:rPr>
            </w:pPr>
          </w:p>
        </w:tc>
        <w:tc>
          <w:tcPr>
            <w:tcW w:w="1768" w:type="pct"/>
            <w:vAlign w:val="center"/>
          </w:tcPr>
          <w:p w14:paraId="3CEDFBD6">
            <w:pPr>
              <w:numPr>
                <w:ilvl w:val="0"/>
                <w:numId w:val="6"/>
              </w:numPr>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加油作业区与辅助服务区之间应有界线标识。</w:t>
            </w:r>
          </w:p>
        </w:tc>
        <w:tc>
          <w:tcPr>
            <w:tcW w:w="1225" w:type="pct"/>
            <w:vAlign w:val="center"/>
          </w:tcPr>
          <w:p w14:paraId="10E31E42">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《汽车加油加气加氢站技术标准》（GB50156-2021）</w:t>
            </w:r>
          </w:p>
          <w:p w14:paraId="740C7176">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第5.0.3条</w:t>
            </w:r>
          </w:p>
        </w:tc>
        <w:tc>
          <w:tcPr>
            <w:tcW w:w="1124" w:type="pct"/>
            <w:vAlign w:val="center"/>
          </w:tcPr>
          <w:p w14:paraId="1C69B182">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宋体" w:hAnsi="宋体" w:eastAsia="宋体" w:cs="宋体"/>
                <w:sz w:val="21"/>
                <w:szCs w:val="21"/>
                <w:highlight w:val="none"/>
                <w14:ligatures w14:val="none"/>
              </w:rPr>
              <w:t>加油作业区与辅助作业区之间有明显界线标识</w:t>
            </w:r>
          </w:p>
        </w:tc>
        <w:tc>
          <w:tcPr>
            <w:tcW w:w="422" w:type="pct"/>
            <w:vAlign w:val="center"/>
          </w:tcPr>
          <w:p w14:paraId="1DCB8299">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DA65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5869F24">
            <w:pPr>
              <w:spacing w:line="240" w:lineRule="auto"/>
              <w:ind w:firstLine="0" w:firstLineChars="0"/>
              <w:jc w:val="center"/>
              <w:rPr>
                <w:rFonts w:ascii="Times New Roman" w:hAnsi="Times New Roman" w:eastAsia="宋体" w:cs="Times New Roman"/>
                <w:kern w:val="28"/>
                <w:sz w:val="21"/>
                <w:szCs w:val="21"/>
                <w:highlight w:val="none"/>
                <w14:ligatures w14:val="none"/>
              </w:rPr>
            </w:pPr>
          </w:p>
        </w:tc>
        <w:tc>
          <w:tcPr>
            <w:tcW w:w="1768" w:type="pct"/>
            <w:vAlign w:val="center"/>
          </w:tcPr>
          <w:p w14:paraId="789418C4">
            <w:pPr>
              <w:numPr>
                <w:ilvl w:val="0"/>
                <w:numId w:val="6"/>
              </w:numPr>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加油作业区内，不得有“明火地点”或“散发火花地点”。</w:t>
            </w:r>
          </w:p>
        </w:tc>
        <w:tc>
          <w:tcPr>
            <w:tcW w:w="1225" w:type="pct"/>
            <w:vAlign w:val="center"/>
          </w:tcPr>
          <w:p w14:paraId="64871E99">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《汽车加油加气加氢站技术标准》（GB50156-2021）</w:t>
            </w:r>
          </w:p>
          <w:p w14:paraId="2EADB61D">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第5.0.5条</w:t>
            </w:r>
          </w:p>
        </w:tc>
        <w:tc>
          <w:tcPr>
            <w:tcW w:w="1124" w:type="pct"/>
            <w:vAlign w:val="center"/>
          </w:tcPr>
          <w:p w14:paraId="59304AE7">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宋体" w:hAnsi="宋体" w:eastAsia="宋体" w:cs="宋体"/>
                <w:sz w:val="21"/>
                <w:szCs w:val="21"/>
                <w:highlight w:val="none"/>
                <w14:ligatures w14:val="none"/>
              </w:rPr>
              <w:t>加油作业区内无明火或散发火花地点</w:t>
            </w:r>
          </w:p>
        </w:tc>
        <w:tc>
          <w:tcPr>
            <w:tcW w:w="422" w:type="pct"/>
            <w:vAlign w:val="center"/>
          </w:tcPr>
          <w:p w14:paraId="2CB66DFD">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5478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146EEAD">
            <w:pPr>
              <w:spacing w:line="240" w:lineRule="auto"/>
              <w:ind w:firstLine="0" w:firstLineChars="0"/>
              <w:jc w:val="center"/>
              <w:rPr>
                <w:rFonts w:ascii="Times New Roman" w:hAnsi="Times New Roman" w:eastAsia="宋体" w:cs="Times New Roman"/>
                <w:kern w:val="28"/>
                <w:sz w:val="21"/>
                <w:szCs w:val="21"/>
                <w:highlight w:val="none"/>
                <w14:ligatures w14:val="none"/>
              </w:rPr>
            </w:pPr>
          </w:p>
        </w:tc>
        <w:tc>
          <w:tcPr>
            <w:tcW w:w="1768" w:type="pct"/>
            <w:vAlign w:val="center"/>
          </w:tcPr>
          <w:p w14:paraId="393F2336">
            <w:pPr>
              <w:numPr>
                <w:ilvl w:val="0"/>
                <w:numId w:val="6"/>
              </w:numPr>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加油站的爆炸危险区域，不应超出站区围墙和可用地界线。</w:t>
            </w:r>
          </w:p>
        </w:tc>
        <w:tc>
          <w:tcPr>
            <w:tcW w:w="1225" w:type="pct"/>
            <w:vAlign w:val="center"/>
          </w:tcPr>
          <w:p w14:paraId="4636A995">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《汽车加油加气加氢站技术标准》（GB50156-2021）</w:t>
            </w:r>
          </w:p>
          <w:p w14:paraId="3A14803D">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第5.0.11条</w:t>
            </w:r>
          </w:p>
        </w:tc>
        <w:tc>
          <w:tcPr>
            <w:tcW w:w="1124" w:type="pct"/>
            <w:vAlign w:val="center"/>
          </w:tcPr>
          <w:p w14:paraId="3F886619">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宋体" w:hAnsi="宋体" w:eastAsia="宋体" w:cs="宋体"/>
                <w:sz w:val="21"/>
                <w:szCs w:val="21"/>
                <w:highlight w:val="none"/>
                <w14:ligatures w14:val="none"/>
              </w:rPr>
              <w:t>爆炸危险区域没有超出站区围墙和可用地界线</w:t>
            </w:r>
          </w:p>
        </w:tc>
        <w:tc>
          <w:tcPr>
            <w:tcW w:w="422" w:type="pct"/>
            <w:vAlign w:val="center"/>
          </w:tcPr>
          <w:p w14:paraId="6EC1A0ED">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D1B3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42FC111">
            <w:pPr>
              <w:spacing w:line="240" w:lineRule="auto"/>
              <w:ind w:firstLine="0" w:firstLineChars="0"/>
              <w:jc w:val="center"/>
              <w:rPr>
                <w:rFonts w:ascii="Times New Roman" w:hAnsi="Times New Roman" w:eastAsia="宋体" w:cs="Times New Roman"/>
                <w:kern w:val="28"/>
                <w:sz w:val="21"/>
                <w:szCs w:val="21"/>
                <w:highlight w:val="none"/>
                <w14:ligatures w14:val="none"/>
              </w:rPr>
            </w:pPr>
          </w:p>
        </w:tc>
        <w:tc>
          <w:tcPr>
            <w:tcW w:w="1768" w:type="pct"/>
            <w:vAlign w:val="center"/>
          </w:tcPr>
          <w:p w14:paraId="670E8DBA">
            <w:pPr>
              <w:numPr>
                <w:ilvl w:val="0"/>
                <w:numId w:val="6"/>
              </w:numPr>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本标准表5.0.13-1和表5.0.13-2中，工艺设备与站区围墙的防火间距还应符合本标准第5.0.11条的规定。设备或建（构）筑物的计算间距起止点应符合本标准附录A的规定。</w:t>
            </w:r>
          </w:p>
        </w:tc>
        <w:tc>
          <w:tcPr>
            <w:tcW w:w="1225" w:type="pct"/>
            <w:vAlign w:val="center"/>
          </w:tcPr>
          <w:p w14:paraId="34600FC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44A451E">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宋体"/>
                <w:sz w:val="21"/>
                <w:szCs w:val="21"/>
                <w:highlight w:val="none"/>
                <w14:ligatures w14:val="none"/>
              </w:rPr>
              <w:t>第5.0.15条</w:t>
            </w:r>
          </w:p>
        </w:tc>
        <w:tc>
          <w:tcPr>
            <w:tcW w:w="1124" w:type="pct"/>
            <w:vAlign w:val="center"/>
          </w:tcPr>
          <w:p w14:paraId="104A8B7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宋体"/>
                <w:sz w:val="21"/>
                <w:szCs w:val="21"/>
                <w:highlight w:val="none"/>
                <w14:ligatures w14:val="none"/>
              </w:rPr>
              <w:t>本站工艺设备与站区围墙的防火间距符合本标准的规定。</w:t>
            </w:r>
          </w:p>
        </w:tc>
        <w:tc>
          <w:tcPr>
            <w:tcW w:w="422" w:type="pct"/>
            <w:vAlign w:val="center"/>
          </w:tcPr>
          <w:p w14:paraId="16D4CF23">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符合</w:t>
            </w:r>
          </w:p>
        </w:tc>
      </w:tr>
      <w:tr w14:paraId="58452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928EF8A">
            <w:pPr>
              <w:spacing w:line="240" w:lineRule="auto"/>
              <w:ind w:firstLine="0" w:firstLineChars="0"/>
              <w:jc w:val="center"/>
              <w:rPr>
                <w:rFonts w:ascii="Times New Roman" w:hAnsi="Times New Roman" w:eastAsia="宋体" w:cs="Times New Roman"/>
                <w:kern w:val="28"/>
                <w:sz w:val="21"/>
                <w:szCs w:val="21"/>
                <w:highlight w:val="none"/>
                <w14:ligatures w14:val="none"/>
              </w:rPr>
            </w:pPr>
          </w:p>
        </w:tc>
        <w:tc>
          <w:tcPr>
            <w:tcW w:w="1768" w:type="pct"/>
            <w:vAlign w:val="center"/>
          </w:tcPr>
          <w:p w14:paraId="527A4132">
            <w:pPr>
              <w:numPr>
                <w:ilvl w:val="0"/>
                <w:numId w:val="6"/>
              </w:numPr>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加油站内爆炸危险区域的等级和范围划分，应符合本标准附录C的规定。</w:t>
            </w:r>
          </w:p>
        </w:tc>
        <w:tc>
          <w:tcPr>
            <w:tcW w:w="1225" w:type="pct"/>
            <w:vAlign w:val="center"/>
          </w:tcPr>
          <w:p w14:paraId="3724009E">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《汽车加油加气加氢站技术标准》（GB50156-2021）</w:t>
            </w:r>
          </w:p>
          <w:p w14:paraId="7B3884FC">
            <w:pPr>
              <w:spacing w:line="240" w:lineRule="auto"/>
              <w:ind w:firstLine="0" w:firstLineChars="0"/>
              <w:jc w:val="center"/>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第5.0.16条</w:t>
            </w:r>
          </w:p>
        </w:tc>
        <w:tc>
          <w:tcPr>
            <w:tcW w:w="1124" w:type="pct"/>
            <w:vAlign w:val="center"/>
          </w:tcPr>
          <w:p w14:paraId="4252C4B6">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宋体" w:hAnsi="宋体" w:eastAsia="宋体" w:cs="宋体"/>
                <w:kern w:val="0"/>
                <w:sz w:val="21"/>
                <w:szCs w:val="21"/>
                <w:highlight w:val="none"/>
                <w14:ligatures w14:val="none"/>
              </w:rPr>
              <w:t>已按附录</w:t>
            </w:r>
            <w:r>
              <w:rPr>
                <w:rFonts w:ascii="Times New Roman" w:hAnsi="Times New Roman" w:eastAsia="宋体" w:cs="Times New Roman"/>
                <w:kern w:val="0"/>
                <w:sz w:val="21"/>
                <w:szCs w:val="21"/>
                <w:highlight w:val="none"/>
                <w14:ligatures w14:val="none"/>
              </w:rPr>
              <w:t>C</w:t>
            </w:r>
            <w:r>
              <w:rPr>
                <w:rFonts w:hint="eastAsia" w:ascii="宋体" w:hAnsi="宋体" w:eastAsia="宋体" w:cs="宋体"/>
                <w:kern w:val="0"/>
                <w:sz w:val="21"/>
                <w:szCs w:val="21"/>
                <w:highlight w:val="none"/>
                <w14:ligatures w14:val="none"/>
              </w:rPr>
              <w:t>划分爆炸危险区域</w:t>
            </w:r>
          </w:p>
        </w:tc>
        <w:tc>
          <w:tcPr>
            <w:tcW w:w="422" w:type="pct"/>
            <w:vAlign w:val="center"/>
          </w:tcPr>
          <w:p w14:paraId="7C515C0C">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符合</w:t>
            </w:r>
          </w:p>
        </w:tc>
      </w:tr>
      <w:tr w14:paraId="6081D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6F2B0593">
            <w:pPr>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二</w:t>
            </w:r>
            <w:r>
              <w:rPr>
                <w:rFonts w:ascii="Times New Roman" w:hAnsi="Times New Roman" w:eastAsia="宋体" w:cs="Times New Roman"/>
                <w:kern w:val="28"/>
                <w:sz w:val="21"/>
                <w:szCs w:val="21"/>
                <w:highlight w:val="none"/>
                <w14:ligatures w14:val="none"/>
              </w:rPr>
              <w:t>、加油工艺设备及设施</w:t>
            </w:r>
            <w:r>
              <w:rPr>
                <w:rFonts w:hint="eastAsia" w:ascii="Times New Roman" w:hAnsi="Times New Roman" w:eastAsia="宋体" w:cs="Times New Roman"/>
                <w:kern w:val="28"/>
                <w:sz w:val="21"/>
                <w:szCs w:val="21"/>
                <w:highlight w:val="none"/>
                <w14:ligatures w14:val="none"/>
              </w:rPr>
              <w:t>单元</w:t>
            </w:r>
          </w:p>
        </w:tc>
      </w:tr>
      <w:tr w14:paraId="16958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71091C7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加油工艺设备及设施</w:t>
            </w:r>
            <w:r>
              <w:rPr>
                <w:rFonts w:hint="eastAsia" w:ascii="Times New Roman" w:hAnsi="Times New Roman" w:eastAsia="宋体" w:cs="Times New Roman"/>
                <w:sz w:val="21"/>
                <w:szCs w:val="21"/>
                <w:highlight w:val="none"/>
                <w14:ligatures w14:val="none"/>
              </w:rPr>
              <w:t>单元</w:t>
            </w:r>
          </w:p>
        </w:tc>
        <w:tc>
          <w:tcPr>
            <w:tcW w:w="1768" w:type="pct"/>
            <w:vAlign w:val="center"/>
          </w:tcPr>
          <w:p w14:paraId="059734D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SF双层储罐，可按现行行业标准《钢制常压储罐 第一部分：储存对水有污染的易燃和不易燃液体的埋地卧式圆筒形单层和双层储罐》AQ 3020的有关规定执行，并应符合下列规定：</w:t>
            </w:r>
          </w:p>
          <w:p w14:paraId="14D3DE86">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①钢制油罐的罐体和封头所用钢板的公称厚度，不应小于下表的规定。</w:t>
            </w:r>
          </w:p>
          <w:p w14:paraId="1F0C8529">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②钢制油罐的设计内压不应低于0.08M</w:t>
            </w:r>
            <w:r>
              <w:rPr>
                <w:rFonts w:ascii="Times New Roman" w:hAnsi="Times New Roman" w:eastAsia="宋体" w:cs="Times New Roman"/>
                <w:kern w:val="28"/>
                <w:sz w:val="21"/>
                <w:szCs w:val="21"/>
                <w:highlight w:val="none"/>
                <w14:ligatures w14:val="none"/>
              </w:rPr>
              <w:t>p</w:t>
            </w:r>
            <w:r>
              <w:rPr>
                <w:rFonts w:hint="eastAsia" w:ascii="Times New Roman" w:hAnsi="Times New Roman" w:eastAsia="宋体" w:cs="Times New Roman"/>
                <w:kern w:val="28"/>
                <w:sz w:val="21"/>
                <w:szCs w:val="21"/>
                <w:highlight w:val="none"/>
                <w14:ligatures w14:val="none"/>
              </w:rPr>
              <w:t>a。</w:t>
            </w:r>
          </w:p>
        </w:tc>
        <w:tc>
          <w:tcPr>
            <w:tcW w:w="1225" w:type="pct"/>
            <w:vAlign w:val="center"/>
          </w:tcPr>
          <w:p w14:paraId="3E5D3E80">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A338EB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第6.1.4条</w:t>
            </w:r>
          </w:p>
        </w:tc>
        <w:tc>
          <w:tcPr>
            <w:tcW w:w="1124" w:type="pct"/>
            <w:vAlign w:val="center"/>
          </w:tcPr>
          <w:p w14:paraId="46F6D0A1">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宋体"/>
                <w:sz w:val="21"/>
                <w:szCs w:val="21"/>
                <w:highlight w:val="none"/>
                <w14:ligatures w14:val="none"/>
              </w:rPr>
              <w:t>储罐</w:t>
            </w:r>
            <w:r>
              <w:rPr>
                <w:rFonts w:hint="eastAsia" w:ascii="Times New Roman" w:hAnsi="Times New Roman" w:eastAsia="宋体" w:cs="宋体"/>
                <w:sz w:val="21"/>
                <w:szCs w:val="21"/>
                <w:highlight w:val="none"/>
                <w14:ligatures w14:val="none"/>
              </w:rPr>
              <w:t>的罐体和封头所用钢板的公称厚度，符合相关规定。钢制油罐的设计内压不低于0.08MPa</w:t>
            </w:r>
          </w:p>
        </w:tc>
        <w:tc>
          <w:tcPr>
            <w:tcW w:w="422" w:type="pct"/>
            <w:vAlign w:val="center"/>
          </w:tcPr>
          <w:p w14:paraId="05AE9BA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9150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234B99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BBFEE1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选用的钢-外玻璃纤维增强塑料双层油罐应符合现行行业标准《加油站用埋地钢-玻璃纤维增强塑料双层油罐工程技术规范》SH/T 3178的有关规定。</w:t>
            </w:r>
          </w:p>
        </w:tc>
        <w:tc>
          <w:tcPr>
            <w:tcW w:w="1225" w:type="pct"/>
            <w:vAlign w:val="center"/>
          </w:tcPr>
          <w:p w14:paraId="4D1D5F8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AE62B28">
            <w:pPr>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第6.1.5条</w:t>
            </w:r>
          </w:p>
        </w:tc>
        <w:tc>
          <w:tcPr>
            <w:tcW w:w="1124" w:type="pct"/>
            <w:vAlign w:val="center"/>
          </w:tcPr>
          <w:p w14:paraId="6B12A66C">
            <w:pPr>
              <w:spacing w:line="240" w:lineRule="auto"/>
              <w:ind w:firstLine="0" w:firstLineChars="0"/>
              <w:rPr>
                <w:rFonts w:ascii="Times New Roman" w:hAnsi="Times New Roman" w:eastAsia="宋体" w:cs="Times New Roman"/>
                <w:spacing w:val="10"/>
                <w:sz w:val="21"/>
                <w:szCs w:val="21"/>
                <w:highlight w:val="none"/>
                <w14:ligatures w14:val="none"/>
              </w:rPr>
            </w:pPr>
            <w:r>
              <w:rPr>
                <w:rFonts w:hint="eastAsia" w:ascii="宋体" w:hAnsi="宋体" w:eastAsia="宋体" w:cs="宋体"/>
                <w:sz w:val="21"/>
                <w:szCs w:val="21"/>
                <w:highlight w:val="none"/>
                <w14:ligatures w14:val="none"/>
              </w:rPr>
              <w:t>选用的双层油罐符合相关规定</w:t>
            </w:r>
          </w:p>
        </w:tc>
        <w:tc>
          <w:tcPr>
            <w:tcW w:w="422" w:type="pct"/>
            <w:vAlign w:val="center"/>
          </w:tcPr>
          <w:p w14:paraId="4587780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60C0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796D18E">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2FF20A3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双层油罐内壁与外壁之间应有满足渗漏检测要求的贯通间隙。</w:t>
            </w:r>
          </w:p>
        </w:tc>
        <w:tc>
          <w:tcPr>
            <w:tcW w:w="1225" w:type="pct"/>
            <w:vAlign w:val="center"/>
          </w:tcPr>
          <w:p w14:paraId="737F4482">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4742F93">
            <w:pPr>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第6.1.9条</w:t>
            </w:r>
          </w:p>
        </w:tc>
        <w:tc>
          <w:tcPr>
            <w:tcW w:w="1124" w:type="pct"/>
            <w:vAlign w:val="center"/>
          </w:tcPr>
          <w:p w14:paraId="28522073">
            <w:pPr>
              <w:spacing w:line="240" w:lineRule="auto"/>
              <w:ind w:firstLine="0" w:firstLineChars="0"/>
              <w:rPr>
                <w:rFonts w:ascii="Times New Roman" w:hAnsi="Times New Roman" w:eastAsia="宋体" w:cs="Times New Roman"/>
                <w:spacing w:val="10"/>
                <w:sz w:val="21"/>
                <w:szCs w:val="21"/>
                <w:highlight w:val="none"/>
                <w14:ligatures w14:val="none"/>
              </w:rPr>
            </w:pPr>
            <w:r>
              <w:rPr>
                <w:rFonts w:hint="eastAsia" w:ascii="宋体" w:hAnsi="宋体" w:eastAsia="宋体" w:cs="宋体"/>
                <w:sz w:val="21"/>
                <w:szCs w:val="21"/>
                <w:highlight w:val="none"/>
                <w14:ligatures w14:val="none"/>
              </w:rPr>
              <w:t>双层油罐</w:t>
            </w:r>
            <w:r>
              <w:rPr>
                <w:rFonts w:hint="eastAsia" w:ascii="Times New Roman" w:hAnsi="Times New Roman" w:eastAsia="宋体" w:cs="宋体"/>
                <w:sz w:val="21"/>
                <w:szCs w:val="21"/>
                <w:highlight w:val="none"/>
                <w14:ligatures w14:val="none"/>
              </w:rPr>
              <w:t>内壁与外壁之间有满足渗漏检测要求的贯通间隙</w:t>
            </w:r>
          </w:p>
        </w:tc>
        <w:tc>
          <w:tcPr>
            <w:tcW w:w="422" w:type="pct"/>
            <w:vAlign w:val="center"/>
          </w:tcPr>
          <w:p w14:paraId="71B3B3F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02E8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5D8B25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453E533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双层钢制油罐、内钢外玻璃纤维增强塑料双层油罐和玻璃纤维增强塑料等非金属防渗衬里的双层油罐，应设渗漏检测立管，并应符合下列规定：</w:t>
            </w:r>
          </w:p>
          <w:p w14:paraId="030BA49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①检测立管应采用钢管，直径宜为80mm，壁厚不宜小于4mm；</w:t>
            </w:r>
          </w:p>
          <w:p w14:paraId="70B5605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②检测立管应位于油罐顶部的纵向中心线上；</w:t>
            </w:r>
          </w:p>
          <w:p w14:paraId="793DA147">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③检测立管的底部管口应与油罐内、外壁间隙相连通，顶部管口应装防尘盖；</w:t>
            </w:r>
          </w:p>
          <w:p w14:paraId="4C611010">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fldChar w:fldCharType="begin"/>
            </w:r>
            <w:r>
              <w:rPr>
                <w:rFonts w:hint="eastAsia" w:ascii="Times New Roman" w:hAnsi="Times New Roman" w:eastAsia="宋体" w:cs="Times New Roman"/>
                <w:kern w:val="28"/>
                <w:sz w:val="21"/>
                <w:szCs w:val="21"/>
                <w:highlight w:val="none"/>
                <w14:ligatures w14:val="none"/>
              </w:rPr>
              <w:instrText xml:space="preserve"> = 4 \* GB3 \* MERGEFORMAT </w:instrText>
            </w:r>
            <w:r>
              <w:rPr>
                <w:rFonts w:hint="eastAsia" w:ascii="Times New Roman" w:hAnsi="Times New Roman" w:eastAsia="宋体" w:cs="Times New Roman"/>
                <w:kern w:val="28"/>
                <w:sz w:val="21"/>
                <w:szCs w:val="21"/>
                <w:highlight w:val="none"/>
                <w14:ligatures w14:val="none"/>
              </w:rPr>
              <w:fldChar w:fldCharType="separate"/>
            </w:r>
            <w:r>
              <w:rPr>
                <w:rFonts w:hint="eastAsia" w:ascii="Times New Roman" w:hAnsi="Times New Roman" w:eastAsia="宋体" w:cs="Times New Roman"/>
                <w:kern w:val="28"/>
                <w:sz w:val="21"/>
                <w:szCs w:val="21"/>
                <w:highlight w:val="none"/>
                <w14:ligatures w14:val="none"/>
              </w:rPr>
              <w:t>④</w:t>
            </w:r>
            <w:r>
              <w:rPr>
                <w:rFonts w:hint="eastAsia" w:ascii="Times New Roman" w:hAnsi="Times New Roman" w:eastAsia="宋体" w:cs="Times New Roman"/>
                <w:kern w:val="28"/>
                <w:sz w:val="21"/>
                <w:szCs w:val="21"/>
                <w:highlight w:val="none"/>
                <w14:ligatures w14:val="none"/>
              </w:rPr>
              <w:fldChar w:fldCharType="end"/>
            </w:r>
            <w:r>
              <w:rPr>
                <w:rFonts w:hint="eastAsia" w:ascii="Times New Roman" w:hAnsi="Times New Roman" w:eastAsia="宋体" w:cs="Times New Roman"/>
                <w:kern w:val="28"/>
                <w:sz w:val="21"/>
                <w:szCs w:val="21"/>
                <w:highlight w:val="none"/>
                <w14:ligatures w14:val="none"/>
              </w:rPr>
              <w:t>检测立管应满足人工检测和在线监测的要求，并应保证油罐内、外壁任何部位出现渗漏均能被发现。</w:t>
            </w:r>
          </w:p>
        </w:tc>
        <w:tc>
          <w:tcPr>
            <w:tcW w:w="1225" w:type="pct"/>
            <w:vAlign w:val="center"/>
          </w:tcPr>
          <w:p w14:paraId="42B2059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428E1CAB">
            <w:pPr>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第6.1.10条</w:t>
            </w:r>
          </w:p>
        </w:tc>
        <w:tc>
          <w:tcPr>
            <w:tcW w:w="1124" w:type="pct"/>
            <w:vAlign w:val="center"/>
          </w:tcPr>
          <w:p w14:paraId="60EEB4A5">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宋体"/>
                <w:sz w:val="21"/>
                <w:szCs w:val="21"/>
                <w:highlight w:val="none"/>
                <w14:ligatures w14:val="none"/>
              </w:rPr>
              <w:t>双层油罐设置渗漏检测立管</w:t>
            </w:r>
          </w:p>
        </w:tc>
        <w:tc>
          <w:tcPr>
            <w:tcW w:w="422" w:type="pct"/>
            <w:vAlign w:val="center"/>
          </w:tcPr>
          <w:p w14:paraId="409506B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D6E0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4AE1127">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24D4AADC">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油罐应采用钢制人孔盖。</w:t>
            </w:r>
          </w:p>
        </w:tc>
        <w:tc>
          <w:tcPr>
            <w:tcW w:w="1225" w:type="pct"/>
            <w:vAlign w:val="center"/>
          </w:tcPr>
          <w:p w14:paraId="0DAB7B6A">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w:t>
            </w:r>
          </w:p>
          <w:p w14:paraId="06AA3B8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50156-2021）</w:t>
            </w:r>
          </w:p>
          <w:p w14:paraId="4BBB1983">
            <w:pPr>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第6.1.11条</w:t>
            </w:r>
          </w:p>
        </w:tc>
        <w:tc>
          <w:tcPr>
            <w:tcW w:w="1124" w:type="pct"/>
            <w:vAlign w:val="center"/>
          </w:tcPr>
          <w:p w14:paraId="63CEA482">
            <w:pPr>
              <w:spacing w:line="240" w:lineRule="auto"/>
              <w:ind w:firstLine="0" w:firstLineChars="0"/>
              <w:rPr>
                <w:rFonts w:ascii="Times New Roman" w:hAnsi="Times New Roman" w:eastAsia="宋体" w:cs="Times New Roman"/>
                <w:sz w:val="21"/>
                <w:szCs w:val="21"/>
                <w:highlight w:val="none"/>
                <w14:ligatures w14:val="none"/>
              </w:rPr>
            </w:pPr>
            <w:r>
              <w:rPr>
                <w:rFonts w:ascii="宋体" w:hAnsi="宋体" w:eastAsia="宋体" w:cs="宋体"/>
                <w:sz w:val="21"/>
                <w:szCs w:val="21"/>
                <w:highlight w:val="none"/>
                <w:lang w:val="zh-CN"/>
                <w14:ligatures w14:val="none"/>
              </w:rPr>
              <w:t>油罐采用</w:t>
            </w:r>
            <w:r>
              <w:rPr>
                <w:rFonts w:hint="eastAsia" w:ascii="宋体" w:hAnsi="宋体" w:eastAsia="宋体" w:cs="宋体"/>
                <w:sz w:val="21"/>
                <w:szCs w:val="21"/>
                <w:highlight w:val="none"/>
                <w:lang w:val="zh-CN"/>
                <w14:ligatures w14:val="none"/>
              </w:rPr>
              <w:t>成品承重钢制</w:t>
            </w:r>
            <w:r>
              <w:rPr>
                <w:rFonts w:ascii="宋体" w:hAnsi="宋体" w:eastAsia="宋体" w:cs="宋体"/>
                <w:sz w:val="21"/>
                <w:szCs w:val="21"/>
                <w:highlight w:val="none"/>
                <w:lang w:val="zh-CN"/>
                <w14:ligatures w14:val="none"/>
              </w:rPr>
              <w:t>人孔盖</w:t>
            </w:r>
          </w:p>
        </w:tc>
        <w:tc>
          <w:tcPr>
            <w:tcW w:w="422" w:type="pct"/>
            <w:vAlign w:val="center"/>
          </w:tcPr>
          <w:p w14:paraId="0989FAF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F103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099F417">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D35F16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油罐设在非车行道下面时，罐顶的覆土厚度不应小于0.5m；设在车行道下面时，罐顶低于混凝土路面不宜小于0.9m。钢制油罐的周围应回填中性沙或细土，其厚度不应小于0.3m；外层为玻璃纤维增强塑料材料的油罐，回填料应符合产品说明书的要求。</w:t>
            </w:r>
          </w:p>
        </w:tc>
        <w:tc>
          <w:tcPr>
            <w:tcW w:w="1225" w:type="pct"/>
            <w:vAlign w:val="center"/>
          </w:tcPr>
          <w:p w14:paraId="597A7DC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4B37AC62">
            <w:pPr>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第6.1.12条</w:t>
            </w:r>
          </w:p>
        </w:tc>
        <w:tc>
          <w:tcPr>
            <w:tcW w:w="1124" w:type="pct"/>
            <w:vAlign w:val="center"/>
          </w:tcPr>
          <w:p w14:paraId="31DCFFD2">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油罐设在非车行道下，罐顶的覆土厚度为2.0m。钢制油罐的周围应回填中性沙或细土，厚度0.3m</w:t>
            </w:r>
          </w:p>
        </w:tc>
        <w:tc>
          <w:tcPr>
            <w:tcW w:w="422" w:type="pct"/>
            <w:vAlign w:val="center"/>
          </w:tcPr>
          <w:p w14:paraId="064EFB6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A7E0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861F99">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0771E47">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当埋地油罐受地下水或雨水作用有上浮的可能时，应采取防止油罐上浮的措施。</w:t>
            </w:r>
          </w:p>
        </w:tc>
        <w:tc>
          <w:tcPr>
            <w:tcW w:w="1225" w:type="pct"/>
            <w:vAlign w:val="center"/>
          </w:tcPr>
          <w:p w14:paraId="04D160A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F7514B2">
            <w:pPr>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第6.1.13条</w:t>
            </w:r>
          </w:p>
        </w:tc>
        <w:tc>
          <w:tcPr>
            <w:tcW w:w="1124" w:type="pct"/>
            <w:vAlign w:val="center"/>
          </w:tcPr>
          <w:p w14:paraId="79A7D570">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宋体"/>
                <w:spacing w:val="-6"/>
                <w:position w:val="2"/>
                <w:sz w:val="21"/>
                <w:szCs w:val="21"/>
                <w:highlight w:val="none"/>
                <w:lang w:val="zh-CN"/>
                <w14:ligatures w14:val="none"/>
              </w:rPr>
              <w:t>油罐设在油罐基础上，油罐固定在油罐筏板基础上的条形钢筋混凝土</w:t>
            </w:r>
            <w:r>
              <w:rPr>
                <w:rFonts w:ascii="Times New Roman" w:hAnsi="Times New Roman" w:eastAsia="宋体" w:cs="Times New Roman"/>
                <w:spacing w:val="-6"/>
                <w:position w:val="2"/>
                <w:sz w:val="21"/>
                <w:szCs w:val="21"/>
                <w:highlight w:val="none"/>
                <w:lang w:val="zh-CN"/>
                <w14:ligatures w14:val="none"/>
              </w:rPr>
              <w:t>罐枕上，利用筏板及以上覆土重量防止储罐上浮</w:t>
            </w:r>
          </w:p>
        </w:tc>
        <w:tc>
          <w:tcPr>
            <w:tcW w:w="422" w:type="pct"/>
            <w:vAlign w:val="center"/>
          </w:tcPr>
          <w:p w14:paraId="36B435B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7A16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0CAFF7D">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6B816F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埋地油罐的人孔应设操作井。</w:t>
            </w:r>
          </w:p>
        </w:tc>
        <w:tc>
          <w:tcPr>
            <w:tcW w:w="1225" w:type="pct"/>
            <w:vAlign w:val="center"/>
          </w:tcPr>
          <w:p w14:paraId="6F567A5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3A04FAB">
            <w:pPr>
              <w:spacing w:line="240" w:lineRule="auto"/>
              <w:ind w:firstLine="0" w:firstLineChars="0"/>
              <w:jc w:val="center"/>
              <w:rPr>
                <w:rFonts w:ascii="Times New Roman" w:hAnsi="Times New Roman" w:eastAsia="宋体" w:cs="Times New Roman"/>
                <w:spacing w:val="10"/>
                <w:sz w:val="21"/>
                <w:szCs w:val="21"/>
                <w:highlight w:val="none"/>
                <w14:ligatures w14:val="none"/>
              </w:rPr>
            </w:pPr>
            <w:r>
              <w:rPr>
                <w:rFonts w:hint="eastAsia" w:ascii="Times New Roman" w:hAnsi="Times New Roman" w:eastAsia="宋体" w:cs="宋体"/>
                <w:sz w:val="21"/>
                <w:szCs w:val="21"/>
                <w:highlight w:val="none"/>
                <w14:ligatures w14:val="none"/>
              </w:rPr>
              <w:t>第6.1.14条</w:t>
            </w:r>
          </w:p>
        </w:tc>
        <w:tc>
          <w:tcPr>
            <w:tcW w:w="1124" w:type="pct"/>
            <w:vAlign w:val="center"/>
          </w:tcPr>
          <w:p w14:paraId="181D3AE6">
            <w:pPr>
              <w:spacing w:line="240" w:lineRule="auto"/>
              <w:ind w:firstLine="0" w:firstLineChars="0"/>
              <w:rPr>
                <w:rFonts w:ascii="Times New Roman" w:hAnsi="Times New Roman" w:eastAsia="宋体" w:cs="Times New Roman"/>
                <w:spacing w:val="10"/>
                <w:sz w:val="21"/>
                <w:szCs w:val="21"/>
                <w:highlight w:val="none"/>
                <w14:ligatures w14:val="none"/>
              </w:rPr>
            </w:pPr>
            <w:r>
              <w:rPr>
                <w:rFonts w:hint="eastAsia" w:ascii="宋体" w:hAnsi="宋体" w:eastAsia="宋体" w:cs="宋体"/>
                <w:sz w:val="21"/>
                <w:highlight w:val="none"/>
                <w14:ligatures w14:val="none"/>
              </w:rPr>
              <w:t>油罐人孔设置操作井</w:t>
            </w:r>
          </w:p>
        </w:tc>
        <w:tc>
          <w:tcPr>
            <w:tcW w:w="422" w:type="pct"/>
            <w:vAlign w:val="center"/>
          </w:tcPr>
          <w:p w14:paraId="346952FC">
            <w:pPr>
              <w:spacing w:line="240" w:lineRule="auto"/>
              <w:ind w:firstLine="0" w:firstLineChars="0"/>
              <w:jc w:val="center"/>
              <w:rPr>
                <w:rFonts w:ascii="Times New Roman" w:hAnsi="Times New Roman" w:eastAsia="宋体" w:cs="Times New Roman"/>
                <w:spacing w:val="10"/>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1D3E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613921F">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07D9782C">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油罐卸油应采取防满溢措施。油料达到油罐容量90%时，应能触动高液位报警装置；油料达到油罐容量95%时，应能自动停止油料继续进罐。高液位报警装置应位于工作人员便于观察的地点。</w:t>
            </w:r>
          </w:p>
        </w:tc>
        <w:tc>
          <w:tcPr>
            <w:tcW w:w="1225" w:type="pct"/>
            <w:vAlign w:val="center"/>
          </w:tcPr>
          <w:p w14:paraId="3CE3D95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C15E90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第6.1.15条</w:t>
            </w:r>
          </w:p>
        </w:tc>
        <w:tc>
          <w:tcPr>
            <w:tcW w:w="1124" w:type="pct"/>
            <w:vAlign w:val="center"/>
          </w:tcPr>
          <w:p w14:paraId="3F986B48">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Times New Roman"/>
                <w:sz w:val="21"/>
                <w:szCs w:val="21"/>
                <w:highlight w:val="none"/>
                <w14:ligatures w14:val="none"/>
              </w:rPr>
              <w:t>油罐采用卸油防溢阀及高液位报警，</w:t>
            </w:r>
            <w:r>
              <w:rPr>
                <w:rFonts w:ascii="宋体" w:hAnsi="宋体" w:eastAsia="宋体" w:cs="宋体"/>
                <w:sz w:val="21"/>
                <w:szCs w:val="21"/>
                <w:highlight w:val="none"/>
                <w:lang w:val="zh-CN"/>
                <w14:ligatures w14:val="none"/>
              </w:rPr>
              <w:t>油料达到油罐容量</w:t>
            </w:r>
            <w:r>
              <w:rPr>
                <w:rFonts w:ascii="Times New Roman" w:hAnsi="Times New Roman" w:eastAsia="宋体" w:cs="Times New Roman"/>
                <w:sz w:val="21"/>
                <w:szCs w:val="21"/>
                <w:highlight w:val="none"/>
                <w:lang w:val="zh-CN"/>
                <w14:ligatures w14:val="none"/>
              </w:rPr>
              <w:t>90%</w:t>
            </w:r>
            <w:r>
              <w:rPr>
                <w:rFonts w:ascii="宋体" w:hAnsi="宋体" w:eastAsia="宋体" w:cs="宋体"/>
                <w:sz w:val="21"/>
                <w:szCs w:val="21"/>
                <w:highlight w:val="none"/>
                <w:lang w:val="zh-CN"/>
                <w14:ligatures w14:val="none"/>
              </w:rPr>
              <w:t>时，能触动高液位报警装置；油料达到油罐容量</w:t>
            </w:r>
            <w:r>
              <w:rPr>
                <w:rFonts w:ascii="Times New Roman" w:hAnsi="Times New Roman" w:eastAsia="宋体" w:cs="Times New Roman"/>
                <w:sz w:val="21"/>
                <w:szCs w:val="21"/>
                <w:highlight w:val="none"/>
                <w:lang w:val="zh-CN"/>
                <w14:ligatures w14:val="none"/>
              </w:rPr>
              <w:t>95%</w:t>
            </w:r>
            <w:r>
              <w:rPr>
                <w:rFonts w:ascii="宋体" w:hAnsi="宋体" w:eastAsia="宋体" w:cs="宋体"/>
                <w:sz w:val="21"/>
                <w:szCs w:val="21"/>
                <w:highlight w:val="none"/>
                <w:lang w:val="zh-CN"/>
                <w14:ligatures w14:val="none"/>
              </w:rPr>
              <w:t>时，能自动停止油料继续进罐</w:t>
            </w:r>
          </w:p>
        </w:tc>
        <w:tc>
          <w:tcPr>
            <w:tcW w:w="422" w:type="pct"/>
            <w:vAlign w:val="center"/>
          </w:tcPr>
          <w:p w14:paraId="5558918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88B2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9A6E8E0">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1340C9EC">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设有油气回收系统的加油站，其站内油罐应设带有高液位报警功能的液位监测系统。</w:t>
            </w:r>
          </w:p>
        </w:tc>
        <w:tc>
          <w:tcPr>
            <w:tcW w:w="1225" w:type="pct"/>
            <w:vAlign w:val="center"/>
          </w:tcPr>
          <w:p w14:paraId="378F0F9E">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656F2A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第6.1.16条</w:t>
            </w:r>
          </w:p>
        </w:tc>
        <w:tc>
          <w:tcPr>
            <w:tcW w:w="1124" w:type="pct"/>
            <w:vAlign w:val="center"/>
          </w:tcPr>
          <w:p w14:paraId="50A874E5">
            <w:pPr>
              <w:spacing w:line="240" w:lineRule="auto"/>
              <w:ind w:firstLine="0" w:firstLineChars="0"/>
              <w:rPr>
                <w:rFonts w:ascii="Times New Roman" w:hAnsi="Times New Roman" w:eastAsia="宋体" w:cs="Times New Roman"/>
                <w:sz w:val="21"/>
                <w:szCs w:val="21"/>
                <w:highlight w:val="none"/>
                <w14:ligatures w14:val="none"/>
              </w:rPr>
            </w:pPr>
            <w:r>
              <w:rPr>
                <w:rFonts w:ascii="宋体" w:hAnsi="宋体" w:eastAsia="宋体" w:cs="Times New Roman"/>
                <w:sz w:val="21"/>
                <w:szCs w:val="21"/>
                <w:highlight w:val="none"/>
                <w14:ligatures w14:val="none"/>
              </w:rPr>
              <w:t>油罐</w:t>
            </w:r>
            <w:r>
              <w:rPr>
                <w:rFonts w:ascii="宋体" w:hAnsi="宋体" w:eastAsia="宋体" w:cs="宋体"/>
                <w:sz w:val="21"/>
                <w:szCs w:val="21"/>
                <w:highlight w:val="none"/>
                <w:lang w:val="zh-CN"/>
                <w14:ligatures w14:val="none"/>
              </w:rPr>
              <w:t>设有高液位报警功能的液位监测系统</w:t>
            </w:r>
          </w:p>
        </w:tc>
        <w:tc>
          <w:tcPr>
            <w:tcW w:w="422" w:type="pct"/>
            <w:vAlign w:val="center"/>
          </w:tcPr>
          <w:p w14:paraId="699948C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4883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B02D3B">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1DC405E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加油软管上宜设安全拉断阀。</w:t>
            </w:r>
          </w:p>
        </w:tc>
        <w:tc>
          <w:tcPr>
            <w:tcW w:w="1225" w:type="pct"/>
            <w:vAlign w:val="center"/>
          </w:tcPr>
          <w:p w14:paraId="0424389B">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w:t>
            </w:r>
          </w:p>
          <w:p w14:paraId="7C9C4E2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50156-2021）</w:t>
            </w:r>
          </w:p>
          <w:p w14:paraId="136FF33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第6.2.3条</w:t>
            </w:r>
          </w:p>
        </w:tc>
        <w:tc>
          <w:tcPr>
            <w:tcW w:w="1124" w:type="pct"/>
            <w:vAlign w:val="center"/>
          </w:tcPr>
          <w:p w14:paraId="48D21098">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宋体" w:hAnsi="宋体" w:eastAsia="宋体" w:cs="宋体"/>
                <w:sz w:val="21"/>
                <w:szCs w:val="21"/>
                <w:highlight w:val="none"/>
                <w14:ligatures w14:val="none"/>
              </w:rPr>
              <w:t>加油机为成套设备，加油软管上设置安全拉断阀。拉断阀满足规范要求</w:t>
            </w:r>
          </w:p>
        </w:tc>
        <w:tc>
          <w:tcPr>
            <w:tcW w:w="422" w:type="pct"/>
            <w:vAlign w:val="center"/>
          </w:tcPr>
          <w:p w14:paraId="3DD376F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8368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83C1204">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238BE8E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以正压（潜油泵）供油的加油机，其底部的供油管道上应设剪切阀，当加油机被撞起火时，剪切阀应能自动关闭。</w:t>
            </w:r>
          </w:p>
        </w:tc>
        <w:tc>
          <w:tcPr>
            <w:tcW w:w="1225" w:type="pct"/>
            <w:vAlign w:val="center"/>
          </w:tcPr>
          <w:p w14:paraId="49731B1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w:t>
            </w:r>
          </w:p>
          <w:p w14:paraId="5FE34980">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50156-2021）</w:t>
            </w:r>
          </w:p>
          <w:p w14:paraId="2D878EE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第6.2.4条</w:t>
            </w:r>
          </w:p>
        </w:tc>
        <w:tc>
          <w:tcPr>
            <w:tcW w:w="1124" w:type="pct"/>
            <w:vAlign w:val="center"/>
          </w:tcPr>
          <w:p w14:paraId="44827190">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宋体"/>
                <w:sz w:val="21"/>
                <w:highlight w:val="none"/>
                <w14:ligatures w14:val="none"/>
              </w:rPr>
              <w:t>加油机上设置剪切阀</w:t>
            </w:r>
          </w:p>
        </w:tc>
        <w:tc>
          <w:tcPr>
            <w:tcW w:w="422" w:type="pct"/>
            <w:vAlign w:val="center"/>
          </w:tcPr>
          <w:p w14:paraId="5B4B70E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8442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F6E5E79">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282B2F96">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车用乙醇汽油和柴油油罐车卸油必须采用密闭卸油方式。车用乙醇汽油油罐车应具有卸油油气回收系统。</w:t>
            </w:r>
          </w:p>
        </w:tc>
        <w:tc>
          <w:tcPr>
            <w:tcW w:w="1225" w:type="pct"/>
            <w:vAlign w:val="center"/>
          </w:tcPr>
          <w:p w14:paraId="1BCD48FD">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D75CDEE">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第6.3.1条</w:t>
            </w:r>
          </w:p>
        </w:tc>
        <w:tc>
          <w:tcPr>
            <w:tcW w:w="1124" w:type="pct"/>
            <w:vAlign w:val="center"/>
          </w:tcPr>
          <w:p w14:paraId="1B69E9E5">
            <w:pPr>
              <w:spacing w:line="240" w:lineRule="auto"/>
              <w:ind w:firstLine="0" w:firstLineChars="0"/>
              <w:rPr>
                <w:rFonts w:ascii="Times New Roman" w:hAnsi="Times New Roman" w:eastAsia="宋体" w:cs="Times New Roman"/>
                <w:color w:val="FF0000"/>
                <w:sz w:val="21"/>
                <w:szCs w:val="21"/>
                <w:highlight w:val="none"/>
                <w14:ligatures w14:val="none"/>
              </w:rPr>
            </w:pPr>
            <w:r>
              <w:rPr>
                <w:rFonts w:hint="eastAsia" w:ascii="Times New Roman" w:hAnsi="Times New Roman" w:eastAsia="宋体" w:cs="宋体"/>
                <w:sz w:val="21"/>
                <w:szCs w:val="21"/>
                <w:highlight w:val="none"/>
                <w14:ligatures w14:val="none"/>
              </w:rPr>
              <w:t>油罐车卸油采用密闭卸油方式。车用乙醇汽油油罐车具有卸油油气回收系统</w:t>
            </w:r>
          </w:p>
        </w:tc>
        <w:tc>
          <w:tcPr>
            <w:tcW w:w="422" w:type="pct"/>
            <w:vAlign w:val="center"/>
          </w:tcPr>
          <w:p w14:paraId="493EC624">
            <w:pPr>
              <w:spacing w:line="240" w:lineRule="auto"/>
              <w:ind w:firstLine="0" w:firstLineChars="0"/>
              <w:jc w:val="center"/>
              <w:rPr>
                <w:rFonts w:ascii="Times New Roman" w:hAnsi="Times New Roman" w:eastAsia="宋体" w:cs="Times New Roman"/>
                <w:color w:val="FF0000"/>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C402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653197">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7A2C30FD">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每个油罐应各自设置卸油管道和卸油接口。各卸油接口及油气回收接口，应有明显的标识。</w:t>
            </w:r>
          </w:p>
        </w:tc>
        <w:tc>
          <w:tcPr>
            <w:tcW w:w="1225" w:type="pct"/>
            <w:vAlign w:val="center"/>
          </w:tcPr>
          <w:p w14:paraId="0C605086">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5FDECD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第6.3.2条</w:t>
            </w:r>
          </w:p>
        </w:tc>
        <w:tc>
          <w:tcPr>
            <w:tcW w:w="1124" w:type="pct"/>
            <w:vAlign w:val="center"/>
          </w:tcPr>
          <w:p w14:paraId="5973A482">
            <w:pPr>
              <w:spacing w:line="240" w:lineRule="auto"/>
              <w:ind w:firstLine="0" w:firstLineChars="0"/>
              <w:rPr>
                <w:rFonts w:ascii="Times New Roman" w:hAnsi="Times New Roman" w:eastAsia="宋体" w:cs="Times New Roman"/>
                <w:sz w:val="21"/>
                <w:szCs w:val="21"/>
                <w:highlight w:val="none"/>
                <w14:ligatures w14:val="none"/>
              </w:rPr>
            </w:pPr>
            <w:r>
              <w:rPr>
                <w:rFonts w:ascii="宋体" w:hAnsi="宋体" w:eastAsia="宋体" w:cs="宋体"/>
                <w:sz w:val="21"/>
                <w:szCs w:val="21"/>
                <w:highlight w:val="none"/>
                <w:lang w:val="zh-CN"/>
                <w14:ligatures w14:val="none"/>
              </w:rPr>
              <w:t>每个油罐</w:t>
            </w:r>
            <w:r>
              <w:rPr>
                <w:rFonts w:hint="eastAsia" w:ascii="宋体" w:hAnsi="宋体" w:eastAsia="宋体" w:cs="宋体"/>
                <w:sz w:val="21"/>
                <w:szCs w:val="21"/>
                <w:highlight w:val="none"/>
                <w:lang w:val="zh-CN"/>
                <w14:ligatures w14:val="none"/>
              </w:rPr>
              <w:t>独立</w:t>
            </w:r>
            <w:r>
              <w:rPr>
                <w:rFonts w:ascii="宋体" w:hAnsi="宋体" w:eastAsia="宋体" w:cs="宋体"/>
                <w:sz w:val="21"/>
                <w:szCs w:val="21"/>
                <w:highlight w:val="none"/>
                <w:lang w:val="zh-CN"/>
                <w14:ligatures w14:val="none"/>
              </w:rPr>
              <w:t>设置卸油管道和卸油接口。各卸油接口及油气回收接口，有明显的标识</w:t>
            </w:r>
          </w:p>
        </w:tc>
        <w:tc>
          <w:tcPr>
            <w:tcW w:w="422" w:type="pct"/>
            <w:vAlign w:val="center"/>
          </w:tcPr>
          <w:p w14:paraId="447AF61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90DC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4F2113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58A9436">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根据《汽车加油加气加氢站技术标准》（GB50156-2021）第6.3.3条，卸油接口应装设快速接头及密封盖。</w:t>
            </w:r>
          </w:p>
        </w:tc>
        <w:tc>
          <w:tcPr>
            <w:tcW w:w="1225" w:type="pct"/>
            <w:vAlign w:val="center"/>
          </w:tcPr>
          <w:p w14:paraId="4064CEC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65DAF76">
            <w:pPr>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宋体"/>
                <w:sz w:val="21"/>
                <w:szCs w:val="21"/>
                <w:highlight w:val="none"/>
                <w14:ligatures w14:val="none"/>
              </w:rPr>
              <w:t>第6.3.3条</w:t>
            </w:r>
          </w:p>
        </w:tc>
        <w:tc>
          <w:tcPr>
            <w:tcW w:w="1124" w:type="pct"/>
            <w:vAlign w:val="center"/>
          </w:tcPr>
          <w:p w14:paraId="032135C9">
            <w:pPr>
              <w:spacing w:line="240" w:lineRule="auto"/>
              <w:ind w:firstLine="0" w:firstLineChars="0"/>
              <w:rPr>
                <w:rFonts w:ascii="Times New Roman" w:hAnsi="Times New Roman" w:eastAsia="宋体" w:cs="Times New Roman"/>
                <w:kern w:val="0"/>
                <w:sz w:val="21"/>
                <w:szCs w:val="21"/>
                <w:highlight w:val="none"/>
                <w14:ligatures w14:val="none"/>
              </w:rPr>
            </w:pPr>
            <w:r>
              <w:rPr>
                <w:rFonts w:hint="eastAsia" w:ascii="宋体" w:hAnsi="宋体" w:eastAsia="宋体" w:cs="Times New Roman"/>
                <w:sz w:val="21"/>
                <w:szCs w:val="21"/>
                <w:highlight w:val="none"/>
                <w14:ligatures w14:val="none"/>
              </w:rPr>
              <w:t>卸油接口设快速接头及密封盖</w:t>
            </w:r>
          </w:p>
        </w:tc>
        <w:tc>
          <w:tcPr>
            <w:tcW w:w="422" w:type="pct"/>
            <w:vAlign w:val="center"/>
          </w:tcPr>
          <w:p w14:paraId="2C19137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E490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FAAB597">
            <w:pPr>
              <w:spacing w:line="240" w:lineRule="auto"/>
              <w:ind w:firstLine="0" w:firstLineChars="0"/>
              <w:jc w:val="center"/>
              <w:rPr>
                <w:rFonts w:ascii="Times New Roman" w:hAnsi="Times New Roman" w:eastAsia="宋体" w:cs="Times New Roman"/>
                <w:b/>
                <w:bCs/>
                <w:sz w:val="21"/>
                <w:szCs w:val="21"/>
                <w:highlight w:val="none"/>
                <w14:ligatures w14:val="none"/>
              </w:rPr>
            </w:pPr>
          </w:p>
        </w:tc>
        <w:tc>
          <w:tcPr>
            <w:tcW w:w="1768" w:type="pct"/>
            <w:vAlign w:val="center"/>
          </w:tcPr>
          <w:p w14:paraId="53054D6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加油站卸油油气回收系统的设计应符合下列规定：</w:t>
            </w:r>
          </w:p>
          <w:p w14:paraId="0D764EE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①车用乙醇汽油罐车向站内油罐卸油应采用平衡式密闭油气回收系统。</w:t>
            </w:r>
          </w:p>
          <w:p w14:paraId="0EBD53B4">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②各车用乙醇汽油罐可共用一根卸油油气回收主管，回收主管的公称直径不宜小于100mm。</w:t>
            </w:r>
          </w:p>
          <w:p w14:paraId="1040CFD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③卸油油气回收管道的接口宜采用自闭式快速接头和盖帽。采用非自闭式快速接头时，应在靠近快速接头的连接管道上装设阀门和盖帽。</w:t>
            </w:r>
          </w:p>
        </w:tc>
        <w:tc>
          <w:tcPr>
            <w:tcW w:w="1225" w:type="pct"/>
            <w:vAlign w:val="center"/>
          </w:tcPr>
          <w:p w14:paraId="2171844E">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AED7616">
            <w:pPr>
              <w:spacing w:line="240" w:lineRule="auto"/>
              <w:ind w:firstLine="0" w:firstLineChars="0"/>
              <w:jc w:val="center"/>
              <w:rPr>
                <w:rFonts w:ascii="Times New Roman" w:hAnsi="Times New Roman" w:eastAsia="宋体" w:cs="Times New Roman"/>
                <w:kern w:val="0"/>
                <w:sz w:val="21"/>
                <w:szCs w:val="21"/>
                <w:highlight w:val="none"/>
                <w14:ligatures w14:val="none"/>
              </w:rPr>
            </w:pPr>
            <w:r>
              <w:rPr>
                <w:rFonts w:hint="eastAsia" w:ascii="Times New Roman" w:hAnsi="Times New Roman" w:eastAsia="宋体" w:cs="宋体"/>
                <w:sz w:val="21"/>
                <w:szCs w:val="21"/>
                <w:highlight w:val="none"/>
                <w14:ligatures w14:val="none"/>
              </w:rPr>
              <w:t>第6.3.4条</w:t>
            </w:r>
          </w:p>
        </w:tc>
        <w:tc>
          <w:tcPr>
            <w:tcW w:w="1124" w:type="pct"/>
            <w:vAlign w:val="center"/>
          </w:tcPr>
          <w:p w14:paraId="22D7E3FD">
            <w:pPr>
              <w:spacing w:line="240" w:lineRule="auto"/>
              <w:ind w:firstLine="0" w:firstLineChars="0"/>
              <w:rPr>
                <w:rFonts w:ascii="Times New Roman" w:hAnsi="Times New Roman" w:eastAsia="宋体" w:cs="Times New Roman"/>
                <w:kern w:val="0"/>
                <w:sz w:val="21"/>
                <w:szCs w:val="21"/>
                <w:highlight w:val="none"/>
                <w14:ligatures w14:val="none"/>
              </w:rPr>
            </w:pPr>
            <w:r>
              <w:rPr>
                <w:rFonts w:hint="eastAsia" w:ascii="宋体" w:hAnsi="宋体" w:eastAsia="宋体" w:cs="宋体"/>
                <w:sz w:val="21"/>
                <w:szCs w:val="21"/>
                <w:highlight w:val="none"/>
                <w:lang w:val="zh-CN"/>
                <w14:ligatures w14:val="none"/>
              </w:rPr>
              <w:t>采用卸油油气回收系统，</w:t>
            </w:r>
            <w:r>
              <w:rPr>
                <w:rFonts w:ascii="宋体" w:hAnsi="宋体" w:eastAsia="宋体" w:cs="宋体"/>
                <w:sz w:val="21"/>
                <w:szCs w:val="21"/>
                <w:highlight w:val="none"/>
                <w:lang w:val="zh-CN"/>
                <w14:ligatures w14:val="none"/>
              </w:rPr>
              <w:t>汽油罐车向站内油罐卸油采用平衡式密闭油气回收系统；各汽油罐共用一根卸油油气回收主管，回收主管的公称直径</w:t>
            </w:r>
            <w:r>
              <w:rPr>
                <w:rFonts w:ascii="Times New Roman" w:hAnsi="Times New Roman" w:eastAsia="宋体" w:cs="Times New Roman"/>
                <w:sz w:val="21"/>
                <w:szCs w:val="21"/>
                <w:highlight w:val="none"/>
                <w:lang w:val="zh-CN"/>
                <w14:ligatures w14:val="none"/>
              </w:rPr>
              <w:t>100mm</w:t>
            </w:r>
            <w:r>
              <w:rPr>
                <w:rFonts w:ascii="宋体" w:hAnsi="宋体" w:eastAsia="宋体" w:cs="宋体"/>
                <w:sz w:val="21"/>
                <w:szCs w:val="21"/>
                <w:highlight w:val="none"/>
                <w:lang w:val="zh-CN"/>
                <w14:ligatures w14:val="none"/>
              </w:rPr>
              <w:t>；卸油油气回收管道的接口采用自闭式快速接头</w:t>
            </w:r>
          </w:p>
        </w:tc>
        <w:tc>
          <w:tcPr>
            <w:tcW w:w="422" w:type="pct"/>
            <w:vAlign w:val="center"/>
          </w:tcPr>
          <w:p w14:paraId="4F522B0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023C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241909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85496C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加油站宜采用油罐装设潜油泵的一泵供多机（枪）的加油工艺。</w:t>
            </w:r>
          </w:p>
        </w:tc>
        <w:tc>
          <w:tcPr>
            <w:tcW w:w="1225" w:type="pct"/>
            <w:vAlign w:val="center"/>
          </w:tcPr>
          <w:p w14:paraId="4028DA1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A44362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第6.3.5条</w:t>
            </w:r>
          </w:p>
        </w:tc>
        <w:tc>
          <w:tcPr>
            <w:tcW w:w="1124" w:type="pct"/>
            <w:vAlign w:val="center"/>
          </w:tcPr>
          <w:p w14:paraId="25DDF858">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宋体"/>
                <w:spacing w:val="-6"/>
                <w:position w:val="2"/>
                <w:sz w:val="21"/>
                <w:szCs w:val="21"/>
                <w:highlight w:val="none"/>
                <w14:ligatures w14:val="none"/>
              </w:rPr>
              <w:t>本站采用</w:t>
            </w:r>
            <w:r>
              <w:rPr>
                <w:rFonts w:ascii="宋体" w:hAnsi="宋体" w:eastAsia="宋体" w:cs="宋体"/>
                <w:spacing w:val="-6"/>
                <w:position w:val="2"/>
                <w:sz w:val="21"/>
                <w:szCs w:val="21"/>
                <w:highlight w:val="none"/>
                <w14:ligatures w14:val="none"/>
              </w:rPr>
              <w:t>油罐装设潜油泵的一泵供多机（枪）的加油工艺</w:t>
            </w:r>
          </w:p>
        </w:tc>
        <w:tc>
          <w:tcPr>
            <w:tcW w:w="422" w:type="pct"/>
            <w:vAlign w:val="center"/>
          </w:tcPr>
          <w:p w14:paraId="4F8D05C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CF93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72C384C">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667870E2">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加油站应采用加油油气回收系统。</w:t>
            </w:r>
          </w:p>
        </w:tc>
        <w:tc>
          <w:tcPr>
            <w:tcW w:w="1225" w:type="pct"/>
            <w:vAlign w:val="center"/>
          </w:tcPr>
          <w:p w14:paraId="358F6D90">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5A6AF08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第6.3.6条</w:t>
            </w:r>
          </w:p>
        </w:tc>
        <w:tc>
          <w:tcPr>
            <w:tcW w:w="1124" w:type="pct"/>
            <w:vAlign w:val="center"/>
          </w:tcPr>
          <w:p w14:paraId="539A1BE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采用加油油气回收系统</w:t>
            </w:r>
          </w:p>
        </w:tc>
        <w:tc>
          <w:tcPr>
            <w:tcW w:w="422" w:type="pct"/>
            <w:vAlign w:val="center"/>
          </w:tcPr>
          <w:p w14:paraId="5A2D0A8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8DF3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037C51A">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06914A5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加油油气回收系统的设计应符合下列规定。</w:t>
            </w:r>
          </w:p>
          <w:p w14:paraId="0EDEBC69">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①应采用真空辅助式油气回收系统。</w:t>
            </w:r>
          </w:p>
          <w:p w14:paraId="11EECDD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②车用乙醇汽油加油机与油罐之间应设油气回收管道，多台车用乙醇汽油加油机可共用1根油气回收主管，油气回收主管的公称直径不应小于50mm。</w:t>
            </w:r>
          </w:p>
          <w:p w14:paraId="115B150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③加油油气回收系统应采取防止油气反向流至加油枪的措施。</w:t>
            </w:r>
          </w:p>
          <w:p w14:paraId="6E41C324">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④加油机应具备回收油气功能，其气液比宜设定为1.0～1.2。</w:t>
            </w:r>
          </w:p>
          <w:p w14:paraId="6BE83EF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⑤在加油机底部与油气回收立管的连接处，应安装一个用于检测液阻和系统密闭性的丝接三通，其旁通短管上应设公称直径为25mm的球阀及丝堵。</w:t>
            </w:r>
          </w:p>
        </w:tc>
        <w:tc>
          <w:tcPr>
            <w:tcW w:w="1225" w:type="pct"/>
            <w:vAlign w:val="center"/>
          </w:tcPr>
          <w:p w14:paraId="47C4E33F">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74ECD6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第6.3.7条</w:t>
            </w:r>
          </w:p>
        </w:tc>
        <w:tc>
          <w:tcPr>
            <w:tcW w:w="1124" w:type="pct"/>
            <w:vAlign w:val="center"/>
          </w:tcPr>
          <w:p w14:paraId="552B3A11">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lang w:val="zh-CN"/>
                <w14:ligatures w14:val="none"/>
              </w:rPr>
              <w:t>采用真空辅助式油气回收系统；汽油加油机与油罐之间设油气回收管道，</w:t>
            </w:r>
            <w:r>
              <w:rPr>
                <w:rFonts w:ascii="Times New Roman" w:hAnsi="Times New Roman" w:eastAsia="宋体" w:cs="Times New Roman"/>
                <w:sz w:val="21"/>
                <w:szCs w:val="21"/>
                <w:highlight w:val="none"/>
                <w14:ligatures w14:val="none"/>
              </w:rPr>
              <w:t>2</w:t>
            </w:r>
            <w:r>
              <w:rPr>
                <w:rFonts w:ascii="Times New Roman" w:hAnsi="Times New Roman" w:eastAsia="宋体" w:cs="Times New Roman"/>
                <w:sz w:val="21"/>
                <w:szCs w:val="21"/>
                <w:highlight w:val="none"/>
                <w:lang w:val="zh-CN"/>
                <w14:ligatures w14:val="none"/>
              </w:rPr>
              <w:t>台汽油加油机共用1根油气回收主管，油气回收主管的公称直径50mm；加油油气回收系统采取自封式加油枪；加油机具备回收油气功能，其气液比宜设定为1.0～1.2；在加油机底部与油气回收立管的连接处</w:t>
            </w:r>
            <w:r>
              <w:rPr>
                <w:rFonts w:hint="eastAsia" w:ascii="Times New Roman" w:hAnsi="Times New Roman" w:eastAsia="宋体" w:cs="Times New Roman"/>
                <w:sz w:val="21"/>
                <w:szCs w:val="21"/>
                <w:highlight w:val="none"/>
                <w:lang w:val="zh-CN"/>
                <w14:ligatures w14:val="none"/>
              </w:rPr>
              <w:t>，</w:t>
            </w:r>
            <w:r>
              <w:rPr>
                <w:rFonts w:ascii="Times New Roman" w:hAnsi="Times New Roman" w:eastAsia="宋体" w:cs="Times New Roman"/>
                <w:sz w:val="21"/>
                <w:szCs w:val="21"/>
                <w:highlight w:val="none"/>
                <w:lang w:val="zh-CN"/>
                <w14:ligatures w14:val="none"/>
              </w:rPr>
              <w:t>安装一个用于检测液阻和系统密闭性的丝接三通，其旁通短管上应设公称直径为25mm的球阀及丝堵。</w:t>
            </w:r>
          </w:p>
        </w:tc>
        <w:tc>
          <w:tcPr>
            <w:tcW w:w="422" w:type="pct"/>
            <w:vAlign w:val="center"/>
          </w:tcPr>
          <w:p w14:paraId="765F80D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779C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5D58B1D">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C46AB9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油罐的接合管设置应符合下列规定：</w:t>
            </w:r>
          </w:p>
          <w:p w14:paraId="1E322B82">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①接合管应为金属材质。</w:t>
            </w:r>
          </w:p>
          <w:p w14:paraId="05BBD7AC">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②接合管应设在油罐的顶部，其中进油接合管、出油接合管或潜油泵安装口应设在人孔盖上。</w:t>
            </w:r>
          </w:p>
          <w:p w14:paraId="124D92DE">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③进油管应伸至罐内距罐底50mm～100mm处。进油立管的底端应为45°斜管口或T形管口，进油管管壁上不得有与油罐气相空间相通的开口。</w:t>
            </w:r>
          </w:p>
          <w:p w14:paraId="4507F6A9">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④罐内潜油泵的入油口，应高于罐底150mm～200mm。</w:t>
            </w:r>
          </w:p>
          <w:p w14:paraId="5D8E8B1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⑤油罐的量油孔应设带锁的量油帽。量油孔下部的接合管宜向下伸至罐内距罐底200mm处，并应有检尺时使接合管内液位与罐内液位相一致的技术措施。</w:t>
            </w:r>
          </w:p>
          <w:p w14:paraId="407A8EB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⑥油罐人孔井内的管道及设备，应保证油罐人孔盖的可拆装性。</w:t>
            </w:r>
          </w:p>
          <w:p w14:paraId="38C25734">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⑦人孔盖上的接合管与引出井外管道的连接，宜采用金属软管过渡连接。</w:t>
            </w:r>
          </w:p>
        </w:tc>
        <w:tc>
          <w:tcPr>
            <w:tcW w:w="1225" w:type="pct"/>
            <w:vAlign w:val="center"/>
          </w:tcPr>
          <w:p w14:paraId="1298335F">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3F76FF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第6.3.8条</w:t>
            </w:r>
          </w:p>
        </w:tc>
        <w:tc>
          <w:tcPr>
            <w:tcW w:w="1124" w:type="pct"/>
            <w:vAlign w:val="center"/>
          </w:tcPr>
          <w:p w14:paraId="768E65BC">
            <w:pPr>
              <w:overflowPunct w:val="0"/>
              <w:spacing w:line="240" w:lineRule="auto"/>
              <w:ind w:firstLine="0" w:firstLineChars="0"/>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lang w:val="zh-CN"/>
                <w14:ligatures w14:val="none"/>
              </w:rPr>
              <w:t>油罐的接合管设置符合</w:t>
            </w:r>
            <w:r>
              <w:rPr>
                <w:rFonts w:hint="eastAsia" w:ascii="Times New Roman" w:hAnsi="Times New Roman" w:eastAsia="宋体" w:cs="Times New Roman"/>
                <w:sz w:val="21"/>
                <w:szCs w:val="21"/>
                <w:highlight w:val="none"/>
                <w14:ligatures w14:val="none"/>
              </w:rPr>
              <w:t>规范要求</w:t>
            </w:r>
          </w:p>
        </w:tc>
        <w:tc>
          <w:tcPr>
            <w:tcW w:w="422" w:type="pct"/>
            <w:vAlign w:val="center"/>
          </w:tcPr>
          <w:p w14:paraId="4FE1E0CC">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A823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5500970">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6A86C1E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车用乙醇汽油罐与柴油罐的通气管应分开设置。通气管管口高出地面的高度不应小于4m。柴油罐通气管管口应设置阻火器，车用乙醇汽油罐通气管管口设置阻火器和机械呼吸阀。</w:t>
            </w:r>
          </w:p>
        </w:tc>
        <w:tc>
          <w:tcPr>
            <w:tcW w:w="1225" w:type="pct"/>
            <w:vAlign w:val="center"/>
          </w:tcPr>
          <w:p w14:paraId="4EC9F8A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35545BC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第6.3.9条</w:t>
            </w:r>
          </w:p>
        </w:tc>
        <w:tc>
          <w:tcPr>
            <w:tcW w:w="1124" w:type="pct"/>
            <w:vAlign w:val="center"/>
          </w:tcPr>
          <w:p w14:paraId="0050F374">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宋体"/>
                <w:spacing w:val="-6"/>
                <w:position w:val="2"/>
                <w:sz w:val="21"/>
                <w:szCs w:val="21"/>
                <w:highlight w:val="none"/>
                <w14:ligatures w14:val="none"/>
              </w:rPr>
              <w:t>车用乙醇汽油与柴油通气管分开设置，</w:t>
            </w:r>
            <w:r>
              <w:rPr>
                <w:rFonts w:hint="eastAsia" w:ascii="Times New Roman" w:hAnsi="Times New Roman" w:eastAsia="宋体" w:cs="宋体"/>
                <w:sz w:val="21"/>
                <w:szCs w:val="21"/>
                <w:highlight w:val="none"/>
                <w14:ligatures w14:val="none"/>
              </w:rPr>
              <w:t>通气管管口高出地面4m。柴油罐通气管管口设置阻火器，车用乙醇汽油罐通气管管口设置阻火器和机械呼吸阀</w:t>
            </w:r>
          </w:p>
        </w:tc>
        <w:tc>
          <w:tcPr>
            <w:tcW w:w="422" w:type="pct"/>
            <w:vAlign w:val="center"/>
          </w:tcPr>
          <w:p w14:paraId="3C9851A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AD1B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18F9547">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6C5EA44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通气管的公称直径不应小于50mm。</w:t>
            </w:r>
          </w:p>
        </w:tc>
        <w:tc>
          <w:tcPr>
            <w:tcW w:w="1225" w:type="pct"/>
            <w:vAlign w:val="center"/>
          </w:tcPr>
          <w:p w14:paraId="05D014D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ABBB9F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第6.3.10条</w:t>
            </w:r>
          </w:p>
        </w:tc>
        <w:tc>
          <w:tcPr>
            <w:tcW w:w="1124" w:type="pct"/>
            <w:vAlign w:val="center"/>
          </w:tcPr>
          <w:p w14:paraId="2ED943D8">
            <w:pPr>
              <w:spacing w:line="240" w:lineRule="auto"/>
              <w:ind w:firstLine="0" w:firstLineChars="0"/>
              <w:rPr>
                <w:rFonts w:hint="eastAsia" w:ascii="Times New Roman" w:hAnsi="Times New Roman" w:eastAsia="宋体" w:cs="Times New Roman"/>
                <w:sz w:val="21"/>
                <w:szCs w:val="21"/>
                <w:highlight w:val="none"/>
                <w14:ligatures w14:val="none"/>
              </w:rPr>
            </w:pPr>
            <w:r>
              <w:rPr>
                <w:rFonts w:ascii="宋体" w:hAnsi="宋体" w:eastAsia="宋体" w:cs="宋体"/>
                <w:spacing w:val="-6"/>
                <w:position w:val="2"/>
                <w:sz w:val="21"/>
                <w:szCs w:val="21"/>
                <w:highlight w:val="none"/>
                <w:lang w:val="zh-CN"/>
                <w14:ligatures w14:val="none"/>
              </w:rPr>
              <w:t>通气管的公称直径</w:t>
            </w:r>
            <w:r>
              <w:rPr>
                <w:rFonts w:hint="eastAsia" w:ascii="宋体" w:hAnsi="宋体" w:eastAsia="宋体" w:cs="宋体"/>
                <w:spacing w:val="-6"/>
                <w:position w:val="2"/>
                <w:sz w:val="21"/>
                <w:szCs w:val="21"/>
                <w:highlight w:val="none"/>
                <w:lang w:val="zh-CN"/>
                <w14:ligatures w14:val="none"/>
              </w:rPr>
              <w:t>为</w:t>
            </w:r>
            <w:r>
              <w:rPr>
                <w:rFonts w:ascii="Times New Roman" w:hAnsi="Times New Roman" w:eastAsia="宋体" w:cs="Times New Roman"/>
                <w:spacing w:val="-6"/>
                <w:position w:val="2"/>
                <w:sz w:val="21"/>
                <w:szCs w:val="21"/>
                <w:highlight w:val="none"/>
                <w:lang w:val="zh-CN"/>
                <w14:ligatures w14:val="none"/>
              </w:rPr>
              <w:t>50mm</w:t>
            </w:r>
          </w:p>
        </w:tc>
        <w:tc>
          <w:tcPr>
            <w:tcW w:w="422" w:type="pct"/>
            <w:vAlign w:val="center"/>
          </w:tcPr>
          <w:p w14:paraId="600C818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2DF7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D3490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79A51AD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当加油站采用油气回收系统时，车用乙醇汽油罐的通气管管口除应装设阻火器外，应装设呼吸阀。呼吸阀的工作正压宜为2kPa～3kPa，工作负压宜为1.5kPa～2kPa。</w:t>
            </w:r>
          </w:p>
        </w:tc>
        <w:tc>
          <w:tcPr>
            <w:tcW w:w="1225" w:type="pct"/>
            <w:vAlign w:val="center"/>
          </w:tcPr>
          <w:p w14:paraId="4E034B4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F6C8E6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第6.3.11条</w:t>
            </w:r>
          </w:p>
        </w:tc>
        <w:tc>
          <w:tcPr>
            <w:tcW w:w="1124" w:type="pct"/>
            <w:vAlign w:val="center"/>
          </w:tcPr>
          <w:p w14:paraId="32A0FA6A">
            <w:pPr>
              <w:spacing w:line="240" w:lineRule="auto"/>
              <w:ind w:firstLine="0" w:firstLineChars="0"/>
              <w:rPr>
                <w:rFonts w:ascii="Times New Roman" w:hAnsi="Times New Roman" w:eastAsia="宋体" w:cs="Times New Roman"/>
                <w:sz w:val="21"/>
                <w:szCs w:val="21"/>
                <w:highlight w:val="none"/>
                <w14:ligatures w14:val="none"/>
              </w:rPr>
            </w:pPr>
            <w:r>
              <w:rPr>
                <w:rFonts w:hint="eastAsia" w:ascii="宋体" w:hAnsi="宋体" w:eastAsia="宋体" w:cs="宋体"/>
                <w:spacing w:val="-6"/>
                <w:position w:val="2"/>
                <w:sz w:val="21"/>
                <w:szCs w:val="21"/>
                <w:highlight w:val="none"/>
                <w14:ligatures w14:val="none"/>
              </w:rPr>
              <w:t>车用乙醇汽油</w:t>
            </w:r>
            <w:r>
              <w:rPr>
                <w:rFonts w:ascii="宋体" w:hAnsi="宋体" w:eastAsia="宋体" w:cs="宋体"/>
                <w:sz w:val="21"/>
                <w:szCs w:val="21"/>
                <w:highlight w:val="none"/>
                <w:lang w:val="zh-CN"/>
                <w14:ligatures w14:val="none"/>
              </w:rPr>
              <w:t>罐的通气管管口装设</w:t>
            </w:r>
            <w:r>
              <w:rPr>
                <w:rFonts w:hint="eastAsia" w:ascii="宋体" w:hAnsi="宋体" w:eastAsia="宋体" w:cs="宋体"/>
                <w:sz w:val="21"/>
                <w:szCs w:val="21"/>
                <w:highlight w:val="none"/>
                <w:lang w:val="zh-CN"/>
                <w14:ligatures w14:val="none"/>
              </w:rPr>
              <w:t>了</w:t>
            </w:r>
            <w:r>
              <w:rPr>
                <w:rFonts w:ascii="宋体" w:hAnsi="宋体" w:eastAsia="宋体" w:cs="宋体"/>
                <w:sz w:val="21"/>
                <w:szCs w:val="21"/>
                <w:highlight w:val="none"/>
                <w:lang w:val="zh-CN"/>
                <w14:ligatures w14:val="none"/>
              </w:rPr>
              <w:t>呼吸阀。</w:t>
            </w:r>
            <w:r>
              <w:rPr>
                <w:rFonts w:hint="eastAsia" w:ascii="宋体" w:hAnsi="宋体" w:eastAsia="宋体" w:cs="宋体"/>
                <w:sz w:val="21"/>
                <w:szCs w:val="21"/>
                <w:highlight w:val="none"/>
                <w:lang w:val="zh-CN"/>
                <w14:ligatures w14:val="none"/>
              </w:rPr>
              <w:t>呼吸阀的设计满足《汽车加油加气加氢站技术标准》的要求</w:t>
            </w:r>
          </w:p>
        </w:tc>
        <w:tc>
          <w:tcPr>
            <w:tcW w:w="422" w:type="pct"/>
            <w:vAlign w:val="center"/>
          </w:tcPr>
          <w:p w14:paraId="64B3701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C64E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12EE9EC">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FD0F96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加油站工艺管道的选用，应符合下列规定：</w:t>
            </w:r>
          </w:p>
          <w:p w14:paraId="6EFD7348">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①地面敷设的工艺管道应采用符合现行国家标准《输送流体用无缝钢管》GB/T 8163的无缝钢管。</w:t>
            </w:r>
          </w:p>
          <w:p w14:paraId="0C3C833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②其他管道应采用输送流体用无缝钢管或适于输送油品的热塑性塑料管道。</w:t>
            </w:r>
          </w:p>
          <w:p w14:paraId="088200B1">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③无缝钢管的公称壁厚不应小于4mm，埋地钢管的连接应采用焊接。</w:t>
            </w:r>
          </w:p>
          <w:p w14:paraId="7E612C8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fldChar w:fldCharType="begin"/>
            </w:r>
            <w:r>
              <w:rPr>
                <w:rFonts w:hint="eastAsia" w:ascii="Times New Roman" w:hAnsi="Times New Roman" w:eastAsia="宋体" w:cs="Times New Roman"/>
                <w:kern w:val="28"/>
                <w:sz w:val="21"/>
                <w:szCs w:val="21"/>
                <w:highlight w:val="none"/>
                <w14:ligatures w14:val="none"/>
              </w:rPr>
              <w:instrText xml:space="preserve"> = 4 \* GB3 \* MERGEFORMAT </w:instrText>
            </w:r>
            <w:r>
              <w:rPr>
                <w:rFonts w:hint="eastAsia" w:ascii="Times New Roman" w:hAnsi="Times New Roman" w:eastAsia="宋体" w:cs="Times New Roman"/>
                <w:kern w:val="28"/>
                <w:sz w:val="21"/>
                <w:szCs w:val="21"/>
                <w:highlight w:val="none"/>
                <w14:ligatures w14:val="none"/>
              </w:rPr>
              <w:fldChar w:fldCharType="separate"/>
            </w:r>
            <w:r>
              <w:rPr>
                <w:rFonts w:hint="eastAsia" w:ascii="Times New Roman" w:hAnsi="Times New Roman" w:eastAsia="宋体" w:cs="Times New Roman"/>
                <w:kern w:val="28"/>
                <w:sz w:val="21"/>
                <w:szCs w:val="21"/>
                <w:highlight w:val="none"/>
                <w14:ligatures w14:val="none"/>
              </w:rPr>
              <w:t>④</w:t>
            </w:r>
            <w:r>
              <w:rPr>
                <w:rFonts w:hint="eastAsia" w:ascii="Times New Roman" w:hAnsi="Times New Roman" w:eastAsia="宋体" w:cs="Times New Roman"/>
                <w:kern w:val="28"/>
                <w:sz w:val="21"/>
                <w:szCs w:val="21"/>
                <w:highlight w:val="none"/>
                <w14:ligatures w14:val="none"/>
              </w:rPr>
              <w:fldChar w:fldCharType="end"/>
            </w:r>
            <w:r>
              <w:rPr>
                <w:rFonts w:hint="eastAsia" w:ascii="Times New Roman" w:hAnsi="Times New Roman" w:eastAsia="宋体" w:cs="Times New Roman"/>
                <w:kern w:val="28"/>
                <w:sz w:val="21"/>
                <w:szCs w:val="21"/>
                <w:highlight w:val="none"/>
                <w14:ligatures w14:val="none"/>
              </w:rPr>
              <w:t>热塑性塑料管道的主体结构层应为无孔隙聚乙烯材料，壁厚不应小于4mm。埋地部分的热塑性塑料管道应采用配套的专用连接管件电熔连接。</w:t>
            </w:r>
          </w:p>
          <w:p w14:paraId="70F58FD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fldChar w:fldCharType="begin"/>
            </w:r>
            <w:r>
              <w:rPr>
                <w:rFonts w:hint="eastAsia" w:ascii="Times New Roman" w:hAnsi="Times New Roman" w:eastAsia="宋体" w:cs="Times New Roman"/>
                <w:kern w:val="28"/>
                <w:sz w:val="21"/>
                <w:szCs w:val="21"/>
                <w:highlight w:val="none"/>
                <w14:ligatures w14:val="none"/>
              </w:rPr>
              <w:instrText xml:space="preserve"> = 5 \* GB3 \* MERGEFORMAT </w:instrText>
            </w:r>
            <w:r>
              <w:rPr>
                <w:rFonts w:hint="eastAsia" w:ascii="Times New Roman" w:hAnsi="Times New Roman" w:eastAsia="宋体" w:cs="Times New Roman"/>
                <w:kern w:val="28"/>
                <w:sz w:val="21"/>
                <w:szCs w:val="21"/>
                <w:highlight w:val="none"/>
                <w14:ligatures w14:val="none"/>
              </w:rPr>
              <w:fldChar w:fldCharType="separate"/>
            </w:r>
            <w:r>
              <w:rPr>
                <w:rFonts w:hint="eastAsia" w:ascii="Times New Roman" w:hAnsi="Times New Roman" w:eastAsia="宋体" w:cs="Times New Roman"/>
                <w:kern w:val="28"/>
                <w:sz w:val="21"/>
                <w:szCs w:val="21"/>
                <w:highlight w:val="none"/>
                <w14:ligatures w14:val="none"/>
              </w:rPr>
              <w:t>⑤</w:t>
            </w:r>
            <w:r>
              <w:rPr>
                <w:rFonts w:hint="eastAsia" w:ascii="Times New Roman" w:hAnsi="Times New Roman" w:eastAsia="宋体" w:cs="Times New Roman"/>
                <w:kern w:val="28"/>
                <w:sz w:val="21"/>
                <w:szCs w:val="21"/>
                <w:highlight w:val="none"/>
                <w14:ligatures w14:val="none"/>
              </w:rPr>
              <w:fldChar w:fldCharType="end"/>
            </w:r>
            <w:r>
              <w:rPr>
                <w:rFonts w:hint="eastAsia" w:ascii="Times New Roman" w:hAnsi="Times New Roman" w:eastAsia="宋体" w:cs="Times New Roman"/>
                <w:kern w:val="28"/>
                <w:sz w:val="21"/>
                <w:szCs w:val="21"/>
                <w:highlight w:val="none"/>
                <w14:ligatures w14:val="none"/>
              </w:rPr>
              <w:t>导静电热塑性塑料管道导静电衬层的体电阻率应小于10</w:t>
            </w:r>
            <w:r>
              <w:rPr>
                <w:rFonts w:hint="eastAsia" w:ascii="Times New Roman" w:hAnsi="Times New Roman" w:eastAsia="宋体" w:cs="Times New Roman"/>
                <w:kern w:val="28"/>
                <w:sz w:val="21"/>
                <w:szCs w:val="21"/>
                <w:highlight w:val="none"/>
                <w:vertAlign w:val="superscript"/>
                <w14:ligatures w14:val="none"/>
              </w:rPr>
              <w:t>8</w:t>
            </w:r>
            <w:r>
              <w:rPr>
                <w:rFonts w:hint="eastAsia" w:ascii="Times New Roman" w:hAnsi="Times New Roman" w:eastAsia="宋体" w:cs="Times New Roman"/>
                <w:kern w:val="28"/>
                <w:sz w:val="21"/>
                <w:szCs w:val="21"/>
                <w:highlight w:val="none"/>
                <w14:ligatures w14:val="none"/>
              </w:rPr>
              <w:t>Ω·m，表面电阻率应小于10</w:t>
            </w:r>
            <w:r>
              <w:rPr>
                <w:rFonts w:hint="eastAsia" w:ascii="Times New Roman" w:hAnsi="Times New Roman" w:eastAsia="宋体" w:cs="Times New Roman"/>
                <w:kern w:val="28"/>
                <w:sz w:val="21"/>
                <w:szCs w:val="21"/>
                <w:highlight w:val="none"/>
                <w:vertAlign w:val="superscript"/>
                <w14:ligatures w14:val="none"/>
              </w:rPr>
              <w:t>10</w:t>
            </w:r>
            <w:r>
              <w:rPr>
                <w:rFonts w:hint="eastAsia" w:ascii="Times New Roman" w:hAnsi="Times New Roman" w:eastAsia="宋体" w:cs="Times New Roman"/>
                <w:kern w:val="28"/>
                <w:sz w:val="21"/>
                <w:szCs w:val="21"/>
                <w:highlight w:val="none"/>
                <w14:ligatures w14:val="none"/>
              </w:rPr>
              <w:t>Ω。</w:t>
            </w:r>
          </w:p>
          <w:p w14:paraId="179C9E8D">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⑥不导静电热塑性塑料管道主体结构层的介电击穿强度应大于100kV。</w:t>
            </w:r>
          </w:p>
          <w:p w14:paraId="6E7B408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⑦柴油尾气处理液加注设备的管道，应采用奥氏体不锈钢管道或能满足输送柴油尾气处理液的其他管道。</w:t>
            </w:r>
          </w:p>
        </w:tc>
        <w:tc>
          <w:tcPr>
            <w:tcW w:w="1225" w:type="pct"/>
            <w:vAlign w:val="center"/>
          </w:tcPr>
          <w:p w14:paraId="0967EC9E">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2ED0DE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第6.3.12条</w:t>
            </w:r>
          </w:p>
        </w:tc>
        <w:tc>
          <w:tcPr>
            <w:tcW w:w="1124" w:type="pct"/>
            <w:vAlign w:val="center"/>
          </w:tcPr>
          <w:p w14:paraId="0B3AA8EA">
            <w:pPr>
              <w:spacing w:line="240" w:lineRule="auto"/>
              <w:ind w:firstLine="0" w:firstLineChars="0"/>
              <w:rPr>
                <w:rFonts w:hint="eastAsia" w:ascii="Times New Roman" w:hAnsi="Times New Roman" w:eastAsia="宋体" w:cs="Times New Roman"/>
                <w:sz w:val="21"/>
                <w:szCs w:val="21"/>
                <w:highlight w:val="none"/>
                <w14:ligatures w14:val="none"/>
              </w:rPr>
            </w:pPr>
            <w:r>
              <w:rPr>
                <w:rFonts w:ascii="宋体" w:hAnsi="宋体" w:eastAsia="宋体" w:cs="宋体"/>
                <w:spacing w:val="-6"/>
                <w:position w:val="2"/>
                <w:sz w:val="21"/>
                <w:szCs w:val="21"/>
                <w:highlight w:val="none"/>
                <w:lang w:val="zh-CN"/>
                <w14:ligatures w14:val="none"/>
              </w:rPr>
              <w:t>加油站工艺管道符合</w:t>
            </w:r>
            <w:r>
              <w:rPr>
                <w:rFonts w:hint="eastAsia" w:ascii="宋体" w:hAnsi="宋体" w:eastAsia="宋体" w:cs="宋体"/>
                <w:spacing w:val="-6"/>
                <w:position w:val="2"/>
                <w:sz w:val="21"/>
                <w:szCs w:val="21"/>
                <w:highlight w:val="none"/>
                <w14:ligatures w14:val="none"/>
              </w:rPr>
              <w:t>规范要求</w:t>
            </w:r>
          </w:p>
        </w:tc>
        <w:tc>
          <w:tcPr>
            <w:tcW w:w="422" w:type="pct"/>
            <w:vAlign w:val="center"/>
          </w:tcPr>
          <w:p w14:paraId="646EDEC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475D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56B938F">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B088B7F">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油罐车卸油时用的卸油连通软管、油气回收连通软管，应采用导静电耐油软管，其体电阻率应小于10</w:t>
            </w:r>
            <w:r>
              <w:rPr>
                <w:rFonts w:hint="eastAsia" w:ascii="Times New Roman" w:hAnsi="Times New Roman" w:eastAsia="宋体" w:cs="Times New Roman"/>
                <w:kern w:val="28"/>
                <w:sz w:val="21"/>
                <w:szCs w:val="21"/>
                <w:highlight w:val="none"/>
                <w:vertAlign w:val="superscript"/>
                <w14:ligatures w14:val="none"/>
              </w:rPr>
              <w:t>8</w:t>
            </w:r>
            <w:r>
              <w:rPr>
                <w:rFonts w:hint="eastAsia" w:ascii="Times New Roman" w:hAnsi="Times New Roman" w:eastAsia="宋体" w:cs="Times New Roman"/>
                <w:kern w:val="28"/>
                <w:sz w:val="21"/>
                <w:szCs w:val="21"/>
                <w:highlight w:val="none"/>
                <w14:ligatures w14:val="none"/>
              </w:rPr>
              <w:t>Ω·m，表面电阻率应小于10</w:t>
            </w:r>
            <w:r>
              <w:rPr>
                <w:rFonts w:hint="eastAsia" w:ascii="Times New Roman" w:hAnsi="Times New Roman" w:eastAsia="宋体" w:cs="Times New Roman"/>
                <w:kern w:val="28"/>
                <w:sz w:val="21"/>
                <w:szCs w:val="21"/>
                <w:highlight w:val="none"/>
                <w:vertAlign w:val="superscript"/>
                <w14:ligatures w14:val="none"/>
              </w:rPr>
              <w:t>10</w:t>
            </w:r>
            <w:r>
              <w:rPr>
                <w:rFonts w:hint="eastAsia" w:ascii="Times New Roman" w:hAnsi="Times New Roman" w:eastAsia="宋体" w:cs="Times New Roman"/>
                <w:kern w:val="28"/>
                <w:sz w:val="21"/>
                <w:szCs w:val="21"/>
                <w:highlight w:val="none"/>
                <w14:ligatures w14:val="none"/>
              </w:rPr>
              <w:t>Ω，或采用内附金属丝（网）的橡胶软管。</w:t>
            </w:r>
          </w:p>
        </w:tc>
        <w:tc>
          <w:tcPr>
            <w:tcW w:w="1225" w:type="pct"/>
            <w:vAlign w:val="center"/>
          </w:tcPr>
          <w:p w14:paraId="71DC69F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FDA18F9">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第6.3.13条</w:t>
            </w:r>
          </w:p>
        </w:tc>
        <w:tc>
          <w:tcPr>
            <w:tcW w:w="1124" w:type="pct"/>
            <w:vAlign w:val="center"/>
          </w:tcPr>
          <w:p w14:paraId="5CFCE631">
            <w:pPr>
              <w:spacing w:line="240" w:lineRule="auto"/>
              <w:ind w:firstLine="0" w:firstLineChars="0"/>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lang w:val="zh-CN"/>
                <w14:ligatures w14:val="none"/>
              </w:rPr>
              <w:t>油罐车卸油时用的卸油连通软管、油气回收连通软管，采用电阻率小于</w:t>
            </w:r>
            <w:r>
              <w:rPr>
                <w:rFonts w:ascii="Times New Roman" w:hAnsi="Times New Roman" w:eastAsia="宋体" w:cs="Times New Roman"/>
                <w:sz w:val="21"/>
                <w:highlight w:val="none"/>
                <w14:ligatures w14:val="none"/>
              </w:rPr>
              <w:t>10</w:t>
            </w:r>
            <w:r>
              <w:rPr>
                <w:rFonts w:ascii="Times New Roman" w:hAnsi="Times New Roman" w:eastAsia="宋体" w:cs="Times New Roman"/>
                <w:sz w:val="21"/>
                <w:highlight w:val="none"/>
                <w:vertAlign w:val="superscript"/>
                <w14:ligatures w14:val="none"/>
              </w:rPr>
              <w:t>8</w:t>
            </w:r>
            <w:r>
              <w:rPr>
                <w:rFonts w:ascii="Times New Roman" w:hAnsi="Times New Roman" w:eastAsia="宋体" w:cs="Times New Roman"/>
                <w:sz w:val="21"/>
                <w:szCs w:val="21"/>
                <w:highlight w:val="none"/>
                <w:lang w:val="zh-CN"/>
                <w14:ligatures w14:val="none"/>
              </w:rPr>
              <w:t>Ω·m，表面电阻率小于</w:t>
            </w:r>
            <w:r>
              <w:rPr>
                <w:rFonts w:ascii="Times New Roman" w:hAnsi="Times New Roman" w:eastAsia="宋体" w:cs="Times New Roman"/>
                <w:sz w:val="21"/>
                <w:highlight w:val="none"/>
                <w14:ligatures w14:val="none"/>
              </w:rPr>
              <w:t>10</w:t>
            </w:r>
            <w:r>
              <w:rPr>
                <w:rFonts w:ascii="Times New Roman" w:hAnsi="Times New Roman" w:eastAsia="宋体" w:cs="Times New Roman"/>
                <w:sz w:val="21"/>
                <w:highlight w:val="none"/>
                <w:vertAlign w:val="superscript"/>
                <w14:ligatures w14:val="none"/>
              </w:rPr>
              <w:t>10</w:t>
            </w:r>
            <w:r>
              <w:rPr>
                <w:rFonts w:ascii="Times New Roman" w:hAnsi="Times New Roman" w:eastAsia="宋体" w:cs="Times New Roman"/>
                <w:sz w:val="21"/>
                <w:szCs w:val="21"/>
                <w:highlight w:val="none"/>
                <w:lang w:val="zh-CN"/>
                <w14:ligatures w14:val="none"/>
              </w:rPr>
              <w:t>Ω的导静电耐油软管</w:t>
            </w:r>
          </w:p>
        </w:tc>
        <w:tc>
          <w:tcPr>
            <w:tcW w:w="422" w:type="pct"/>
            <w:vAlign w:val="center"/>
          </w:tcPr>
          <w:p w14:paraId="6D17C88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DF4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80D51B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20441C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加油站内的工艺管道除必须露出地面的以外，均应埋地敷设。当采用管沟敷设时，管沟必须用中性沙子或细土填满、填实。</w:t>
            </w:r>
          </w:p>
        </w:tc>
        <w:tc>
          <w:tcPr>
            <w:tcW w:w="1225" w:type="pct"/>
            <w:vAlign w:val="center"/>
          </w:tcPr>
          <w:p w14:paraId="685D466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5D6239E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第6.3.14条</w:t>
            </w:r>
          </w:p>
        </w:tc>
        <w:tc>
          <w:tcPr>
            <w:tcW w:w="1124" w:type="pct"/>
            <w:vAlign w:val="center"/>
          </w:tcPr>
          <w:p w14:paraId="1C542903">
            <w:pPr>
              <w:autoSpaceDE w:val="0"/>
              <w:autoSpaceDN w:val="0"/>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宋体" w:hAnsi="宋体" w:eastAsia="宋体" w:cs="宋体"/>
                <w:spacing w:val="-6"/>
                <w:position w:val="2"/>
                <w:sz w:val="21"/>
                <w:szCs w:val="21"/>
                <w:highlight w:val="none"/>
                <w:lang w:val="zh-CN"/>
                <w14:ligatures w14:val="none"/>
              </w:rPr>
              <w:t>加</w:t>
            </w:r>
            <w:r>
              <w:rPr>
                <w:rFonts w:ascii="宋体" w:hAnsi="宋体" w:eastAsia="宋体" w:cs="宋体"/>
                <w:spacing w:val="-6"/>
                <w:position w:val="2"/>
                <w:sz w:val="21"/>
                <w:szCs w:val="21"/>
                <w:highlight w:val="none"/>
                <w:lang w:val="zh-CN"/>
                <w14:ligatures w14:val="none"/>
              </w:rPr>
              <w:t>油站内的工艺管道除必须露出地面的以外，均埋地敷设。</w:t>
            </w:r>
            <w:r>
              <w:rPr>
                <w:rFonts w:hint="eastAsia" w:ascii="宋体" w:hAnsi="宋体" w:eastAsia="宋体" w:cs="宋体"/>
                <w:spacing w:val="-6"/>
                <w:position w:val="2"/>
                <w:sz w:val="21"/>
                <w:szCs w:val="21"/>
                <w:highlight w:val="none"/>
                <w:lang w:val="zh-CN"/>
                <w14:ligatures w14:val="none"/>
              </w:rPr>
              <w:t>管道</w:t>
            </w:r>
            <w:r>
              <w:rPr>
                <w:rFonts w:ascii="宋体" w:hAnsi="宋体" w:eastAsia="宋体" w:cs="宋体"/>
                <w:spacing w:val="-6"/>
                <w:position w:val="2"/>
                <w:sz w:val="21"/>
                <w:szCs w:val="21"/>
                <w:highlight w:val="none"/>
                <w:lang w:val="zh-CN"/>
                <w14:ligatures w14:val="none"/>
              </w:rPr>
              <w:t>采用管沟敷设，管沟用中性沙子填实</w:t>
            </w:r>
          </w:p>
        </w:tc>
        <w:tc>
          <w:tcPr>
            <w:tcW w:w="422" w:type="pct"/>
            <w:vAlign w:val="center"/>
          </w:tcPr>
          <w:p w14:paraId="63B6269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4E70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DC8013F">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7CE4D6A1">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卸油管道、卸油油气回收管道、加油油气回收管道和油罐通气管横管，应坡向埋地油罐。卸油管道的坡度不应小于2%，卸油油气回收管道、加油油气回收管道和油罐通气管横管的坡度，不应小于1%。</w:t>
            </w:r>
          </w:p>
        </w:tc>
        <w:tc>
          <w:tcPr>
            <w:tcW w:w="1225" w:type="pct"/>
            <w:vAlign w:val="center"/>
          </w:tcPr>
          <w:p w14:paraId="720ACB5B">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3285F6A">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第6.3.15条</w:t>
            </w:r>
          </w:p>
        </w:tc>
        <w:tc>
          <w:tcPr>
            <w:tcW w:w="1124" w:type="pct"/>
            <w:vAlign w:val="center"/>
          </w:tcPr>
          <w:p w14:paraId="5EE13B00">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lang w:val="zh-CN"/>
                <w14:ligatures w14:val="none"/>
              </w:rPr>
              <w:t>加油油气回收管道坡向油罐的坡度为</w:t>
            </w:r>
            <w:r>
              <w:rPr>
                <w:rFonts w:ascii="Times New Roman" w:hAnsi="Times New Roman" w:eastAsia="宋体" w:cs="Times New Roman"/>
                <w:sz w:val="21"/>
                <w:szCs w:val="21"/>
                <w:highlight w:val="none"/>
                <w14:ligatures w14:val="none"/>
              </w:rPr>
              <w:t>1%，卸油管坡度大于2‰</w:t>
            </w:r>
          </w:p>
        </w:tc>
        <w:tc>
          <w:tcPr>
            <w:tcW w:w="422" w:type="pct"/>
            <w:vAlign w:val="center"/>
          </w:tcPr>
          <w:p w14:paraId="01A15282">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91F5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D21D494">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25E51576">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受地形限制，加油油气回收管道坡向油罐的坡度无法满足本标准第6.3.15条的要求时，可在管道靠近油罐的位置设置集液器，且管道坡向集液器的坡度不应小于1%。</w:t>
            </w:r>
          </w:p>
        </w:tc>
        <w:tc>
          <w:tcPr>
            <w:tcW w:w="1225" w:type="pct"/>
            <w:vAlign w:val="center"/>
          </w:tcPr>
          <w:p w14:paraId="60750A0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50DED2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第6.3.16条</w:t>
            </w:r>
          </w:p>
        </w:tc>
        <w:tc>
          <w:tcPr>
            <w:tcW w:w="1124" w:type="pct"/>
            <w:vAlign w:val="center"/>
          </w:tcPr>
          <w:p w14:paraId="024EF53E">
            <w:pPr>
              <w:autoSpaceDE w:val="0"/>
              <w:autoSpaceDN w:val="0"/>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lang w:val="zh-CN"/>
                <w14:ligatures w14:val="none"/>
              </w:rPr>
              <w:t>加油油气回收管道坡向油罐的坡度满足规范6.3.15的要求</w:t>
            </w:r>
          </w:p>
        </w:tc>
        <w:tc>
          <w:tcPr>
            <w:tcW w:w="422" w:type="pct"/>
            <w:vAlign w:val="center"/>
          </w:tcPr>
          <w:p w14:paraId="2A22EE5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3CEB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1820726">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45921E2">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埋地工艺管道的埋设深度不得小于0.4m。敷设在混凝土场地或道路下面的管道，管顶低于混凝土层下表面不得小于0.2m。管道周围应回填不小于100mm厚的中性沙子或细土。</w:t>
            </w:r>
          </w:p>
        </w:tc>
        <w:tc>
          <w:tcPr>
            <w:tcW w:w="1225" w:type="pct"/>
            <w:vAlign w:val="center"/>
          </w:tcPr>
          <w:p w14:paraId="7A75B636">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0DC310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第6.3.17条</w:t>
            </w:r>
          </w:p>
        </w:tc>
        <w:tc>
          <w:tcPr>
            <w:tcW w:w="1124" w:type="pct"/>
            <w:vAlign w:val="center"/>
          </w:tcPr>
          <w:p w14:paraId="6A51934F">
            <w:pPr>
              <w:spacing w:line="240" w:lineRule="auto"/>
              <w:ind w:firstLine="0" w:firstLineChars="0"/>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lang w:val="zh-CN"/>
                <w14:ligatures w14:val="none"/>
              </w:rPr>
              <w:t>埋地工艺管道的埋设深度不小于0.6m。管道周围回填不小于100mm厚的中性沙子</w:t>
            </w:r>
          </w:p>
        </w:tc>
        <w:tc>
          <w:tcPr>
            <w:tcW w:w="422" w:type="pct"/>
            <w:vAlign w:val="center"/>
          </w:tcPr>
          <w:p w14:paraId="568D3FA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7C14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C1A35BB">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048C1DC8">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工艺管道不应穿过或跨越站房等与其无直接关系的建（构）筑物；与管沟、电缆沟和排水沟相交叉时，应采取相应的防护措施。</w:t>
            </w:r>
          </w:p>
        </w:tc>
        <w:tc>
          <w:tcPr>
            <w:tcW w:w="1225" w:type="pct"/>
            <w:vAlign w:val="center"/>
          </w:tcPr>
          <w:p w14:paraId="0E5F22C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2C5EAB5">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第6.3.18条</w:t>
            </w:r>
          </w:p>
        </w:tc>
        <w:tc>
          <w:tcPr>
            <w:tcW w:w="1124" w:type="pct"/>
            <w:vAlign w:val="center"/>
          </w:tcPr>
          <w:p w14:paraId="2DCA075C">
            <w:pPr>
              <w:spacing w:line="240" w:lineRule="auto"/>
              <w:ind w:firstLine="0" w:firstLineChars="0"/>
              <w:rPr>
                <w:rFonts w:hint="eastAsia" w:ascii="Times New Roman" w:hAnsi="Times New Roman" w:eastAsia="宋体" w:cs="Times New Roman"/>
                <w:sz w:val="21"/>
                <w:szCs w:val="21"/>
                <w:highlight w:val="none"/>
                <w14:ligatures w14:val="none"/>
              </w:rPr>
            </w:pPr>
            <w:r>
              <w:rPr>
                <w:rFonts w:ascii="宋体" w:hAnsi="宋体" w:eastAsia="宋体" w:cs="宋体"/>
                <w:spacing w:val="-6"/>
                <w:position w:val="2"/>
                <w:sz w:val="21"/>
                <w:szCs w:val="21"/>
                <w:highlight w:val="none"/>
                <w:lang w:val="zh-CN"/>
                <w14:ligatures w14:val="none"/>
              </w:rPr>
              <w:t>工艺管道</w:t>
            </w:r>
            <w:r>
              <w:rPr>
                <w:rFonts w:hint="eastAsia" w:ascii="宋体" w:hAnsi="宋体" w:eastAsia="宋体" w:cs="宋体"/>
                <w:spacing w:val="-6"/>
                <w:position w:val="2"/>
                <w:sz w:val="21"/>
                <w:szCs w:val="21"/>
                <w:highlight w:val="none"/>
                <w:lang w:val="zh-CN"/>
                <w14:ligatures w14:val="none"/>
              </w:rPr>
              <w:t>未</w:t>
            </w:r>
            <w:r>
              <w:rPr>
                <w:rFonts w:ascii="宋体" w:hAnsi="宋体" w:eastAsia="宋体" w:cs="宋体"/>
                <w:spacing w:val="-6"/>
                <w:position w:val="2"/>
                <w:sz w:val="21"/>
                <w:szCs w:val="21"/>
                <w:highlight w:val="none"/>
                <w:lang w:val="zh-CN"/>
                <w14:ligatures w14:val="none"/>
              </w:rPr>
              <w:t>穿过或跨越站房等与其无直接关系的建（构）筑物；与管沟、电缆沟和排水沟交叉时，</w:t>
            </w:r>
            <w:r>
              <w:rPr>
                <w:rFonts w:hint="eastAsia" w:ascii="宋体" w:hAnsi="宋体" w:eastAsia="宋体" w:cs="宋体"/>
                <w:spacing w:val="-6"/>
                <w:position w:val="2"/>
                <w:sz w:val="21"/>
                <w:szCs w:val="21"/>
                <w:highlight w:val="none"/>
                <w:lang w:val="zh-CN"/>
                <w14:ligatures w14:val="none"/>
              </w:rPr>
              <w:t>满足规范要求的垂直净距</w:t>
            </w:r>
          </w:p>
        </w:tc>
        <w:tc>
          <w:tcPr>
            <w:tcW w:w="422" w:type="pct"/>
            <w:vAlign w:val="center"/>
          </w:tcPr>
          <w:p w14:paraId="3A891396">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E74D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BC31568">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618F2B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埋地钢质管道外表面的防腐设计，应符合现行国家标准《钢质管道外腐蚀控制规范》GB/T 21447的有关规定。</w:t>
            </w:r>
          </w:p>
        </w:tc>
        <w:tc>
          <w:tcPr>
            <w:tcW w:w="1225" w:type="pct"/>
            <w:vAlign w:val="center"/>
          </w:tcPr>
          <w:p w14:paraId="1624890A">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2A9F258">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第6.3.20条</w:t>
            </w:r>
          </w:p>
        </w:tc>
        <w:tc>
          <w:tcPr>
            <w:tcW w:w="1124" w:type="pct"/>
            <w:vAlign w:val="center"/>
          </w:tcPr>
          <w:p w14:paraId="1CC2C5CE">
            <w:pPr>
              <w:autoSpaceDE w:val="0"/>
              <w:autoSpaceDN w:val="0"/>
              <w:spacing w:line="240" w:lineRule="auto"/>
              <w:ind w:firstLine="0" w:firstLineChars="0"/>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lang w:val="zh-CN"/>
                <w14:ligatures w14:val="none"/>
              </w:rPr>
              <w:t>埋地钢质管道外表面防腐设计，符合现行国家标准的有关规定</w:t>
            </w:r>
          </w:p>
        </w:tc>
        <w:tc>
          <w:tcPr>
            <w:tcW w:w="422" w:type="pct"/>
            <w:vAlign w:val="center"/>
          </w:tcPr>
          <w:p w14:paraId="772B2D46">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0AD9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30A5A37">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6F33F70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地下管道、设备隔热作业时，应先检测有害气体，检测合格后方可操作。</w:t>
            </w:r>
          </w:p>
        </w:tc>
        <w:tc>
          <w:tcPr>
            <w:tcW w:w="1225" w:type="pct"/>
            <w:vAlign w:val="center"/>
          </w:tcPr>
          <w:p w14:paraId="3797A121">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《石油化工建设工程施工安全技术标准》（GB50156-2021）</w:t>
            </w:r>
          </w:p>
          <w:p w14:paraId="4F0D38A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第8.7.3条</w:t>
            </w:r>
          </w:p>
        </w:tc>
        <w:tc>
          <w:tcPr>
            <w:tcW w:w="1124" w:type="pct"/>
            <w:vAlign w:val="center"/>
          </w:tcPr>
          <w:p w14:paraId="4942DA9F">
            <w:pPr>
              <w:autoSpaceDE w:val="0"/>
              <w:autoSpaceDN w:val="0"/>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地下管道、设备隔热作业时，先检测有害气体，检测合格后操作</w:t>
            </w:r>
          </w:p>
        </w:tc>
        <w:tc>
          <w:tcPr>
            <w:tcW w:w="422" w:type="pct"/>
            <w:vAlign w:val="center"/>
          </w:tcPr>
          <w:p w14:paraId="24C9E6F2">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42A8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F44581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0BF39D8F">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根据《汽车加油加气加氢站技术标准》（GB50156-2021）第6.5.4条，装有潜油泵的油罐人孔操作井、卸油口井、加油机底槽等可能发生油品渗漏的部位，也应采取相应的防渗措施。</w:t>
            </w:r>
          </w:p>
        </w:tc>
        <w:tc>
          <w:tcPr>
            <w:tcW w:w="1225" w:type="pct"/>
            <w:vAlign w:val="center"/>
          </w:tcPr>
          <w:p w14:paraId="1BF02376">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68D154B">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第6.5.4条</w:t>
            </w:r>
          </w:p>
        </w:tc>
        <w:tc>
          <w:tcPr>
            <w:tcW w:w="1124" w:type="pct"/>
            <w:vAlign w:val="center"/>
          </w:tcPr>
          <w:p w14:paraId="4D76DDA0">
            <w:pPr>
              <w:autoSpaceDE w:val="0"/>
              <w:autoSpaceDN w:val="0"/>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宋体" w:hAnsi="宋体" w:eastAsia="宋体" w:cs="宋体"/>
                <w:sz w:val="21"/>
                <w:szCs w:val="21"/>
                <w:highlight w:val="none"/>
                <w14:ligatures w14:val="none"/>
              </w:rPr>
              <w:t>油罐人孔操作井、卸油口井、加油机底槽等可能发生油品渗漏的部位均采取相应的防渗措施</w:t>
            </w:r>
          </w:p>
        </w:tc>
        <w:tc>
          <w:tcPr>
            <w:tcW w:w="422" w:type="pct"/>
            <w:vAlign w:val="center"/>
          </w:tcPr>
          <w:p w14:paraId="642114D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C54D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FCAF99D">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8D6EE87">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加油站埋地加油管道应采用双层管道。双层管道的设计，应符合下列规定：</w:t>
            </w:r>
          </w:p>
          <w:p w14:paraId="28897980">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①双层管道的内层管应符合本标准第6.3节的有关规定。</w:t>
            </w:r>
          </w:p>
          <w:p w14:paraId="3D06EFC7">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②采用双层非金属管道时，外层管应满足耐油、耐腐蚀、耐老化和系统试验压力的要求。</w:t>
            </w:r>
          </w:p>
          <w:p w14:paraId="4E297BAF">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③采用双层钢制管道时，外层管的壁厚不应小于5mm。</w:t>
            </w:r>
          </w:p>
          <w:p w14:paraId="287AD2F9">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④双层管道系统的内层管与外层管之间的缝隙应贯通。</w:t>
            </w:r>
          </w:p>
          <w:p w14:paraId="0AFC719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⑤双层管道系统的最低点应设检漏点。</w:t>
            </w:r>
          </w:p>
          <w:p w14:paraId="119EDDF1">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⑥双层管道坡向检漏点的坡度，不应小于5%，并应保证内层管和外层管任何部位出现渗漏均能在检漏点处被发现。</w:t>
            </w:r>
          </w:p>
          <w:p w14:paraId="16B5147C">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fldChar w:fldCharType="begin"/>
            </w:r>
            <w:r>
              <w:rPr>
                <w:rFonts w:hint="eastAsia" w:ascii="Times New Roman" w:hAnsi="Times New Roman" w:eastAsia="宋体" w:cs="Times New Roman"/>
                <w:kern w:val="28"/>
                <w:sz w:val="21"/>
                <w:szCs w:val="21"/>
                <w:highlight w:val="none"/>
                <w14:ligatures w14:val="none"/>
              </w:rPr>
              <w:instrText xml:space="preserve"> = 7 \* GB3 \* MERGEFORMAT </w:instrText>
            </w:r>
            <w:r>
              <w:rPr>
                <w:rFonts w:hint="eastAsia" w:ascii="Times New Roman" w:hAnsi="Times New Roman" w:eastAsia="宋体" w:cs="Times New Roman"/>
                <w:kern w:val="28"/>
                <w:sz w:val="21"/>
                <w:szCs w:val="21"/>
                <w:highlight w:val="none"/>
                <w14:ligatures w14:val="none"/>
              </w:rPr>
              <w:fldChar w:fldCharType="separate"/>
            </w:r>
            <w:r>
              <w:rPr>
                <w:rFonts w:hint="eastAsia" w:ascii="Times New Roman" w:hAnsi="Times New Roman" w:eastAsia="宋体" w:cs="Times New Roman"/>
                <w:kern w:val="28"/>
                <w:sz w:val="21"/>
                <w:szCs w:val="21"/>
                <w:highlight w:val="none"/>
                <w14:ligatures w14:val="none"/>
              </w:rPr>
              <w:t>⑦</w:t>
            </w:r>
            <w:r>
              <w:rPr>
                <w:rFonts w:hint="eastAsia" w:ascii="Times New Roman" w:hAnsi="Times New Roman" w:eastAsia="宋体" w:cs="Times New Roman"/>
                <w:kern w:val="28"/>
                <w:sz w:val="21"/>
                <w:szCs w:val="21"/>
                <w:highlight w:val="none"/>
                <w14:ligatures w14:val="none"/>
              </w:rPr>
              <w:fldChar w:fldCharType="end"/>
            </w:r>
            <w:r>
              <w:rPr>
                <w:rFonts w:hint="eastAsia" w:ascii="Times New Roman" w:hAnsi="Times New Roman" w:eastAsia="宋体" w:cs="Times New Roman"/>
                <w:kern w:val="28"/>
                <w:sz w:val="21"/>
                <w:szCs w:val="21"/>
                <w:highlight w:val="none"/>
                <w14:ligatures w14:val="none"/>
              </w:rPr>
              <w:t>管道系统的渗漏检测宜采用在线监测系统。</w:t>
            </w:r>
          </w:p>
        </w:tc>
        <w:tc>
          <w:tcPr>
            <w:tcW w:w="1225" w:type="pct"/>
            <w:vAlign w:val="center"/>
          </w:tcPr>
          <w:p w14:paraId="3BDF99C9">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C1B8B7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第6.5.5条</w:t>
            </w:r>
          </w:p>
        </w:tc>
        <w:tc>
          <w:tcPr>
            <w:tcW w:w="1124" w:type="pct"/>
            <w:vAlign w:val="center"/>
          </w:tcPr>
          <w:p w14:paraId="17C206BC">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宋体" w:hAnsi="宋体" w:eastAsia="宋体" w:cs="宋体"/>
                <w:spacing w:val="-6"/>
                <w:position w:val="2"/>
                <w:sz w:val="21"/>
                <w:szCs w:val="21"/>
                <w:highlight w:val="none"/>
                <w:lang w:val="zh-CN"/>
                <w14:ligatures w14:val="none"/>
              </w:rPr>
              <w:t>采用双层复合管道，管道的渗漏检测系统由双层管道厂家配套供应</w:t>
            </w:r>
          </w:p>
        </w:tc>
        <w:tc>
          <w:tcPr>
            <w:tcW w:w="422" w:type="pct"/>
            <w:vAlign w:val="center"/>
          </w:tcPr>
          <w:p w14:paraId="09891E1C">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C337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E4BB781">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09CB7CC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双层油罐的渗漏检测宜采用在线检测系统。采用液体传感器检测时，传感器的检测精度不应大于3.5mm。</w:t>
            </w:r>
          </w:p>
        </w:tc>
        <w:tc>
          <w:tcPr>
            <w:tcW w:w="1225" w:type="pct"/>
            <w:vAlign w:val="center"/>
          </w:tcPr>
          <w:p w14:paraId="5E7D7DA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F4A80CF">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第6.5.6条</w:t>
            </w:r>
          </w:p>
        </w:tc>
        <w:tc>
          <w:tcPr>
            <w:tcW w:w="1124" w:type="pct"/>
            <w:vAlign w:val="center"/>
          </w:tcPr>
          <w:p w14:paraId="383C3275">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宋体" w:hAnsi="宋体" w:eastAsia="宋体" w:cs="宋体"/>
                <w:sz w:val="21"/>
                <w:szCs w:val="21"/>
                <w:highlight w:val="none"/>
                <w14:ligatures w14:val="none"/>
              </w:rPr>
              <w:t>油罐采用渗漏在线监测系统</w:t>
            </w:r>
          </w:p>
        </w:tc>
        <w:tc>
          <w:tcPr>
            <w:tcW w:w="422" w:type="pct"/>
            <w:vAlign w:val="center"/>
          </w:tcPr>
          <w:p w14:paraId="7868814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141E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C7A7E4D">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424C1B0D">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多台车用乙醇汽油加油机共用一根油气回收总管的，各支路油气回收管道与总管之间应分别设置阻火器，油气回收总管的直径不应小于DN50。</w:t>
            </w:r>
          </w:p>
        </w:tc>
        <w:tc>
          <w:tcPr>
            <w:tcW w:w="1225" w:type="pct"/>
            <w:vAlign w:val="center"/>
          </w:tcPr>
          <w:p w14:paraId="7CB69BB5">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《油气回收系统防爆技术要求》（GB/T34661-2017）</w:t>
            </w:r>
          </w:p>
          <w:p w14:paraId="048074BB">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第5.2.3.2条</w:t>
            </w:r>
          </w:p>
        </w:tc>
        <w:tc>
          <w:tcPr>
            <w:tcW w:w="1124" w:type="pct"/>
            <w:vAlign w:val="center"/>
          </w:tcPr>
          <w:p w14:paraId="4F0AD4B8">
            <w:pPr>
              <w:spacing w:line="240" w:lineRule="auto"/>
              <w:ind w:firstLine="0" w:firstLineChars="0"/>
              <w:rPr>
                <w:rFonts w:hint="eastAsia" w:ascii="Times New Roman" w:hAnsi="Times New Roman" w:eastAsia="宋体" w:cs="Times New Roman"/>
                <w:sz w:val="21"/>
                <w:szCs w:val="21"/>
                <w:highlight w:val="none"/>
                <w14:ligatures w14:val="none"/>
              </w:rPr>
            </w:pPr>
            <w:r>
              <w:rPr>
                <w:rFonts w:ascii="宋体" w:hAnsi="宋体" w:eastAsia="宋体" w:cs="宋体"/>
                <w:sz w:val="21"/>
                <w:szCs w:val="21"/>
                <w:highlight w:val="none"/>
                <w14:ligatures w14:val="none"/>
              </w:rPr>
              <w:t>已</w:t>
            </w:r>
            <w:r>
              <w:rPr>
                <w:rFonts w:ascii="Times New Roman" w:hAnsi="Times New Roman" w:eastAsia="宋体" w:cs="Times New Roman"/>
                <w:sz w:val="21"/>
                <w:szCs w:val="21"/>
                <w:highlight w:val="none"/>
                <w14:ligatures w14:val="none"/>
              </w:rPr>
              <w:t>设置</w:t>
            </w:r>
            <w:r>
              <w:rPr>
                <w:rFonts w:ascii="Times New Roman" w:hAnsi="Times New Roman" w:eastAsia="宋体" w:cs="Times New Roman"/>
                <w:kern w:val="28"/>
                <w:sz w:val="21"/>
                <w:szCs w:val="21"/>
                <w:highlight w:val="none"/>
                <w14:ligatures w14:val="none"/>
              </w:rPr>
              <w:t>阻火器，</w:t>
            </w:r>
            <w:r>
              <w:rPr>
                <w:rFonts w:ascii="Times New Roman" w:hAnsi="Times New Roman" w:eastAsia="宋体" w:cs="Times New Roman"/>
                <w:sz w:val="21"/>
                <w:szCs w:val="21"/>
                <w:highlight w:val="none"/>
                <w14:ligatures w14:val="none"/>
              </w:rPr>
              <w:t>油气回收总管直径DN100</w:t>
            </w:r>
          </w:p>
        </w:tc>
        <w:tc>
          <w:tcPr>
            <w:tcW w:w="422" w:type="pct"/>
            <w:vAlign w:val="center"/>
          </w:tcPr>
          <w:p w14:paraId="6D8F65D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8A1E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9543F34">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4009997D">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加装油气回收系统的加油机应以油气回收加油枪作为终端。油气回收加油枪应具有或通过阀门控制油路、气路同时开启、关闭和自封功能。</w:t>
            </w:r>
          </w:p>
        </w:tc>
        <w:tc>
          <w:tcPr>
            <w:tcW w:w="1225" w:type="pct"/>
            <w:vAlign w:val="center"/>
          </w:tcPr>
          <w:p w14:paraId="4B5223F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《油气回收系统防爆技术要求》（GB/T34661-2017）</w:t>
            </w:r>
          </w:p>
          <w:p w14:paraId="293A35C9">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第5.2.3.3条</w:t>
            </w:r>
          </w:p>
        </w:tc>
        <w:tc>
          <w:tcPr>
            <w:tcW w:w="1124" w:type="pct"/>
            <w:vAlign w:val="center"/>
          </w:tcPr>
          <w:p w14:paraId="392E3A4F">
            <w:pPr>
              <w:spacing w:line="240" w:lineRule="auto"/>
              <w:ind w:firstLine="0" w:firstLineChars="0"/>
              <w:rPr>
                <w:rFonts w:hint="eastAsia" w:ascii="Times New Roman" w:hAnsi="Times New Roman" w:eastAsia="宋体" w:cs="Times New Roman"/>
                <w:sz w:val="21"/>
                <w:szCs w:val="21"/>
                <w:highlight w:val="none"/>
                <w14:ligatures w14:val="none"/>
              </w:rPr>
            </w:pPr>
            <w:r>
              <w:rPr>
                <w:rFonts w:ascii="宋体" w:hAnsi="宋体" w:eastAsia="宋体" w:cs="宋体"/>
                <w:sz w:val="21"/>
                <w:szCs w:val="21"/>
                <w:highlight w:val="none"/>
                <w14:ligatures w14:val="none"/>
              </w:rPr>
              <w:t>加装油气回收系统的加油机以油气回收加油枪作为终端。油气回收油枪通过阀门控制油路、气路同时开启、关闭和自封功能</w:t>
            </w:r>
          </w:p>
        </w:tc>
        <w:tc>
          <w:tcPr>
            <w:tcW w:w="422" w:type="pct"/>
            <w:vAlign w:val="center"/>
          </w:tcPr>
          <w:p w14:paraId="3D7FBDD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B335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AD249AA">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7060F272">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对可能逸出含尘毒气体的生产过程，应采用自动化操作，并设计排风和净化回收装置，作业环境和排放的有害物质浓度应符合现行国家标准的规定。</w:t>
            </w:r>
          </w:p>
        </w:tc>
        <w:tc>
          <w:tcPr>
            <w:tcW w:w="1225" w:type="pct"/>
            <w:vAlign w:val="center"/>
          </w:tcPr>
          <w:p w14:paraId="5370A509">
            <w:pPr>
              <w:spacing w:line="240" w:lineRule="auto"/>
              <w:ind w:firstLine="0" w:firstLineChars="0"/>
              <w:jc w:val="center"/>
              <w:rPr>
                <w:rFonts w:ascii="Times New Roman" w:hAnsi="Times New Roman" w:eastAsia="宋体" w:cs="宋体"/>
                <w:sz w:val="21"/>
                <w:szCs w:val="21"/>
                <w:highlight w:val="none"/>
                <w14:ligatures w14:val="none"/>
              </w:rPr>
            </w:pPr>
            <w:r>
              <w:rPr>
                <w:rFonts w:ascii="Times New Roman" w:hAnsi="Times New Roman" w:eastAsia="宋体" w:cs="宋体"/>
                <w:sz w:val="21"/>
                <w:szCs w:val="21"/>
                <w:highlight w:val="none"/>
                <w14:ligatures w14:val="none"/>
              </w:rPr>
              <w:t>《化工企业安全卫生设计规范》（HG20571-2014）</w:t>
            </w:r>
          </w:p>
          <w:p w14:paraId="5241EAA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ascii="Times New Roman" w:hAnsi="Times New Roman" w:eastAsia="宋体" w:cs="宋体"/>
                <w:sz w:val="21"/>
                <w:szCs w:val="21"/>
                <w:highlight w:val="none"/>
                <w14:ligatures w14:val="none"/>
              </w:rPr>
              <w:t>第5.1.3条</w:t>
            </w:r>
          </w:p>
        </w:tc>
        <w:tc>
          <w:tcPr>
            <w:tcW w:w="1124" w:type="pct"/>
            <w:vAlign w:val="center"/>
          </w:tcPr>
          <w:p w14:paraId="45D3465B">
            <w:pPr>
              <w:spacing w:line="240" w:lineRule="auto"/>
              <w:ind w:firstLine="0" w:firstLineChars="0"/>
              <w:rPr>
                <w:rFonts w:ascii="宋体" w:hAnsi="宋体" w:eastAsia="宋体" w:cs="宋体"/>
                <w:sz w:val="21"/>
                <w:szCs w:val="21"/>
                <w:highlight w:val="none"/>
                <w14:ligatures w14:val="none"/>
              </w:rPr>
            </w:pPr>
            <w:r>
              <w:rPr>
                <w:rFonts w:ascii="宋体" w:hAnsi="宋体" w:eastAsia="宋体" w:cs="宋体"/>
                <w:sz w:val="21"/>
                <w:szCs w:val="21"/>
                <w:highlight w:val="none"/>
                <w14:ligatures w14:val="none"/>
              </w:rPr>
              <w:t>已</w:t>
            </w:r>
            <w:r>
              <w:rPr>
                <w:rFonts w:hint="eastAsia" w:ascii="宋体" w:hAnsi="宋体" w:eastAsia="宋体" w:cs="宋体"/>
                <w:sz w:val="21"/>
                <w:szCs w:val="21"/>
                <w:highlight w:val="none"/>
                <w14:ligatures w14:val="none"/>
              </w:rPr>
              <w:t>设置自动控制系统</w:t>
            </w:r>
            <w:r>
              <w:rPr>
                <w:rFonts w:ascii="宋体" w:hAnsi="宋体" w:eastAsia="宋体" w:cs="宋体"/>
                <w:sz w:val="21"/>
                <w:szCs w:val="21"/>
                <w:highlight w:val="none"/>
                <w14:ligatures w14:val="none"/>
              </w:rPr>
              <w:t>，作业环境和排放的有害物质浓度符合国家标准。</w:t>
            </w:r>
          </w:p>
        </w:tc>
        <w:tc>
          <w:tcPr>
            <w:tcW w:w="422" w:type="pct"/>
            <w:vAlign w:val="center"/>
          </w:tcPr>
          <w:p w14:paraId="553EF46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A828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85D3582">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ADA8F7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对产生毒物的生产过程和设备，应优先采用机械化和自动化，避免直接人工操作。</w:t>
            </w:r>
          </w:p>
        </w:tc>
        <w:tc>
          <w:tcPr>
            <w:tcW w:w="1225" w:type="pct"/>
            <w:vAlign w:val="center"/>
          </w:tcPr>
          <w:p w14:paraId="62FFBF63">
            <w:pPr>
              <w:spacing w:line="240" w:lineRule="auto"/>
              <w:ind w:firstLine="0" w:firstLineChars="0"/>
              <w:jc w:val="center"/>
              <w:rPr>
                <w:rFonts w:ascii="Times New Roman" w:hAnsi="Times New Roman" w:eastAsia="宋体" w:cs="宋体"/>
                <w:sz w:val="21"/>
                <w:szCs w:val="21"/>
                <w:highlight w:val="none"/>
                <w14:ligatures w14:val="none"/>
              </w:rPr>
            </w:pPr>
            <w:r>
              <w:rPr>
                <w:rFonts w:ascii="Times New Roman" w:hAnsi="Times New Roman" w:eastAsia="宋体" w:cs="宋体"/>
                <w:sz w:val="21"/>
                <w:szCs w:val="21"/>
                <w:highlight w:val="none"/>
                <w14:ligatures w14:val="none"/>
              </w:rPr>
              <w:t>《工业企业设计卫生标准》（GBZ1-2010）</w:t>
            </w:r>
          </w:p>
          <w:p w14:paraId="6DBEE73A">
            <w:pPr>
              <w:spacing w:line="240" w:lineRule="auto"/>
              <w:ind w:firstLine="0" w:firstLineChars="0"/>
              <w:jc w:val="center"/>
              <w:rPr>
                <w:rFonts w:hint="eastAsia" w:ascii="Times New Roman" w:hAnsi="Times New Roman" w:eastAsia="宋体" w:cs="宋体"/>
                <w:sz w:val="21"/>
                <w:szCs w:val="21"/>
                <w:highlight w:val="none"/>
                <w14:ligatures w14:val="none"/>
              </w:rPr>
            </w:pPr>
            <w:r>
              <w:rPr>
                <w:rFonts w:ascii="Times New Roman" w:hAnsi="Times New Roman" w:eastAsia="宋体" w:cs="宋体"/>
                <w:sz w:val="21"/>
                <w:szCs w:val="21"/>
                <w:highlight w:val="none"/>
                <w14:ligatures w14:val="none"/>
              </w:rPr>
              <w:t>第6.1.1.2条</w:t>
            </w:r>
          </w:p>
        </w:tc>
        <w:tc>
          <w:tcPr>
            <w:tcW w:w="1124" w:type="pct"/>
            <w:vAlign w:val="center"/>
          </w:tcPr>
          <w:p w14:paraId="4FB986D8">
            <w:pPr>
              <w:spacing w:line="240" w:lineRule="auto"/>
              <w:ind w:firstLine="0" w:firstLineChars="0"/>
              <w:rPr>
                <w:rFonts w:ascii="宋体" w:hAnsi="宋体" w:eastAsia="宋体" w:cs="宋体"/>
                <w:sz w:val="21"/>
                <w:szCs w:val="21"/>
                <w:highlight w:val="none"/>
                <w14:ligatures w14:val="none"/>
              </w:rPr>
            </w:pPr>
            <w:r>
              <w:rPr>
                <w:rFonts w:ascii="宋体" w:hAnsi="宋体" w:eastAsia="宋体" w:cs="宋体"/>
                <w:sz w:val="21"/>
                <w:szCs w:val="21"/>
                <w:highlight w:val="none"/>
                <w14:ligatures w14:val="none"/>
              </w:rPr>
              <w:t>已设置自动控制系统</w:t>
            </w:r>
          </w:p>
        </w:tc>
        <w:tc>
          <w:tcPr>
            <w:tcW w:w="422" w:type="pct"/>
            <w:vAlign w:val="center"/>
          </w:tcPr>
          <w:p w14:paraId="1B76E02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99E1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25661E1E">
            <w:pPr>
              <w:spacing w:line="240" w:lineRule="auto"/>
              <w:ind w:firstLine="0" w:firstLineChars="0"/>
              <w:jc w:val="center"/>
              <w:rPr>
                <w:rFonts w:ascii="Times New Roman" w:hAnsi="Times New Roman" w:eastAsia="宋体" w:cs="Times New Roman"/>
                <w:spacing w:val="-2"/>
                <w:sz w:val="21"/>
                <w:szCs w:val="21"/>
                <w:highlight w:val="none"/>
                <w14:ligatures w14:val="none"/>
              </w:rPr>
            </w:pPr>
            <w:r>
              <w:rPr>
                <w:rFonts w:hint="eastAsia" w:ascii="Times New Roman" w:hAnsi="Times New Roman" w:eastAsia="宋体" w:cs="Times New Roman"/>
                <w:spacing w:val="-2"/>
                <w:sz w:val="21"/>
                <w:szCs w:val="21"/>
                <w:highlight w:val="none"/>
                <w14:ligatures w14:val="none"/>
              </w:rPr>
              <w:t>三</w:t>
            </w:r>
            <w:r>
              <w:rPr>
                <w:rFonts w:ascii="Times New Roman" w:hAnsi="Times New Roman" w:eastAsia="宋体" w:cs="Times New Roman"/>
                <w:spacing w:val="-2"/>
                <w:sz w:val="21"/>
                <w:szCs w:val="21"/>
                <w:highlight w:val="none"/>
                <w14:ligatures w14:val="none"/>
              </w:rPr>
              <w:t>、</w:t>
            </w:r>
            <w:r>
              <w:rPr>
                <w:rFonts w:hint="eastAsia" w:ascii="Times New Roman" w:hAnsi="Times New Roman" w:eastAsia="宋体" w:cs="Times New Roman"/>
                <w:spacing w:val="-2"/>
                <w:sz w:val="21"/>
                <w:szCs w:val="21"/>
                <w:highlight w:val="none"/>
                <w14:ligatures w14:val="none"/>
              </w:rPr>
              <w:t>消防设施及给排水</w:t>
            </w:r>
          </w:p>
        </w:tc>
      </w:tr>
      <w:tr w14:paraId="370B0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2192A71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pacing w:val="-2"/>
                <w:sz w:val="21"/>
                <w:szCs w:val="21"/>
                <w:highlight w:val="none"/>
                <w14:ligatures w14:val="none"/>
              </w:rPr>
              <w:t>消防设施及给排水</w:t>
            </w:r>
          </w:p>
        </w:tc>
        <w:tc>
          <w:tcPr>
            <w:tcW w:w="1768" w:type="pct"/>
            <w:vAlign w:val="center"/>
          </w:tcPr>
          <w:p w14:paraId="1221EFA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加油站工艺设备应配备灭火器材，并应符合下列规定：</w:t>
            </w:r>
          </w:p>
          <w:p w14:paraId="3AF3DDFE">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每2台加油机应配置不少于2具5kg手提式干粉灭火器或1具5kg手提式干粉灭火器和1具6L泡沫灭火器。加油机不足2台按2台配置。</w:t>
            </w:r>
          </w:p>
          <w:p w14:paraId="38982A92">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地下储罐应配置1台不小于35kg推车式干粉灭火器。当两种介质储罐之间的距离超过15m时，应分别配置。</w:t>
            </w:r>
          </w:p>
          <w:p w14:paraId="40A5FFF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二级加油站应配置灭火毯不少于5块、沙子2m。</w:t>
            </w:r>
          </w:p>
        </w:tc>
        <w:tc>
          <w:tcPr>
            <w:tcW w:w="1225" w:type="pct"/>
            <w:vAlign w:val="center"/>
          </w:tcPr>
          <w:p w14:paraId="3B58F01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5E002C0D">
            <w:pPr>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第12.1.1条</w:t>
            </w:r>
          </w:p>
        </w:tc>
        <w:tc>
          <w:tcPr>
            <w:tcW w:w="1124" w:type="pct"/>
            <w:vAlign w:val="center"/>
          </w:tcPr>
          <w:p w14:paraId="47A6CC4F">
            <w:pPr>
              <w:spacing w:line="240" w:lineRule="auto"/>
              <w:ind w:firstLine="0" w:firstLineChars="0"/>
              <w:rPr>
                <w:rFonts w:hint="eastAsia"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储罐区配备2台35kg推车式干粉灭火器，4具5kg手提式干粉灭火器，加油作业区配备6具5kg手提式干粉灭火器，灭火毯5块，站区布置1套消防沙箱，1台消防器材箱，包括5把消防锹、5个消防桶、2m³沙子</w:t>
            </w:r>
          </w:p>
        </w:tc>
        <w:tc>
          <w:tcPr>
            <w:tcW w:w="422" w:type="pct"/>
            <w:vAlign w:val="center"/>
          </w:tcPr>
          <w:p w14:paraId="64F8C784">
            <w:pPr>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符合</w:t>
            </w:r>
          </w:p>
        </w:tc>
      </w:tr>
      <w:tr w14:paraId="4CC1B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CB7508D">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F9A0CB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其余建筑的灭火器配置，应符合现行国家标准《建筑灭火器配置设计规范》GB50140的规定。</w:t>
            </w:r>
          </w:p>
        </w:tc>
        <w:tc>
          <w:tcPr>
            <w:tcW w:w="1225" w:type="pct"/>
            <w:vAlign w:val="center"/>
          </w:tcPr>
          <w:p w14:paraId="33E673A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AEF260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第12.1.2条</w:t>
            </w:r>
          </w:p>
        </w:tc>
        <w:tc>
          <w:tcPr>
            <w:tcW w:w="1124" w:type="pct"/>
            <w:vAlign w:val="center"/>
          </w:tcPr>
          <w:p w14:paraId="3392D760">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kern w:val="28"/>
                <w:sz w:val="21"/>
                <w:szCs w:val="21"/>
                <w:highlight w:val="none"/>
                <w14:ligatures w14:val="none"/>
              </w:rPr>
              <w:t>其余建筑的灭火器配置符合现行国家标准《建筑灭火器配置设计规范》GB50140的规定</w:t>
            </w:r>
          </w:p>
        </w:tc>
        <w:tc>
          <w:tcPr>
            <w:tcW w:w="422" w:type="pct"/>
            <w:vAlign w:val="center"/>
          </w:tcPr>
          <w:p w14:paraId="235D48E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D869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DF3A03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4655E207">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排水井、雨水口和化粪池不应设在作业区和可燃液体出现泄漏事故时可能流经的部位。</w:t>
            </w:r>
          </w:p>
        </w:tc>
        <w:tc>
          <w:tcPr>
            <w:tcW w:w="1225" w:type="pct"/>
            <w:vAlign w:val="center"/>
          </w:tcPr>
          <w:p w14:paraId="67CCF909">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3D7ACDF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第12.3.3条</w:t>
            </w:r>
          </w:p>
        </w:tc>
        <w:tc>
          <w:tcPr>
            <w:tcW w:w="1124" w:type="pct"/>
            <w:vAlign w:val="center"/>
          </w:tcPr>
          <w:p w14:paraId="2B3BAA89">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kern w:val="28"/>
                <w:sz w:val="21"/>
                <w:szCs w:val="21"/>
                <w:highlight w:val="none"/>
                <w14:ligatures w14:val="none"/>
              </w:rPr>
              <w:t>排水井、雨水口和化粪池未设在作业区和可燃液体出现泄漏事故时可能流经的部位</w:t>
            </w:r>
          </w:p>
        </w:tc>
        <w:tc>
          <w:tcPr>
            <w:tcW w:w="422" w:type="pct"/>
            <w:vAlign w:val="center"/>
          </w:tcPr>
          <w:p w14:paraId="2B0A19A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C202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6FE3AAE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四、电气、防雷、防静电、报警和紧急切断系统</w:t>
            </w:r>
          </w:p>
        </w:tc>
      </w:tr>
      <w:tr w14:paraId="69A07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47DF410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电气、防雷、防静电、报警和紧急切断系统</w:t>
            </w:r>
          </w:p>
        </w:tc>
        <w:tc>
          <w:tcPr>
            <w:tcW w:w="1768" w:type="pct"/>
            <w:vAlign w:val="center"/>
          </w:tcPr>
          <w:p w14:paraId="5ACF99BD">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加油站的供电负荷等级可为三级，信息系统应设不间断供电电源。</w:t>
            </w:r>
          </w:p>
        </w:tc>
        <w:tc>
          <w:tcPr>
            <w:tcW w:w="1225" w:type="pct"/>
            <w:vAlign w:val="center"/>
          </w:tcPr>
          <w:p w14:paraId="6949D7D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50E9B6A2">
            <w:pPr>
              <w:spacing w:line="240" w:lineRule="auto"/>
              <w:ind w:firstLine="0" w:firstLineChars="0"/>
              <w:jc w:val="center"/>
              <w:rPr>
                <w:rFonts w:hint="eastAsia" w:ascii="Times New Roman" w:hAnsi="Times New Roman" w:eastAsia="宋体" w:cs="Times New Roman"/>
                <w:bCs/>
                <w:sz w:val="21"/>
                <w:szCs w:val="21"/>
                <w:highlight w:val="none"/>
                <w14:ligatures w14:val="none"/>
              </w:rPr>
            </w:pPr>
            <w:r>
              <w:rPr>
                <w:rFonts w:hint="eastAsia" w:ascii="Times New Roman" w:hAnsi="Times New Roman" w:eastAsia="宋体" w:cs="宋体"/>
                <w:sz w:val="21"/>
                <w:szCs w:val="21"/>
                <w:highlight w:val="none"/>
                <w14:ligatures w14:val="none"/>
              </w:rPr>
              <w:t>第13.1.1条</w:t>
            </w:r>
          </w:p>
        </w:tc>
        <w:tc>
          <w:tcPr>
            <w:tcW w:w="1124" w:type="pct"/>
            <w:vAlign w:val="center"/>
          </w:tcPr>
          <w:p w14:paraId="31103DCB">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本站的供电负荷等级为三级，信息系统设置不间断供电电源</w:t>
            </w:r>
          </w:p>
        </w:tc>
        <w:tc>
          <w:tcPr>
            <w:tcW w:w="422" w:type="pct"/>
            <w:vAlign w:val="center"/>
          </w:tcPr>
          <w:p w14:paraId="571F5F8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9538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C7FAA0">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2EE69BC6">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加油站的罩棚、营业室等处，均应设应急照明，连续供电时间不应少于90min。</w:t>
            </w:r>
          </w:p>
        </w:tc>
        <w:tc>
          <w:tcPr>
            <w:tcW w:w="1225" w:type="pct"/>
            <w:vAlign w:val="center"/>
          </w:tcPr>
          <w:p w14:paraId="5FF2D7FD">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254F5A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第13.1.3条</w:t>
            </w:r>
          </w:p>
        </w:tc>
        <w:tc>
          <w:tcPr>
            <w:tcW w:w="1124" w:type="pct"/>
            <w:vAlign w:val="center"/>
          </w:tcPr>
          <w:p w14:paraId="1061D5D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罩棚、营业室已设置事故</w:t>
            </w:r>
            <w:r>
              <w:rPr>
                <w:rFonts w:hint="eastAsia" w:ascii="Times New Roman" w:hAnsi="Times New Roman" w:eastAsia="宋体" w:cs="Times New Roman"/>
                <w:sz w:val="21"/>
                <w:szCs w:val="21"/>
                <w:highlight w:val="none"/>
                <w14:ligatures w14:val="none"/>
              </w:rPr>
              <w:t>应急</w:t>
            </w:r>
            <w:r>
              <w:rPr>
                <w:rFonts w:ascii="Times New Roman" w:hAnsi="Times New Roman" w:eastAsia="宋体" w:cs="Times New Roman"/>
                <w:sz w:val="21"/>
                <w:szCs w:val="21"/>
                <w:highlight w:val="none"/>
                <w14:ligatures w14:val="none"/>
              </w:rPr>
              <w:t>照明</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连续供电时间不应少于90min</w:t>
            </w:r>
          </w:p>
        </w:tc>
        <w:tc>
          <w:tcPr>
            <w:tcW w:w="422" w:type="pct"/>
            <w:vAlign w:val="center"/>
          </w:tcPr>
          <w:p w14:paraId="1455C42C">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20FA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4F150A8">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48B0228F">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加油站的电缆宜采用电缆并直埋或电缆穿管敷设。电缆穿越行车道部分，应穿钢管保护。</w:t>
            </w:r>
          </w:p>
        </w:tc>
        <w:tc>
          <w:tcPr>
            <w:tcW w:w="1225" w:type="pct"/>
            <w:vAlign w:val="center"/>
          </w:tcPr>
          <w:p w14:paraId="282AA68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742ABE9">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第13.1.5条</w:t>
            </w:r>
          </w:p>
        </w:tc>
        <w:tc>
          <w:tcPr>
            <w:tcW w:w="1124" w:type="pct"/>
            <w:vAlign w:val="center"/>
          </w:tcPr>
          <w:p w14:paraId="23C9C59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电力线路电缆为直埋敷设</w:t>
            </w:r>
          </w:p>
        </w:tc>
        <w:tc>
          <w:tcPr>
            <w:tcW w:w="422" w:type="pct"/>
            <w:vAlign w:val="center"/>
          </w:tcPr>
          <w:p w14:paraId="0EADF15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2845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E1A8C1E">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B7E3EB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当采用电缆沟敷设电缆时，作业区内的电缆沟内必须充沙填实。电缆不得与油品管道以及热力管道敷设在同一沟内。</w:t>
            </w:r>
          </w:p>
        </w:tc>
        <w:tc>
          <w:tcPr>
            <w:tcW w:w="1225" w:type="pct"/>
            <w:vAlign w:val="center"/>
          </w:tcPr>
          <w:p w14:paraId="0538572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5D7381BA">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第13.1.6条</w:t>
            </w:r>
          </w:p>
        </w:tc>
        <w:tc>
          <w:tcPr>
            <w:tcW w:w="1124" w:type="pct"/>
            <w:vAlign w:val="center"/>
          </w:tcPr>
          <w:p w14:paraId="33449643">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电缆为直埋敷设</w:t>
            </w:r>
          </w:p>
        </w:tc>
        <w:tc>
          <w:tcPr>
            <w:tcW w:w="422" w:type="pct"/>
            <w:vAlign w:val="center"/>
          </w:tcPr>
          <w:p w14:paraId="69454C1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E758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9F8933F">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035AAA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爆炸危险区域内的电气设备选型、安装、电力线路敷设等，应符合现行国家标准《爆炸危险环境电力装置设计规范》GB50058的的有关规定。</w:t>
            </w:r>
          </w:p>
        </w:tc>
        <w:tc>
          <w:tcPr>
            <w:tcW w:w="1225" w:type="pct"/>
            <w:vAlign w:val="center"/>
          </w:tcPr>
          <w:p w14:paraId="05E1CA6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421E8831">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第13.1.7条</w:t>
            </w:r>
          </w:p>
        </w:tc>
        <w:tc>
          <w:tcPr>
            <w:tcW w:w="1124" w:type="pct"/>
            <w:vAlign w:val="center"/>
          </w:tcPr>
          <w:p w14:paraId="285B912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电气设备选型、安装、电力线路敷设符合规范要求</w:t>
            </w:r>
          </w:p>
        </w:tc>
        <w:tc>
          <w:tcPr>
            <w:tcW w:w="422" w:type="pct"/>
            <w:vAlign w:val="center"/>
          </w:tcPr>
          <w:p w14:paraId="5BDD28DD">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B187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D7BF4E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76EA8E4">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汽车加油站内爆炸危险区域以外的照明灯具可选用非防爆型、罩棚下处于非爆炸危险区域的灯具应选用防护等级不低于IP44级的照明灯具。</w:t>
            </w:r>
          </w:p>
        </w:tc>
        <w:tc>
          <w:tcPr>
            <w:tcW w:w="1225" w:type="pct"/>
            <w:vAlign w:val="center"/>
          </w:tcPr>
          <w:p w14:paraId="1B52196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37A577CF">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第13.1.8条</w:t>
            </w:r>
          </w:p>
        </w:tc>
        <w:tc>
          <w:tcPr>
            <w:tcW w:w="1124" w:type="pct"/>
            <w:vAlign w:val="center"/>
          </w:tcPr>
          <w:p w14:paraId="61F20F8C">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所选灯具均符合规范要求</w:t>
            </w:r>
          </w:p>
        </w:tc>
        <w:tc>
          <w:tcPr>
            <w:tcW w:w="422" w:type="pct"/>
            <w:vAlign w:val="center"/>
          </w:tcPr>
          <w:p w14:paraId="1E4B556A">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2CB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4C1B169">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15BFCF3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应急照明灯具应固定安装在不燃性墙体或不燃性装修材料上，不应安装在门、窗或其他可移动的物体上。</w:t>
            </w:r>
          </w:p>
        </w:tc>
        <w:tc>
          <w:tcPr>
            <w:tcW w:w="1225" w:type="pct"/>
            <w:vAlign w:val="center"/>
          </w:tcPr>
          <w:p w14:paraId="7A7CD15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《消防应急照明和疏散指示系统技术标准》（GB 51309-2018）</w:t>
            </w:r>
          </w:p>
          <w:p w14:paraId="21789D9A">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第4.5.1条</w:t>
            </w:r>
          </w:p>
        </w:tc>
        <w:tc>
          <w:tcPr>
            <w:tcW w:w="1124" w:type="pct"/>
            <w:vAlign w:val="center"/>
          </w:tcPr>
          <w:p w14:paraId="2B42D511">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应急照明灯具固定安装在不燃性墙体上</w:t>
            </w:r>
          </w:p>
        </w:tc>
        <w:tc>
          <w:tcPr>
            <w:tcW w:w="422" w:type="pct"/>
            <w:vAlign w:val="center"/>
          </w:tcPr>
          <w:p w14:paraId="3DF4C8E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B2A4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6CF1A49">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23013E6">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应急照明灯灯具安装后不应对人员正常通行产生影响，灯具周围应无遮挡物，并应保证灯具上的各种状态指示灯易于观察。</w:t>
            </w:r>
          </w:p>
        </w:tc>
        <w:tc>
          <w:tcPr>
            <w:tcW w:w="1225" w:type="pct"/>
            <w:vAlign w:val="center"/>
          </w:tcPr>
          <w:p w14:paraId="19782CEF">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《消防应急照明和疏散指示系统技术标准》（GB 51309-2018）</w:t>
            </w:r>
          </w:p>
          <w:p w14:paraId="3260802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第4.5.2条</w:t>
            </w:r>
          </w:p>
        </w:tc>
        <w:tc>
          <w:tcPr>
            <w:tcW w:w="1124" w:type="pct"/>
            <w:vAlign w:val="center"/>
          </w:tcPr>
          <w:p w14:paraId="3B211BE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应急照明灯灯具安装后不对人员正常通行产生影响，灯具周围无遮挡物，且灯具上的各种状态指示灯易于观察</w:t>
            </w:r>
          </w:p>
        </w:tc>
        <w:tc>
          <w:tcPr>
            <w:tcW w:w="422" w:type="pct"/>
            <w:vAlign w:val="center"/>
          </w:tcPr>
          <w:p w14:paraId="00384E8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5F29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F9A59D2">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F74D0D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应急照明灯灯具在顶棚、疏散走道或通道的上方安装时，应符合下列规定：</w:t>
            </w:r>
          </w:p>
          <w:p w14:paraId="0F7D2AC4">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①照明灯可采用嵌顶、吸顶和吊装式安装。</w:t>
            </w:r>
          </w:p>
          <w:p w14:paraId="4FDE6670">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②标志灯可采用吸顶和吊装式安装；室内高度大于3.5m的场所，特大型、大型、中型标志灯宜采用吊装式安装。</w:t>
            </w:r>
          </w:p>
          <w:p w14:paraId="220CAA3C">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③灯具采用吊装式安装时，应采用金属吊杆或吊链，吊杆或吊链上端应固定在建筑构件上。</w:t>
            </w:r>
          </w:p>
        </w:tc>
        <w:tc>
          <w:tcPr>
            <w:tcW w:w="1225" w:type="pct"/>
            <w:vAlign w:val="center"/>
          </w:tcPr>
          <w:p w14:paraId="5AEB879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《消防应急照明和疏散指示系统技术标准》（GB 51309-2018）</w:t>
            </w:r>
          </w:p>
          <w:p w14:paraId="18BD130F">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第4.5.3条</w:t>
            </w:r>
          </w:p>
        </w:tc>
        <w:tc>
          <w:tcPr>
            <w:tcW w:w="1124" w:type="pct"/>
            <w:vAlign w:val="center"/>
          </w:tcPr>
          <w:p w14:paraId="2890D53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应急照明灯灯具在顶棚、疏散走道或通道的上方</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安装符合相关规定</w:t>
            </w:r>
          </w:p>
        </w:tc>
        <w:tc>
          <w:tcPr>
            <w:tcW w:w="422" w:type="pct"/>
            <w:vAlign w:val="center"/>
          </w:tcPr>
          <w:p w14:paraId="575012EA">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93B5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5D1E87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0CF93F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灯具在侧面墙或柱上安装时，应符合下列规定：</w:t>
            </w:r>
          </w:p>
          <w:p w14:paraId="466B4A4F">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①可采用壁挂式或嵌入式安装；</w:t>
            </w:r>
          </w:p>
          <w:p w14:paraId="1D0E96A9">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②安装高度距地面不大于1m时，灯具表面凸出墙面或柱面的部分不应有尖锐角、毛刺等突出物，凸出墙面或柱面最大水平距离不应超过20mm。</w:t>
            </w:r>
          </w:p>
        </w:tc>
        <w:tc>
          <w:tcPr>
            <w:tcW w:w="1225" w:type="pct"/>
            <w:vAlign w:val="center"/>
          </w:tcPr>
          <w:p w14:paraId="53B6A2B1">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《消防应急照明和疏散指示系统技术标准》（GB 51309-2018）</w:t>
            </w:r>
          </w:p>
          <w:p w14:paraId="208C3D3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第4.5.4条</w:t>
            </w:r>
          </w:p>
        </w:tc>
        <w:tc>
          <w:tcPr>
            <w:tcW w:w="1124" w:type="pct"/>
            <w:vAlign w:val="center"/>
          </w:tcPr>
          <w:p w14:paraId="3F152373">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灯具在侧面墙或柱上</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安装时符合相关规定</w:t>
            </w:r>
          </w:p>
        </w:tc>
        <w:tc>
          <w:tcPr>
            <w:tcW w:w="422" w:type="pct"/>
            <w:vAlign w:val="center"/>
          </w:tcPr>
          <w:p w14:paraId="28FDBCA9">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9F09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476C037">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AB8EF7F">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非集中控制型系统中，自带电源型灯具采用插头连接时，应采用专用工具方可拆卸。</w:t>
            </w:r>
          </w:p>
        </w:tc>
        <w:tc>
          <w:tcPr>
            <w:tcW w:w="1225" w:type="pct"/>
            <w:vAlign w:val="center"/>
          </w:tcPr>
          <w:p w14:paraId="63C8BC1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《消防应急照明和疏散指示系统技术标准》（GB 51309-2018）</w:t>
            </w:r>
          </w:p>
          <w:p w14:paraId="26E4C035">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第4.5.5条</w:t>
            </w:r>
          </w:p>
        </w:tc>
        <w:tc>
          <w:tcPr>
            <w:tcW w:w="1124" w:type="pct"/>
            <w:vAlign w:val="center"/>
          </w:tcPr>
          <w:p w14:paraId="30AE82C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灯具集中控制</w:t>
            </w:r>
          </w:p>
        </w:tc>
        <w:tc>
          <w:tcPr>
            <w:tcW w:w="422" w:type="pct"/>
            <w:vAlign w:val="center"/>
          </w:tcPr>
          <w:p w14:paraId="31DBD7BF">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DA8D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CF1EC8F">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80D235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应配备UPS电源。在市电中断条件下，应能支持平台和前端信息采集设施工作8h。</w:t>
            </w:r>
          </w:p>
        </w:tc>
        <w:tc>
          <w:tcPr>
            <w:tcW w:w="1225" w:type="pct"/>
            <w:vAlign w:val="center"/>
          </w:tcPr>
          <w:p w14:paraId="5B11579B">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《加油加气站视频安防监控系统技术要求》（AQ/T3050-2013）</w:t>
            </w:r>
          </w:p>
          <w:p w14:paraId="435ACC7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第6.1.1.2条</w:t>
            </w:r>
          </w:p>
        </w:tc>
        <w:tc>
          <w:tcPr>
            <w:tcW w:w="1124" w:type="pct"/>
            <w:vAlign w:val="center"/>
          </w:tcPr>
          <w:p w14:paraId="0D6203E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本站配备UPS电源</w:t>
            </w:r>
          </w:p>
        </w:tc>
        <w:tc>
          <w:tcPr>
            <w:tcW w:w="422" w:type="pct"/>
            <w:vAlign w:val="center"/>
          </w:tcPr>
          <w:p w14:paraId="043CDAF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4567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13E8800">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16F4339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电缆直埋敷设方式应符合下列规定：</w:t>
            </w:r>
          </w:p>
          <w:p w14:paraId="316C7F5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电缆应敷设于壕沟里，并应沿电缆全长的上、下紧邻侧铺以厚度不小于100mm的软土或砂层；</w:t>
            </w:r>
          </w:p>
          <w:p w14:paraId="2A5E627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沿电缆全长应覆盖宽度不小于电缆两侧各50mm的保护板，保护板宜采用混凝土；</w:t>
            </w:r>
          </w:p>
          <w:p w14:paraId="01F3F647">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位于城郊或空旷地带，沿电缆路径的直线间隔100m、转弯处和接头部位，应竖立明显的方位标志或标桩；</w:t>
            </w:r>
          </w:p>
          <w:p w14:paraId="073BB81F">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当采用电缆穿波纹管敷设于壕沟时，应沿波纹管顶全长浇注厚度不小于100mm的素混凝土，宽度不应小于管外侧50mm，电缆可不含铠装。</w:t>
            </w:r>
          </w:p>
        </w:tc>
        <w:tc>
          <w:tcPr>
            <w:tcW w:w="1225" w:type="pct"/>
            <w:vAlign w:val="center"/>
          </w:tcPr>
          <w:p w14:paraId="191324D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《电力工程电缆设计标准》</w:t>
            </w:r>
          </w:p>
          <w:p w14:paraId="0E789FE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50217-2018）</w:t>
            </w:r>
          </w:p>
          <w:p w14:paraId="449AB1FA">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第5.3.2条</w:t>
            </w:r>
          </w:p>
        </w:tc>
        <w:tc>
          <w:tcPr>
            <w:tcW w:w="1124" w:type="pct"/>
            <w:vAlign w:val="center"/>
          </w:tcPr>
          <w:p w14:paraId="7DAA923B">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直埋电缆敷设方式符合相关规定</w:t>
            </w:r>
          </w:p>
        </w:tc>
        <w:tc>
          <w:tcPr>
            <w:tcW w:w="422" w:type="pct"/>
            <w:vAlign w:val="center"/>
          </w:tcPr>
          <w:p w14:paraId="13B8D1D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46F8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426C5EC">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E83E101">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防爆电气设备的进线口与电缆、导线引入连接后，应保持电缆引入装置的完整性和弹性密封圈的密封性，并应将压紧元件用工具拧紧，且进线口应保持密封。</w:t>
            </w:r>
          </w:p>
        </w:tc>
        <w:tc>
          <w:tcPr>
            <w:tcW w:w="1225" w:type="pct"/>
            <w:vAlign w:val="center"/>
          </w:tcPr>
          <w:p w14:paraId="745B96F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《电气装置安装工程爆炸和火灾危险环境电气装置施工及验收规范》（GB 50257-2014）</w:t>
            </w:r>
          </w:p>
          <w:p w14:paraId="78BC478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第4.1.4条</w:t>
            </w:r>
          </w:p>
        </w:tc>
        <w:tc>
          <w:tcPr>
            <w:tcW w:w="1124" w:type="pct"/>
            <w:vAlign w:val="center"/>
          </w:tcPr>
          <w:p w14:paraId="6A108A76">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防爆电气设备的进线口与电缆、导线引入连接后，保持电缆引入装置的完整性和弹性密封圈的密封性，并将压紧元件用工具拧紧，且进线口保持密封</w:t>
            </w:r>
          </w:p>
        </w:tc>
        <w:tc>
          <w:tcPr>
            <w:tcW w:w="422" w:type="pct"/>
            <w:vAlign w:val="center"/>
          </w:tcPr>
          <w:p w14:paraId="179CC648">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0194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5216DC0">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1E7C43D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接线盒盖应紧固，且固定螺栓及防松装置应齐全。</w:t>
            </w:r>
          </w:p>
        </w:tc>
        <w:tc>
          <w:tcPr>
            <w:tcW w:w="1225" w:type="pct"/>
            <w:vAlign w:val="center"/>
          </w:tcPr>
          <w:p w14:paraId="2042F735">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《电气装置安装工程爆炸和火灾危险环境电气装置施工及验收规范》（GB 50257-2014）</w:t>
            </w:r>
          </w:p>
          <w:p w14:paraId="441261E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第8.0.2.3条</w:t>
            </w:r>
          </w:p>
        </w:tc>
        <w:tc>
          <w:tcPr>
            <w:tcW w:w="1124" w:type="pct"/>
            <w:vAlign w:val="center"/>
          </w:tcPr>
          <w:p w14:paraId="1042B6DC">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接线盒盖紧固，且固定螺栓及防松装置齐全</w:t>
            </w:r>
          </w:p>
        </w:tc>
        <w:tc>
          <w:tcPr>
            <w:tcW w:w="422" w:type="pct"/>
            <w:vAlign w:val="center"/>
          </w:tcPr>
          <w:p w14:paraId="6A6DC48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5F6E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4F11911">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205B7D6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除本质安全电路外，爆炸性环境的电气线路和设备应装设过载、短路和接地保护，不可能产生过载的电气设备可不装设过载保护。爆炸性环境的电动机除按国家现行有关标准的要求装设必要的保护之外，均应装设断相保护。如果电气设备的自动断电可能引起比引燃危险造成的危险更大时，应采用报警装置代替自动断电装置。</w:t>
            </w:r>
          </w:p>
        </w:tc>
        <w:tc>
          <w:tcPr>
            <w:tcW w:w="1225" w:type="pct"/>
            <w:vAlign w:val="center"/>
          </w:tcPr>
          <w:p w14:paraId="70E715F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《爆炸危险环境电力装置设计规范》</w:t>
            </w:r>
          </w:p>
          <w:p w14:paraId="6C43538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50058-2014）</w:t>
            </w:r>
          </w:p>
          <w:p w14:paraId="6DE7C93D">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第5.3.3条</w:t>
            </w:r>
          </w:p>
        </w:tc>
        <w:tc>
          <w:tcPr>
            <w:tcW w:w="1124" w:type="pct"/>
            <w:vAlign w:val="center"/>
          </w:tcPr>
          <w:p w14:paraId="702024B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爆炸性环境的电气线路和设备装设过载、短路和接地保护，且均装设断相保护</w:t>
            </w:r>
          </w:p>
        </w:tc>
        <w:tc>
          <w:tcPr>
            <w:tcW w:w="422" w:type="pct"/>
            <w:vAlign w:val="center"/>
          </w:tcPr>
          <w:p w14:paraId="1C2D6E8D">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918A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C938F9B">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3F90FD8">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当爆炸性环境电力系统接地设计时，1000V交流/1500V直流以下的电源系统的接地应符合：爆炸性环境中的TN系统应采用TN-S型。</w:t>
            </w:r>
          </w:p>
        </w:tc>
        <w:tc>
          <w:tcPr>
            <w:tcW w:w="1225" w:type="pct"/>
            <w:vAlign w:val="center"/>
          </w:tcPr>
          <w:p w14:paraId="04E17F7B">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《爆炸危险环境电力装置设计规范》</w:t>
            </w:r>
          </w:p>
          <w:p w14:paraId="59E4330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50058-2014）</w:t>
            </w:r>
          </w:p>
          <w:p w14:paraId="228666D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第5.5.1条</w:t>
            </w:r>
          </w:p>
        </w:tc>
        <w:tc>
          <w:tcPr>
            <w:tcW w:w="1124" w:type="pct"/>
            <w:vAlign w:val="center"/>
          </w:tcPr>
          <w:p w14:paraId="1925058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爆炸性环境中的TN系统采用TN-S型</w:t>
            </w:r>
          </w:p>
        </w:tc>
        <w:tc>
          <w:tcPr>
            <w:tcW w:w="422" w:type="pct"/>
            <w:vAlign w:val="center"/>
          </w:tcPr>
          <w:p w14:paraId="3C51CC55">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D56E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2ACD89B">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2BFE73DF">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钢制油罐必须进行防雷接地，接地点不应少于两处。</w:t>
            </w:r>
          </w:p>
        </w:tc>
        <w:tc>
          <w:tcPr>
            <w:tcW w:w="1225" w:type="pct"/>
            <w:vAlign w:val="center"/>
          </w:tcPr>
          <w:p w14:paraId="5BB00960">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B64A02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第13.2.1条</w:t>
            </w:r>
          </w:p>
        </w:tc>
        <w:tc>
          <w:tcPr>
            <w:tcW w:w="1124" w:type="pct"/>
            <w:vAlign w:val="center"/>
          </w:tcPr>
          <w:p w14:paraId="2E6026A6">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每个油罐2处接地点</w:t>
            </w:r>
          </w:p>
        </w:tc>
        <w:tc>
          <w:tcPr>
            <w:tcW w:w="422" w:type="pct"/>
            <w:vAlign w:val="center"/>
          </w:tcPr>
          <w:p w14:paraId="39B7702B">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1147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B0865EA">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2C3A8B7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加油站的防雷接地、防静电接地、电气设备的工作接地、保护接地及信息系统的接地等，宜共用接地装置，接地电阻不应大于4Ω。</w:t>
            </w:r>
          </w:p>
        </w:tc>
        <w:tc>
          <w:tcPr>
            <w:tcW w:w="1225" w:type="pct"/>
            <w:vAlign w:val="center"/>
          </w:tcPr>
          <w:p w14:paraId="5D0421D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292893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第13.2.2条</w:t>
            </w:r>
          </w:p>
        </w:tc>
        <w:tc>
          <w:tcPr>
            <w:tcW w:w="1124" w:type="pct"/>
            <w:vAlign w:val="center"/>
          </w:tcPr>
          <w:p w14:paraId="4AA6326F">
            <w:pPr>
              <w:spacing w:line="240" w:lineRule="auto"/>
              <w:ind w:firstLine="0" w:firstLineChars="0"/>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站内防雷、防静电及电力装置、仪表联合接地系统共网，接地电阻</w:t>
            </w:r>
            <w:r>
              <w:rPr>
                <w:rFonts w:hint="eastAsia" w:ascii="Times New Roman" w:hAnsi="Times New Roman" w:eastAsia="宋体" w:cs="Times New Roman"/>
                <w:sz w:val="21"/>
                <w:szCs w:val="21"/>
                <w:highlight w:val="none"/>
                <w14:ligatures w14:val="none"/>
              </w:rPr>
              <w:t>不大于</w:t>
            </w:r>
            <w:r>
              <w:rPr>
                <w:rFonts w:ascii="Times New Roman" w:hAnsi="Times New Roman" w:eastAsia="宋体" w:cs="Times New Roman"/>
                <w:sz w:val="21"/>
                <w:szCs w:val="21"/>
                <w:highlight w:val="none"/>
                <w14:ligatures w14:val="none"/>
              </w:rPr>
              <w:t>4</w:t>
            </w:r>
            <w:r>
              <w:rPr>
                <w:rFonts w:hint="eastAsia" w:ascii="宋体" w:hAnsi="宋体" w:eastAsia="宋体" w:cs="Times New Roman"/>
                <w:sz w:val="21"/>
                <w:szCs w:val="21"/>
                <w:highlight w:val="none"/>
                <w14:ligatures w14:val="none"/>
              </w:rPr>
              <w:t>Ω</w:t>
            </w:r>
          </w:p>
        </w:tc>
        <w:tc>
          <w:tcPr>
            <w:tcW w:w="422" w:type="pct"/>
            <w:vAlign w:val="center"/>
          </w:tcPr>
          <w:p w14:paraId="64E99C0C">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6FF2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89BA6E9">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465EFB8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埋地钢制油罐金属部件和罐内的各金属部件，必须与非埋地部分的工艺金属管道相互做电气连接并接地。</w:t>
            </w:r>
          </w:p>
        </w:tc>
        <w:tc>
          <w:tcPr>
            <w:tcW w:w="1225" w:type="pct"/>
            <w:vAlign w:val="center"/>
          </w:tcPr>
          <w:p w14:paraId="44E5584B">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D7909B1">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第13.2.4条</w:t>
            </w:r>
          </w:p>
        </w:tc>
        <w:tc>
          <w:tcPr>
            <w:tcW w:w="1124" w:type="pct"/>
            <w:vAlign w:val="center"/>
          </w:tcPr>
          <w:p w14:paraId="177599F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埋地钢制油罐以及罐内的各金属部件与非埋地部分的工艺金属管道相互做电气连接并接地</w:t>
            </w:r>
          </w:p>
        </w:tc>
        <w:tc>
          <w:tcPr>
            <w:tcW w:w="422" w:type="pct"/>
            <w:vAlign w:val="center"/>
          </w:tcPr>
          <w:p w14:paraId="15A0DB0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53B5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5BEE718">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7B4431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加油站内油气放空管在接入全站共用接地装置后，可不单独做防雷接地。</w:t>
            </w:r>
          </w:p>
        </w:tc>
        <w:tc>
          <w:tcPr>
            <w:tcW w:w="1225" w:type="pct"/>
            <w:vAlign w:val="center"/>
          </w:tcPr>
          <w:p w14:paraId="397F5646">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51D91BF">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第13.2.5条</w:t>
            </w:r>
          </w:p>
        </w:tc>
        <w:tc>
          <w:tcPr>
            <w:tcW w:w="1124" w:type="pct"/>
            <w:vAlign w:val="center"/>
          </w:tcPr>
          <w:p w14:paraId="3A6D2FD1">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通气管</w:t>
            </w:r>
            <w:r>
              <w:rPr>
                <w:rFonts w:ascii="Times New Roman" w:hAnsi="Times New Roman" w:eastAsia="宋体" w:cs="Times New Roman"/>
                <w:sz w:val="21"/>
                <w:szCs w:val="21"/>
                <w:highlight w:val="none"/>
                <w14:ligatures w14:val="none"/>
              </w:rPr>
              <w:t>接入全站共用接地装置</w:t>
            </w:r>
          </w:p>
        </w:tc>
        <w:tc>
          <w:tcPr>
            <w:tcW w:w="422" w:type="pct"/>
            <w:vAlign w:val="center"/>
          </w:tcPr>
          <w:p w14:paraId="09D04031">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C00A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02264B0">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27D8947">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加油站的信息系统应采用铠装电缆或导线穿钢管配线。配线电缆金属外皮两端、保护钢管两端均应接地。</w:t>
            </w:r>
          </w:p>
        </w:tc>
        <w:tc>
          <w:tcPr>
            <w:tcW w:w="1225" w:type="pct"/>
            <w:vAlign w:val="center"/>
          </w:tcPr>
          <w:p w14:paraId="050864BA">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E0CF7A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第13.2.7条</w:t>
            </w:r>
          </w:p>
        </w:tc>
        <w:tc>
          <w:tcPr>
            <w:tcW w:w="1124" w:type="pct"/>
            <w:vAlign w:val="center"/>
          </w:tcPr>
          <w:p w14:paraId="4286AC52">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选用导线穿钢管配线，配线电缆金属外皮两端、保护钢管两端均接地</w:t>
            </w:r>
          </w:p>
        </w:tc>
        <w:tc>
          <w:tcPr>
            <w:tcW w:w="422" w:type="pct"/>
            <w:vAlign w:val="center"/>
          </w:tcPr>
          <w:p w14:paraId="438DA50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D727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0CD876A">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7D0B058">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加油站信息系统的配电线路首、末端与电子器件连接时，应装设与电子器件耐压水平相适应的过电压（电涌）保护器。</w:t>
            </w:r>
          </w:p>
        </w:tc>
        <w:tc>
          <w:tcPr>
            <w:tcW w:w="1225" w:type="pct"/>
            <w:vAlign w:val="center"/>
          </w:tcPr>
          <w:p w14:paraId="7C09FAB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5E3CA5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第13.2.8条</w:t>
            </w:r>
          </w:p>
        </w:tc>
        <w:tc>
          <w:tcPr>
            <w:tcW w:w="1124" w:type="pct"/>
            <w:vAlign w:val="center"/>
          </w:tcPr>
          <w:p w14:paraId="2ED57A3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已设置电涌保护器</w:t>
            </w:r>
          </w:p>
        </w:tc>
        <w:tc>
          <w:tcPr>
            <w:tcW w:w="422" w:type="pct"/>
            <w:vAlign w:val="center"/>
          </w:tcPr>
          <w:p w14:paraId="4EBF56D1">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F7A6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B2200EC">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728A4E0D">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地上管沟敷设的油品管道应设防静电和防感应雷的共用接地装置，其接地电阻值不应大于30Ω。</w:t>
            </w:r>
          </w:p>
        </w:tc>
        <w:tc>
          <w:tcPr>
            <w:tcW w:w="1225" w:type="pct"/>
            <w:vAlign w:val="center"/>
          </w:tcPr>
          <w:p w14:paraId="3EE12D4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5F92CDA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第13.2.10条</w:t>
            </w:r>
          </w:p>
        </w:tc>
        <w:tc>
          <w:tcPr>
            <w:tcW w:w="1124" w:type="pct"/>
            <w:vAlign w:val="center"/>
          </w:tcPr>
          <w:p w14:paraId="1DE7E60B">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地上或管沟敷设的油品管道设防静电和防感应雷的共用接地装置，其接地电阻不大于1Ω。满足要求</w:t>
            </w:r>
          </w:p>
        </w:tc>
        <w:tc>
          <w:tcPr>
            <w:tcW w:w="422" w:type="pct"/>
            <w:vAlign w:val="center"/>
          </w:tcPr>
          <w:p w14:paraId="64710930">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CF90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56BC2AC">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4218443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加油站的车用乙醇汽油罐车卸车场地，应设卸车临时用的防静电接地装置，并应设置能检测跨接线及监视接地装置状态的静电接地仪。</w:t>
            </w:r>
          </w:p>
        </w:tc>
        <w:tc>
          <w:tcPr>
            <w:tcW w:w="1225" w:type="pct"/>
            <w:vAlign w:val="center"/>
          </w:tcPr>
          <w:p w14:paraId="37FD8BAF">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4E477AB">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第13.2.11条</w:t>
            </w:r>
          </w:p>
        </w:tc>
        <w:tc>
          <w:tcPr>
            <w:tcW w:w="1124" w:type="pct"/>
            <w:vAlign w:val="center"/>
          </w:tcPr>
          <w:p w14:paraId="1BCF8C5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卸车区已设置静电接地栓及静电接地报警器</w:t>
            </w:r>
          </w:p>
        </w:tc>
        <w:tc>
          <w:tcPr>
            <w:tcW w:w="422" w:type="pct"/>
            <w:vAlign w:val="center"/>
          </w:tcPr>
          <w:p w14:paraId="0448192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FB2D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9CC2681">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7EE0B8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爆炸危险区域内工艺管道上的法兰、胶管两端等连接处，应用金属线跨接。当法兰的连接螺栓不少于5根时，在非腐蚀环境下可不跨接。</w:t>
            </w:r>
          </w:p>
        </w:tc>
        <w:tc>
          <w:tcPr>
            <w:tcW w:w="1225" w:type="pct"/>
            <w:vAlign w:val="center"/>
          </w:tcPr>
          <w:p w14:paraId="523D7D75">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C02C08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第13.2.12条</w:t>
            </w:r>
          </w:p>
        </w:tc>
        <w:tc>
          <w:tcPr>
            <w:tcW w:w="1124" w:type="pct"/>
            <w:vAlign w:val="center"/>
          </w:tcPr>
          <w:p w14:paraId="30A1D344">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站内所有工艺管线、设备及正常不带电的金属外壳均按要求作防静电及保护接地。净距小于100</w:t>
            </w:r>
            <w:r>
              <w:rPr>
                <w:rFonts w:hint="eastAsia" w:ascii="Times New Roman" w:hAnsi="Times New Roman" w:eastAsia="宋体" w:cs="Times New Roman"/>
                <w:sz w:val="21"/>
                <w:szCs w:val="21"/>
                <w:highlight w:val="none"/>
                <w14:ligatures w14:val="none"/>
              </w:rPr>
              <w:t>mm</w:t>
            </w:r>
            <w:r>
              <w:rPr>
                <w:rFonts w:ascii="Times New Roman" w:hAnsi="Times New Roman" w:eastAsia="宋体" w:cs="Times New Roman"/>
                <w:sz w:val="21"/>
                <w:szCs w:val="21"/>
                <w:highlight w:val="none"/>
                <w14:ligatures w14:val="none"/>
              </w:rPr>
              <w:t>的平行或交叉管道，每隔20</w:t>
            </w:r>
            <w:r>
              <w:rPr>
                <w:rFonts w:hint="eastAsia" w:ascii="Times New Roman" w:hAnsi="Times New Roman" w:eastAsia="宋体" w:cs="Times New Roman"/>
                <w:sz w:val="21"/>
                <w:szCs w:val="21"/>
                <w:highlight w:val="none"/>
                <w14:ligatures w14:val="none"/>
              </w:rPr>
              <w:t>m</w:t>
            </w:r>
            <w:r>
              <w:rPr>
                <w:rFonts w:ascii="Times New Roman" w:hAnsi="Times New Roman" w:eastAsia="宋体" w:cs="Times New Roman"/>
                <w:sz w:val="21"/>
                <w:szCs w:val="21"/>
                <w:highlight w:val="none"/>
                <w14:ligatures w14:val="none"/>
              </w:rPr>
              <w:t>跨接</w:t>
            </w:r>
          </w:p>
        </w:tc>
        <w:tc>
          <w:tcPr>
            <w:tcW w:w="422" w:type="pct"/>
            <w:vAlign w:val="center"/>
          </w:tcPr>
          <w:p w14:paraId="4B329CB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091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AF39468">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2D913306">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油罐车卸油用的卸油软管、油气回收软管与两端接头，应保证可靠的电气连接。</w:t>
            </w:r>
          </w:p>
        </w:tc>
        <w:tc>
          <w:tcPr>
            <w:tcW w:w="1225" w:type="pct"/>
            <w:vAlign w:val="center"/>
          </w:tcPr>
          <w:p w14:paraId="365F2D7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7C602896">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第13.2.13条</w:t>
            </w:r>
          </w:p>
        </w:tc>
        <w:tc>
          <w:tcPr>
            <w:tcW w:w="1124" w:type="pct"/>
            <w:vAlign w:val="center"/>
          </w:tcPr>
          <w:p w14:paraId="1001F416">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kern w:val="28"/>
                <w:sz w:val="21"/>
                <w:szCs w:val="21"/>
                <w:highlight w:val="none"/>
                <w14:ligatures w14:val="none"/>
              </w:rPr>
              <w:t>油罐车卸油用的卸油软管、油气回收软管与两端接头</w:t>
            </w:r>
            <w:r>
              <w:rPr>
                <w:rFonts w:ascii="Times New Roman" w:hAnsi="Times New Roman" w:eastAsia="宋体" w:cs="Times New Roman"/>
                <w:sz w:val="21"/>
                <w:szCs w:val="21"/>
                <w:highlight w:val="none"/>
                <w14:ligatures w14:val="none"/>
              </w:rPr>
              <w:t>满足要求</w:t>
            </w:r>
          </w:p>
        </w:tc>
        <w:tc>
          <w:tcPr>
            <w:tcW w:w="422" w:type="pct"/>
            <w:vAlign w:val="center"/>
          </w:tcPr>
          <w:p w14:paraId="35FDB18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56C9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5E7418A">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3CA131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采用导静电的热塑性塑料管道时，导电内衬应接地。</w:t>
            </w:r>
          </w:p>
        </w:tc>
        <w:tc>
          <w:tcPr>
            <w:tcW w:w="1225" w:type="pct"/>
            <w:vAlign w:val="center"/>
          </w:tcPr>
          <w:p w14:paraId="0A4A350B">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5BE18D8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第13.2.14条</w:t>
            </w:r>
          </w:p>
        </w:tc>
        <w:tc>
          <w:tcPr>
            <w:tcW w:w="1124" w:type="pct"/>
            <w:vAlign w:val="center"/>
          </w:tcPr>
          <w:p w14:paraId="76FE9C00">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kern w:val="28"/>
                <w:sz w:val="21"/>
                <w:szCs w:val="21"/>
                <w:highlight w:val="none"/>
                <w14:ligatures w14:val="none"/>
              </w:rPr>
              <w:t>热塑性塑料管道导电内衬接地</w:t>
            </w:r>
          </w:p>
        </w:tc>
        <w:tc>
          <w:tcPr>
            <w:tcW w:w="422" w:type="pct"/>
            <w:vAlign w:val="center"/>
          </w:tcPr>
          <w:p w14:paraId="20B39BCC">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937C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1988FA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4CB9C35">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防静电接地装置的接地电阻不应大于100Ω。</w:t>
            </w:r>
          </w:p>
        </w:tc>
        <w:tc>
          <w:tcPr>
            <w:tcW w:w="1225" w:type="pct"/>
            <w:vAlign w:val="center"/>
          </w:tcPr>
          <w:p w14:paraId="7234935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660554A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第13.2.15条</w:t>
            </w:r>
          </w:p>
        </w:tc>
        <w:tc>
          <w:tcPr>
            <w:tcW w:w="1124" w:type="pct"/>
            <w:vAlign w:val="center"/>
          </w:tcPr>
          <w:p w14:paraId="758CB792">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站内防雷、防静电及电力装置、仪表联合接地系统共网，接地电阻</w:t>
            </w:r>
            <w:r>
              <w:rPr>
                <w:rFonts w:hint="eastAsia" w:ascii="Times New Roman" w:hAnsi="Times New Roman" w:eastAsia="宋体" w:cs="Times New Roman"/>
                <w:sz w:val="21"/>
                <w:szCs w:val="21"/>
                <w:highlight w:val="none"/>
                <w14:ligatures w14:val="none"/>
              </w:rPr>
              <w:t>不大于</w:t>
            </w:r>
            <w:r>
              <w:rPr>
                <w:rFonts w:ascii="Times New Roman" w:hAnsi="Times New Roman" w:eastAsia="宋体" w:cs="Times New Roman"/>
                <w:sz w:val="21"/>
                <w:szCs w:val="21"/>
                <w:highlight w:val="none"/>
                <w14:ligatures w14:val="none"/>
              </w:rPr>
              <w:t>1</w:t>
            </w:r>
            <w:r>
              <w:rPr>
                <w:rFonts w:hint="eastAsia" w:ascii="宋体" w:hAnsi="宋体" w:eastAsia="宋体" w:cs="Times New Roman"/>
                <w:sz w:val="21"/>
                <w:szCs w:val="21"/>
                <w:highlight w:val="none"/>
                <w14:ligatures w14:val="none"/>
              </w:rPr>
              <w:t>Ω</w:t>
            </w:r>
            <w:r>
              <w:rPr>
                <w:rFonts w:ascii="Times New Roman" w:hAnsi="Times New Roman" w:eastAsia="宋体" w:cs="Times New Roman"/>
                <w:sz w:val="21"/>
                <w:szCs w:val="21"/>
                <w:highlight w:val="none"/>
                <w14:ligatures w14:val="none"/>
              </w:rPr>
              <w:t>。</w:t>
            </w:r>
          </w:p>
        </w:tc>
        <w:tc>
          <w:tcPr>
            <w:tcW w:w="422" w:type="pct"/>
            <w:vAlign w:val="center"/>
          </w:tcPr>
          <w:p w14:paraId="326B4B6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96B7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B9E6DE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17EACEF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油品罐车卸车场地内用于防静电跨接的固定接地装置，不应设置在爆炸危险1区。</w:t>
            </w:r>
          </w:p>
        </w:tc>
        <w:tc>
          <w:tcPr>
            <w:tcW w:w="1225" w:type="pct"/>
            <w:vAlign w:val="center"/>
          </w:tcPr>
          <w:p w14:paraId="2612E5B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3E02C33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第13.2.16条</w:t>
            </w:r>
          </w:p>
        </w:tc>
        <w:tc>
          <w:tcPr>
            <w:tcW w:w="1124" w:type="pct"/>
            <w:vAlign w:val="center"/>
          </w:tcPr>
          <w:p w14:paraId="0B070D5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卸车场地内用于防静电跨接的固定接地装置未设置在</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区</w:t>
            </w:r>
          </w:p>
        </w:tc>
        <w:tc>
          <w:tcPr>
            <w:tcW w:w="422" w:type="pct"/>
            <w:vAlign w:val="center"/>
          </w:tcPr>
          <w:p w14:paraId="2898651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C06E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B044394">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DA158E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人体静电的防护措施如下：</w:t>
            </w:r>
          </w:p>
          <w:p w14:paraId="11DCBBD0">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①当气体爆炸危险场所的等级属0区和1区，且可燃物的最小点燃能量在0.25mJ以下时，工作人员需穿防静电鞋、防静电服。当环境相对湿度保持在50%以上时可穿棉工作服。</w:t>
            </w:r>
          </w:p>
          <w:p w14:paraId="5C1DD3E2">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②静电危险场所的工作人员外漏穿着物（包括鞋、衣物）应具防静电或导电功能，各部分穿着物应存在电气连续性，地面应配用导电地面。</w:t>
            </w:r>
          </w:p>
          <w:p w14:paraId="7F565D37">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③禁止在静电危险场所穿脱衣物、帽子及类似物，并避免剧烈的身体运动。</w:t>
            </w:r>
          </w:p>
          <w:p w14:paraId="2F42F83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④在气体爆炸危险场所的等级属0区和1区工作时，应佩戴防静电手套。</w:t>
            </w:r>
          </w:p>
          <w:p w14:paraId="373881B0">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⑤防静电衣物所用材料的表面电阻率＜5×1010Ω。</w:t>
            </w:r>
          </w:p>
          <w:p w14:paraId="0DD4098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⑥可以采用安全有效的局部静电防护措施（如腕带），以防止静电危害的发生。</w:t>
            </w:r>
          </w:p>
        </w:tc>
        <w:tc>
          <w:tcPr>
            <w:tcW w:w="1225" w:type="pct"/>
            <w:vAlign w:val="center"/>
          </w:tcPr>
          <w:p w14:paraId="1A7DD8D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《防止静电事故通用导则》</w:t>
            </w:r>
          </w:p>
          <w:p w14:paraId="68F5237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（GB12158-2006）</w:t>
            </w:r>
          </w:p>
          <w:p w14:paraId="1F5EB199">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第6.5条</w:t>
            </w:r>
          </w:p>
        </w:tc>
        <w:tc>
          <w:tcPr>
            <w:tcW w:w="1124" w:type="pct"/>
            <w:vAlign w:val="center"/>
          </w:tcPr>
          <w:p w14:paraId="5EFCECCB">
            <w:pPr>
              <w:spacing w:line="240" w:lineRule="auto"/>
              <w:ind w:firstLine="0" w:firstLineChars="0"/>
              <w:rPr>
                <w:rFonts w:hint="eastAsia"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本站工作人员穿防静电鞋、防静电服。静电危险场所的工作人员外漏穿着物（包括鞋、衣物）具防静电或导电功能，各部分穿着物存在电气连续性，地面应配用导电地面，并佩戴防静电手套</w:t>
            </w:r>
          </w:p>
        </w:tc>
        <w:tc>
          <w:tcPr>
            <w:tcW w:w="422" w:type="pct"/>
            <w:vAlign w:val="center"/>
          </w:tcPr>
          <w:p w14:paraId="2815165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E176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F991D5C">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70083BB2">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电气装置的接地必须单独与接地母线或接地网相连接，严禁一条接地线中串联两个及以上需要接地的电气装置。</w:t>
            </w:r>
          </w:p>
        </w:tc>
        <w:tc>
          <w:tcPr>
            <w:tcW w:w="1225" w:type="pct"/>
            <w:vAlign w:val="center"/>
          </w:tcPr>
          <w:p w14:paraId="06E6FD60">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《电气装置安装工程接地装置施工及验收规范》</w:t>
            </w:r>
          </w:p>
          <w:p w14:paraId="6692F9F4">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50169-2016）</w:t>
            </w:r>
          </w:p>
          <w:p w14:paraId="2F8BFAAE">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第4.2.9条</w:t>
            </w:r>
          </w:p>
        </w:tc>
        <w:tc>
          <w:tcPr>
            <w:tcW w:w="1124" w:type="pct"/>
            <w:vAlign w:val="center"/>
          </w:tcPr>
          <w:p w14:paraId="281CB469">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电气装置的接地单独与接地母线或接地网相连接</w:t>
            </w:r>
          </w:p>
        </w:tc>
        <w:tc>
          <w:tcPr>
            <w:tcW w:w="422" w:type="pct"/>
            <w:vAlign w:val="center"/>
          </w:tcPr>
          <w:p w14:paraId="7041F9C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1136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361A223">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395ECC8">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可能产生静电危害的工作场所，应配置个人防静电防护用品，重点防火、防爆作业区的人口处，应设计人体导除静电装置。</w:t>
            </w:r>
          </w:p>
        </w:tc>
        <w:tc>
          <w:tcPr>
            <w:tcW w:w="1225" w:type="pct"/>
            <w:vAlign w:val="center"/>
          </w:tcPr>
          <w:p w14:paraId="09A9AD3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《化工企业安全卫生设计规范》</w:t>
            </w:r>
          </w:p>
          <w:p w14:paraId="4D66FAC9">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（HG 20571-2014）</w:t>
            </w:r>
          </w:p>
          <w:p w14:paraId="02AFC8C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第4.2.10条</w:t>
            </w:r>
          </w:p>
        </w:tc>
        <w:tc>
          <w:tcPr>
            <w:tcW w:w="1124" w:type="pct"/>
            <w:vAlign w:val="center"/>
          </w:tcPr>
          <w:p w14:paraId="2CB5AF3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配置个人防静电防护用品</w:t>
            </w:r>
          </w:p>
        </w:tc>
        <w:tc>
          <w:tcPr>
            <w:tcW w:w="422" w:type="pct"/>
            <w:vAlign w:val="center"/>
          </w:tcPr>
          <w:p w14:paraId="510FAAA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9B3B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FD25A46">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3DDFDBC">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电气设备的金属外壳、金属框架、金属配线管及其配件、电缆保护管、电缆的金属护套等非带电的裸露金属部分均应接地。</w:t>
            </w:r>
          </w:p>
        </w:tc>
        <w:tc>
          <w:tcPr>
            <w:tcW w:w="1225" w:type="pct"/>
            <w:vAlign w:val="center"/>
          </w:tcPr>
          <w:p w14:paraId="765BC1A7">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《危险场所电气防爆安全规范》</w:t>
            </w:r>
          </w:p>
          <w:p w14:paraId="392111E3">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（AQ 3009-2007）</w:t>
            </w:r>
          </w:p>
          <w:p w14:paraId="44B812C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第6.1.1.4.1条</w:t>
            </w:r>
          </w:p>
        </w:tc>
        <w:tc>
          <w:tcPr>
            <w:tcW w:w="1124" w:type="pct"/>
            <w:vAlign w:val="center"/>
          </w:tcPr>
          <w:p w14:paraId="64B5F413">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电气设备裸露金属部分均接地</w:t>
            </w:r>
          </w:p>
        </w:tc>
        <w:tc>
          <w:tcPr>
            <w:tcW w:w="422" w:type="pct"/>
            <w:vAlign w:val="center"/>
          </w:tcPr>
          <w:p w14:paraId="3361602F">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0739B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EB60C47">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901D6DC">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加油站应设置紧急切断系统，该系统应能在事故状态下实现紧急停车和关闭紧急切断阀的保护功能。</w:t>
            </w:r>
          </w:p>
        </w:tc>
        <w:tc>
          <w:tcPr>
            <w:tcW w:w="1225" w:type="pct"/>
            <w:vAlign w:val="center"/>
          </w:tcPr>
          <w:p w14:paraId="069C9250">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3FA5B91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第13.5.1条</w:t>
            </w:r>
          </w:p>
        </w:tc>
        <w:tc>
          <w:tcPr>
            <w:tcW w:w="1124" w:type="pct"/>
            <w:vAlign w:val="center"/>
          </w:tcPr>
          <w:p w14:paraId="53BB7443">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设置紧急切断系统</w:t>
            </w:r>
          </w:p>
        </w:tc>
        <w:tc>
          <w:tcPr>
            <w:tcW w:w="422" w:type="pct"/>
            <w:vAlign w:val="center"/>
          </w:tcPr>
          <w:p w14:paraId="5968094D">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2311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FF235A">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72FC078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紧急切断系统应至少在下列位置设置紧急切断开关：</w:t>
            </w:r>
          </w:p>
          <w:p w14:paraId="49BA1CCA">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①在加油现场工作人员容易接近且较为安全的位置；</w:t>
            </w:r>
          </w:p>
          <w:p w14:paraId="03EF3B57">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②在控制室、值班室内或站房收银台等有人员值守的位置。</w:t>
            </w:r>
          </w:p>
        </w:tc>
        <w:tc>
          <w:tcPr>
            <w:tcW w:w="1225" w:type="pct"/>
            <w:vAlign w:val="center"/>
          </w:tcPr>
          <w:p w14:paraId="0BC436CD">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017700D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第13.5.2条</w:t>
            </w:r>
          </w:p>
        </w:tc>
        <w:tc>
          <w:tcPr>
            <w:tcW w:w="1124" w:type="pct"/>
            <w:vAlign w:val="center"/>
          </w:tcPr>
          <w:p w14:paraId="4D66D0B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在控制室内设置紧急切断按钮，在加油区、卸油口附近设置急停防爆操作柱。</w:t>
            </w:r>
          </w:p>
        </w:tc>
        <w:tc>
          <w:tcPr>
            <w:tcW w:w="422" w:type="pct"/>
            <w:vAlign w:val="center"/>
          </w:tcPr>
          <w:p w14:paraId="7C624D0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A64A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0755C5C">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164E588">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工艺设备的电源和工艺管道上的紧急切断阀应能由手动启动的远程控制切系统操纵关闭。</w:t>
            </w:r>
          </w:p>
        </w:tc>
        <w:tc>
          <w:tcPr>
            <w:tcW w:w="1225" w:type="pct"/>
            <w:vAlign w:val="center"/>
          </w:tcPr>
          <w:p w14:paraId="16C6370D">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4D3A9A6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第13.5.3条</w:t>
            </w:r>
          </w:p>
        </w:tc>
        <w:tc>
          <w:tcPr>
            <w:tcW w:w="1124" w:type="pct"/>
            <w:vAlign w:val="center"/>
          </w:tcPr>
          <w:p w14:paraId="5C416A78">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kern w:val="28"/>
                <w:sz w:val="21"/>
                <w:szCs w:val="21"/>
                <w:highlight w:val="none"/>
                <w14:ligatures w14:val="none"/>
              </w:rPr>
              <w:t>紧急切断阀能由手动启动的远程控制切系统操纵关闭</w:t>
            </w:r>
          </w:p>
        </w:tc>
        <w:tc>
          <w:tcPr>
            <w:tcW w:w="422" w:type="pct"/>
            <w:vAlign w:val="center"/>
          </w:tcPr>
          <w:p w14:paraId="549E5D0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FCC5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2262BD3">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D6C27F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紧急切断系统应只能手动复位。</w:t>
            </w:r>
          </w:p>
        </w:tc>
        <w:tc>
          <w:tcPr>
            <w:tcW w:w="1225" w:type="pct"/>
            <w:vAlign w:val="center"/>
          </w:tcPr>
          <w:p w14:paraId="694671FE">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4E9004E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第13.5.4条</w:t>
            </w:r>
          </w:p>
        </w:tc>
        <w:tc>
          <w:tcPr>
            <w:tcW w:w="1124" w:type="pct"/>
            <w:vAlign w:val="center"/>
          </w:tcPr>
          <w:p w14:paraId="0618CD6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紧急切断系统只能手动复位</w:t>
            </w:r>
          </w:p>
        </w:tc>
        <w:tc>
          <w:tcPr>
            <w:tcW w:w="422" w:type="pct"/>
            <w:vAlign w:val="center"/>
          </w:tcPr>
          <w:p w14:paraId="008D178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37E2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E048446">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2E53291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加油站视频安防监控系统中使用的设备、产品应满足所使用区域的防爆要求并具有国家认可的检验部门出具的设备、产品检验合格报告。</w:t>
            </w:r>
          </w:p>
        </w:tc>
        <w:tc>
          <w:tcPr>
            <w:tcW w:w="1225" w:type="pct"/>
            <w:vAlign w:val="center"/>
          </w:tcPr>
          <w:p w14:paraId="475CA2B6">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《加油加气站视频安防监控系统技术要求》（AQ/T 3050-2013）</w:t>
            </w:r>
          </w:p>
          <w:p w14:paraId="47DAF8E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第4.4条</w:t>
            </w:r>
          </w:p>
        </w:tc>
        <w:tc>
          <w:tcPr>
            <w:tcW w:w="1124" w:type="pct"/>
            <w:vAlign w:val="center"/>
          </w:tcPr>
          <w:p w14:paraId="368BBF7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安装视频安防监控系统，符合规范要求</w:t>
            </w:r>
          </w:p>
        </w:tc>
        <w:tc>
          <w:tcPr>
            <w:tcW w:w="422" w:type="pct"/>
            <w:vAlign w:val="center"/>
          </w:tcPr>
          <w:p w14:paraId="2A3DE4C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4F0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002B8D">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693A021">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应满足加油站全部接入图像显示，报警图像应能以单画面全屏幕显示功能。</w:t>
            </w:r>
          </w:p>
        </w:tc>
        <w:tc>
          <w:tcPr>
            <w:tcW w:w="1225" w:type="pct"/>
            <w:vAlign w:val="center"/>
          </w:tcPr>
          <w:p w14:paraId="7872FF01">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《加油加气站视频安防监控系统技术要求》（AQ/T 3050-2013）</w:t>
            </w:r>
          </w:p>
          <w:p w14:paraId="6EADD49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第6.1.2.1条</w:t>
            </w:r>
          </w:p>
        </w:tc>
        <w:tc>
          <w:tcPr>
            <w:tcW w:w="1124" w:type="pct"/>
            <w:vAlign w:val="center"/>
          </w:tcPr>
          <w:p w14:paraId="1DC11E7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安装视频安防监控系统，符合规范要求</w:t>
            </w:r>
          </w:p>
        </w:tc>
        <w:tc>
          <w:tcPr>
            <w:tcW w:w="422" w:type="pct"/>
            <w:vAlign w:val="center"/>
          </w:tcPr>
          <w:p w14:paraId="14BB6A7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84E7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E29EA9E">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91A7681">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a）应实现对本地接入的全部图像进行实时存储，对报警联动图像应备份存储。b）应支持音频与视频同步存储与回放。c）应可按照录像时间、摄像机位置、报警标识、日期范围等相关属性进行历史图像和回放。</w:t>
            </w:r>
          </w:p>
        </w:tc>
        <w:tc>
          <w:tcPr>
            <w:tcW w:w="1225" w:type="pct"/>
            <w:vAlign w:val="center"/>
          </w:tcPr>
          <w:p w14:paraId="37411B2A">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《加油加气站视频安防监控系统技术要求》（AQ/T 3050-2013）</w:t>
            </w:r>
          </w:p>
          <w:p w14:paraId="57BBEE1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第6.1.2.2条</w:t>
            </w:r>
          </w:p>
        </w:tc>
        <w:tc>
          <w:tcPr>
            <w:tcW w:w="1124" w:type="pct"/>
            <w:vAlign w:val="center"/>
          </w:tcPr>
          <w:p w14:paraId="5FAA3F19">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安装视频安防监控系统，符合规范要求</w:t>
            </w:r>
          </w:p>
        </w:tc>
        <w:tc>
          <w:tcPr>
            <w:tcW w:w="422" w:type="pct"/>
            <w:vAlign w:val="center"/>
          </w:tcPr>
          <w:p w14:paraId="21439240">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0BABB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5595897">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3FA863A2">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视频安防监控系统中使用的设备必须符合国家法律法规和现行强制性标准的要求，并经法定机构检验或认证合格。</w:t>
            </w:r>
          </w:p>
        </w:tc>
        <w:tc>
          <w:tcPr>
            <w:tcW w:w="1225" w:type="pct"/>
            <w:vAlign w:val="center"/>
          </w:tcPr>
          <w:p w14:paraId="3A032255">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《视频安防监控系统工程设计规范》</w:t>
            </w:r>
          </w:p>
          <w:p w14:paraId="2548E09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50395-2007）</w:t>
            </w:r>
          </w:p>
          <w:p w14:paraId="77DD905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第3.0.3条</w:t>
            </w:r>
          </w:p>
        </w:tc>
        <w:tc>
          <w:tcPr>
            <w:tcW w:w="1124" w:type="pct"/>
            <w:vAlign w:val="center"/>
          </w:tcPr>
          <w:p w14:paraId="09F676DB">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视频安防监控系统中使用的设备符合国家法律法规和现行强制性标准的要求，并经法定机构检验认证合格</w:t>
            </w:r>
          </w:p>
        </w:tc>
        <w:tc>
          <w:tcPr>
            <w:tcW w:w="422" w:type="pct"/>
            <w:vAlign w:val="center"/>
          </w:tcPr>
          <w:p w14:paraId="4F3A53C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197C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664923E">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B4B496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视频安防监控系统应对需要进行监控的建筑物内（外）的主要公共活动场所、通道、电梯（厅）、重要部位和区域等进行有效的视频探测与监视，图像显示、记录与回放。</w:t>
            </w:r>
          </w:p>
        </w:tc>
        <w:tc>
          <w:tcPr>
            <w:tcW w:w="1225" w:type="pct"/>
            <w:vAlign w:val="center"/>
          </w:tcPr>
          <w:p w14:paraId="424C28C5">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《视频安防监控系统工程设计规范》</w:t>
            </w:r>
          </w:p>
          <w:p w14:paraId="7EC4EF7F">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50395-2007）</w:t>
            </w:r>
          </w:p>
          <w:p w14:paraId="6424C47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第5.0.1条</w:t>
            </w:r>
          </w:p>
        </w:tc>
        <w:tc>
          <w:tcPr>
            <w:tcW w:w="1124" w:type="pct"/>
            <w:vAlign w:val="center"/>
          </w:tcPr>
          <w:p w14:paraId="7192B1D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视频安防监控系统对监控的区域进行有效的视频探测与监视，图像显示、记录与回放</w:t>
            </w:r>
          </w:p>
        </w:tc>
        <w:tc>
          <w:tcPr>
            <w:tcW w:w="422" w:type="pct"/>
            <w:vAlign w:val="center"/>
          </w:tcPr>
          <w:p w14:paraId="23BE964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F07C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6092A5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78A9B49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系统监视或回放的图像应清晰、稳定，显示方式应满足安全管理要求。显示画面上应有图像编号/地址、时间、日期等。文字显示应采用简体中文。</w:t>
            </w:r>
          </w:p>
        </w:tc>
        <w:tc>
          <w:tcPr>
            <w:tcW w:w="1225" w:type="pct"/>
            <w:vAlign w:val="center"/>
          </w:tcPr>
          <w:p w14:paraId="21825ADA">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《视频安防监控系统工程设计规范》</w:t>
            </w:r>
          </w:p>
          <w:p w14:paraId="20E42E0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（GB 50395-2007）</w:t>
            </w:r>
          </w:p>
          <w:p w14:paraId="6CC7357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第5.0.8条</w:t>
            </w:r>
          </w:p>
        </w:tc>
        <w:tc>
          <w:tcPr>
            <w:tcW w:w="1124" w:type="pct"/>
            <w:vAlign w:val="center"/>
          </w:tcPr>
          <w:p w14:paraId="315AC510">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系统监视或回放的图像清晰、稳定，显示方式满足安全管理要求。显示画面上有图像编号/地址、时间、日期等。文字显示采用简体中文</w:t>
            </w:r>
          </w:p>
        </w:tc>
        <w:tc>
          <w:tcPr>
            <w:tcW w:w="422" w:type="pct"/>
            <w:vAlign w:val="center"/>
          </w:tcPr>
          <w:p w14:paraId="0246BE8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4130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1882917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五、建（构）筑物、绿化</w:t>
            </w:r>
          </w:p>
        </w:tc>
      </w:tr>
      <w:tr w14:paraId="610CA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49DEB90A">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建（构）筑物、绿化</w:t>
            </w:r>
          </w:p>
        </w:tc>
        <w:tc>
          <w:tcPr>
            <w:tcW w:w="1768" w:type="pct"/>
            <w:vAlign w:val="center"/>
          </w:tcPr>
          <w:p w14:paraId="006D80B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加油岛的设计应符合下列规定：</w:t>
            </w:r>
          </w:p>
          <w:p w14:paraId="03EEA16E">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①加油岛应高出停车位的地坪0.15m~0.2m。</w:t>
            </w:r>
          </w:p>
          <w:p w14:paraId="74B3A2FE">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②加油岛两端的宽度不应小于1.2m。</w:t>
            </w:r>
          </w:p>
          <w:p w14:paraId="2A80F227">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③加油岛上的罩棚立柱边缘距岛端部，不应小于0.6m。</w:t>
            </w:r>
          </w:p>
          <w:p w14:paraId="2FD690C5">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④靠近岛端的加油机等岛上的工艺设备应有防止车辆误撞的措施和警示标识。采用钢管防撞柱（栏）时，其钢管的直径不应小于100mm，高度不应小于0.5m，并应设置牢固。</w:t>
            </w:r>
          </w:p>
        </w:tc>
        <w:tc>
          <w:tcPr>
            <w:tcW w:w="1225" w:type="pct"/>
            <w:vAlign w:val="center"/>
          </w:tcPr>
          <w:p w14:paraId="557C9DCC">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28BE78D9">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第14.2.3条</w:t>
            </w:r>
          </w:p>
        </w:tc>
        <w:tc>
          <w:tcPr>
            <w:tcW w:w="1124" w:type="pct"/>
            <w:vAlign w:val="center"/>
          </w:tcPr>
          <w:p w14:paraId="2E2ED93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bCs/>
                <w:sz w:val="21"/>
                <w:szCs w:val="21"/>
                <w:highlight w:val="none"/>
                <w14:ligatures w14:val="none"/>
              </w:rPr>
              <w:t>加油岛高出停车位的地坪0.2m；加油岛两端的宽度1.6m；加油岛上的罩棚立柱边缘距岛端部1.7m</w:t>
            </w:r>
          </w:p>
        </w:tc>
        <w:tc>
          <w:tcPr>
            <w:tcW w:w="422" w:type="pct"/>
            <w:vAlign w:val="center"/>
          </w:tcPr>
          <w:p w14:paraId="565048FB">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779F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D6B4D46">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880451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加油站内的工艺设备，不宜布置在封闭的房间或箱体内；工艺设备需要布置在封闭的房间或箱体内时，房间或箱体内应设置可燃气体检测报警器和强制通风设备，并应符合本标准第14.1.4条的规定。</w:t>
            </w:r>
          </w:p>
        </w:tc>
        <w:tc>
          <w:tcPr>
            <w:tcW w:w="1225" w:type="pct"/>
            <w:vAlign w:val="center"/>
          </w:tcPr>
          <w:p w14:paraId="4BE7EC02">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1B55E258">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第14.2.7条</w:t>
            </w:r>
          </w:p>
        </w:tc>
        <w:tc>
          <w:tcPr>
            <w:tcW w:w="1124" w:type="pct"/>
            <w:vAlign w:val="center"/>
          </w:tcPr>
          <w:p w14:paraId="48D906BC">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工艺设备露天设置</w:t>
            </w:r>
          </w:p>
        </w:tc>
        <w:tc>
          <w:tcPr>
            <w:tcW w:w="422" w:type="pct"/>
            <w:vAlign w:val="center"/>
          </w:tcPr>
          <w:p w14:paraId="48E4400D">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EB13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E5817F9">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349C6886">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埋地油罐的操作井、位于作业区的排水井应采取防渗漏措施，位于爆炸危险区域内的操作井、排水井，应采取防渗漏和防火花发生的措施。</w:t>
            </w:r>
          </w:p>
        </w:tc>
        <w:tc>
          <w:tcPr>
            <w:tcW w:w="1225" w:type="pct"/>
            <w:vAlign w:val="center"/>
          </w:tcPr>
          <w:p w14:paraId="6F62B7F1">
            <w:pPr>
              <w:spacing w:line="240" w:lineRule="auto"/>
              <w:ind w:firstLine="0" w:firstLineChars="0"/>
              <w:jc w:val="center"/>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《汽车加油加气加氢站技术标准》（GB50156-2021）</w:t>
            </w:r>
          </w:p>
          <w:p w14:paraId="39377B88">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第14.2.16条</w:t>
            </w:r>
          </w:p>
        </w:tc>
        <w:tc>
          <w:tcPr>
            <w:tcW w:w="1124" w:type="pct"/>
            <w:vAlign w:val="center"/>
          </w:tcPr>
          <w:p w14:paraId="208AE84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给水阀门井、排水检查井采用钢筋混凝土材质，排水检查井采用水封井</w:t>
            </w:r>
          </w:p>
        </w:tc>
        <w:tc>
          <w:tcPr>
            <w:tcW w:w="422" w:type="pct"/>
            <w:vAlign w:val="center"/>
          </w:tcPr>
          <w:p w14:paraId="0BFE87ED">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115A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1FEEF97">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C3A6380">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可能存在或产生有毒物质的工作场所应根据有毒物质的理化特性和危害特点配备现场急救用品，设置冲洗喷淋设备、应急撤离通道、必要的泄险区以及风向标。</w:t>
            </w:r>
          </w:p>
        </w:tc>
        <w:tc>
          <w:tcPr>
            <w:tcW w:w="1225" w:type="pct"/>
            <w:vAlign w:val="center"/>
          </w:tcPr>
          <w:p w14:paraId="4EE953CB">
            <w:pPr>
              <w:spacing w:line="240" w:lineRule="auto"/>
              <w:ind w:firstLine="0" w:firstLineChars="0"/>
              <w:jc w:val="center"/>
              <w:rPr>
                <w:rFonts w:ascii="Times New Roman" w:hAnsi="Times New Roman" w:eastAsia="宋体" w:cs="宋体"/>
                <w:sz w:val="21"/>
                <w:szCs w:val="21"/>
                <w:highlight w:val="none"/>
                <w14:ligatures w14:val="none"/>
              </w:rPr>
            </w:pPr>
            <w:r>
              <w:rPr>
                <w:rFonts w:ascii="Times New Roman" w:hAnsi="Times New Roman" w:eastAsia="宋体" w:cs="宋体"/>
                <w:sz w:val="21"/>
                <w:szCs w:val="21"/>
                <w:highlight w:val="none"/>
                <w14:ligatures w14:val="none"/>
              </w:rPr>
              <w:t>《工业企业设计卫生标准》（GBZ1-2010）</w:t>
            </w:r>
          </w:p>
          <w:p w14:paraId="470808C8">
            <w:pPr>
              <w:spacing w:line="240" w:lineRule="auto"/>
              <w:ind w:firstLine="0" w:firstLineChars="0"/>
              <w:jc w:val="center"/>
              <w:rPr>
                <w:rFonts w:hint="eastAsia" w:ascii="Times New Roman" w:hAnsi="Times New Roman" w:eastAsia="宋体" w:cs="宋体"/>
                <w:sz w:val="21"/>
                <w:szCs w:val="21"/>
                <w:highlight w:val="none"/>
                <w14:ligatures w14:val="none"/>
              </w:rPr>
            </w:pPr>
            <w:r>
              <w:rPr>
                <w:rFonts w:ascii="Times New Roman" w:hAnsi="Times New Roman" w:eastAsia="宋体" w:cs="宋体"/>
                <w:sz w:val="21"/>
                <w:szCs w:val="21"/>
                <w:highlight w:val="none"/>
                <w14:ligatures w14:val="none"/>
              </w:rPr>
              <w:t>第6.1.7条</w:t>
            </w:r>
          </w:p>
        </w:tc>
        <w:tc>
          <w:tcPr>
            <w:tcW w:w="1124" w:type="pct"/>
            <w:vAlign w:val="center"/>
          </w:tcPr>
          <w:p w14:paraId="1A45ADFC">
            <w:pPr>
              <w:spacing w:line="240" w:lineRule="auto"/>
              <w:ind w:firstLine="0" w:firstLineChars="0"/>
              <w:rPr>
                <w:rFonts w:ascii="Times New Roman" w:hAnsi="Times New Roman" w:eastAsia="宋体" w:cs="Times New Roman"/>
                <w:spacing w:val="-6"/>
                <w:position w:val="2"/>
                <w:sz w:val="21"/>
                <w:szCs w:val="21"/>
                <w:highlight w:val="none"/>
                <w14:ligatures w14:val="none"/>
              </w:rPr>
            </w:pPr>
            <w:r>
              <w:rPr>
                <w:rFonts w:ascii="Times New Roman" w:hAnsi="Times New Roman" w:eastAsia="宋体" w:cs="Times New Roman"/>
                <w:spacing w:val="-6"/>
                <w:position w:val="2"/>
                <w:sz w:val="21"/>
                <w:szCs w:val="21"/>
                <w:highlight w:val="none"/>
                <w14:ligatures w14:val="none"/>
              </w:rPr>
              <w:t>本站设置应急撤离通道、必要的泄险区以及风向标。</w:t>
            </w:r>
          </w:p>
        </w:tc>
        <w:tc>
          <w:tcPr>
            <w:tcW w:w="422" w:type="pct"/>
            <w:vAlign w:val="center"/>
          </w:tcPr>
          <w:p w14:paraId="7E306167">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9070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3011E18F">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六、安全管理单元</w:t>
            </w:r>
          </w:p>
        </w:tc>
      </w:tr>
      <w:tr w14:paraId="4DE11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5D6C49C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安全管理</w:t>
            </w:r>
          </w:p>
        </w:tc>
        <w:tc>
          <w:tcPr>
            <w:tcW w:w="1768" w:type="pct"/>
            <w:vAlign w:val="center"/>
          </w:tcPr>
          <w:p w14:paraId="1E569462">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危险化学品经营单位应当建立应急救援组织；应当配备必要的应急救援器材、设备和物资，并进行经常性维护、保养，保证正常运转。</w:t>
            </w:r>
          </w:p>
        </w:tc>
        <w:tc>
          <w:tcPr>
            <w:tcW w:w="1225" w:type="pct"/>
            <w:vAlign w:val="center"/>
          </w:tcPr>
          <w:p w14:paraId="7A874592">
            <w:pPr>
              <w:spacing w:line="240" w:lineRule="auto"/>
              <w:ind w:firstLine="0" w:firstLineChars="0"/>
              <w:rPr>
                <w:rFonts w:hint="eastAsia"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w:t>
            </w:r>
          </w:p>
          <w:p w14:paraId="3284E74E">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第八十二条</w:t>
            </w:r>
          </w:p>
        </w:tc>
        <w:tc>
          <w:tcPr>
            <w:tcW w:w="1124" w:type="pct"/>
            <w:vAlign w:val="center"/>
          </w:tcPr>
          <w:p w14:paraId="2FAA592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w:t>
            </w:r>
            <w:r>
              <w:rPr>
                <w:rFonts w:hint="eastAsia" w:ascii="Times New Roman" w:hAnsi="Times New Roman" w:eastAsia="宋体" w:cs="Times New Roman"/>
                <w:sz w:val="21"/>
                <w:szCs w:val="21"/>
                <w:highlight w:val="none"/>
                <w14:ligatures w14:val="none"/>
              </w:rPr>
              <w:t>站</w:t>
            </w:r>
            <w:r>
              <w:rPr>
                <w:rFonts w:ascii="Times New Roman" w:hAnsi="Times New Roman" w:eastAsia="宋体" w:cs="Times New Roman"/>
                <w:sz w:val="21"/>
                <w:szCs w:val="21"/>
                <w:highlight w:val="none"/>
                <w14:ligatures w14:val="none"/>
              </w:rPr>
              <w:t>建立应急救援组织；配备必要的应急救援器材、设备和物资，并进行经常性维护、保养，保证正常运转</w:t>
            </w:r>
          </w:p>
        </w:tc>
        <w:tc>
          <w:tcPr>
            <w:tcW w:w="422" w:type="pct"/>
            <w:vAlign w:val="center"/>
          </w:tcPr>
          <w:p w14:paraId="352B0163">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30C9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EA681A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4C86F6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c>
          <w:tcPr>
            <w:tcW w:w="1225" w:type="pct"/>
            <w:vAlign w:val="center"/>
          </w:tcPr>
          <w:p w14:paraId="7867BCA7">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《中华人民共和国安全生产法》（中华人民共和国主席令[2002]第70号，根据中华人民共和国主席令[2021]第88号修正）第四条</w:t>
            </w:r>
          </w:p>
        </w:tc>
        <w:tc>
          <w:tcPr>
            <w:tcW w:w="1124" w:type="pct"/>
            <w:vAlign w:val="center"/>
          </w:tcPr>
          <w:p w14:paraId="3EBD4FE0">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w:t>
            </w:r>
            <w:r>
              <w:rPr>
                <w:rFonts w:hint="eastAsia" w:ascii="Times New Roman" w:hAnsi="Times New Roman" w:eastAsia="宋体" w:cs="Times New Roman"/>
                <w:sz w:val="21"/>
                <w:szCs w:val="21"/>
                <w:highlight w:val="none"/>
                <w14:ligatures w14:val="none"/>
              </w:rPr>
              <w:t>站</w:t>
            </w:r>
            <w:r>
              <w:rPr>
                <w:rFonts w:ascii="Times New Roman" w:hAnsi="Times New Roman" w:eastAsia="宋体" w:cs="Times New Roman"/>
                <w:sz w:val="21"/>
                <w:szCs w:val="21"/>
                <w:highlight w:val="none"/>
                <w14:ligatures w14:val="none"/>
              </w:rPr>
              <w:t>建立健全全员安全生产责任制和安全生产规章制度</w:t>
            </w:r>
          </w:p>
        </w:tc>
        <w:tc>
          <w:tcPr>
            <w:tcW w:w="422" w:type="pct"/>
            <w:vAlign w:val="center"/>
          </w:tcPr>
          <w:p w14:paraId="7FAE0BE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EE76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4C4F3E3">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32CD18F1">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储存、经营重点监管危险化学品的企业，要切实落实安全生产主体责任，对照《重点监管的危险化学品的安全措施和应急处置原则》，全面排查危险化学品安全管理的漏洞和薄弱环节，及时消除安全隐患；要针对经营储存的油品特点和危险特性，细化并落实《重点监管的危险化学品的安全措施和应急处置原则》。</w:t>
            </w:r>
          </w:p>
        </w:tc>
        <w:tc>
          <w:tcPr>
            <w:tcW w:w="1225" w:type="pct"/>
            <w:vAlign w:val="center"/>
          </w:tcPr>
          <w:p w14:paraId="0142A85A">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《国家安全监管总局办公厅关于印发首批重点监管的危险化学品安全措施和应急处置原则的通知》（安监总厅管三〔2011〕142号）</w:t>
            </w:r>
          </w:p>
        </w:tc>
        <w:tc>
          <w:tcPr>
            <w:tcW w:w="1124" w:type="pct"/>
            <w:vAlign w:val="center"/>
          </w:tcPr>
          <w:p w14:paraId="75412D2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w:t>
            </w:r>
            <w:r>
              <w:rPr>
                <w:rFonts w:hint="eastAsia" w:ascii="Times New Roman" w:hAnsi="Times New Roman" w:eastAsia="宋体" w:cs="Times New Roman"/>
                <w:sz w:val="21"/>
                <w:szCs w:val="21"/>
                <w:highlight w:val="none"/>
                <w14:ligatures w14:val="none"/>
              </w:rPr>
              <w:t>站</w:t>
            </w:r>
            <w:r>
              <w:rPr>
                <w:rFonts w:ascii="Times New Roman" w:hAnsi="Times New Roman" w:eastAsia="宋体" w:cs="Times New Roman"/>
                <w:sz w:val="21"/>
                <w:szCs w:val="21"/>
                <w:highlight w:val="none"/>
                <w14:ligatures w14:val="none"/>
              </w:rPr>
              <w:t>切实落实安全生产主体责任，全面排查危险化学品安全管理的漏洞和薄弱环节，及时消除安全隐患。</w:t>
            </w:r>
          </w:p>
        </w:tc>
        <w:tc>
          <w:tcPr>
            <w:tcW w:w="422" w:type="pct"/>
            <w:vAlign w:val="center"/>
          </w:tcPr>
          <w:p w14:paraId="606E34AB">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A7C2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D85329C">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49F3506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生产经营单位应当具备的安全生产条件所必需的资金投入，由生产经营单位的决策机构、主要负责人或者个人经营的投资人予以保证，并对由于安全生产所必需的资金投入不足导致的后果承担责任。</w:t>
            </w:r>
          </w:p>
          <w:p w14:paraId="166169ED">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当按照规定提取和使用安全生产费用，专门用于改善安全生产条件。安全生产费用在成本中据实列支。企业应按时提取安全资金，并用于购置、维护、检查、检验安全设施、设备，人员的安全培训，劳动保护用品的发放等。安全资金不许挪作他用。</w:t>
            </w:r>
          </w:p>
        </w:tc>
        <w:tc>
          <w:tcPr>
            <w:tcW w:w="1225" w:type="pct"/>
            <w:vAlign w:val="center"/>
          </w:tcPr>
          <w:p w14:paraId="32295408">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《中华人民共和国安全生产法》（中华人民共和国主席令[2002]第70号，根据中华人民共和国主席令[2021]第88号修正），第二十三条</w:t>
            </w:r>
          </w:p>
        </w:tc>
        <w:tc>
          <w:tcPr>
            <w:tcW w:w="1124" w:type="pct"/>
            <w:vAlign w:val="center"/>
          </w:tcPr>
          <w:p w14:paraId="768993D0">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w:t>
            </w:r>
            <w:r>
              <w:rPr>
                <w:rFonts w:ascii="Times New Roman" w:hAnsi="Times New Roman" w:eastAsia="宋体" w:cs="Times New Roman"/>
                <w:sz w:val="21"/>
                <w:szCs w:val="21"/>
                <w:highlight w:val="none"/>
                <w14:ligatures w14:val="none"/>
              </w:rPr>
              <w:t>站按照规定提取和使用安全生产费用，专门用于改善安全生产条件</w:t>
            </w:r>
          </w:p>
        </w:tc>
        <w:tc>
          <w:tcPr>
            <w:tcW w:w="422" w:type="pct"/>
            <w:vAlign w:val="center"/>
          </w:tcPr>
          <w:p w14:paraId="16F89BC2">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14F3D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89AFF83">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1D493BA7">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1D824133">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加强员工安全教育和业务技术知识培训，熟悉经营油品的理化指标和危险特性，做到“四懂四会”：懂得岗位火灾的危险性，懂得预防火灾的措施，懂得扑救火灾的方法，懂得逃生疏散的方法，会使用消防器材，会报火警，会扑救初起火灾，会组织疏散逃生。</w:t>
            </w:r>
          </w:p>
        </w:tc>
        <w:tc>
          <w:tcPr>
            <w:tcW w:w="1225" w:type="pct"/>
            <w:vAlign w:val="center"/>
          </w:tcPr>
          <w:p w14:paraId="290BF89A">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《中华人民共和国安全生产法》（中华人民共和国主席令[2002]第70号，根据中华人民共和国主席令[2021]第88号修正）第二十八条</w:t>
            </w:r>
          </w:p>
        </w:tc>
        <w:tc>
          <w:tcPr>
            <w:tcW w:w="1124" w:type="pct"/>
            <w:vAlign w:val="center"/>
          </w:tcPr>
          <w:p w14:paraId="4B4CF2D4">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加强员工安全教育和业务技术知识培训，熟悉经营油品的理化指标和危险特性，做到“四懂四会”：懂得岗位火灾的危险性，懂得预防火灾的措施，懂得扑救火灾的方法，懂得逃生疏散的方法，会使用消防器材，会报火警，会扑救初起火灾，会组织疏散逃生</w:t>
            </w:r>
          </w:p>
        </w:tc>
        <w:tc>
          <w:tcPr>
            <w:tcW w:w="422" w:type="pct"/>
            <w:vAlign w:val="center"/>
          </w:tcPr>
          <w:p w14:paraId="620C8269">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0E961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9731D39">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0350E72">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生产经营单位采用新工艺、新技术、新材料或者使用新设备，必须了解、掌握其安全技术特性，采取有效的安全防护措施，并对从业人员进行专门的安全生产教育和培训。</w:t>
            </w:r>
          </w:p>
        </w:tc>
        <w:tc>
          <w:tcPr>
            <w:tcW w:w="1225" w:type="pct"/>
            <w:vAlign w:val="center"/>
          </w:tcPr>
          <w:p w14:paraId="0E77CCC3">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《中华人民共和国安全生产法》（中华人民共和国主席令[2002]第70号，根据中华人民共和国主席令[2021]第88号修正）第二十九条</w:t>
            </w:r>
          </w:p>
        </w:tc>
        <w:tc>
          <w:tcPr>
            <w:tcW w:w="1124" w:type="pct"/>
            <w:vAlign w:val="center"/>
          </w:tcPr>
          <w:p w14:paraId="24F701CD">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了解、掌握</w:t>
            </w:r>
            <w:r>
              <w:rPr>
                <w:rFonts w:hint="eastAsia" w:ascii="Times New Roman" w:hAnsi="Times New Roman" w:eastAsia="宋体" w:cs="Times New Roman"/>
                <w:sz w:val="21"/>
                <w:szCs w:val="21"/>
                <w:highlight w:val="none"/>
                <w14:ligatures w14:val="none"/>
              </w:rPr>
              <w:t>新设备等</w:t>
            </w:r>
            <w:r>
              <w:rPr>
                <w:rFonts w:ascii="Times New Roman" w:hAnsi="Times New Roman" w:eastAsia="宋体" w:cs="Times New Roman"/>
                <w:sz w:val="21"/>
                <w:szCs w:val="21"/>
                <w:highlight w:val="none"/>
                <w14:ligatures w14:val="none"/>
              </w:rPr>
              <w:t>安全技术特性，采取有效的安全防护措施，并对从业人员进行专门的安全生产教育和培训</w:t>
            </w:r>
          </w:p>
        </w:tc>
        <w:tc>
          <w:tcPr>
            <w:tcW w:w="422" w:type="pct"/>
            <w:vAlign w:val="center"/>
          </w:tcPr>
          <w:p w14:paraId="330CD6B8">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FC81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E91F40C">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304C2C14">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对重大危险源应当登记建档，进行定期检测、评估、监控，并制定应急预案，告知从业人员和相关人员在紧急情况下应当采取的应急措施。该加油站虽未构成危险化学品重大危险源，但仍需给予高度重视，切实强化安全管理，建立设备技术档案，切实加强加油机、油罐、管线、电器设施及防雷防静电接地装置等的检查测试与维护保养，定期开展隐患排查，及时消除安全隐患，确保设备（施）完好，做到安全使用。</w:t>
            </w:r>
          </w:p>
        </w:tc>
        <w:tc>
          <w:tcPr>
            <w:tcW w:w="1225" w:type="pct"/>
            <w:vAlign w:val="center"/>
          </w:tcPr>
          <w:p w14:paraId="7543CC2F">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《中华人民共和国安全生产法》（中华人民共和国主席令[2002]第70号，根据中华人民共和国主席令[2021]第88号修正）第四十条</w:t>
            </w:r>
          </w:p>
        </w:tc>
        <w:tc>
          <w:tcPr>
            <w:tcW w:w="1124" w:type="pct"/>
            <w:vAlign w:val="center"/>
          </w:tcPr>
          <w:p w14:paraId="44FD2DDF">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虽未构成危险化学品重大危险源，但仍需给予高度重视，切实强化安全管理，建立设备技术档案，切实加强加油机、油罐、管线、电器设施及防雷防静电接地装置等的检查测试与维护保养，定期开展隐患排查，及时消除安全隐患，确保设备（施）完好，做到安全使用。</w:t>
            </w:r>
          </w:p>
        </w:tc>
        <w:tc>
          <w:tcPr>
            <w:tcW w:w="422" w:type="pct"/>
            <w:vAlign w:val="center"/>
          </w:tcPr>
          <w:p w14:paraId="3FD59529">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5AB1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D573B9">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4CC54969">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生产经营单位应当建立安全风险分级管控制度，按照安全风险分级采取相应的管控措施。</w:t>
            </w:r>
          </w:p>
          <w:p w14:paraId="479E2CBE">
            <w:pPr>
              <w:spacing w:line="240" w:lineRule="auto"/>
              <w:ind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1225" w:type="pct"/>
            <w:vAlign w:val="center"/>
          </w:tcPr>
          <w:p w14:paraId="1A274892">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《中华人民共和国安全生产法》（中华人民共和国主席令[2002]第70号，根据中华人民共和国主席令[2021]第88号修正）第四十一条</w:t>
            </w:r>
          </w:p>
        </w:tc>
        <w:tc>
          <w:tcPr>
            <w:tcW w:w="1124" w:type="pct"/>
            <w:vAlign w:val="center"/>
          </w:tcPr>
          <w:p w14:paraId="7017D0D1">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建立健全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422" w:type="pct"/>
            <w:vAlign w:val="center"/>
          </w:tcPr>
          <w:p w14:paraId="5CB2E29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F57B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082D100">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5598B95A">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生产经营单位必须为从业人员提供符合国家标准或者行业标准的劳动防护用品，并监督、教育从业人员按照使用规则佩戴、使用。</w:t>
            </w:r>
          </w:p>
        </w:tc>
        <w:tc>
          <w:tcPr>
            <w:tcW w:w="1225" w:type="pct"/>
            <w:vAlign w:val="center"/>
          </w:tcPr>
          <w:p w14:paraId="5F0B8F0E">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《中华人民共和国安全生产法》（中华人民共和国主席令第十三号）第四十二条</w:t>
            </w:r>
          </w:p>
        </w:tc>
        <w:tc>
          <w:tcPr>
            <w:tcW w:w="1124" w:type="pct"/>
            <w:vAlign w:val="center"/>
          </w:tcPr>
          <w:p w14:paraId="597BF25D">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为从业人员提供符合国家标准或者行业标准的劳动防护用品，并监督、教育从业人员按照使用规则佩戴、使用</w:t>
            </w:r>
          </w:p>
        </w:tc>
        <w:tc>
          <w:tcPr>
            <w:tcW w:w="422" w:type="pct"/>
            <w:vAlign w:val="center"/>
          </w:tcPr>
          <w:p w14:paraId="030DB14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07A9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30CE2E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40691E71">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生产经营单位应当教育和督促从业人员严格执行本单位的安全生产规章制度和安全操作规程；并向从业人员如实告知作业场所和工作岗位存在的危险因素、防范措施以及事故应急措施。</w:t>
            </w:r>
          </w:p>
        </w:tc>
        <w:tc>
          <w:tcPr>
            <w:tcW w:w="1225" w:type="pct"/>
            <w:vAlign w:val="center"/>
          </w:tcPr>
          <w:p w14:paraId="1BC1B82F">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《中华人民共和国安全生产法》（中华人民共和国主席令[2002]第70号，根据中华人民共和国主席令[2021]第88号修正）第四十四条</w:t>
            </w:r>
          </w:p>
        </w:tc>
        <w:tc>
          <w:tcPr>
            <w:tcW w:w="1124" w:type="pct"/>
            <w:vAlign w:val="center"/>
          </w:tcPr>
          <w:p w14:paraId="71C3A276">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教育和督促从业人员严格执行本单位的安全生产规章制度和安全操作规程；并向从业人员如实告知作业场所和工作岗位存在的危险因素、防范措施以及事故应急措施</w:t>
            </w:r>
          </w:p>
        </w:tc>
        <w:tc>
          <w:tcPr>
            <w:tcW w:w="422" w:type="pct"/>
            <w:vAlign w:val="center"/>
          </w:tcPr>
          <w:p w14:paraId="793C7C54">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0462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B3D048B">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0EE4003F">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企业应切实加强检维修工作管理，加油站在检维修作业前，要组织对检维修作业场所、设备、设施、工艺流程和作业内容开展危险有害因素辨识，严格实施作业前风险分析。</w:t>
            </w:r>
          </w:p>
        </w:tc>
        <w:tc>
          <w:tcPr>
            <w:tcW w:w="1225" w:type="pct"/>
            <w:vAlign w:val="center"/>
          </w:tcPr>
          <w:p w14:paraId="5BEA29C2">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《关于加强全省化工企业检维修作业安全管理的指导意见》</w:t>
            </w:r>
          </w:p>
        </w:tc>
        <w:tc>
          <w:tcPr>
            <w:tcW w:w="1124" w:type="pct"/>
            <w:vAlign w:val="center"/>
          </w:tcPr>
          <w:p w14:paraId="4150CC25">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切实加强检维修工作管理，加油站在检维修作业前，要组织对检维修作业场所、设备、设施、工艺流程和作业内容开展危险有害因素辨识，严格实施作业前风险分析</w:t>
            </w:r>
          </w:p>
        </w:tc>
        <w:tc>
          <w:tcPr>
            <w:tcW w:w="422" w:type="pct"/>
            <w:vAlign w:val="center"/>
          </w:tcPr>
          <w:p w14:paraId="53B48B0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599D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E79FC31">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18CCBC5E">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严格明（动）火管理，落实“三不动火”的根本原则，即：“没有批准动火票不动火，监护人不在场不动火，防护措施不落实不动火”；切实加强加油场地、配电室、营业室和锅炉间等重点部位的检查与管理工作，确保用电安全。同时，要加强入罐受限空间作业管理，进入油罐前必须对罐内进行清洗和置换，并保持罐内空气流通。在作业前对罐内气体进行采样分析，分析合格后方可作业。在作业过程中应定期监测，确保作业安全。</w:t>
            </w:r>
          </w:p>
        </w:tc>
        <w:tc>
          <w:tcPr>
            <w:tcW w:w="1225" w:type="pct"/>
            <w:vAlign w:val="center"/>
          </w:tcPr>
          <w:p w14:paraId="01633074">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《加油站作业安全规范》（AQ 3010-2022 ）第8.4条</w:t>
            </w:r>
          </w:p>
        </w:tc>
        <w:tc>
          <w:tcPr>
            <w:tcW w:w="1124" w:type="pct"/>
            <w:vAlign w:val="center"/>
          </w:tcPr>
          <w:p w14:paraId="55467E7F">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进行重点部位的检查与管理工作前，确保用电安全</w:t>
            </w:r>
          </w:p>
        </w:tc>
        <w:tc>
          <w:tcPr>
            <w:tcW w:w="422" w:type="pct"/>
            <w:vAlign w:val="center"/>
          </w:tcPr>
          <w:p w14:paraId="0C6FBC5C">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AFDA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A9150A2">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63CF53E8">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tc>
        <w:tc>
          <w:tcPr>
            <w:tcW w:w="1225" w:type="pct"/>
            <w:vAlign w:val="center"/>
          </w:tcPr>
          <w:p w14:paraId="23D2CB31">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《加油站作业安全规范》（AQ 3010-2022 ）第5条和第6条</w:t>
            </w:r>
          </w:p>
        </w:tc>
        <w:tc>
          <w:tcPr>
            <w:tcW w:w="1124" w:type="pct"/>
            <w:vAlign w:val="center"/>
          </w:tcPr>
          <w:p w14:paraId="68C9DD75">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tc>
        <w:tc>
          <w:tcPr>
            <w:tcW w:w="422" w:type="pct"/>
            <w:vAlign w:val="center"/>
          </w:tcPr>
          <w:p w14:paraId="2341B65C">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0368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0FADAE5">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12AC6221">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实施安全风险研判与承诺公告制度要求危险化学品企业必须自觉遵守安全生产法律法规标准，全员、全过程、全天候、全方位落实安全生产主体责任，有效管控安全风险，及时排查治理事故隐患，并将有关工作开展情况向全体员工做出公开承诺，并在站外公告，接受公众监督。</w:t>
            </w:r>
          </w:p>
        </w:tc>
        <w:tc>
          <w:tcPr>
            <w:tcW w:w="1225" w:type="pct"/>
            <w:vAlign w:val="center"/>
          </w:tcPr>
          <w:p w14:paraId="7A3D44C8">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《应急管理部关于全面实施危险化学品企业安全风险研判与承诺公告制度的通知》（应急[2018]74号）</w:t>
            </w:r>
          </w:p>
        </w:tc>
        <w:tc>
          <w:tcPr>
            <w:tcW w:w="1124" w:type="pct"/>
            <w:vAlign w:val="center"/>
          </w:tcPr>
          <w:p w14:paraId="1B84A0B9">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实施安全风险研判与承诺公告制度要求危险化学品企业必须自觉遵守安全生产法律法规标准，全员、全过程、全天候、全方位落实安全生产主体责任，有效管控安全风险，及时排查治理事故隐患，并将有关工作开展情况向全体员工做出公开承诺，并在站外公告，接受公众监督</w:t>
            </w:r>
          </w:p>
        </w:tc>
        <w:tc>
          <w:tcPr>
            <w:tcW w:w="422" w:type="pct"/>
            <w:vAlign w:val="center"/>
          </w:tcPr>
          <w:p w14:paraId="4A169A9F">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95DC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82024F1">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68" w:type="pct"/>
            <w:vAlign w:val="center"/>
          </w:tcPr>
          <w:p w14:paraId="7435F8BB">
            <w:pPr>
              <w:numPr>
                <w:ilvl w:val="0"/>
                <w:numId w:val="6"/>
              </w:numPr>
              <w:adjustRightInd/>
              <w:snapToGrid/>
              <w:spacing w:line="240" w:lineRule="auto"/>
              <w:ind w:left="0" w:firstLine="0" w:firstLineChars="0"/>
              <w:rPr>
                <w:rFonts w:hint="eastAsia"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tc>
        <w:tc>
          <w:tcPr>
            <w:tcW w:w="1225" w:type="pct"/>
            <w:vAlign w:val="center"/>
          </w:tcPr>
          <w:p w14:paraId="55940D33">
            <w:pPr>
              <w:spacing w:line="240" w:lineRule="auto"/>
              <w:ind w:firstLine="0" w:firstLineChars="0"/>
              <w:rPr>
                <w:rFonts w:hint="eastAsia"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《特别管控危险化学品目录》</w:t>
            </w:r>
          </w:p>
        </w:tc>
        <w:tc>
          <w:tcPr>
            <w:tcW w:w="1124" w:type="pct"/>
            <w:vAlign w:val="center"/>
          </w:tcPr>
          <w:p w14:paraId="2BCB53B1">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实时记录销售情况、货主信息等，强化流向监控和销售信息的管理</w:t>
            </w:r>
          </w:p>
        </w:tc>
        <w:tc>
          <w:tcPr>
            <w:tcW w:w="422" w:type="pct"/>
            <w:vAlign w:val="center"/>
          </w:tcPr>
          <w:p w14:paraId="325671F0">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bl>
    <w:p w14:paraId="52631672">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附表4.1-2  重大安全事故隐患判定单元检查表</w:t>
      </w:r>
    </w:p>
    <w:tbl>
      <w:tblPr>
        <w:tblStyle w:val="32"/>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833"/>
        <w:gridCol w:w="3754"/>
        <w:gridCol w:w="1651"/>
        <w:gridCol w:w="2462"/>
        <w:gridCol w:w="706"/>
      </w:tblGrid>
      <w:tr w14:paraId="017AE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443" w:type="pct"/>
            <w:vAlign w:val="center"/>
          </w:tcPr>
          <w:p w14:paraId="236C7816">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序号</w:t>
            </w:r>
          </w:p>
        </w:tc>
        <w:tc>
          <w:tcPr>
            <w:tcW w:w="1994" w:type="pct"/>
            <w:vAlign w:val="center"/>
          </w:tcPr>
          <w:p w14:paraId="7CE6D8F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控制及管理要求</w:t>
            </w:r>
          </w:p>
        </w:tc>
        <w:tc>
          <w:tcPr>
            <w:tcW w:w="877" w:type="pct"/>
            <w:vAlign w:val="center"/>
          </w:tcPr>
          <w:p w14:paraId="0D6A3D0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检查依据</w:t>
            </w:r>
          </w:p>
        </w:tc>
        <w:tc>
          <w:tcPr>
            <w:tcW w:w="1308" w:type="pct"/>
            <w:vAlign w:val="center"/>
          </w:tcPr>
          <w:p w14:paraId="460790C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检查记录</w:t>
            </w:r>
          </w:p>
        </w:tc>
        <w:tc>
          <w:tcPr>
            <w:tcW w:w="375" w:type="pct"/>
            <w:vAlign w:val="center"/>
          </w:tcPr>
          <w:p w14:paraId="31A3254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结论</w:t>
            </w:r>
          </w:p>
        </w:tc>
      </w:tr>
      <w:tr w14:paraId="3CF2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7314FB3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w:t>
            </w:r>
          </w:p>
        </w:tc>
        <w:tc>
          <w:tcPr>
            <w:tcW w:w="1994" w:type="pct"/>
            <w:vAlign w:val="center"/>
          </w:tcPr>
          <w:p w14:paraId="6726A65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危险化学品生产、经营单位主要负责人和安全生产管理人员未依法经考核合格。</w:t>
            </w:r>
          </w:p>
        </w:tc>
        <w:tc>
          <w:tcPr>
            <w:tcW w:w="877" w:type="pct"/>
            <w:vAlign w:val="center"/>
          </w:tcPr>
          <w:p w14:paraId="59BDC6AF">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5F271C4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站内主要负责人和安全生产管理人员取得相关证书。</w:t>
            </w:r>
          </w:p>
        </w:tc>
        <w:tc>
          <w:tcPr>
            <w:tcW w:w="375" w:type="pct"/>
            <w:vAlign w:val="center"/>
          </w:tcPr>
          <w:p w14:paraId="203BEC1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13FD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79B1FA4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w:t>
            </w:r>
          </w:p>
        </w:tc>
        <w:tc>
          <w:tcPr>
            <w:tcW w:w="1994" w:type="pct"/>
            <w:vAlign w:val="center"/>
          </w:tcPr>
          <w:p w14:paraId="754AFA3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特种作业人员未持证上岗。</w:t>
            </w:r>
          </w:p>
        </w:tc>
        <w:tc>
          <w:tcPr>
            <w:tcW w:w="877" w:type="pct"/>
            <w:vAlign w:val="center"/>
          </w:tcPr>
          <w:p w14:paraId="2ABD4D04">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58C41292">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站内加油部分不涉及特种作业。</w:t>
            </w:r>
          </w:p>
        </w:tc>
        <w:tc>
          <w:tcPr>
            <w:tcW w:w="375" w:type="pct"/>
            <w:vAlign w:val="center"/>
          </w:tcPr>
          <w:p w14:paraId="2DCA4126">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CC23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2871E41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3</w:t>
            </w:r>
          </w:p>
        </w:tc>
        <w:tc>
          <w:tcPr>
            <w:tcW w:w="1994" w:type="pct"/>
            <w:vAlign w:val="center"/>
          </w:tcPr>
          <w:p w14:paraId="3A66BCB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涉及“两重点一重大”的生产装置、储存设施外部安全防护距离不符合国家标准要求。</w:t>
            </w:r>
          </w:p>
        </w:tc>
        <w:tc>
          <w:tcPr>
            <w:tcW w:w="877" w:type="pct"/>
            <w:vAlign w:val="center"/>
          </w:tcPr>
          <w:p w14:paraId="5CB30F2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0311AC2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站内车用乙醇汽油为重点监管危险化学品，站内车用乙醇汽油生产装置、储存设施外部安全防护距离符合要求。</w:t>
            </w:r>
          </w:p>
        </w:tc>
        <w:tc>
          <w:tcPr>
            <w:tcW w:w="375" w:type="pct"/>
            <w:vAlign w:val="center"/>
          </w:tcPr>
          <w:p w14:paraId="0352DF6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CCAA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2BD4946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4</w:t>
            </w:r>
          </w:p>
        </w:tc>
        <w:tc>
          <w:tcPr>
            <w:tcW w:w="1994" w:type="pct"/>
            <w:vAlign w:val="center"/>
          </w:tcPr>
          <w:p w14:paraId="7BB57283">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涉及重点监管危险化工工艺的装置未实现自动化控制，系统未实现紧急停车功能，装备的自动化控制系统、紧急停车系统未投入使用。</w:t>
            </w:r>
          </w:p>
        </w:tc>
        <w:tc>
          <w:tcPr>
            <w:tcW w:w="877" w:type="pct"/>
            <w:vAlign w:val="center"/>
          </w:tcPr>
          <w:p w14:paraId="5AD35EF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16BA581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站内不涉及重点监管化工工艺</w:t>
            </w:r>
            <w:r>
              <w:rPr>
                <w:rFonts w:hint="eastAsia" w:ascii="Times New Roman" w:hAnsi="Times New Roman" w:eastAsia="宋体" w:cs="Times New Roman"/>
                <w:sz w:val="21"/>
                <w:szCs w:val="21"/>
                <w:highlight w:val="none"/>
                <w14:ligatures w14:val="none"/>
              </w:rPr>
              <w:t>。</w:t>
            </w:r>
          </w:p>
        </w:tc>
        <w:tc>
          <w:tcPr>
            <w:tcW w:w="375" w:type="pct"/>
            <w:vAlign w:val="center"/>
          </w:tcPr>
          <w:p w14:paraId="1EA1953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5E81E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1940B2C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5</w:t>
            </w:r>
          </w:p>
        </w:tc>
        <w:tc>
          <w:tcPr>
            <w:tcW w:w="1994" w:type="pct"/>
            <w:vAlign w:val="center"/>
          </w:tcPr>
          <w:p w14:paraId="2D4772C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构成一级、二级重大危险源的危险化学品罐区未实现紧急切断功能；涉及毒性气体、液化气体、剧毒液体的一级、二级重大危险源的危险化学品罐区未配备独立的安全仪表系统。</w:t>
            </w:r>
          </w:p>
        </w:tc>
        <w:tc>
          <w:tcPr>
            <w:tcW w:w="877" w:type="pct"/>
            <w:vAlign w:val="center"/>
          </w:tcPr>
          <w:p w14:paraId="290FC346">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73AEAD32">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站内未构成危险化学品重大危险源。</w:t>
            </w:r>
          </w:p>
        </w:tc>
        <w:tc>
          <w:tcPr>
            <w:tcW w:w="375" w:type="pct"/>
            <w:vAlign w:val="center"/>
          </w:tcPr>
          <w:p w14:paraId="274BB0B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79034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4408460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6</w:t>
            </w:r>
          </w:p>
        </w:tc>
        <w:tc>
          <w:tcPr>
            <w:tcW w:w="1994" w:type="pct"/>
            <w:vAlign w:val="center"/>
          </w:tcPr>
          <w:p w14:paraId="3814B524">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全压力式液化烃储罐未按国家标准设置注水措施。</w:t>
            </w:r>
          </w:p>
        </w:tc>
        <w:tc>
          <w:tcPr>
            <w:tcW w:w="877" w:type="pct"/>
            <w:vAlign w:val="center"/>
          </w:tcPr>
          <w:p w14:paraId="1DF2D3D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240511F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站内不涉及全压力式液化烃储罐。</w:t>
            </w:r>
          </w:p>
        </w:tc>
        <w:tc>
          <w:tcPr>
            <w:tcW w:w="375" w:type="pct"/>
            <w:vAlign w:val="center"/>
          </w:tcPr>
          <w:p w14:paraId="29E5E5D2">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7248E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01E2558C">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7</w:t>
            </w:r>
          </w:p>
        </w:tc>
        <w:tc>
          <w:tcPr>
            <w:tcW w:w="1994" w:type="pct"/>
            <w:vAlign w:val="center"/>
          </w:tcPr>
          <w:p w14:paraId="21A2CDD8">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液化烃、液氨、液氯等易燃易爆、有毒有害液化气体的充装未使用万向管道充装系统。</w:t>
            </w:r>
          </w:p>
        </w:tc>
        <w:tc>
          <w:tcPr>
            <w:tcW w:w="877" w:type="pct"/>
            <w:vAlign w:val="center"/>
          </w:tcPr>
          <w:p w14:paraId="47CA72E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5B739D0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站内不涉及液化烃、液氨、液氯等易燃易爆、有毒有害液化气体的充装</w:t>
            </w:r>
          </w:p>
        </w:tc>
        <w:tc>
          <w:tcPr>
            <w:tcW w:w="375" w:type="pct"/>
            <w:vAlign w:val="center"/>
          </w:tcPr>
          <w:p w14:paraId="655D4BD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7BC6D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29A5E5B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8</w:t>
            </w:r>
          </w:p>
        </w:tc>
        <w:tc>
          <w:tcPr>
            <w:tcW w:w="1994" w:type="pct"/>
            <w:vAlign w:val="center"/>
          </w:tcPr>
          <w:p w14:paraId="49885BB1">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光气、氯气等剧毒气体及硫化氢气体管道穿越除厂区（包括化工园区、工业园区）外的公共区域。</w:t>
            </w:r>
          </w:p>
        </w:tc>
        <w:tc>
          <w:tcPr>
            <w:tcW w:w="877" w:type="pct"/>
            <w:vAlign w:val="center"/>
          </w:tcPr>
          <w:p w14:paraId="124EE628">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2FDAF949">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站内不涉及光气、氯气等剧毒气体及硫化氢气体管道</w:t>
            </w:r>
          </w:p>
        </w:tc>
        <w:tc>
          <w:tcPr>
            <w:tcW w:w="375" w:type="pct"/>
            <w:vAlign w:val="center"/>
          </w:tcPr>
          <w:p w14:paraId="5A8B9C6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3207D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02B1A59C">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9</w:t>
            </w:r>
          </w:p>
        </w:tc>
        <w:tc>
          <w:tcPr>
            <w:tcW w:w="1994" w:type="pct"/>
            <w:vAlign w:val="center"/>
          </w:tcPr>
          <w:p w14:paraId="65FBE539">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地区架空电力线路穿越生产区且不符合国家标准要求。</w:t>
            </w:r>
          </w:p>
        </w:tc>
        <w:tc>
          <w:tcPr>
            <w:tcW w:w="877" w:type="pct"/>
            <w:vAlign w:val="center"/>
          </w:tcPr>
          <w:p w14:paraId="3CD39410">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1BE8833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站内无电力线穿越厂区。</w:t>
            </w:r>
          </w:p>
        </w:tc>
        <w:tc>
          <w:tcPr>
            <w:tcW w:w="375" w:type="pct"/>
            <w:vAlign w:val="center"/>
          </w:tcPr>
          <w:p w14:paraId="140F3C9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0D86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2001E66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10</w:t>
            </w:r>
          </w:p>
        </w:tc>
        <w:tc>
          <w:tcPr>
            <w:tcW w:w="1994" w:type="pct"/>
            <w:vAlign w:val="center"/>
          </w:tcPr>
          <w:p w14:paraId="023DDD5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在役化工装置未经正规设计且未进行安全设计诊断。</w:t>
            </w:r>
          </w:p>
        </w:tc>
        <w:tc>
          <w:tcPr>
            <w:tcW w:w="877" w:type="pct"/>
            <w:vAlign w:val="center"/>
          </w:tcPr>
          <w:p w14:paraId="6E71375F">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4AB2CB19">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生产装置经正规设计。</w:t>
            </w:r>
          </w:p>
        </w:tc>
        <w:tc>
          <w:tcPr>
            <w:tcW w:w="375" w:type="pct"/>
            <w:vAlign w:val="center"/>
          </w:tcPr>
          <w:p w14:paraId="0B941C2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10B5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6D76622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11</w:t>
            </w:r>
          </w:p>
        </w:tc>
        <w:tc>
          <w:tcPr>
            <w:tcW w:w="1994" w:type="pct"/>
            <w:vAlign w:val="center"/>
          </w:tcPr>
          <w:p w14:paraId="505482DF">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使用淘汰落后安全技术工艺、设备目录列出的工艺、设备。</w:t>
            </w:r>
          </w:p>
        </w:tc>
        <w:tc>
          <w:tcPr>
            <w:tcW w:w="877" w:type="pct"/>
            <w:vAlign w:val="center"/>
          </w:tcPr>
          <w:p w14:paraId="48BACFB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572790F8">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未使用淘汰落后安全技术工艺、设备目录列出的工艺、设备。</w:t>
            </w:r>
          </w:p>
        </w:tc>
        <w:tc>
          <w:tcPr>
            <w:tcW w:w="375" w:type="pct"/>
            <w:vAlign w:val="center"/>
          </w:tcPr>
          <w:p w14:paraId="018B1B3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F495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54AE897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12</w:t>
            </w:r>
          </w:p>
        </w:tc>
        <w:tc>
          <w:tcPr>
            <w:tcW w:w="1994" w:type="pct"/>
            <w:vAlign w:val="center"/>
          </w:tcPr>
          <w:p w14:paraId="30EAABC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涉及可燃和有毒有害气体泄漏的场所未按国家标准设置检测报警装置，爆炸危险场所未按国家标准安装使用防爆电气设备。</w:t>
            </w:r>
          </w:p>
        </w:tc>
        <w:tc>
          <w:tcPr>
            <w:tcW w:w="877" w:type="pct"/>
            <w:vAlign w:val="center"/>
          </w:tcPr>
          <w:p w14:paraId="50F19BDF">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6A6F68FB">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不涉及</w:t>
            </w:r>
            <w:r>
              <w:rPr>
                <w:rFonts w:ascii="Times New Roman" w:hAnsi="Times New Roman" w:eastAsia="宋体" w:cs="Times New Roman"/>
                <w:sz w:val="21"/>
                <w:szCs w:val="21"/>
                <w:highlight w:val="none"/>
                <w14:ligatures w14:val="none"/>
              </w:rPr>
              <w:t>可燃和有毒有害气体泄漏的场所</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爆炸危险场所按国家标准安装防爆电气设备。</w:t>
            </w:r>
          </w:p>
        </w:tc>
        <w:tc>
          <w:tcPr>
            <w:tcW w:w="375" w:type="pct"/>
            <w:vAlign w:val="center"/>
          </w:tcPr>
          <w:p w14:paraId="04DBB7C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E72D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3647ACA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13</w:t>
            </w:r>
          </w:p>
        </w:tc>
        <w:tc>
          <w:tcPr>
            <w:tcW w:w="1994" w:type="pct"/>
            <w:vAlign w:val="center"/>
          </w:tcPr>
          <w:p w14:paraId="1B63CFD4">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控制室或机柜室面向具有火灾、爆炸危险性装置一侧不满足国家标准关于防火防爆的要求。</w:t>
            </w:r>
          </w:p>
        </w:tc>
        <w:tc>
          <w:tcPr>
            <w:tcW w:w="877" w:type="pct"/>
            <w:vAlign w:val="center"/>
          </w:tcPr>
          <w:p w14:paraId="39221239">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0977B3F4">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站内控制</w:t>
            </w:r>
            <w:r>
              <w:rPr>
                <w:rFonts w:hint="eastAsia" w:ascii="Times New Roman" w:hAnsi="Times New Roman" w:eastAsia="宋体" w:cs="Times New Roman"/>
                <w:sz w:val="21"/>
                <w:szCs w:val="21"/>
                <w:highlight w:val="none"/>
                <w14:ligatures w14:val="none"/>
              </w:rPr>
              <w:t>机柜</w:t>
            </w:r>
            <w:r>
              <w:rPr>
                <w:rFonts w:ascii="Times New Roman" w:hAnsi="Times New Roman" w:eastAsia="宋体" w:cs="Times New Roman"/>
                <w:sz w:val="21"/>
                <w:szCs w:val="21"/>
                <w:highlight w:val="none"/>
                <w14:ligatures w14:val="none"/>
              </w:rPr>
              <w:t>未面向具有火灾、爆炸危险性装置一侧</w:t>
            </w:r>
          </w:p>
        </w:tc>
        <w:tc>
          <w:tcPr>
            <w:tcW w:w="375" w:type="pct"/>
            <w:vAlign w:val="center"/>
          </w:tcPr>
          <w:p w14:paraId="538B40B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7DD9E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0FEB5BB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14</w:t>
            </w:r>
          </w:p>
        </w:tc>
        <w:tc>
          <w:tcPr>
            <w:tcW w:w="1994" w:type="pct"/>
            <w:vAlign w:val="center"/>
          </w:tcPr>
          <w:p w14:paraId="0660BA8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化工生产装置未按国家标准要求设置双重电源供电，自动化控制系统</w:t>
            </w:r>
            <w:r>
              <w:rPr>
                <w:rFonts w:hint="eastAsia" w:ascii="Times New Roman" w:hAnsi="Times New Roman" w:eastAsia="宋体" w:cs="Times New Roman"/>
                <w:sz w:val="21"/>
                <w:szCs w:val="21"/>
                <w:highlight w:val="none"/>
                <w14:ligatures w14:val="none"/>
              </w:rPr>
              <w:t>应</w:t>
            </w:r>
            <w:r>
              <w:rPr>
                <w:rFonts w:ascii="Times New Roman" w:hAnsi="Times New Roman" w:eastAsia="宋体" w:cs="Times New Roman"/>
                <w:sz w:val="21"/>
                <w:szCs w:val="21"/>
                <w:highlight w:val="none"/>
                <w14:ligatures w14:val="none"/>
              </w:rPr>
              <w:t>设置不间断电源。</w:t>
            </w:r>
          </w:p>
        </w:tc>
        <w:tc>
          <w:tcPr>
            <w:tcW w:w="877" w:type="pct"/>
            <w:vAlign w:val="center"/>
          </w:tcPr>
          <w:p w14:paraId="3EB1C91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4F5C6C76">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站内自控系统</w:t>
            </w:r>
            <w:r>
              <w:rPr>
                <w:rFonts w:hint="eastAsia" w:ascii="Times New Roman" w:hAnsi="Times New Roman" w:eastAsia="宋体" w:cs="Times New Roman"/>
                <w:sz w:val="21"/>
                <w:szCs w:val="21"/>
                <w:highlight w:val="none"/>
                <w14:ligatures w14:val="none"/>
              </w:rPr>
              <w:t>设有</w:t>
            </w:r>
            <w:r>
              <w:rPr>
                <w:rFonts w:ascii="Times New Roman" w:hAnsi="Times New Roman" w:eastAsia="宋体" w:cs="Times New Roman"/>
                <w:sz w:val="21"/>
                <w:szCs w:val="21"/>
                <w:highlight w:val="none"/>
                <w14:ligatures w14:val="none"/>
              </w:rPr>
              <w:t>UPS</w:t>
            </w:r>
            <w:r>
              <w:rPr>
                <w:rFonts w:hint="eastAsia" w:ascii="Times New Roman" w:hAnsi="Times New Roman" w:eastAsia="宋体" w:cs="Times New Roman"/>
                <w:sz w:val="21"/>
                <w:szCs w:val="21"/>
                <w:highlight w:val="none"/>
                <w14:ligatures w14:val="none"/>
              </w:rPr>
              <w:t>。</w:t>
            </w:r>
          </w:p>
        </w:tc>
        <w:tc>
          <w:tcPr>
            <w:tcW w:w="375" w:type="pct"/>
            <w:vAlign w:val="center"/>
          </w:tcPr>
          <w:p w14:paraId="6A03784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8B39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60E992A6">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15</w:t>
            </w:r>
          </w:p>
        </w:tc>
        <w:tc>
          <w:tcPr>
            <w:tcW w:w="1994" w:type="pct"/>
            <w:vAlign w:val="center"/>
          </w:tcPr>
          <w:p w14:paraId="3F1D1E38">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安全阀、爆破片等安全附件未正常投用。</w:t>
            </w:r>
          </w:p>
        </w:tc>
        <w:tc>
          <w:tcPr>
            <w:tcW w:w="877" w:type="pct"/>
            <w:vAlign w:val="center"/>
          </w:tcPr>
          <w:p w14:paraId="17DBC62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3E88CF22">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站内未涉及安全阀、爆破片等附件</w:t>
            </w:r>
          </w:p>
        </w:tc>
        <w:tc>
          <w:tcPr>
            <w:tcW w:w="375" w:type="pct"/>
            <w:vAlign w:val="center"/>
          </w:tcPr>
          <w:p w14:paraId="6038369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26F19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1CD0CC1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16</w:t>
            </w:r>
          </w:p>
        </w:tc>
        <w:tc>
          <w:tcPr>
            <w:tcW w:w="1994" w:type="pct"/>
            <w:vAlign w:val="center"/>
          </w:tcPr>
          <w:p w14:paraId="1BFA64FC">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未建立与岗位相匹配的全员安全生产责任制或者未制定实施生产安全事故隐患排查治理制度。</w:t>
            </w:r>
          </w:p>
        </w:tc>
        <w:tc>
          <w:tcPr>
            <w:tcW w:w="877" w:type="pct"/>
            <w:vAlign w:val="center"/>
          </w:tcPr>
          <w:p w14:paraId="12A140CD">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7A025598">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已建立全员责任制，制定生产安全事故隐患排查治理制度。</w:t>
            </w:r>
          </w:p>
        </w:tc>
        <w:tc>
          <w:tcPr>
            <w:tcW w:w="375" w:type="pct"/>
            <w:vAlign w:val="center"/>
          </w:tcPr>
          <w:p w14:paraId="4644FAD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0D90E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390240A8">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17</w:t>
            </w:r>
          </w:p>
        </w:tc>
        <w:tc>
          <w:tcPr>
            <w:tcW w:w="1994" w:type="pct"/>
            <w:vAlign w:val="center"/>
          </w:tcPr>
          <w:p w14:paraId="3242CEFB">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未制定操作规程和工艺控制指标。</w:t>
            </w:r>
          </w:p>
        </w:tc>
        <w:tc>
          <w:tcPr>
            <w:tcW w:w="877" w:type="pct"/>
            <w:vAlign w:val="center"/>
          </w:tcPr>
          <w:p w14:paraId="1F2E1F3A">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76533B0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已制定相关操作规程</w:t>
            </w:r>
          </w:p>
        </w:tc>
        <w:tc>
          <w:tcPr>
            <w:tcW w:w="375" w:type="pct"/>
            <w:vAlign w:val="center"/>
          </w:tcPr>
          <w:p w14:paraId="27603E6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FFC9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64A756F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18</w:t>
            </w:r>
          </w:p>
        </w:tc>
        <w:tc>
          <w:tcPr>
            <w:tcW w:w="1994" w:type="pct"/>
            <w:vAlign w:val="center"/>
          </w:tcPr>
          <w:p w14:paraId="68CDB28B">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未按照国家标准制定动火、进入受限空间等特殊作业管理制度，或者制度未有效执行。</w:t>
            </w:r>
          </w:p>
        </w:tc>
        <w:tc>
          <w:tcPr>
            <w:tcW w:w="877" w:type="pct"/>
            <w:vAlign w:val="center"/>
          </w:tcPr>
          <w:p w14:paraId="7C04A52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1AA8A286">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已制定动火、进入受限空间等特殊作业管理制度，并认真执行。</w:t>
            </w:r>
          </w:p>
        </w:tc>
        <w:tc>
          <w:tcPr>
            <w:tcW w:w="375" w:type="pct"/>
            <w:vAlign w:val="center"/>
          </w:tcPr>
          <w:p w14:paraId="45C8FD2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5300B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330A9022">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19</w:t>
            </w:r>
          </w:p>
        </w:tc>
        <w:tc>
          <w:tcPr>
            <w:tcW w:w="1994" w:type="pct"/>
            <w:vAlign w:val="center"/>
          </w:tcPr>
          <w:p w14:paraId="641B23E6">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877" w:type="pct"/>
            <w:vAlign w:val="center"/>
          </w:tcPr>
          <w:p w14:paraId="3E647AA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4E1E95DB">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加油站未涉及上述内容。</w:t>
            </w:r>
          </w:p>
        </w:tc>
        <w:tc>
          <w:tcPr>
            <w:tcW w:w="375" w:type="pct"/>
            <w:vAlign w:val="center"/>
          </w:tcPr>
          <w:p w14:paraId="120A038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7BFF7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35AF9D7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20</w:t>
            </w:r>
          </w:p>
        </w:tc>
        <w:tc>
          <w:tcPr>
            <w:tcW w:w="1994" w:type="pct"/>
            <w:vAlign w:val="center"/>
          </w:tcPr>
          <w:p w14:paraId="32302EF1">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未按国家标准分区分类储存危险化学品，超量、超品种储存危险化学品，相互禁配物质混放混存。</w:t>
            </w:r>
          </w:p>
        </w:tc>
        <w:tc>
          <w:tcPr>
            <w:tcW w:w="877" w:type="pct"/>
            <w:vAlign w:val="center"/>
          </w:tcPr>
          <w:p w14:paraId="147A2F7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3E0E8611">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无超量、超品种储存危险化学品现象，无禁配物质混放混存现象。</w:t>
            </w:r>
          </w:p>
        </w:tc>
        <w:tc>
          <w:tcPr>
            <w:tcW w:w="375" w:type="pct"/>
            <w:vAlign w:val="center"/>
          </w:tcPr>
          <w:p w14:paraId="1EE6313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bookmarkEnd w:id="112"/>
      <w:bookmarkEnd w:id="113"/>
      <w:bookmarkEnd w:id="114"/>
      <w:bookmarkEnd w:id="115"/>
    </w:tbl>
    <w:p w14:paraId="700FE5C3">
      <w:pPr>
        <w:keepNext/>
        <w:keepLines/>
        <w:spacing w:before="156" w:beforeLines="50" w:after="156" w:afterLines="50" w:line="240" w:lineRule="auto"/>
        <w:ind w:firstLine="0" w:firstLineChars="0"/>
        <w:jc w:val="center"/>
        <w:rPr>
          <w:rFonts w:hint="eastAsia" w:ascii="Times New Roman" w:hAnsi="Times New Roman" w:eastAsia="黑体"/>
          <w:sz w:val="24"/>
          <w:highlight w:val="none"/>
        </w:rPr>
      </w:pPr>
      <w:r>
        <w:rPr>
          <w:rFonts w:ascii="Times New Roman" w:hAnsi="Times New Roman" w:eastAsia="黑体"/>
          <w:sz w:val="24"/>
          <w:highlight w:val="none"/>
        </w:rPr>
        <w:t xml:space="preserve">附表4.1-3  </w:t>
      </w:r>
      <w:r>
        <w:rPr>
          <w:rFonts w:hint="eastAsia" w:ascii="Times New Roman" w:hAnsi="Times New Roman" w:eastAsia="黑体"/>
          <w:sz w:val="24"/>
          <w:highlight w:val="none"/>
        </w:rPr>
        <w:t>站内</w:t>
      </w:r>
      <w:r>
        <w:rPr>
          <w:rFonts w:ascii="Times New Roman" w:hAnsi="Times New Roman" w:eastAsia="黑体"/>
          <w:sz w:val="24"/>
          <w:highlight w:val="none"/>
        </w:rPr>
        <w:t>加油工艺设备与站外建（构）筑物安全间距表</w:t>
      </w:r>
      <w:r>
        <w:rPr>
          <w:rFonts w:hint="eastAsia" w:ascii="Times New Roman" w:hAnsi="Times New Roman" w:eastAsia="黑体"/>
          <w:sz w:val="24"/>
          <w:highlight w:val="none"/>
        </w:rPr>
        <w:t>（</w:t>
      </w:r>
      <w:r>
        <w:rPr>
          <w:rFonts w:hint="eastAsia" w:ascii="Times New Roman" w:hAnsi="Times New Roman" w:eastAsia="黑体"/>
          <w:sz w:val="24"/>
          <w:highlight w:val="none"/>
          <w:lang w:val="en-US" w:eastAsia="zh-CN"/>
        </w:rPr>
        <w:t>二</w:t>
      </w:r>
      <w:r>
        <w:rPr>
          <w:rFonts w:hint="eastAsia" w:ascii="Times New Roman" w:hAnsi="Times New Roman" w:eastAsia="黑体"/>
          <w:sz w:val="24"/>
          <w:highlight w:val="none"/>
        </w:rPr>
        <w:t>级加油站）</w:t>
      </w:r>
    </w:p>
    <w:tbl>
      <w:tblPr>
        <w:tblStyle w:val="32"/>
        <w:tblW w:w="91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1"/>
        <w:gridCol w:w="2205"/>
        <w:gridCol w:w="565"/>
        <w:gridCol w:w="2134"/>
        <w:gridCol w:w="1101"/>
        <w:gridCol w:w="1176"/>
        <w:gridCol w:w="1037"/>
      </w:tblGrid>
      <w:tr w14:paraId="1F8DB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6F511EB2">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设施名称</w:t>
            </w:r>
          </w:p>
        </w:tc>
        <w:tc>
          <w:tcPr>
            <w:tcW w:w="4904" w:type="dxa"/>
            <w:gridSpan w:val="3"/>
            <w:noWrap w:val="0"/>
            <w:vAlign w:val="center"/>
          </w:tcPr>
          <w:p w14:paraId="096FBB1C">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站外建、构筑物</w:t>
            </w:r>
          </w:p>
        </w:tc>
        <w:tc>
          <w:tcPr>
            <w:tcW w:w="2277" w:type="dxa"/>
            <w:gridSpan w:val="2"/>
            <w:noWrap w:val="0"/>
            <w:vAlign w:val="center"/>
          </w:tcPr>
          <w:p w14:paraId="50D5DC8D">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安全间距</w:t>
            </w:r>
          </w:p>
        </w:tc>
        <w:tc>
          <w:tcPr>
            <w:tcW w:w="1037" w:type="dxa"/>
            <w:vMerge w:val="restart"/>
            <w:noWrap w:val="0"/>
            <w:vAlign w:val="center"/>
          </w:tcPr>
          <w:p w14:paraId="6348741A">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结论</w:t>
            </w:r>
          </w:p>
        </w:tc>
      </w:tr>
      <w:tr w14:paraId="7F859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510E9E4F">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p>
        </w:tc>
        <w:tc>
          <w:tcPr>
            <w:tcW w:w="2205" w:type="dxa"/>
            <w:noWrap w:val="0"/>
            <w:vAlign w:val="center"/>
          </w:tcPr>
          <w:p w14:paraId="198E6D2A">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名称</w:t>
            </w:r>
          </w:p>
        </w:tc>
        <w:tc>
          <w:tcPr>
            <w:tcW w:w="565" w:type="dxa"/>
            <w:noWrap w:val="0"/>
            <w:vAlign w:val="center"/>
          </w:tcPr>
          <w:p w14:paraId="389F540C">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方位</w:t>
            </w:r>
          </w:p>
        </w:tc>
        <w:tc>
          <w:tcPr>
            <w:tcW w:w="2134" w:type="dxa"/>
            <w:noWrap w:val="0"/>
            <w:vAlign w:val="center"/>
          </w:tcPr>
          <w:p w14:paraId="16B3E2FC">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类别</w:t>
            </w:r>
          </w:p>
        </w:tc>
        <w:tc>
          <w:tcPr>
            <w:tcW w:w="1101" w:type="dxa"/>
            <w:noWrap w:val="0"/>
            <w:vAlign w:val="center"/>
          </w:tcPr>
          <w:p w14:paraId="1543BE4D">
            <w:pPr>
              <w:adjustRightInd/>
              <w:snapToGrid/>
              <w:spacing w:after="0" w:line="240" w:lineRule="auto"/>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Times New Roman"/>
                <w:color w:val="000000"/>
                <w:sz w:val="21"/>
                <w:szCs w:val="21"/>
                <w:highlight w:val="none"/>
                <w14:ligatures w14:val="none"/>
              </w:rPr>
              <w:t>规范距离</w:t>
            </w:r>
          </w:p>
        </w:tc>
        <w:tc>
          <w:tcPr>
            <w:tcW w:w="1176" w:type="dxa"/>
            <w:noWrap w:val="0"/>
            <w:vAlign w:val="center"/>
          </w:tcPr>
          <w:p w14:paraId="3325C7E3">
            <w:pPr>
              <w:adjustRightInd/>
              <w:snapToGrid/>
              <w:spacing w:after="0" w:line="240" w:lineRule="exact"/>
              <w:ind w:firstLine="0" w:firstLineChars="0"/>
              <w:jc w:val="center"/>
              <w:rPr>
                <w:rFonts w:hint="eastAsia" w:ascii="宋体" w:hAnsi="宋体" w:eastAsia="宋体" w:cs="Times New Roman"/>
                <w:color w:val="000000"/>
                <w:sz w:val="21"/>
                <w:szCs w:val="21"/>
                <w:highlight w:val="none"/>
                <w14:ligatures w14:val="none"/>
              </w:rPr>
            </w:pPr>
            <w:r>
              <w:rPr>
                <w:rFonts w:hint="eastAsia" w:ascii="宋体" w:hAnsi="宋体" w:eastAsia="宋体" w:cs="宋体"/>
                <w:bCs/>
                <w:color w:val="000000"/>
                <w:sz w:val="21"/>
                <w:szCs w:val="21"/>
                <w:highlight w:val="none"/>
                <w:lang w:val="en-US" w:eastAsia="zh-CN"/>
                <w14:ligatures w14:val="none"/>
              </w:rPr>
              <w:t>实际</w:t>
            </w:r>
            <w:r>
              <w:rPr>
                <w:rFonts w:hint="eastAsia" w:ascii="宋体" w:hAnsi="宋体" w:eastAsia="宋体" w:cs="宋体"/>
                <w:bCs/>
                <w:color w:val="000000"/>
                <w:sz w:val="21"/>
                <w:szCs w:val="21"/>
                <w:highlight w:val="none"/>
                <w14:ligatures w14:val="none"/>
              </w:rPr>
              <w:t>距离</w:t>
            </w:r>
          </w:p>
        </w:tc>
        <w:tc>
          <w:tcPr>
            <w:tcW w:w="1037" w:type="dxa"/>
            <w:vMerge w:val="continue"/>
            <w:noWrap w:val="0"/>
            <w:vAlign w:val="center"/>
          </w:tcPr>
          <w:p w14:paraId="20916973">
            <w:pPr>
              <w:adjustRightInd/>
              <w:snapToGrid/>
              <w:spacing w:after="0" w:line="240" w:lineRule="auto"/>
              <w:ind w:firstLine="0" w:firstLineChars="0"/>
              <w:jc w:val="center"/>
              <w:rPr>
                <w:rFonts w:ascii="Times New Roman" w:hAnsi="Times New Roman" w:eastAsia="宋体" w:cs="Times New Roman"/>
                <w:color w:val="000000"/>
                <w:sz w:val="21"/>
                <w:szCs w:val="21"/>
                <w:highlight w:val="none"/>
                <w14:ligatures w14:val="none"/>
              </w:rPr>
            </w:pPr>
          </w:p>
        </w:tc>
      </w:tr>
      <w:tr w14:paraId="60378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43C6D1F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车用乙醇汽油罐</w:t>
            </w:r>
          </w:p>
        </w:tc>
        <w:tc>
          <w:tcPr>
            <w:tcW w:w="2205" w:type="dxa"/>
            <w:noWrap w:val="0"/>
            <w:vAlign w:val="center"/>
          </w:tcPr>
          <w:p w14:paraId="22BC092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服务区内停车场（车位数</w:t>
            </w:r>
            <w:r>
              <w:rPr>
                <w:rFonts w:hint="eastAsia" w:ascii="Times New Roman" w:hAnsi="Times New Roman" w:eastAsia="宋体" w:cs="Times New Roman"/>
                <w:color w:val="000000"/>
                <w:sz w:val="21"/>
                <w:szCs w:val="21"/>
                <w:highlight w:val="none"/>
                <w:lang w:val="en-US" w:eastAsia="zh-CN"/>
                <w14:ligatures w14:val="none"/>
              </w:rPr>
              <w:t>42个</w:t>
            </w:r>
            <w:r>
              <w:rPr>
                <w:rFonts w:hint="eastAsia" w:ascii="Times New Roman" w:hAnsi="Times New Roman" w:eastAsia="宋体" w:cs="Times New Roman"/>
                <w:color w:val="000000"/>
                <w:sz w:val="21"/>
                <w:szCs w:val="21"/>
                <w:highlight w:val="none"/>
                <w:lang w:eastAsia="zh-CN"/>
                <w14:ligatures w14:val="none"/>
              </w:rPr>
              <w:t>）</w:t>
            </w:r>
          </w:p>
        </w:tc>
        <w:tc>
          <w:tcPr>
            <w:tcW w:w="565" w:type="dxa"/>
            <w:noWrap w:val="0"/>
            <w:vAlign w:val="center"/>
          </w:tcPr>
          <w:p w14:paraId="3499249F">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东</w:t>
            </w:r>
          </w:p>
        </w:tc>
        <w:tc>
          <w:tcPr>
            <w:tcW w:w="2134" w:type="dxa"/>
            <w:noWrap w:val="0"/>
            <w:vAlign w:val="center"/>
          </w:tcPr>
          <w:p w14:paraId="1A919B1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6E4EFF89">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8.5</w:t>
            </w:r>
          </w:p>
        </w:tc>
        <w:tc>
          <w:tcPr>
            <w:tcW w:w="1176" w:type="dxa"/>
            <w:noWrap w:val="0"/>
            <w:vAlign w:val="center"/>
          </w:tcPr>
          <w:p w14:paraId="754B64EC">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35.9</w:t>
            </w:r>
          </w:p>
        </w:tc>
        <w:tc>
          <w:tcPr>
            <w:tcW w:w="1037" w:type="dxa"/>
            <w:noWrap w:val="0"/>
            <w:vAlign w:val="center"/>
          </w:tcPr>
          <w:p w14:paraId="5470D5B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77E57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4B6830A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3D7F9AF">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服务区内道路</w:t>
            </w:r>
          </w:p>
        </w:tc>
        <w:tc>
          <w:tcPr>
            <w:tcW w:w="565" w:type="dxa"/>
            <w:noWrap w:val="0"/>
            <w:vAlign w:val="center"/>
          </w:tcPr>
          <w:p w14:paraId="3510B07C">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南</w:t>
            </w:r>
          </w:p>
        </w:tc>
        <w:tc>
          <w:tcPr>
            <w:tcW w:w="2134" w:type="dxa"/>
            <w:noWrap w:val="0"/>
            <w:vAlign w:val="center"/>
          </w:tcPr>
          <w:p w14:paraId="6D77DDC2">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支路</w:t>
            </w:r>
          </w:p>
        </w:tc>
        <w:tc>
          <w:tcPr>
            <w:tcW w:w="1101" w:type="dxa"/>
            <w:noWrap w:val="0"/>
            <w:vAlign w:val="center"/>
          </w:tcPr>
          <w:p w14:paraId="1D05EC1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5</w:t>
            </w:r>
          </w:p>
        </w:tc>
        <w:tc>
          <w:tcPr>
            <w:tcW w:w="1176" w:type="dxa"/>
            <w:noWrap w:val="0"/>
            <w:vAlign w:val="center"/>
          </w:tcPr>
          <w:p w14:paraId="42A0A346">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49.7</w:t>
            </w:r>
          </w:p>
        </w:tc>
        <w:tc>
          <w:tcPr>
            <w:tcW w:w="1037" w:type="dxa"/>
            <w:noWrap w:val="0"/>
            <w:vAlign w:val="center"/>
          </w:tcPr>
          <w:p w14:paraId="5BA89DD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4B815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6B4EFC1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5CB09CF">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空地</w:t>
            </w:r>
          </w:p>
        </w:tc>
        <w:tc>
          <w:tcPr>
            <w:tcW w:w="565" w:type="dxa"/>
            <w:noWrap w:val="0"/>
            <w:vAlign w:val="center"/>
          </w:tcPr>
          <w:p w14:paraId="09D9EB64">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西</w:t>
            </w:r>
          </w:p>
        </w:tc>
        <w:tc>
          <w:tcPr>
            <w:tcW w:w="2134" w:type="dxa"/>
            <w:noWrap w:val="0"/>
            <w:vAlign w:val="center"/>
          </w:tcPr>
          <w:p w14:paraId="2B8E642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4BA663D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76" w:type="dxa"/>
            <w:noWrap w:val="0"/>
            <w:vAlign w:val="center"/>
          </w:tcPr>
          <w:p w14:paraId="7759ED5B">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22.9</w:t>
            </w:r>
          </w:p>
        </w:tc>
        <w:tc>
          <w:tcPr>
            <w:tcW w:w="1037" w:type="dxa"/>
            <w:noWrap w:val="0"/>
            <w:vAlign w:val="center"/>
          </w:tcPr>
          <w:p w14:paraId="3982B80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03FC7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80BDEC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0785DBAB">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565" w:type="dxa"/>
            <w:vMerge w:val="restart"/>
            <w:noWrap w:val="0"/>
            <w:vAlign w:val="center"/>
          </w:tcPr>
          <w:p w14:paraId="5A37C9F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北</w:t>
            </w:r>
          </w:p>
          <w:p w14:paraId="179C053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3E9997F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2D58A79A">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4.5</w:t>
            </w:r>
          </w:p>
        </w:tc>
        <w:tc>
          <w:tcPr>
            <w:tcW w:w="1176" w:type="dxa"/>
            <w:noWrap w:val="0"/>
            <w:vAlign w:val="center"/>
          </w:tcPr>
          <w:p w14:paraId="62F6174D">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15.1</w:t>
            </w:r>
          </w:p>
        </w:tc>
        <w:tc>
          <w:tcPr>
            <w:tcW w:w="1037" w:type="dxa"/>
            <w:noWrap w:val="0"/>
            <w:vAlign w:val="center"/>
          </w:tcPr>
          <w:p w14:paraId="4B2C83D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2A2EA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3818285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D11F2AF">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565" w:type="dxa"/>
            <w:vMerge w:val="continue"/>
            <w:noWrap w:val="0"/>
            <w:vAlign w:val="center"/>
          </w:tcPr>
          <w:p w14:paraId="272CB30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5CDF8A8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4C5196A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8.5</w:t>
            </w:r>
          </w:p>
        </w:tc>
        <w:tc>
          <w:tcPr>
            <w:tcW w:w="1176" w:type="dxa"/>
            <w:noWrap w:val="0"/>
            <w:vAlign w:val="center"/>
          </w:tcPr>
          <w:p w14:paraId="6055AA1A">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32.0</w:t>
            </w:r>
          </w:p>
        </w:tc>
        <w:tc>
          <w:tcPr>
            <w:tcW w:w="1037" w:type="dxa"/>
            <w:noWrap w:val="0"/>
            <w:vAlign w:val="center"/>
          </w:tcPr>
          <w:p w14:paraId="5DA7272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符合</w:t>
            </w:r>
          </w:p>
        </w:tc>
      </w:tr>
      <w:tr w14:paraId="6B6EF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7FA9003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7B368CE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宿舍楼</w:t>
            </w:r>
          </w:p>
        </w:tc>
        <w:tc>
          <w:tcPr>
            <w:tcW w:w="565" w:type="dxa"/>
            <w:vMerge w:val="continue"/>
            <w:noWrap w:val="0"/>
            <w:vAlign w:val="center"/>
          </w:tcPr>
          <w:p w14:paraId="0582782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5DB3DE6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4A71A5A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8.5</w:t>
            </w:r>
          </w:p>
        </w:tc>
        <w:tc>
          <w:tcPr>
            <w:tcW w:w="1176" w:type="dxa"/>
            <w:noWrap w:val="0"/>
            <w:vAlign w:val="center"/>
          </w:tcPr>
          <w:p w14:paraId="0D62D7D0">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33.8</w:t>
            </w:r>
          </w:p>
        </w:tc>
        <w:tc>
          <w:tcPr>
            <w:tcW w:w="1037" w:type="dxa"/>
            <w:noWrap w:val="0"/>
            <w:vAlign w:val="center"/>
          </w:tcPr>
          <w:p w14:paraId="2818269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4E17E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5F6473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6ED37C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综合楼</w:t>
            </w:r>
          </w:p>
        </w:tc>
        <w:tc>
          <w:tcPr>
            <w:tcW w:w="565" w:type="dxa"/>
            <w:vMerge w:val="continue"/>
            <w:noWrap w:val="0"/>
            <w:vAlign w:val="center"/>
          </w:tcPr>
          <w:p w14:paraId="4EBD18E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7F5BD3D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625257F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8.5</w:t>
            </w:r>
          </w:p>
        </w:tc>
        <w:tc>
          <w:tcPr>
            <w:tcW w:w="1176" w:type="dxa"/>
            <w:noWrap w:val="0"/>
            <w:vAlign w:val="center"/>
          </w:tcPr>
          <w:p w14:paraId="234FFE59">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46.3</w:t>
            </w:r>
          </w:p>
        </w:tc>
        <w:tc>
          <w:tcPr>
            <w:tcW w:w="1037" w:type="dxa"/>
            <w:noWrap w:val="0"/>
            <w:vAlign w:val="center"/>
          </w:tcPr>
          <w:p w14:paraId="72C7289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6920B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6DBA168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汽油</w:t>
            </w:r>
            <w:r>
              <w:rPr>
                <w:rFonts w:hint="eastAsia" w:ascii="Times New Roman" w:hAnsi="Times New Roman" w:eastAsia="宋体" w:cs="Times New Roman"/>
                <w:color w:val="000000"/>
                <w:sz w:val="21"/>
                <w:szCs w:val="21"/>
                <w:highlight w:val="none"/>
                <w14:ligatures w14:val="none"/>
              </w:rPr>
              <w:t>加油机</w:t>
            </w:r>
          </w:p>
        </w:tc>
        <w:tc>
          <w:tcPr>
            <w:tcW w:w="2205" w:type="dxa"/>
            <w:noWrap w:val="0"/>
            <w:vAlign w:val="center"/>
          </w:tcPr>
          <w:p w14:paraId="5AA420E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服务区内停车场（车位数</w:t>
            </w:r>
            <w:r>
              <w:rPr>
                <w:rFonts w:hint="eastAsia" w:ascii="Times New Roman" w:hAnsi="Times New Roman" w:eastAsia="宋体" w:cs="Times New Roman"/>
                <w:color w:val="000000"/>
                <w:sz w:val="21"/>
                <w:szCs w:val="21"/>
                <w:highlight w:val="none"/>
                <w:lang w:val="en-US" w:eastAsia="zh-CN"/>
                <w14:ligatures w14:val="none"/>
              </w:rPr>
              <w:t>42个</w:t>
            </w:r>
            <w:r>
              <w:rPr>
                <w:rFonts w:hint="eastAsia" w:ascii="Times New Roman" w:hAnsi="Times New Roman" w:eastAsia="宋体" w:cs="Times New Roman"/>
                <w:color w:val="000000"/>
                <w:sz w:val="21"/>
                <w:szCs w:val="21"/>
                <w:highlight w:val="none"/>
                <w:lang w:eastAsia="zh-CN"/>
                <w14:ligatures w14:val="none"/>
              </w:rPr>
              <w:t>）</w:t>
            </w:r>
          </w:p>
        </w:tc>
        <w:tc>
          <w:tcPr>
            <w:tcW w:w="565" w:type="dxa"/>
            <w:noWrap w:val="0"/>
            <w:vAlign w:val="center"/>
          </w:tcPr>
          <w:p w14:paraId="67C421A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东</w:t>
            </w:r>
          </w:p>
        </w:tc>
        <w:tc>
          <w:tcPr>
            <w:tcW w:w="2134" w:type="dxa"/>
            <w:noWrap w:val="0"/>
            <w:vAlign w:val="center"/>
          </w:tcPr>
          <w:p w14:paraId="742EF47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59B4415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02C4EC91">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52.8</w:t>
            </w:r>
          </w:p>
        </w:tc>
        <w:tc>
          <w:tcPr>
            <w:tcW w:w="1037" w:type="dxa"/>
            <w:noWrap w:val="0"/>
            <w:vAlign w:val="center"/>
          </w:tcPr>
          <w:p w14:paraId="17E4137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303A5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73F186A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438BFAD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服务区内道路</w:t>
            </w:r>
          </w:p>
        </w:tc>
        <w:tc>
          <w:tcPr>
            <w:tcW w:w="565" w:type="dxa"/>
            <w:noWrap w:val="0"/>
            <w:vAlign w:val="center"/>
          </w:tcPr>
          <w:p w14:paraId="24894EC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南</w:t>
            </w:r>
          </w:p>
        </w:tc>
        <w:tc>
          <w:tcPr>
            <w:tcW w:w="2134" w:type="dxa"/>
            <w:noWrap w:val="0"/>
            <w:vAlign w:val="center"/>
          </w:tcPr>
          <w:p w14:paraId="660E8EC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支路</w:t>
            </w:r>
          </w:p>
        </w:tc>
        <w:tc>
          <w:tcPr>
            <w:tcW w:w="1101" w:type="dxa"/>
            <w:noWrap w:val="0"/>
            <w:vAlign w:val="center"/>
          </w:tcPr>
          <w:p w14:paraId="1C04644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5</w:t>
            </w:r>
          </w:p>
        </w:tc>
        <w:tc>
          <w:tcPr>
            <w:tcW w:w="1176" w:type="dxa"/>
            <w:noWrap w:val="0"/>
            <w:vAlign w:val="center"/>
          </w:tcPr>
          <w:p w14:paraId="65855CBE">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27.1</w:t>
            </w:r>
          </w:p>
        </w:tc>
        <w:tc>
          <w:tcPr>
            <w:tcW w:w="1037" w:type="dxa"/>
            <w:noWrap w:val="0"/>
            <w:vAlign w:val="center"/>
          </w:tcPr>
          <w:p w14:paraId="6833F89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2F69D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5292EC4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0E24BD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空地</w:t>
            </w:r>
          </w:p>
        </w:tc>
        <w:tc>
          <w:tcPr>
            <w:tcW w:w="565" w:type="dxa"/>
            <w:noWrap w:val="0"/>
            <w:vAlign w:val="center"/>
          </w:tcPr>
          <w:p w14:paraId="2302FE0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西</w:t>
            </w:r>
          </w:p>
        </w:tc>
        <w:tc>
          <w:tcPr>
            <w:tcW w:w="2134" w:type="dxa"/>
            <w:noWrap w:val="0"/>
            <w:vAlign w:val="center"/>
          </w:tcPr>
          <w:p w14:paraId="7465799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7DB88FC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76" w:type="dxa"/>
            <w:noWrap w:val="0"/>
            <w:vAlign w:val="center"/>
          </w:tcPr>
          <w:p w14:paraId="34CED0A0">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18.5</w:t>
            </w:r>
          </w:p>
        </w:tc>
        <w:tc>
          <w:tcPr>
            <w:tcW w:w="1037" w:type="dxa"/>
            <w:noWrap w:val="0"/>
            <w:vAlign w:val="center"/>
          </w:tcPr>
          <w:p w14:paraId="5C3C17E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152AB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2C53891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4A8D428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565" w:type="dxa"/>
            <w:vMerge w:val="restart"/>
            <w:noWrap w:val="0"/>
            <w:vAlign w:val="center"/>
          </w:tcPr>
          <w:p w14:paraId="4DFCEC4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北</w:t>
            </w:r>
          </w:p>
          <w:p w14:paraId="0136D500">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6649D35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1F7FC17E">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612CD830">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45.4</w:t>
            </w:r>
          </w:p>
        </w:tc>
        <w:tc>
          <w:tcPr>
            <w:tcW w:w="1037" w:type="dxa"/>
            <w:noWrap w:val="0"/>
            <w:vAlign w:val="center"/>
          </w:tcPr>
          <w:p w14:paraId="3F7DA8EE">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6F209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1761292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791EDC7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565" w:type="dxa"/>
            <w:vMerge w:val="continue"/>
            <w:noWrap w:val="0"/>
            <w:vAlign w:val="center"/>
          </w:tcPr>
          <w:p w14:paraId="29A7EACE">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533DD60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4A1F305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68B9E7D3">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63.0</w:t>
            </w:r>
          </w:p>
        </w:tc>
        <w:tc>
          <w:tcPr>
            <w:tcW w:w="1037" w:type="dxa"/>
            <w:noWrap w:val="0"/>
            <w:vAlign w:val="center"/>
          </w:tcPr>
          <w:p w14:paraId="09F02A12">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符合</w:t>
            </w:r>
          </w:p>
        </w:tc>
      </w:tr>
      <w:tr w14:paraId="0A7F1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6C94BDD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2135C94">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宿舍楼</w:t>
            </w:r>
          </w:p>
        </w:tc>
        <w:tc>
          <w:tcPr>
            <w:tcW w:w="565" w:type="dxa"/>
            <w:vMerge w:val="continue"/>
            <w:noWrap w:val="0"/>
            <w:vAlign w:val="center"/>
          </w:tcPr>
          <w:p w14:paraId="5EF6B87D">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220F9007">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09B99D36">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1C675716">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65.8</w:t>
            </w:r>
          </w:p>
        </w:tc>
        <w:tc>
          <w:tcPr>
            <w:tcW w:w="1037" w:type="dxa"/>
            <w:noWrap w:val="0"/>
            <w:vAlign w:val="center"/>
          </w:tcPr>
          <w:p w14:paraId="601E2140">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4F521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7208C1B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33E4CB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综合楼</w:t>
            </w:r>
          </w:p>
        </w:tc>
        <w:tc>
          <w:tcPr>
            <w:tcW w:w="565" w:type="dxa"/>
            <w:vMerge w:val="continue"/>
            <w:noWrap w:val="0"/>
            <w:vAlign w:val="center"/>
          </w:tcPr>
          <w:p w14:paraId="153DA2C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0E977E8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5A46713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4876EA91">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73.2</w:t>
            </w:r>
          </w:p>
        </w:tc>
        <w:tc>
          <w:tcPr>
            <w:tcW w:w="1037" w:type="dxa"/>
            <w:noWrap w:val="0"/>
            <w:vAlign w:val="center"/>
          </w:tcPr>
          <w:p w14:paraId="7215C51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4D7C4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3772571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车用乙醇汽油通气管管口</w:t>
            </w:r>
          </w:p>
        </w:tc>
        <w:tc>
          <w:tcPr>
            <w:tcW w:w="2205" w:type="dxa"/>
            <w:noWrap w:val="0"/>
            <w:vAlign w:val="center"/>
          </w:tcPr>
          <w:p w14:paraId="7888602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服务区内停车场（车位数</w:t>
            </w:r>
            <w:r>
              <w:rPr>
                <w:rFonts w:hint="eastAsia" w:ascii="Times New Roman" w:hAnsi="Times New Roman" w:eastAsia="宋体" w:cs="Times New Roman"/>
                <w:color w:val="000000"/>
                <w:sz w:val="21"/>
                <w:szCs w:val="21"/>
                <w:highlight w:val="none"/>
                <w:lang w:val="en-US" w:eastAsia="zh-CN"/>
                <w14:ligatures w14:val="none"/>
              </w:rPr>
              <w:t>42个</w:t>
            </w:r>
            <w:r>
              <w:rPr>
                <w:rFonts w:hint="eastAsia" w:ascii="Times New Roman" w:hAnsi="Times New Roman" w:eastAsia="宋体" w:cs="Times New Roman"/>
                <w:color w:val="000000"/>
                <w:sz w:val="21"/>
                <w:szCs w:val="21"/>
                <w:highlight w:val="none"/>
                <w:lang w:eastAsia="zh-CN"/>
                <w14:ligatures w14:val="none"/>
              </w:rPr>
              <w:t>）</w:t>
            </w:r>
          </w:p>
        </w:tc>
        <w:tc>
          <w:tcPr>
            <w:tcW w:w="565" w:type="dxa"/>
            <w:noWrap w:val="0"/>
            <w:vAlign w:val="center"/>
          </w:tcPr>
          <w:p w14:paraId="07D32DB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东</w:t>
            </w:r>
          </w:p>
        </w:tc>
        <w:tc>
          <w:tcPr>
            <w:tcW w:w="2134" w:type="dxa"/>
            <w:noWrap w:val="0"/>
            <w:vAlign w:val="center"/>
          </w:tcPr>
          <w:p w14:paraId="61D5A5A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0A97A9C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5472D9F2">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41.8</w:t>
            </w:r>
          </w:p>
        </w:tc>
        <w:tc>
          <w:tcPr>
            <w:tcW w:w="1037" w:type="dxa"/>
            <w:noWrap w:val="0"/>
            <w:vAlign w:val="center"/>
          </w:tcPr>
          <w:p w14:paraId="6C12806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51CFF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C97176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02012D6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服务区内道路</w:t>
            </w:r>
          </w:p>
        </w:tc>
        <w:tc>
          <w:tcPr>
            <w:tcW w:w="565" w:type="dxa"/>
            <w:noWrap w:val="0"/>
            <w:vAlign w:val="center"/>
          </w:tcPr>
          <w:p w14:paraId="2B02E6C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南</w:t>
            </w:r>
          </w:p>
        </w:tc>
        <w:tc>
          <w:tcPr>
            <w:tcW w:w="2134" w:type="dxa"/>
            <w:noWrap w:val="0"/>
            <w:vAlign w:val="center"/>
          </w:tcPr>
          <w:p w14:paraId="7BB2F70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支路</w:t>
            </w:r>
          </w:p>
        </w:tc>
        <w:tc>
          <w:tcPr>
            <w:tcW w:w="1101" w:type="dxa"/>
            <w:noWrap w:val="0"/>
            <w:vAlign w:val="center"/>
          </w:tcPr>
          <w:p w14:paraId="461F5FD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5</w:t>
            </w:r>
          </w:p>
        </w:tc>
        <w:tc>
          <w:tcPr>
            <w:tcW w:w="1176" w:type="dxa"/>
            <w:noWrap w:val="0"/>
            <w:vAlign w:val="center"/>
          </w:tcPr>
          <w:p w14:paraId="0C768958">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47.0</w:t>
            </w:r>
          </w:p>
        </w:tc>
        <w:tc>
          <w:tcPr>
            <w:tcW w:w="1037" w:type="dxa"/>
            <w:noWrap w:val="0"/>
            <w:vAlign w:val="center"/>
          </w:tcPr>
          <w:p w14:paraId="783BB71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341B2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63492F6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63EABE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空地</w:t>
            </w:r>
          </w:p>
        </w:tc>
        <w:tc>
          <w:tcPr>
            <w:tcW w:w="565" w:type="dxa"/>
            <w:noWrap w:val="0"/>
            <w:vAlign w:val="center"/>
          </w:tcPr>
          <w:p w14:paraId="2B35CA9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西</w:t>
            </w:r>
          </w:p>
        </w:tc>
        <w:tc>
          <w:tcPr>
            <w:tcW w:w="2134" w:type="dxa"/>
            <w:noWrap w:val="0"/>
            <w:vAlign w:val="center"/>
          </w:tcPr>
          <w:p w14:paraId="4D433E2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676DEFE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76" w:type="dxa"/>
            <w:noWrap w:val="0"/>
            <w:vAlign w:val="center"/>
          </w:tcPr>
          <w:p w14:paraId="5F909EAC">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26.6</w:t>
            </w:r>
          </w:p>
        </w:tc>
        <w:tc>
          <w:tcPr>
            <w:tcW w:w="1037" w:type="dxa"/>
            <w:noWrap w:val="0"/>
            <w:vAlign w:val="center"/>
          </w:tcPr>
          <w:p w14:paraId="3DA28F7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63526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9B3016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10199E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565" w:type="dxa"/>
            <w:vMerge w:val="restart"/>
            <w:noWrap w:val="0"/>
            <w:vAlign w:val="center"/>
          </w:tcPr>
          <w:p w14:paraId="701697F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北</w:t>
            </w:r>
          </w:p>
          <w:p w14:paraId="4BF474A4">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42F4FC9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245DD3FA">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5</w:t>
            </w:r>
          </w:p>
        </w:tc>
        <w:tc>
          <w:tcPr>
            <w:tcW w:w="1176" w:type="dxa"/>
            <w:noWrap w:val="0"/>
            <w:vAlign w:val="center"/>
          </w:tcPr>
          <w:p w14:paraId="6813D9CF">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25.2</w:t>
            </w:r>
          </w:p>
        </w:tc>
        <w:tc>
          <w:tcPr>
            <w:tcW w:w="1037" w:type="dxa"/>
            <w:noWrap w:val="0"/>
            <w:vAlign w:val="center"/>
          </w:tcPr>
          <w:p w14:paraId="5BCB0A2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3182A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520BAD4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471B6A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565" w:type="dxa"/>
            <w:vMerge w:val="continue"/>
            <w:noWrap w:val="0"/>
            <w:vAlign w:val="center"/>
          </w:tcPr>
          <w:p w14:paraId="0FDDA6C6">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41ADC61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32CBB5F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4703BA22">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41.5</w:t>
            </w:r>
          </w:p>
        </w:tc>
        <w:tc>
          <w:tcPr>
            <w:tcW w:w="1037" w:type="dxa"/>
            <w:noWrap w:val="0"/>
            <w:vAlign w:val="center"/>
          </w:tcPr>
          <w:p w14:paraId="0937BBC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符合</w:t>
            </w:r>
          </w:p>
        </w:tc>
      </w:tr>
      <w:tr w14:paraId="1BCBF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133CDD1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68111897">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宿舍楼</w:t>
            </w:r>
          </w:p>
        </w:tc>
        <w:tc>
          <w:tcPr>
            <w:tcW w:w="565" w:type="dxa"/>
            <w:vMerge w:val="continue"/>
            <w:noWrap w:val="0"/>
            <w:vAlign w:val="center"/>
          </w:tcPr>
          <w:p w14:paraId="218E6895">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51EDA74C">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5872B68F">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1682CEDF">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44.4</w:t>
            </w:r>
          </w:p>
        </w:tc>
        <w:tc>
          <w:tcPr>
            <w:tcW w:w="1037" w:type="dxa"/>
            <w:noWrap w:val="0"/>
            <w:vAlign w:val="center"/>
          </w:tcPr>
          <w:p w14:paraId="71D1EC87">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78C5B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1568B16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A26B63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综合楼</w:t>
            </w:r>
          </w:p>
        </w:tc>
        <w:tc>
          <w:tcPr>
            <w:tcW w:w="565" w:type="dxa"/>
            <w:vMerge w:val="continue"/>
            <w:noWrap w:val="0"/>
            <w:vAlign w:val="center"/>
          </w:tcPr>
          <w:p w14:paraId="6970CDE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77BD6BE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1452534C">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19D49B30">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55.5</w:t>
            </w:r>
          </w:p>
        </w:tc>
        <w:tc>
          <w:tcPr>
            <w:tcW w:w="1037" w:type="dxa"/>
            <w:noWrap w:val="0"/>
            <w:vAlign w:val="center"/>
          </w:tcPr>
          <w:p w14:paraId="3C334F4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202D8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3A96E34F">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柴油罐</w:t>
            </w:r>
          </w:p>
        </w:tc>
        <w:tc>
          <w:tcPr>
            <w:tcW w:w="2205" w:type="dxa"/>
            <w:noWrap w:val="0"/>
            <w:vAlign w:val="center"/>
          </w:tcPr>
          <w:p w14:paraId="02900A0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服务区内停车场（车位数</w:t>
            </w:r>
            <w:r>
              <w:rPr>
                <w:rFonts w:hint="eastAsia" w:ascii="Times New Roman" w:hAnsi="Times New Roman" w:eastAsia="宋体" w:cs="Times New Roman"/>
                <w:color w:val="000000"/>
                <w:sz w:val="21"/>
                <w:szCs w:val="21"/>
                <w:highlight w:val="none"/>
                <w:lang w:val="en-US" w:eastAsia="zh-CN"/>
                <w14:ligatures w14:val="none"/>
              </w:rPr>
              <w:t>42个</w:t>
            </w:r>
            <w:r>
              <w:rPr>
                <w:rFonts w:hint="eastAsia" w:ascii="Times New Roman" w:hAnsi="Times New Roman" w:eastAsia="宋体" w:cs="Times New Roman"/>
                <w:color w:val="000000"/>
                <w:sz w:val="21"/>
                <w:szCs w:val="21"/>
                <w:highlight w:val="none"/>
                <w:lang w:eastAsia="zh-CN"/>
                <w14:ligatures w14:val="none"/>
              </w:rPr>
              <w:t>）</w:t>
            </w:r>
          </w:p>
        </w:tc>
        <w:tc>
          <w:tcPr>
            <w:tcW w:w="565" w:type="dxa"/>
            <w:noWrap w:val="0"/>
            <w:vAlign w:val="center"/>
          </w:tcPr>
          <w:p w14:paraId="47E8220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东</w:t>
            </w:r>
          </w:p>
        </w:tc>
        <w:tc>
          <w:tcPr>
            <w:tcW w:w="2134" w:type="dxa"/>
            <w:noWrap w:val="0"/>
            <w:vAlign w:val="center"/>
          </w:tcPr>
          <w:p w14:paraId="48779E1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261098A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15AF8D9F">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36.1</w:t>
            </w:r>
          </w:p>
        </w:tc>
        <w:tc>
          <w:tcPr>
            <w:tcW w:w="1037" w:type="dxa"/>
            <w:noWrap w:val="0"/>
            <w:vAlign w:val="center"/>
          </w:tcPr>
          <w:p w14:paraId="4507856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39BD7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2433F06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0BB2279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服务区内道路</w:t>
            </w:r>
          </w:p>
        </w:tc>
        <w:tc>
          <w:tcPr>
            <w:tcW w:w="565" w:type="dxa"/>
            <w:noWrap w:val="0"/>
            <w:vAlign w:val="center"/>
          </w:tcPr>
          <w:p w14:paraId="4E4D368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南</w:t>
            </w:r>
          </w:p>
        </w:tc>
        <w:tc>
          <w:tcPr>
            <w:tcW w:w="2134" w:type="dxa"/>
            <w:noWrap w:val="0"/>
            <w:vAlign w:val="center"/>
          </w:tcPr>
          <w:p w14:paraId="1B87F04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支路</w:t>
            </w:r>
          </w:p>
        </w:tc>
        <w:tc>
          <w:tcPr>
            <w:tcW w:w="1101" w:type="dxa"/>
            <w:noWrap w:val="0"/>
            <w:vAlign w:val="center"/>
          </w:tcPr>
          <w:p w14:paraId="70AA211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4E8183CD">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36.8</w:t>
            </w:r>
          </w:p>
        </w:tc>
        <w:tc>
          <w:tcPr>
            <w:tcW w:w="1037" w:type="dxa"/>
            <w:noWrap w:val="0"/>
            <w:vAlign w:val="center"/>
          </w:tcPr>
          <w:p w14:paraId="723092B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72D4C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495A4FC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0DBE20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空地</w:t>
            </w:r>
          </w:p>
        </w:tc>
        <w:tc>
          <w:tcPr>
            <w:tcW w:w="565" w:type="dxa"/>
            <w:noWrap w:val="0"/>
            <w:vAlign w:val="center"/>
          </w:tcPr>
          <w:p w14:paraId="60E325E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西</w:t>
            </w:r>
          </w:p>
        </w:tc>
        <w:tc>
          <w:tcPr>
            <w:tcW w:w="2134" w:type="dxa"/>
            <w:noWrap w:val="0"/>
            <w:vAlign w:val="center"/>
          </w:tcPr>
          <w:p w14:paraId="59E5A44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67D21AE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76" w:type="dxa"/>
            <w:noWrap w:val="0"/>
            <w:vAlign w:val="center"/>
          </w:tcPr>
          <w:p w14:paraId="39BE7022">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26.5</w:t>
            </w:r>
          </w:p>
        </w:tc>
        <w:tc>
          <w:tcPr>
            <w:tcW w:w="1037" w:type="dxa"/>
            <w:noWrap w:val="0"/>
            <w:vAlign w:val="center"/>
          </w:tcPr>
          <w:p w14:paraId="5FA00D9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29EF7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5D44717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09469C8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565" w:type="dxa"/>
            <w:vMerge w:val="restart"/>
            <w:noWrap w:val="0"/>
            <w:vAlign w:val="center"/>
          </w:tcPr>
          <w:p w14:paraId="1A9BEB1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北</w:t>
            </w:r>
          </w:p>
          <w:p w14:paraId="5693DC2D">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48AAA8D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51879EF4">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261D7D2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38.0</w:t>
            </w:r>
          </w:p>
        </w:tc>
        <w:tc>
          <w:tcPr>
            <w:tcW w:w="1037" w:type="dxa"/>
            <w:noWrap w:val="0"/>
            <w:vAlign w:val="center"/>
          </w:tcPr>
          <w:p w14:paraId="177381A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符合</w:t>
            </w:r>
          </w:p>
        </w:tc>
      </w:tr>
      <w:tr w14:paraId="4E523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185AA5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259DFC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565" w:type="dxa"/>
            <w:vMerge w:val="continue"/>
            <w:noWrap w:val="0"/>
            <w:vAlign w:val="center"/>
          </w:tcPr>
          <w:p w14:paraId="762C479F">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56BC7D5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61B66F8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05594B94">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19.4</w:t>
            </w:r>
          </w:p>
        </w:tc>
        <w:tc>
          <w:tcPr>
            <w:tcW w:w="1037" w:type="dxa"/>
            <w:noWrap w:val="0"/>
            <w:vAlign w:val="center"/>
          </w:tcPr>
          <w:p w14:paraId="70E9775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765AF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6728E0E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CEA584B">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宿舍楼</w:t>
            </w:r>
          </w:p>
        </w:tc>
        <w:tc>
          <w:tcPr>
            <w:tcW w:w="565" w:type="dxa"/>
            <w:vMerge w:val="continue"/>
            <w:noWrap w:val="0"/>
            <w:vAlign w:val="center"/>
          </w:tcPr>
          <w:p w14:paraId="529C024B">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59C94B1F">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4AA4D6E4">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1B4BC771">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39.7</w:t>
            </w:r>
          </w:p>
        </w:tc>
        <w:tc>
          <w:tcPr>
            <w:tcW w:w="1037" w:type="dxa"/>
            <w:noWrap w:val="0"/>
            <w:vAlign w:val="center"/>
          </w:tcPr>
          <w:p w14:paraId="7E61368E">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79FBA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3A55B03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6D9E5E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综合楼</w:t>
            </w:r>
          </w:p>
        </w:tc>
        <w:tc>
          <w:tcPr>
            <w:tcW w:w="565" w:type="dxa"/>
            <w:vMerge w:val="continue"/>
            <w:noWrap w:val="0"/>
            <w:vAlign w:val="center"/>
          </w:tcPr>
          <w:p w14:paraId="21FB682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060074D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3B879AEC">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1B78BB6E">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49.0</w:t>
            </w:r>
          </w:p>
        </w:tc>
        <w:tc>
          <w:tcPr>
            <w:tcW w:w="1037" w:type="dxa"/>
            <w:noWrap w:val="0"/>
            <w:vAlign w:val="center"/>
          </w:tcPr>
          <w:p w14:paraId="433B6F0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29433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1C301B0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柴油加油机</w:t>
            </w:r>
          </w:p>
        </w:tc>
        <w:tc>
          <w:tcPr>
            <w:tcW w:w="2205" w:type="dxa"/>
            <w:noWrap w:val="0"/>
            <w:vAlign w:val="center"/>
          </w:tcPr>
          <w:p w14:paraId="2E6196E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服务区内停车场（车位数</w:t>
            </w:r>
            <w:r>
              <w:rPr>
                <w:rFonts w:hint="eastAsia" w:ascii="Times New Roman" w:hAnsi="Times New Roman" w:eastAsia="宋体" w:cs="Times New Roman"/>
                <w:color w:val="000000"/>
                <w:sz w:val="21"/>
                <w:szCs w:val="21"/>
                <w:highlight w:val="none"/>
                <w:lang w:val="en-US" w:eastAsia="zh-CN"/>
                <w14:ligatures w14:val="none"/>
              </w:rPr>
              <w:t>42个</w:t>
            </w:r>
            <w:r>
              <w:rPr>
                <w:rFonts w:hint="eastAsia" w:ascii="Times New Roman" w:hAnsi="Times New Roman" w:eastAsia="宋体" w:cs="Times New Roman"/>
                <w:color w:val="000000"/>
                <w:sz w:val="21"/>
                <w:szCs w:val="21"/>
                <w:highlight w:val="none"/>
                <w:lang w:eastAsia="zh-CN"/>
                <w14:ligatures w14:val="none"/>
              </w:rPr>
              <w:t>）</w:t>
            </w:r>
          </w:p>
        </w:tc>
        <w:tc>
          <w:tcPr>
            <w:tcW w:w="565" w:type="dxa"/>
            <w:noWrap w:val="0"/>
            <w:vAlign w:val="center"/>
          </w:tcPr>
          <w:p w14:paraId="53DA107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东</w:t>
            </w:r>
          </w:p>
        </w:tc>
        <w:tc>
          <w:tcPr>
            <w:tcW w:w="2134" w:type="dxa"/>
            <w:noWrap w:val="0"/>
            <w:vAlign w:val="center"/>
          </w:tcPr>
          <w:p w14:paraId="038328E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2395A83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446B4142">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48.5</w:t>
            </w:r>
          </w:p>
        </w:tc>
        <w:tc>
          <w:tcPr>
            <w:tcW w:w="1037" w:type="dxa"/>
            <w:noWrap w:val="0"/>
            <w:vAlign w:val="center"/>
          </w:tcPr>
          <w:p w14:paraId="2A81605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5312C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E26F86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4EEA15D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服务区内道路</w:t>
            </w:r>
          </w:p>
        </w:tc>
        <w:tc>
          <w:tcPr>
            <w:tcW w:w="565" w:type="dxa"/>
            <w:noWrap w:val="0"/>
            <w:vAlign w:val="center"/>
          </w:tcPr>
          <w:p w14:paraId="5D15A9B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南</w:t>
            </w:r>
          </w:p>
        </w:tc>
        <w:tc>
          <w:tcPr>
            <w:tcW w:w="2134" w:type="dxa"/>
            <w:noWrap w:val="0"/>
            <w:vAlign w:val="center"/>
          </w:tcPr>
          <w:p w14:paraId="267649E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支路</w:t>
            </w:r>
          </w:p>
        </w:tc>
        <w:tc>
          <w:tcPr>
            <w:tcW w:w="1101" w:type="dxa"/>
            <w:noWrap w:val="0"/>
            <w:vAlign w:val="center"/>
          </w:tcPr>
          <w:p w14:paraId="0C91784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221EA680">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4.7</w:t>
            </w:r>
          </w:p>
        </w:tc>
        <w:tc>
          <w:tcPr>
            <w:tcW w:w="1037" w:type="dxa"/>
            <w:noWrap w:val="0"/>
            <w:vAlign w:val="center"/>
          </w:tcPr>
          <w:p w14:paraId="6F03EBC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7ACD7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459DFBD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A76B19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空地</w:t>
            </w:r>
          </w:p>
        </w:tc>
        <w:tc>
          <w:tcPr>
            <w:tcW w:w="565" w:type="dxa"/>
            <w:noWrap w:val="0"/>
            <w:vAlign w:val="center"/>
          </w:tcPr>
          <w:p w14:paraId="61270E2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西</w:t>
            </w:r>
          </w:p>
        </w:tc>
        <w:tc>
          <w:tcPr>
            <w:tcW w:w="2134" w:type="dxa"/>
            <w:noWrap w:val="0"/>
            <w:vAlign w:val="center"/>
          </w:tcPr>
          <w:p w14:paraId="21DC4EE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3C17B4D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76" w:type="dxa"/>
            <w:noWrap w:val="0"/>
            <w:vAlign w:val="center"/>
          </w:tcPr>
          <w:p w14:paraId="250B3735">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23.8</w:t>
            </w:r>
          </w:p>
        </w:tc>
        <w:tc>
          <w:tcPr>
            <w:tcW w:w="1037" w:type="dxa"/>
            <w:noWrap w:val="0"/>
            <w:vAlign w:val="center"/>
          </w:tcPr>
          <w:p w14:paraId="11DE38D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02DAB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3FDAE05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D7471A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565" w:type="dxa"/>
            <w:vMerge w:val="restart"/>
            <w:noWrap w:val="0"/>
            <w:vAlign w:val="center"/>
          </w:tcPr>
          <w:p w14:paraId="0DB38BC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北</w:t>
            </w:r>
          </w:p>
          <w:p w14:paraId="150399B1">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42B0288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525668F9">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4735CD31">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73.0</w:t>
            </w:r>
          </w:p>
        </w:tc>
        <w:tc>
          <w:tcPr>
            <w:tcW w:w="1037" w:type="dxa"/>
            <w:noWrap w:val="0"/>
            <w:vAlign w:val="center"/>
          </w:tcPr>
          <w:p w14:paraId="0B5751A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符合</w:t>
            </w:r>
          </w:p>
        </w:tc>
      </w:tr>
      <w:tr w14:paraId="08A01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1C116DE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E4D055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565" w:type="dxa"/>
            <w:vMerge w:val="continue"/>
            <w:noWrap w:val="0"/>
            <w:vAlign w:val="center"/>
          </w:tcPr>
          <w:p w14:paraId="1B1B3B9F">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5AA191C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697C0CC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0420C958">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52.8</w:t>
            </w:r>
          </w:p>
        </w:tc>
        <w:tc>
          <w:tcPr>
            <w:tcW w:w="1037" w:type="dxa"/>
            <w:noWrap w:val="0"/>
            <w:vAlign w:val="center"/>
          </w:tcPr>
          <w:p w14:paraId="1C7C0E8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61F15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4013937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B85DA97">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宿舍楼</w:t>
            </w:r>
          </w:p>
        </w:tc>
        <w:tc>
          <w:tcPr>
            <w:tcW w:w="565" w:type="dxa"/>
            <w:vMerge w:val="continue"/>
            <w:noWrap w:val="0"/>
            <w:vAlign w:val="center"/>
          </w:tcPr>
          <w:p w14:paraId="6C9FED3D">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5FD2ABBB">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25DF77EA">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32B76AA1">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73.5</w:t>
            </w:r>
          </w:p>
        </w:tc>
        <w:tc>
          <w:tcPr>
            <w:tcW w:w="1037" w:type="dxa"/>
            <w:noWrap w:val="0"/>
            <w:vAlign w:val="center"/>
          </w:tcPr>
          <w:p w14:paraId="2FE6A3D4">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64279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45AF46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16481BC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综合楼</w:t>
            </w:r>
          </w:p>
        </w:tc>
        <w:tc>
          <w:tcPr>
            <w:tcW w:w="565" w:type="dxa"/>
            <w:vMerge w:val="continue"/>
            <w:noWrap w:val="0"/>
            <w:vAlign w:val="center"/>
          </w:tcPr>
          <w:p w14:paraId="37894F3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09FDD52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54CB4400">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23BF67F9">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78.7</w:t>
            </w:r>
          </w:p>
        </w:tc>
        <w:tc>
          <w:tcPr>
            <w:tcW w:w="1037" w:type="dxa"/>
            <w:noWrap w:val="0"/>
            <w:vAlign w:val="center"/>
          </w:tcPr>
          <w:p w14:paraId="3DB5FB5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7CAEE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08FB93F1">
            <w:pPr>
              <w:adjustRightInd/>
              <w:snapToGrid/>
              <w:spacing w:after="0" w:line="240" w:lineRule="exact"/>
              <w:ind w:firstLine="0" w:firstLineChars="0"/>
              <w:jc w:val="center"/>
              <w:rPr>
                <w:rFonts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柴油通气管管口</w:t>
            </w:r>
          </w:p>
        </w:tc>
        <w:tc>
          <w:tcPr>
            <w:tcW w:w="2205" w:type="dxa"/>
            <w:noWrap w:val="0"/>
            <w:vAlign w:val="center"/>
          </w:tcPr>
          <w:p w14:paraId="100D87D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服务区内停车场（车位数</w:t>
            </w:r>
            <w:r>
              <w:rPr>
                <w:rFonts w:hint="eastAsia" w:ascii="Times New Roman" w:hAnsi="Times New Roman" w:eastAsia="宋体" w:cs="Times New Roman"/>
                <w:color w:val="000000"/>
                <w:sz w:val="21"/>
                <w:szCs w:val="21"/>
                <w:highlight w:val="none"/>
                <w:lang w:val="en-US" w:eastAsia="zh-CN"/>
                <w14:ligatures w14:val="none"/>
              </w:rPr>
              <w:t>42个</w:t>
            </w:r>
            <w:r>
              <w:rPr>
                <w:rFonts w:hint="eastAsia" w:ascii="Times New Roman" w:hAnsi="Times New Roman" w:eastAsia="宋体" w:cs="Times New Roman"/>
                <w:color w:val="000000"/>
                <w:sz w:val="21"/>
                <w:szCs w:val="21"/>
                <w:highlight w:val="none"/>
                <w:lang w:eastAsia="zh-CN"/>
                <w14:ligatures w14:val="none"/>
              </w:rPr>
              <w:t>）</w:t>
            </w:r>
          </w:p>
        </w:tc>
        <w:tc>
          <w:tcPr>
            <w:tcW w:w="565" w:type="dxa"/>
            <w:noWrap w:val="0"/>
            <w:vAlign w:val="center"/>
          </w:tcPr>
          <w:p w14:paraId="3699F4B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东</w:t>
            </w:r>
          </w:p>
        </w:tc>
        <w:tc>
          <w:tcPr>
            <w:tcW w:w="2134" w:type="dxa"/>
            <w:noWrap w:val="0"/>
            <w:vAlign w:val="center"/>
          </w:tcPr>
          <w:p w14:paraId="1C837E6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2FB3F93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22DC8C9A">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41.8</w:t>
            </w:r>
          </w:p>
        </w:tc>
        <w:tc>
          <w:tcPr>
            <w:tcW w:w="1037" w:type="dxa"/>
            <w:noWrap w:val="0"/>
            <w:vAlign w:val="center"/>
          </w:tcPr>
          <w:p w14:paraId="1C3F9D5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120F0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88D4CD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DC5F50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服务区内道路</w:t>
            </w:r>
          </w:p>
        </w:tc>
        <w:tc>
          <w:tcPr>
            <w:tcW w:w="565" w:type="dxa"/>
            <w:noWrap w:val="0"/>
            <w:vAlign w:val="center"/>
          </w:tcPr>
          <w:p w14:paraId="59E51AC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南</w:t>
            </w:r>
          </w:p>
        </w:tc>
        <w:tc>
          <w:tcPr>
            <w:tcW w:w="2134" w:type="dxa"/>
            <w:noWrap w:val="0"/>
            <w:vAlign w:val="center"/>
          </w:tcPr>
          <w:p w14:paraId="1A583FF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支路</w:t>
            </w:r>
          </w:p>
        </w:tc>
        <w:tc>
          <w:tcPr>
            <w:tcW w:w="1101" w:type="dxa"/>
            <w:noWrap w:val="0"/>
            <w:vAlign w:val="center"/>
          </w:tcPr>
          <w:p w14:paraId="7D308CF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14F27787">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46.6</w:t>
            </w:r>
          </w:p>
        </w:tc>
        <w:tc>
          <w:tcPr>
            <w:tcW w:w="1037" w:type="dxa"/>
            <w:noWrap w:val="0"/>
            <w:vAlign w:val="center"/>
          </w:tcPr>
          <w:p w14:paraId="1CD4B7D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6A768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6A77287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4AD3EB8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eastAsia="zh-CN"/>
                <w14:ligatures w14:val="none"/>
              </w:rPr>
              <w:t>空地</w:t>
            </w:r>
          </w:p>
        </w:tc>
        <w:tc>
          <w:tcPr>
            <w:tcW w:w="565" w:type="dxa"/>
            <w:noWrap w:val="0"/>
            <w:vAlign w:val="center"/>
          </w:tcPr>
          <w:p w14:paraId="3E11CED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西</w:t>
            </w:r>
          </w:p>
        </w:tc>
        <w:tc>
          <w:tcPr>
            <w:tcW w:w="2134" w:type="dxa"/>
            <w:noWrap w:val="0"/>
            <w:vAlign w:val="center"/>
          </w:tcPr>
          <w:p w14:paraId="627953B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7B8D193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707CB39C">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26.9</w:t>
            </w:r>
          </w:p>
        </w:tc>
        <w:tc>
          <w:tcPr>
            <w:tcW w:w="1037" w:type="dxa"/>
            <w:noWrap w:val="0"/>
            <w:vAlign w:val="center"/>
          </w:tcPr>
          <w:p w14:paraId="1199AFC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33BF8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30AFD3B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78F8101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565" w:type="dxa"/>
            <w:vMerge w:val="restart"/>
            <w:noWrap w:val="0"/>
            <w:vAlign w:val="center"/>
          </w:tcPr>
          <w:p w14:paraId="0A991EE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北</w:t>
            </w:r>
          </w:p>
          <w:p w14:paraId="48904503">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78DC7B1A">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062AC606">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7343F3DA">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42.1</w:t>
            </w:r>
          </w:p>
        </w:tc>
        <w:tc>
          <w:tcPr>
            <w:tcW w:w="1037" w:type="dxa"/>
            <w:noWrap w:val="0"/>
            <w:vAlign w:val="center"/>
          </w:tcPr>
          <w:p w14:paraId="6F6C565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符合</w:t>
            </w:r>
          </w:p>
        </w:tc>
      </w:tr>
      <w:tr w14:paraId="6BB96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0129227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FD7BE73">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565" w:type="dxa"/>
            <w:vMerge w:val="continue"/>
            <w:noWrap w:val="0"/>
            <w:vAlign w:val="center"/>
          </w:tcPr>
          <w:p w14:paraId="434D7F5F">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1227EB8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6316D05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7AAEB232">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25.6</w:t>
            </w:r>
          </w:p>
        </w:tc>
        <w:tc>
          <w:tcPr>
            <w:tcW w:w="1037" w:type="dxa"/>
            <w:noWrap w:val="0"/>
            <w:vAlign w:val="center"/>
          </w:tcPr>
          <w:p w14:paraId="209D7EF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r>
              <w:rPr>
                <w:rFonts w:hint="eastAsia" w:ascii="Times New Roman" w:hAnsi="Times New Roman" w:eastAsia="宋体" w:cs="Times New Roman"/>
                <w:color w:val="000000"/>
                <w:sz w:val="21"/>
                <w:szCs w:val="21"/>
                <w:highlight w:val="none"/>
                <w14:ligatures w14:val="none"/>
              </w:rPr>
              <w:t>符合</w:t>
            </w:r>
          </w:p>
        </w:tc>
      </w:tr>
      <w:tr w14:paraId="42CC7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110FAD2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06DE4809">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宿舍楼</w:t>
            </w:r>
          </w:p>
        </w:tc>
        <w:tc>
          <w:tcPr>
            <w:tcW w:w="565" w:type="dxa"/>
            <w:vMerge w:val="continue"/>
            <w:noWrap w:val="0"/>
            <w:vAlign w:val="center"/>
          </w:tcPr>
          <w:p w14:paraId="3893B97E">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p>
        </w:tc>
        <w:tc>
          <w:tcPr>
            <w:tcW w:w="2134" w:type="dxa"/>
            <w:noWrap w:val="0"/>
            <w:vAlign w:val="center"/>
          </w:tcPr>
          <w:p w14:paraId="1A223E73">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6777C8DF">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31252D13">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45.0</w:t>
            </w:r>
          </w:p>
        </w:tc>
        <w:tc>
          <w:tcPr>
            <w:tcW w:w="1037" w:type="dxa"/>
            <w:noWrap w:val="0"/>
            <w:vAlign w:val="center"/>
          </w:tcPr>
          <w:p w14:paraId="10A801D3">
            <w:pPr>
              <w:adjustRightInd/>
              <w:snapToGrid/>
              <w:spacing w:after="0" w:line="240" w:lineRule="exact"/>
              <w:ind w:firstLine="0" w:firstLineChars="0"/>
              <w:jc w:val="center"/>
              <w:rPr>
                <w:rFonts w:hint="eastAsia"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68238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5D4759A0">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A5DEEF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综合楼</w:t>
            </w:r>
          </w:p>
        </w:tc>
        <w:tc>
          <w:tcPr>
            <w:tcW w:w="565" w:type="dxa"/>
            <w:vMerge w:val="continue"/>
            <w:noWrap w:val="0"/>
            <w:vAlign w:val="center"/>
          </w:tcPr>
          <w:p w14:paraId="2BBE612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288BA6A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35245F69">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6</w:t>
            </w:r>
          </w:p>
        </w:tc>
        <w:tc>
          <w:tcPr>
            <w:tcW w:w="1176" w:type="dxa"/>
            <w:noWrap w:val="0"/>
            <w:vAlign w:val="center"/>
          </w:tcPr>
          <w:p w14:paraId="6B5D90F9">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55.8</w:t>
            </w:r>
          </w:p>
        </w:tc>
        <w:tc>
          <w:tcPr>
            <w:tcW w:w="1037" w:type="dxa"/>
            <w:noWrap w:val="0"/>
            <w:vAlign w:val="center"/>
          </w:tcPr>
          <w:p w14:paraId="62832CA4">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符合</w:t>
            </w:r>
          </w:p>
        </w:tc>
      </w:tr>
      <w:tr w14:paraId="0AF4B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restart"/>
            <w:noWrap w:val="0"/>
            <w:vAlign w:val="center"/>
          </w:tcPr>
          <w:p w14:paraId="75D0C17E">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三次油气回收装置</w:t>
            </w:r>
          </w:p>
        </w:tc>
        <w:tc>
          <w:tcPr>
            <w:tcW w:w="2205" w:type="dxa"/>
            <w:noWrap w:val="0"/>
            <w:vAlign w:val="center"/>
          </w:tcPr>
          <w:p w14:paraId="7A6DDA9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服务区内停车场（车位数</w:t>
            </w:r>
            <w:r>
              <w:rPr>
                <w:rFonts w:hint="eastAsia" w:ascii="Times New Roman" w:hAnsi="Times New Roman" w:eastAsia="宋体" w:cs="Times New Roman"/>
                <w:color w:val="000000"/>
                <w:sz w:val="21"/>
                <w:szCs w:val="21"/>
                <w:highlight w:val="none"/>
                <w:lang w:val="en-US" w:eastAsia="zh-CN"/>
                <w14:ligatures w14:val="none"/>
              </w:rPr>
              <w:t>42个</w:t>
            </w:r>
            <w:r>
              <w:rPr>
                <w:rFonts w:hint="eastAsia" w:ascii="Times New Roman" w:hAnsi="Times New Roman" w:eastAsia="宋体" w:cs="Times New Roman"/>
                <w:color w:val="000000"/>
                <w:sz w:val="21"/>
                <w:szCs w:val="21"/>
                <w:highlight w:val="none"/>
                <w:lang w:eastAsia="zh-CN"/>
                <w14:ligatures w14:val="none"/>
              </w:rPr>
              <w:t>）</w:t>
            </w:r>
          </w:p>
        </w:tc>
        <w:tc>
          <w:tcPr>
            <w:tcW w:w="565" w:type="dxa"/>
            <w:noWrap w:val="0"/>
            <w:vAlign w:val="center"/>
          </w:tcPr>
          <w:p w14:paraId="2A857717">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东</w:t>
            </w:r>
          </w:p>
        </w:tc>
        <w:tc>
          <w:tcPr>
            <w:tcW w:w="2134" w:type="dxa"/>
            <w:noWrap w:val="0"/>
            <w:vAlign w:val="center"/>
          </w:tcPr>
          <w:p w14:paraId="10BF0A9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74AD24A3">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52AE69A2">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42.8</w:t>
            </w:r>
          </w:p>
        </w:tc>
        <w:tc>
          <w:tcPr>
            <w:tcW w:w="1037" w:type="dxa"/>
            <w:noWrap w:val="0"/>
            <w:vAlign w:val="center"/>
          </w:tcPr>
          <w:p w14:paraId="1C496AD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符合</w:t>
            </w:r>
          </w:p>
        </w:tc>
      </w:tr>
      <w:tr w14:paraId="26864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708A99CC">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0629674E">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服务区内道路</w:t>
            </w:r>
          </w:p>
        </w:tc>
        <w:tc>
          <w:tcPr>
            <w:tcW w:w="565" w:type="dxa"/>
            <w:noWrap w:val="0"/>
            <w:vAlign w:val="center"/>
          </w:tcPr>
          <w:p w14:paraId="43FF5D68">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南</w:t>
            </w:r>
          </w:p>
        </w:tc>
        <w:tc>
          <w:tcPr>
            <w:tcW w:w="2134" w:type="dxa"/>
            <w:noWrap w:val="0"/>
            <w:vAlign w:val="center"/>
          </w:tcPr>
          <w:p w14:paraId="21A78B4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支路</w:t>
            </w:r>
          </w:p>
        </w:tc>
        <w:tc>
          <w:tcPr>
            <w:tcW w:w="1101" w:type="dxa"/>
            <w:noWrap w:val="0"/>
            <w:vAlign w:val="center"/>
          </w:tcPr>
          <w:p w14:paraId="60B41867">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5</w:t>
            </w:r>
          </w:p>
        </w:tc>
        <w:tc>
          <w:tcPr>
            <w:tcW w:w="1176" w:type="dxa"/>
            <w:noWrap w:val="0"/>
            <w:vAlign w:val="center"/>
          </w:tcPr>
          <w:p w14:paraId="1C1C1A64">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44.8</w:t>
            </w:r>
          </w:p>
        </w:tc>
        <w:tc>
          <w:tcPr>
            <w:tcW w:w="1037" w:type="dxa"/>
            <w:noWrap w:val="0"/>
            <w:vAlign w:val="center"/>
          </w:tcPr>
          <w:p w14:paraId="36139946">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符合</w:t>
            </w:r>
          </w:p>
        </w:tc>
      </w:tr>
      <w:tr w14:paraId="51038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78EDC7A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41DA893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空地</w:t>
            </w:r>
          </w:p>
        </w:tc>
        <w:tc>
          <w:tcPr>
            <w:tcW w:w="565" w:type="dxa"/>
            <w:noWrap w:val="0"/>
            <w:vAlign w:val="center"/>
          </w:tcPr>
          <w:p w14:paraId="4757EC78">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西</w:t>
            </w:r>
          </w:p>
        </w:tc>
        <w:tc>
          <w:tcPr>
            <w:tcW w:w="2134" w:type="dxa"/>
            <w:noWrap w:val="0"/>
            <w:vAlign w:val="center"/>
          </w:tcPr>
          <w:p w14:paraId="48B0A57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4FA77713">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76" w:type="dxa"/>
            <w:noWrap w:val="0"/>
            <w:vAlign w:val="center"/>
          </w:tcPr>
          <w:p w14:paraId="0E86FF9F">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w:t>
            </w:r>
          </w:p>
        </w:tc>
        <w:tc>
          <w:tcPr>
            <w:tcW w:w="1037" w:type="dxa"/>
            <w:noWrap w:val="0"/>
            <w:vAlign w:val="center"/>
          </w:tcPr>
          <w:p w14:paraId="3041946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符合</w:t>
            </w:r>
          </w:p>
        </w:tc>
      </w:tr>
      <w:tr w14:paraId="49C0E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7C41990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5652C50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565" w:type="dxa"/>
            <w:vMerge w:val="restart"/>
            <w:noWrap w:val="0"/>
            <w:vAlign w:val="center"/>
          </w:tcPr>
          <w:p w14:paraId="6211D9B6">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北</w:t>
            </w:r>
          </w:p>
        </w:tc>
        <w:tc>
          <w:tcPr>
            <w:tcW w:w="2134" w:type="dxa"/>
            <w:noWrap w:val="0"/>
            <w:vAlign w:val="center"/>
          </w:tcPr>
          <w:p w14:paraId="69BA63E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15836C03">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6234AEE6">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40.9</w:t>
            </w:r>
          </w:p>
        </w:tc>
        <w:tc>
          <w:tcPr>
            <w:tcW w:w="1037" w:type="dxa"/>
            <w:noWrap w:val="0"/>
            <w:vAlign w:val="center"/>
          </w:tcPr>
          <w:p w14:paraId="5C9EB41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符合</w:t>
            </w:r>
          </w:p>
        </w:tc>
      </w:tr>
      <w:tr w14:paraId="2DA23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460F7F2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13DDD77">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565" w:type="dxa"/>
            <w:vMerge w:val="continue"/>
            <w:noWrap w:val="0"/>
            <w:vAlign w:val="center"/>
          </w:tcPr>
          <w:p w14:paraId="6682F83B">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70ECEA59">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w:t>
            </w:r>
          </w:p>
        </w:tc>
        <w:tc>
          <w:tcPr>
            <w:tcW w:w="1101" w:type="dxa"/>
            <w:noWrap w:val="0"/>
            <w:vAlign w:val="center"/>
          </w:tcPr>
          <w:p w14:paraId="2A216D0C">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3</w:t>
            </w:r>
          </w:p>
        </w:tc>
        <w:tc>
          <w:tcPr>
            <w:tcW w:w="1176" w:type="dxa"/>
            <w:noWrap w:val="0"/>
            <w:vAlign w:val="center"/>
          </w:tcPr>
          <w:p w14:paraId="0D7D9574">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26.1</w:t>
            </w:r>
          </w:p>
        </w:tc>
        <w:tc>
          <w:tcPr>
            <w:tcW w:w="1037" w:type="dxa"/>
            <w:noWrap w:val="0"/>
            <w:vAlign w:val="center"/>
          </w:tcPr>
          <w:p w14:paraId="1A4D14D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符合</w:t>
            </w:r>
          </w:p>
        </w:tc>
      </w:tr>
      <w:tr w14:paraId="7F177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55E4F5DD">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2A9E6BB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宿舍楼</w:t>
            </w:r>
          </w:p>
        </w:tc>
        <w:tc>
          <w:tcPr>
            <w:tcW w:w="565" w:type="dxa"/>
            <w:vMerge w:val="continue"/>
            <w:noWrap w:val="0"/>
            <w:vAlign w:val="center"/>
          </w:tcPr>
          <w:p w14:paraId="54F2527F">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7D5BA978">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4F4D2332">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32402FA7">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44.3</w:t>
            </w:r>
          </w:p>
        </w:tc>
        <w:tc>
          <w:tcPr>
            <w:tcW w:w="1037" w:type="dxa"/>
            <w:noWrap w:val="0"/>
            <w:vAlign w:val="center"/>
          </w:tcPr>
          <w:p w14:paraId="6B8C9F3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符合</w:t>
            </w:r>
          </w:p>
        </w:tc>
      </w:tr>
      <w:tr w14:paraId="6895E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81" w:type="dxa"/>
            <w:vMerge w:val="continue"/>
            <w:noWrap w:val="0"/>
            <w:vAlign w:val="center"/>
          </w:tcPr>
          <w:p w14:paraId="73342EE1">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14:ligatures w14:val="none"/>
              </w:rPr>
            </w:pPr>
          </w:p>
        </w:tc>
        <w:tc>
          <w:tcPr>
            <w:tcW w:w="2205" w:type="dxa"/>
            <w:noWrap w:val="0"/>
            <w:vAlign w:val="center"/>
          </w:tcPr>
          <w:p w14:paraId="4C6CDD35">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综合楼</w:t>
            </w:r>
          </w:p>
        </w:tc>
        <w:tc>
          <w:tcPr>
            <w:tcW w:w="565" w:type="dxa"/>
            <w:vMerge w:val="continue"/>
            <w:noWrap w:val="0"/>
            <w:vAlign w:val="center"/>
          </w:tcPr>
          <w:p w14:paraId="50518D7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p>
        </w:tc>
        <w:tc>
          <w:tcPr>
            <w:tcW w:w="2134" w:type="dxa"/>
            <w:noWrap w:val="0"/>
            <w:vAlign w:val="center"/>
          </w:tcPr>
          <w:p w14:paraId="7A9247E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lang w:eastAsia="zh-CN"/>
                <w14:ligatures w14:val="none"/>
              </w:rPr>
              <w:t>三类保护物</w:t>
            </w:r>
          </w:p>
        </w:tc>
        <w:tc>
          <w:tcPr>
            <w:tcW w:w="1101" w:type="dxa"/>
            <w:noWrap w:val="0"/>
            <w:vAlign w:val="center"/>
          </w:tcPr>
          <w:p w14:paraId="2F2DEBBE">
            <w:pPr>
              <w:adjustRightInd/>
              <w:snapToGrid/>
              <w:spacing w:after="0" w:line="240" w:lineRule="exact"/>
              <w:ind w:firstLine="0" w:firstLineChars="0"/>
              <w:jc w:val="center"/>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7</w:t>
            </w:r>
          </w:p>
        </w:tc>
        <w:tc>
          <w:tcPr>
            <w:tcW w:w="1176" w:type="dxa"/>
            <w:noWrap w:val="0"/>
            <w:vAlign w:val="center"/>
          </w:tcPr>
          <w:p w14:paraId="345EC6B4">
            <w:pPr>
              <w:adjustRightInd/>
              <w:snapToGrid/>
              <w:spacing w:after="0" w:line="240" w:lineRule="exact"/>
              <w:ind w:firstLine="0" w:firstLineChars="0"/>
              <w:jc w:val="center"/>
              <w:rPr>
                <w:rFonts w:hint="default" w:ascii="Times New Roman" w:hAnsi="Times New Roman" w:eastAsia="宋体" w:cs="Times New Roman"/>
                <w:color w:val="000000"/>
                <w:kern w:val="2"/>
                <w:sz w:val="21"/>
                <w:szCs w:val="21"/>
                <w:highlight w:val="none"/>
                <w:lang w:val="en-US" w:eastAsia="zh-CN" w:bidi="ar-SA"/>
                <w14:ligatures w14:val="none"/>
              </w:rPr>
            </w:pPr>
            <w:r>
              <w:rPr>
                <w:rFonts w:hint="eastAsia" w:ascii="Times New Roman" w:hAnsi="Times New Roman" w:eastAsia="宋体" w:cs="Times New Roman"/>
                <w:color w:val="000000"/>
                <w:kern w:val="2"/>
                <w:sz w:val="21"/>
                <w:szCs w:val="21"/>
                <w:highlight w:val="none"/>
                <w:lang w:val="en-US" w:eastAsia="zh-CN" w:bidi="ar-SA"/>
                <w14:ligatures w14:val="none"/>
              </w:rPr>
              <w:t>56.9</w:t>
            </w:r>
          </w:p>
        </w:tc>
        <w:tc>
          <w:tcPr>
            <w:tcW w:w="1037" w:type="dxa"/>
            <w:noWrap w:val="0"/>
            <w:vAlign w:val="center"/>
          </w:tcPr>
          <w:p w14:paraId="0A563E52">
            <w:pPr>
              <w:adjustRightInd/>
              <w:snapToGrid/>
              <w:spacing w:after="0" w:line="240" w:lineRule="exact"/>
              <w:ind w:firstLine="0" w:firstLineChars="0"/>
              <w:jc w:val="center"/>
              <w:rPr>
                <w:rFonts w:hint="eastAsia" w:ascii="Times New Roman" w:hAnsi="Times New Roman" w:eastAsia="宋体" w:cs="Times New Roman"/>
                <w:color w:val="000000"/>
                <w:sz w:val="21"/>
                <w:szCs w:val="21"/>
                <w:highlight w:val="none"/>
                <w:lang w:eastAsia="zh-CN"/>
                <w14:ligatures w14:val="none"/>
              </w:rPr>
            </w:pPr>
            <w:r>
              <w:rPr>
                <w:rFonts w:hint="eastAsia" w:ascii="Times New Roman" w:hAnsi="Times New Roman" w:eastAsia="宋体" w:cs="Times New Roman"/>
                <w:color w:val="000000"/>
                <w:sz w:val="21"/>
                <w:szCs w:val="21"/>
                <w:highlight w:val="none"/>
                <w14:ligatures w14:val="none"/>
              </w:rPr>
              <w:t>符合</w:t>
            </w:r>
          </w:p>
        </w:tc>
      </w:tr>
      <w:tr w14:paraId="1B6A4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199" w:type="dxa"/>
            <w:gridSpan w:val="7"/>
            <w:noWrap w:val="0"/>
            <w:vAlign w:val="center"/>
          </w:tcPr>
          <w:p w14:paraId="08A17BBD">
            <w:pPr>
              <w:adjustRightInd/>
              <w:snapToGrid/>
              <w:spacing w:after="0" w:line="240" w:lineRule="exact"/>
              <w:ind w:firstLine="0" w:firstLineChars="0"/>
              <w:jc w:val="both"/>
              <w:rPr>
                <w:rFonts w:hint="default" w:ascii="Times New Roman" w:hAnsi="Times New Roman" w:eastAsia="宋体" w:cs="Times New Roman"/>
                <w:color w:val="000000"/>
                <w:sz w:val="21"/>
                <w:szCs w:val="21"/>
                <w:highlight w:val="none"/>
                <w:lang w:val="en-US"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注1：</w:t>
            </w:r>
            <w:r>
              <w:rPr>
                <w:rFonts w:hint="eastAsia" w:ascii="Times New Roman" w:hAnsi="Times New Roman" w:eastAsia="宋体" w:cs="Times New Roman"/>
                <w:color w:val="000000"/>
                <w:sz w:val="21"/>
                <w:szCs w:val="21"/>
                <w:highlight w:val="none"/>
                <w14:ligatures w14:val="none"/>
              </w:rPr>
              <w:t>本表中规范距离依据《汽车加油加气加氢站技术标准》（GB50156-2021）</w:t>
            </w:r>
            <w:r>
              <w:rPr>
                <w:rFonts w:hint="eastAsia" w:ascii="Times New Roman" w:hAnsi="Times New Roman" w:eastAsia="宋体" w:cs="Times New Roman"/>
                <w:color w:val="000000"/>
                <w:sz w:val="21"/>
                <w:szCs w:val="21"/>
                <w:highlight w:val="none"/>
                <w:lang w:eastAsia="zh-CN"/>
                <w14:ligatures w14:val="none"/>
              </w:rPr>
              <w:t>表</w:t>
            </w:r>
            <w:r>
              <w:rPr>
                <w:rFonts w:hint="eastAsia" w:ascii="Times New Roman" w:hAnsi="Times New Roman" w:eastAsia="宋体" w:cs="Times New Roman"/>
                <w:color w:val="000000"/>
                <w:sz w:val="21"/>
                <w:szCs w:val="21"/>
                <w:highlight w:val="none"/>
                <w:lang w:val="en-US" w:eastAsia="zh-CN"/>
                <w14:ligatures w14:val="none"/>
              </w:rPr>
              <w:t>4.0.4；</w:t>
            </w:r>
          </w:p>
        </w:tc>
      </w:tr>
    </w:tbl>
    <w:p w14:paraId="2CAF507D">
      <w:pPr>
        <w:keepNext w:val="0"/>
        <w:keepLines w:val="0"/>
        <w:pageBreakBefore w:val="0"/>
        <w:widowControl w:val="0"/>
        <w:kinsoku/>
        <w:wordWrap/>
        <w:overflowPunct/>
        <w:topLinePunct w:val="0"/>
        <w:autoSpaceDE/>
        <w:autoSpaceDN/>
        <w:bidi w:val="0"/>
        <w:adjustRightInd w:val="0"/>
        <w:snapToGrid w:val="0"/>
        <w:spacing w:before="157" w:beforeLines="50"/>
        <w:ind w:firstLine="560"/>
        <w:jc w:val="left"/>
        <w:textAlignment w:val="auto"/>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小结：</w:t>
      </w:r>
      <w:r>
        <w:rPr>
          <w:rFonts w:hint="eastAsia" w:ascii="Times New Roman" w:hAnsi="Times New Roman" w:eastAsia="宋体" w:cs="Times New Roman"/>
          <w:szCs w:val="28"/>
          <w:highlight w:val="none"/>
          <w14:ligatures w14:val="none"/>
        </w:rPr>
        <w:t>站内</w:t>
      </w:r>
      <w:r>
        <w:rPr>
          <w:rFonts w:ascii="Times New Roman" w:hAnsi="Times New Roman" w:eastAsia="宋体" w:cs="Times New Roman"/>
          <w:szCs w:val="28"/>
          <w:highlight w:val="none"/>
          <w14:ligatures w14:val="none"/>
        </w:rPr>
        <w:t>加油工艺设备与站外相邻建（构）筑物安全间距符合《汽车加油加气加氢站技术标准》GB50156-2021表4.0.4规定要求。</w:t>
      </w:r>
    </w:p>
    <w:p w14:paraId="5CAF9703">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 xml:space="preserve">附表4.1-4  </w:t>
      </w:r>
      <w:r>
        <w:rPr>
          <w:rFonts w:hint="eastAsia" w:ascii="Times New Roman" w:hAnsi="Times New Roman" w:eastAsia="黑体"/>
          <w:sz w:val="24"/>
          <w:highlight w:val="none"/>
        </w:rPr>
        <w:t>站内</w:t>
      </w:r>
      <w:r>
        <w:rPr>
          <w:rFonts w:ascii="Times New Roman" w:hAnsi="Times New Roman" w:eastAsia="黑体"/>
          <w:sz w:val="24"/>
          <w:highlight w:val="none"/>
        </w:rPr>
        <w:t>加油工艺设备与</w:t>
      </w:r>
      <w:r>
        <w:rPr>
          <w:rFonts w:hint="eastAsia" w:ascii="Times New Roman" w:hAnsi="Times New Roman" w:eastAsia="黑体"/>
          <w:sz w:val="24"/>
          <w:highlight w:val="none"/>
        </w:rPr>
        <w:t>站内设施</w:t>
      </w:r>
      <w:r>
        <w:rPr>
          <w:rFonts w:ascii="Times New Roman" w:hAnsi="Times New Roman" w:eastAsia="黑体"/>
          <w:sz w:val="24"/>
          <w:highlight w:val="none"/>
        </w:rPr>
        <w:t>安全间距表</w:t>
      </w:r>
      <w:r>
        <w:rPr>
          <w:rFonts w:hint="eastAsia" w:ascii="Times New Roman" w:hAnsi="Times New Roman" w:eastAsia="黑体"/>
          <w:sz w:val="24"/>
          <w:highlight w:val="none"/>
        </w:rPr>
        <w:t>（</w:t>
      </w:r>
      <w:r>
        <w:rPr>
          <w:rFonts w:hint="eastAsia" w:ascii="Times New Roman" w:hAnsi="Times New Roman" w:eastAsia="黑体"/>
          <w:sz w:val="24"/>
          <w:highlight w:val="none"/>
          <w:lang w:val="en-US" w:eastAsia="zh-CN"/>
        </w:rPr>
        <w:t>二</w:t>
      </w:r>
      <w:r>
        <w:rPr>
          <w:rFonts w:hint="eastAsia" w:ascii="Times New Roman" w:hAnsi="Times New Roman" w:eastAsia="黑体"/>
          <w:sz w:val="24"/>
          <w:highlight w:val="none"/>
        </w:rPr>
        <w:t>级加油站）</w:t>
      </w:r>
    </w:p>
    <w:tbl>
      <w:tblPr>
        <w:tblStyle w:val="32"/>
        <w:tblW w:w="918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64"/>
        <w:gridCol w:w="1346"/>
        <w:gridCol w:w="1383"/>
        <w:gridCol w:w="752"/>
        <w:gridCol w:w="932"/>
        <w:gridCol w:w="1266"/>
        <w:gridCol w:w="1667"/>
        <w:gridCol w:w="1074"/>
      </w:tblGrid>
      <w:tr w14:paraId="594DC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764" w:type="dxa"/>
            <w:vMerge w:val="restart"/>
            <w:vAlign w:val="center"/>
          </w:tcPr>
          <w:p w14:paraId="5741327E">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序号</w:t>
            </w:r>
          </w:p>
        </w:tc>
        <w:tc>
          <w:tcPr>
            <w:tcW w:w="1346" w:type="dxa"/>
            <w:vMerge w:val="restart"/>
            <w:vAlign w:val="center"/>
          </w:tcPr>
          <w:p w14:paraId="7B3AF4E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工艺设施</w:t>
            </w:r>
          </w:p>
        </w:tc>
        <w:tc>
          <w:tcPr>
            <w:tcW w:w="2135" w:type="dxa"/>
            <w:gridSpan w:val="2"/>
            <w:vAlign w:val="center"/>
          </w:tcPr>
          <w:p w14:paraId="1FD1EF5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其它设施</w:t>
            </w:r>
          </w:p>
        </w:tc>
        <w:tc>
          <w:tcPr>
            <w:tcW w:w="2198" w:type="dxa"/>
            <w:gridSpan w:val="2"/>
            <w:vAlign w:val="center"/>
          </w:tcPr>
          <w:p w14:paraId="53D71FF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防火距离</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m</w:t>
            </w:r>
            <w:r>
              <w:rPr>
                <w:rFonts w:hint="eastAsia" w:ascii="Times New Roman" w:hAnsi="Times New Roman" w:eastAsia="宋体" w:cs="Times New Roman"/>
                <w:sz w:val="21"/>
                <w:szCs w:val="21"/>
                <w:highlight w:val="none"/>
                <w14:ligatures w14:val="none"/>
              </w:rPr>
              <w:t>）</w:t>
            </w:r>
          </w:p>
        </w:tc>
        <w:tc>
          <w:tcPr>
            <w:tcW w:w="1667" w:type="dxa"/>
            <w:vMerge w:val="restart"/>
            <w:vAlign w:val="center"/>
          </w:tcPr>
          <w:p w14:paraId="7EF308C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依据</w:t>
            </w:r>
          </w:p>
        </w:tc>
        <w:tc>
          <w:tcPr>
            <w:tcW w:w="1074" w:type="dxa"/>
            <w:vMerge w:val="restart"/>
            <w:vAlign w:val="center"/>
          </w:tcPr>
          <w:p w14:paraId="4CA461E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结论</w:t>
            </w:r>
          </w:p>
        </w:tc>
      </w:tr>
      <w:tr w14:paraId="526EE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764" w:type="dxa"/>
            <w:vMerge w:val="continue"/>
            <w:vAlign w:val="center"/>
          </w:tcPr>
          <w:p w14:paraId="1781B2B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65B1324D">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59E3936E">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名称</w:t>
            </w:r>
          </w:p>
        </w:tc>
        <w:tc>
          <w:tcPr>
            <w:tcW w:w="752" w:type="dxa"/>
            <w:vAlign w:val="center"/>
          </w:tcPr>
          <w:p w14:paraId="0A9BCC8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方位</w:t>
            </w:r>
          </w:p>
        </w:tc>
        <w:tc>
          <w:tcPr>
            <w:tcW w:w="932" w:type="dxa"/>
            <w:vAlign w:val="center"/>
          </w:tcPr>
          <w:p w14:paraId="16027AF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规范要求</w:t>
            </w:r>
          </w:p>
        </w:tc>
        <w:tc>
          <w:tcPr>
            <w:tcW w:w="1266" w:type="dxa"/>
            <w:vAlign w:val="center"/>
          </w:tcPr>
          <w:p w14:paraId="7834FFDE">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实际距离</w:t>
            </w:r>
          </w:p>
        </w:tc>
        <w:tc>
          <w:tcPr>
            <w:tcW w:w="1667" w:type="dxa"/>
            <w:vMerge w:val="continue"/>
            <w:vAlign w:val="center"/>
          </w:tcPr>
          <w:p w14:paraId="2448DE30">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074" w:type="dxa"/>
            <w:vMerge w:val="continue"/>
            <w:vAlign w:val="center"/>
          </w:tcPr>
          <w:p w14:paraId="1A8098B4">
            <w:pPr>
              <w:spacing w:line="240" w:lineRule="auto"/>
              <w:ind w:firstLine="0" w:firstLineChars="0"/>
              <w:jc w:val="center"/>
              <w:rPr>
                <w:rFonts w:ascii="Times New Roman" w:hAnsi="Times New Roman" w:eastAsia="宋体" w:cs="Times New Roman"/>
                <w:sz w:val="21"/>
                <w:szCs w:val="21"/>
                <w:highlight w:val="none"/>
                <w14:ligatures w14:val="none"/>
              </w:rPr>
            </w:pPr>
          </w:p>
        </w:tc>
      </w:tr>
      <w:tr w14:paraId="302F3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04827C7D">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restart"/>
            <w:vAlign w:val="center"/>
          </w:tcPr>
          <w:p w14:paraId="1CEE677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车用乙醇汽油罐</w:t>
            </w:r>
          </w:p>
        </w:tc>
        <w:tc>
          <w:tcPr>
            <w:tcW w:w="1383" w:type="dxa"/>
            <w:vAlign w:val="center"/>
          </w:tcPr>
          <w:p w14:paraId="0104A9A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宋体" w:eastAsia="宋体" w:cs="Times New Roman"/>
                <w:sz w:val="21"/>
                <w:szCs w:val="21"/>
                <w:highlight w:val="none"/>
                <w14:ligatures w14:val="none"/>
              </w:rPr>
              <w:t>车用乙醇汽油储罐</w:t>
            </w:r>
          </w:p>
        </w:tc>
        <w:tc>
          <w:tcPr>
            <w:tcW w:w="752" w:type="dxa"/>
            <w:vAlign w:val="center"/>
          </w:tcPr>
          <w:p w14:paraId="2AEC7E6D">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北</w:t>
            </w:r>
          </w:p>
        </w:tc>
        <w:tc>
          <w:tcPr>
            <w:tcW w:w="932" w:type="dxa"/>
            <w:vAlign w:val="center"/>
          </w:tcPr>
          <w:p w14:paraId="4DBAD58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0.5</w:t>
            </w:r>
          </w:p>
        </w:tc>
        <w:tc>
          <w:tcPr>
            <w:tcW w:w="1266" w:type="dxa"/>
            <w:vAlign w:val="center"/>
          </w:tcPr>
          <w:p w14:paraId="139E1DF5">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14:ligatures w14:val="none"/>
              </w:rPr>
              <w:t>0.</w:t>
            </w:r>
            <w:r>
              <w:rPr>
                <w:rFonts w:hint="eastAsia" w:ascii="Times New Roman" w:hAnsi="Times New Roman" w:eastAsia="宋体" w:cs="Times New Roman"/>
                <w:sz w:val="21"/>
                <w:szCs w:val="21"/>
                <w:highlight w:val="none"/>
                <w:lang w:val="en-US" w:eastAsia="zh-CN"/>
                <w14:ligatures w14:val="none"/>
              </w:rPr>
              <w:t>6</w:t>
            </w:r>
          </w:p>
        </w:tc>
        <w:tc>
          <w:tcPr>
            <w:tcW w:w="1667" w:type="dxa"/>
            <w:vAlign w:val="center"/>
          </w:tcPr>
          <w:p w14:paraId="33EFF88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181D1EB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6072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1F6F1297">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0328F0D8">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54AC349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柴油罐</w:t>
            </w:r>
          </w:p>
        </w:tc>
        <w:tc>
          <w:tcPr>
            <w:tcW w:w="752" w:type="dxa"/>
            <w:vAlign w:val="center"/>
          </w:tcPr>
          <w:p w14:paraId="6D6B099B">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南</w:t>
            </w:r>
          </w:p>
        </w:tc>
        <w:tc>
          <w:tcPr>
            <w:tcW w:w="932" w:type="dxa"/>
            <w:vAlign w:val="center"/>
          </w:tcPr>
          <w:p w14:paraId="3E5C7459">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0.5</w:t>
            </w:r>
          </w:p>
        </w:tc>
        <w:tc>
          <w:tcPr>
            <w:tcW w:w="1266" w:type="dxa"/>
            <w:vAlign w:val="center"/>
          </w:tcPr>
          <w:p w14:paraId="7BE849AE">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14:ligatures w14:val="none"/>
              </w:rPr>
              <w:t>0.</w:t>
            </w:r>
            <w:r>
              <w:rPr>
                <w:rFonts w:hint="eastAsia" w:ascii="Times New Roman" w:hAnsi="Times New Roman" w:eastAsia="宋体" w:cs="Times New Roman"/>
                <w:sz w:val="21"/>
                <w:szCs w:val="21"/>
                <w:highlight w:val="none"/>
                <w:lang w:val="en-US" w:eastAsia="zh-CN"/>
                <w14:ligatures w14:val="none"/>
              </w:rPr>
              <w:t>6</w:t>
            </w:r>
          </w:p>
        </w:tc>
        <w:tc>
          <w:tcPr>
            <w:tcW w:w="1667" w:type="dxa"/>
            <w:vAlign w:val="center"/>
          </w:tcPr>
          <w:p w14:paraId="195F7FC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7FB536E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1EACF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3AF5C6E4">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01DBFAFD">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6F386D6F">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站房</w:t>
            </w:r>
          </w:p>
        </w:tc>
        <w:tc>
          <w:tcPr>
            <w:tcW w:w="752" w:type="dxa"/>
            <w:vAlign w:val="center"/>
          </w:tcPr>
          <w:p w14:paraId="62CB3E00">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南</w:t>
            </w:r>
          </w:p>
        </w:tc>
        <w:tc>
          <w:tcPr>
            <w:tcW w:w="932" w:type="dxa"/>
            <w:vAlign w:val="center"/>
          </w:tcPr>
          <w:p w14:paraId="2A166E8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4</w:t>
            </w:r>
          </w:p>
        </w:tc>
        <w:tc>
          <w:tcPr>
            <w:tcW w:w="1266" w:type="dxa"/>
            <w:vAlign w:val="center"/>
          </w:tcPr>
          <w:p w14:paraId="399AF36E">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13.5</w:t>
            </w:r>
          </w:p>
        </w:tc>
        <w:tc>
          <w:tcPr>
            <w:tcW w:w="1667" w:type="dxa"/>
            <w:vAlign w:val="center"/>
          </w:tcPr>
          <w:p w14:paraId="08799A42">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3C1F7A8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00193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6BE1CCB5">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50773284">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07D9C80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围墙</w:t>
            </w:r>
          </w:p>
        </w:tc>
        <w:tc>
          <w:tcPr>
            <w:tcW w:w="752" w:type="dxa"/>
            <w:vAlign w:val="center"/>
          </w:tcPr>
          <w:p w14:paraId="48DC42E2">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西</w:t>
            </w:r>
          </w:p>
        </w:tc>
        <w:tc>
          <w:tcPr>
            <w:tcW w:w="932" w:type="dxa"/>
            <w:vAlign w:val="center"/>
          </w:tcPr>
          <w:p w14:paraId="44FEBFB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p>
        </w:tc>
        <w:tc>
          <w:tcPr>
            <w:tcW w:w="1266" w:type="dxa"/>
            <w:vAlign w:val="center"/>
          </w:tcPr>
          <w:p w14:paraId="7C0E246C">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23.1</w:t>
            </w:r>
          </w:p>
        </w:tc>
        <w:tc>
          <w:tcPr>
            <w:tcW w:w="1667" w:type="dxa"/>
            <w:vAlign w:val="center"/>
          </w:tcPr>
          <w:p w14:paraId="45984BF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7EA7A2B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4D354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169CEC67">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restart"/>
            <w:vAlign w:val="center"/>
          </w:tcPr>
          <w:p w14:paraId="1D25F11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柴油罐</w:t>
            </w:r>
          </w:p>
        </w:tc>
        <w:tc>
          <w:tcPr>
            <w:tcW w:w="1383" w:type="dxa"/>
            <w:vAlign w:val="center"/>
          </w:tcPr>
          <w:p w14:paraId="539F497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车用乙醇汽油储罐</w:t>
            </w:r>
          </w:p>
        </w:tc>
        <w:tc>
          <w:tcPr>
            <w:tcW w:w="752" w:type="dxa"/>
            <w:vAlign w:val="center"/>
          </w:tcPr>
          <w:p w14:paraId="20D1231C">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北</w:t>
            </w:r>
          </w:p>
        </w:tc>
        <w:tc>
          <w:tcPr>
            <w:tcW w:w="932" w:type="dxa"/>
            <w:vAlign w:val="center"/>
          </w:tcPr>
          <w:p w14:paraId="123C9F59">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0.5</w:t>
            </w:r>
          </w:p>
        </w:tc>
        <w:tc>
          <w:tcPr>
            <w:tcW w:w="1266" w:type="dxa"/>
            <w:vAlign w:val="center"/>
          </w:tcPr>
          <w:p w14:paraId="3AB9D952">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14:ligatures w14:val="none"/>
              </w:rPr>
              <w:t>0.</w:t>
            </w:r>
            <w:r>
              <w:rPr>
                <w:rFonts w:hint="eastAsia" w:ascii="Times New Roman" w:hAnsi="Times New Roman" w:eastAsia="宋体" w:cs="Times New Roman"/>
                <w:sz w:val="21"/>
                <w:szCs w:val="21"/>
                <w:highlight w:val="none"/>
                <w:lang w:val="en-US" w:eastAsia="zh-CN"/>
                <w14:ligatures w14:val="none"/>
              </w:rPr>
              <w:t>6</w:t>
            </w:r>
          </w:p>
        </w:tc>
        <w:tc>
          <w:tcPr>
            <w:tcW w:w="1667" w:type="dxa"/>
            <w:vAlign w:val="center"/>
          </w:tcPr>
          <w:p w14:paraId="06D2FD4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674B422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87DD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0FB84B52">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2C2E3A0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0474924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柴油罐</w:t>
            </w:r>
          </w:p>
        </w:tc>
        <w:tc>
          <w:tcPr>
            <w:tcW w:w="752" w:type="dxa"/>
            <w:vAlign w:val="center"/>
          </w:tcPr>
          <w:p w14:paraId="071BA98C">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南</w:t>
            </w:r>
          </w:p>
        </w:tc>
        <w:tc>
          <w:tcPr>
            <w:tcW w:w="932" w:type="dxa"/>
            <w:vAlign w:val="center"/>
          </w:tcPr>
          <w:p w14:paraId="4B4422D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0.5</w:t>
            </w:r>
          </w:p>
        </w:tc>
        <w:tc>
          <w:tcPr>
            <w:tcW w:w="1266" w:type="dxa"/>
            <w:vAlign w:val="center"/>
          </w:tcPr>
          <w:p w14:paraId="0FF9A126">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14:ligatures w14:val="none"/>
              </w:rPr>
              <w:t>0.</w:t>
            </w:r>
            <w:r>
              <w:rPr>
                <w:rFonts w:hint="eastAsia" w:ascii="Times New Roman" w:hAnsi="Times New Roman" w:eastAsia="宋体" w:cs="Times New Roman"/>
                <w:sz w:val="21"/>
                <w:szCs w:val="21"/>
                <w:highlight w:val="none"/>
                <w:lang w:val="en-US" w:eastAsia="zh-CN"/>
                <w14:ligatures w14:val="none"/>
              </w:rPr>
              <w:t>6</w:t>
            </w:r>
          </w:p>
        </w:tc>
        <w:tc>
          <w:tcPr>
            <w:tcW w:w="1667" w:type="dxa"/>
            <w:vAlign w:val="center"/>
          </w:tcPr>
          <w:p w14:paraId="76A7D8C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2033A64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4B856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0EBBFD21">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5CEA95A8">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2E7C307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站房</w:t>
            </w:r>
          </w:p>
        </w:tc>
        <w:tc>
          <w:tcPr>
            <w:tcW w:w="752" w:type="dxa"/>
            <w:vAlign w:val="center"/>
          </w:tcPr>
          <w:p w14:paraId="6D5CF8CF">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西南</w:t>
            </w:r>
          </w:p>
        </w:tc>
        <w:tc>
          <w:tcPr>
            <w:tcW w:w="932" w:type="dxa"/>
            <w:vAlign w:val="center"/>
          </w:tcPr>
          <w:p w14:paraId="22C20F6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w:t>
            </w:r>
          </w:p>
        </w:tc>
        <w:tc>
          <w:tcPr>
            <w:tcW w:w="1266" w:type="dxa"/>
            <w:vAlign w:val="center"/>
          </w:tcPr>
          <w:p w14:paraId="09D54247">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10.4</w:t>
            </w:r>
          </w:p>
        </w:tc>
        <w:tc>
          <w:tcPr>
            <w:tcW w:w="1667" w:type="dxa"/>
            <w:vAlign w:val="center"/>
          </w:tcPr>
          <w:p w14:paraId="555C543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5216B0B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02143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58F7F1DB">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3B063A6C">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78FC0F3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围墙</w:t>
            </w:r>
          </w:p>
        </w:tc>
        <w:tc>
          <w:tcPr>
            <w:tcW w:w="752" w:type="dxa"/>
            <w:vAlign w:val="center"/>
          </w:tcPr>
          <w:p w14:paraId="78E14E0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东</w:t>
            </w:r>
          </w:p>
        </w:tc>
        <w:tc>
          <w:tcPr>
            <w:tcW w:w="932" w:type="dxa"/>
            <w:vAlign w:val="center"/>
          </w:tcPr>
          <w:p w14:paraId="767A7B1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p>
        </w:tc>
        <w:tc>
          <w:tcPr>
            <w:tcW w:w="1266" w:type="dxa"/>
            <w:vAlign w:val="center"/>
          </w:tcPr>
          <w:p w14:paraId="53D01B02">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26.4</w:t>
            </w:r>
          </w:p>
        </w:tc>
        <w:tc>
          <w:tcPr>
            <w:tcW w:w="1667" w:type="dxa"/>
            <w:vAlign w:val="center"/>
          </w:tcPr>
          <w:p w14:paraId="71A901D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7BB8F82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1380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62682DCB">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restart"/>
            <w:vAlign w:val="center"/>
          </w:tcPr>
          <w:p w14:paraId="51B1A56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车用乙醇</w:t>
            </w:r>
            <w:r>
              <w:rPr>
                <w:rFonts w:ascii="Times New Roman" w:hAnsi="Times New Roman" w:eastAsia="宋体" w:cs="Times New Roman"/>
                <w:sz w:val="21"/>
                <w:szCs w:val="21"/>
                <w:highlight w:val="none"/>
                <w14:ligatures w14:val="none"/>
              </w:rPr>
              <w:t>汽油通气管口</w:t>
            </w:r>
          </w:p>
        </w:tc>
        <w:tc>
          <w:tcPr>
            <w:tcW w:w="1383" w:type="dxa"/>
            <w:vAlign w:val="center"/>
          </w:tcPr>
          <w:p w14:paraId="27235409">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宋体" w:eastAsia="宋体" w:cs="Times New Roman"/>
                <w:sz w:val="21"/>
                <w:szCs w:val="21"/>
                <w:highlight w:val="none"/>
                <w14:ligatures w14:val="none"/>
              </w:rPr>
              <w:t>密闭卸油点</w:t>
            </w:r>
          </w:p>
        </w:tc>
        <w:tc>
          <w:tcPr>
            <w:tcW w:w="752" w:type="dxa"/>
            <w:vAlign w:val="center"/>
          </w:tcPr>
          <w:p w14:paraId="115B9B2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北</w:t>
            </w:r>
          </w:p>
        </w:tc>
        <w:tc>
          <w:tcPr>
            <w:tcW w:w="932" w:type="dxa"/>
            <w:vAlign w:val="center"/>
          </w:tcPr>
          <w:p w14:paraId="025C4F1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w:t>
            </w:r>
          </w:p>
        </w:tc>
        <w:tc>
          <w:tcPr>
            <w:tcW w:w="1266" w:type="dxa"/>
            <w:vAlign w:val="center"/>
          </w:tcPr>
          <w:p w14:paraId="2A52B4A4">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9.1</w:t>
            </w:r>
          </w:p>
        </w:tc>
        <w:tc>
          <w:tcPr>
            <w:tcW w:w="1667" w:type="dxa"/>
            <w:vAlign w:val="center"/>
          </w:tcPr>
          <w:p w14:paraId="41E8D38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1C075AE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9CAF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3D4FACCD">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34A510A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3B7C00BA">
            <w:pPr>
              <w:spacing w:line="240" w:lineRule="auto"/>
              <w:ind w:firstLine="0" w:firstLineChars="0"/>
              <w:jc w:val="center"/>
              <w:rPr>
                <w:rFonts w:hint="eastAsia" w:ascii="Times New Roman" w:hAnsi="宋体"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站房</w:t>
            </w:r>
          </w:p>
        </w:tc>
        <w:tc>
          <w:tcPr>
            <w:tcW w:w="752" w:type="dxa"/>
            <w:vAlign w:val="center"/>
          </w:tcPr>
          <w:p w14:paraId="1F34AC4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西</w:t>
            </w:r>
          </w:p>
        </w:tc>
        <w:tc>
          <w:tcPr>
            <w:tcW w:w="932" w:type="dxa"/>
            <w:vAlign w:val="center"/>
          </w:tcPr>
          <w:p w14:paraId="42C2B97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4</w:t>
            </w:r>
          </w:p>
        </w:tc>
        <w:tc>
          <w:tcPr>
            <w:tcW w:w="1266" w:type="dxa"/>
            <w:vAlign w:val="center"/>
          </w:tcPr>
          <w:p w14:paraId="43514273">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11.2</w:t>
            </w:r>
          </w:p>
        </w:tc>
        <w:tc>
          <w:tcPr>
            <w:tcW w:w="1667" w:type="dxa"/>
            <w:vAlign w:val="center"/>
          </w:tcPr>
          <w:p w14:paraId="1F6F0F2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02A5B2D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01A0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6AFC1878">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6443AB7A">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1316592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围墙</w:t>
            </w:r>
          </w:p>
        </w:tc>
        <w:tc>
          <w:tcPr>
            <w:tcW w:w="752" w:type="dxa"/>
            <w:vAlign w:val="center"/>
          </w:tcPr>
          <w:p w14:paraId="5B666A2E">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东</w:t>
            </w:r>
          </w:p>
        </w:tc>
        <w:tc>
          <w:tcPr>
            <w:tcW w:w="932" w:type="dxa"/>
            <w:vAlign w:val="center"/>
          </w:tcPr>
          <w:p w14:paraId="0304581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p>
        </w:tc>
        <w:tc>
          <w:tcPr>
            <w:tcW w:w="1266" w:type="dxa"/>
            <w:vAlign w:val="center"/>
          </w:tcPr>
          <w:p w14:paraId="58B3CA49">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27.2</w:t>
            </w:r>
          </w:p>
        </w:tc>
        <w:tc>
          <w:tcPr>
            <w:tcW w:w="1667" w:type="dxa"/>
            <w:vAlign w:val="center"/>
          </w:tcPr>
          <w:p w14:paraId="04643641">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13821D0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223B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4190F3CA">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restart"/>
            <w:vAlign w:val="center"/>
          </w:tcPr>
          <w:p w14:paraId="70E5662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柴</w:t>
            </w:r>
            <w:r>
              <w:rPr>
                <w:rFonts w:ascii="Times New Roman" w:hAnsi="Times New Roman" w:eastAsia="宋体" w:cs="Times New Roman"/>
                <w:sz w:val="21"/>
                <w:szCs w:val="21"/>
                <w:highlight w:val="none"/>
                <w14:ligatures w14:val="none"/>
              </w:rPr>
              <w:t>油通气管口</w:t>
            </w:r>
          </w:p>
        </w:tc>
        <w:tc>
          <w:tcPr>
            <w:tcW w:w="1383" w:type="dxa"/>
            <w:vAlign w:val="center"/>
          </w:tcPr>
          <w:p w14:paraId="2B8C8A8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宋体" w:eastAsia="宋体" w:cs="Times New Roman"/>
                <w:sz w:val="21"/>
                <w:szCs w:val="21"/>
                <w:highlight w:val="none"/>
                <w14:ligatures w14:val="none"/>
              </w:rPr>
              <w:t>密闭卸油点</w:t>
            </w:r>
          </w:p>
        </w:tc>
        <w:tc>
          <w:tcPr>
            <w:tcW w:w="752" w:type="dxa"/>
            <w:vAlign w:val="center"/>
          </w:tcPr>
          <w:p w14:paraId="49AA7AD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北</w:t>
            </w:r>
          </w:p>
        </w:tc>
        <w:tc>
          <w:tcPr>
            <w:tcW w:w="932" w:type="dxa"/>
            <w:vAlign w:val="center"/>
          </w:tcPr>
          <w:p w14:paraId="2C36526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p>
        </w:tc>
        <w:tc>
          <w:tcPr>
            <w:tcW w:w="1266" w:type="dxa"/>
            <w:vAlign w:val="center"/>
          </w:tcPr>
          <w:p w14:paraId="3B0344C1">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9.1</w:t>
            </w:r>
          </w:p>
        </w:tc>
        <w:tc>
          <w:tcPr>
            <w:tcW w:w="1667" w:type="dxa"/>
            <w:vAlign w:val="center"/>
          </w:tcPr>
          <w:p w14:paraId="0771811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28716B0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130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501900A1">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6A39F6F4">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4CC3E00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站房</w:t>
            </w:r>
          </w:p>
        </w:tc>
        <w:tc>
          <w:tcPr>
            <w:tcW w:w="752" w:type="dxa"/>
            <w:vAlign w:val="center"/>
          </w:tcPr>
          <w:p w14:paraId="11757FC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西</w:t>
            </w:r>
          </w:p>
        </w:tc>
        <w:tc>
          <w:tcPr>
            <w:tcW w:w="932" w:type="dxa"/>
            <w:vAlign w:val="center"/>
          </w:tcPr>
          <w:p w14:paraId="63B2A61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3.5</w:t>
            </w:r>
          </w:p>
        </w:tc>
        <w:tc>
          <w:tcPr>
            <w:tcW w:w="1266" w:type="dxa"/>
            <w:vAlign w:val="center"/>
          </w:tcPr>
          <w:p w14:paraId="579B9DAC">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14:ligatures w14:val="none"/>
              </w:rPr>
              <w:t>1</w:t>
            </w:r>
            <w:r>
              <w:rPr>
                <w:rFonts w:hint="eastAsia" w:ascii="Times New Roman" w:hAnsi="Times New Roman" w:eastAsia="宋体" w:cs="Times New Roman"/>
                <w:sz w:val="21"/>
                <w:szCs w:val="21"/>
                <w:highlight w:val="none"/>
                <w:lang w:val="en-US" w:eastAsia="zh-CN"/>
                <w14:ligatures w14:val="none"/>
              </w:rPr>
              <w:t>1.0</w:t>
            </w:r>
          </w:p>
        </w:tc>
        <w:tc>
          <w:tcPr>
            <w:tcW w:w="1667" w:type="dxa"/>
            <w:vAlign w:val="center"/>
          </w:tcPr>
          <w:p w14:paraId="07FCA1FC">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01DEF381">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4F85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1297AE5B">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Merge w:val="continue"/>
            <w:vAlign w:val="center"/>
          </w:tcPr>
          <w:p w14:paraId="6008954D">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383" w:type="dxa"/>
            <w:vAlign w:val="center"/>
          </w:tcPr>
          <w:p w14:paraId="4454864F">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围墙</w:t>
            </w:r>
          </w:p>
        </w:tc>
        <w:tc>
          <w:tcPr>
            <w:tcW w:w="752" w:type="dxa"/>
            <w:vAlign w:val="center"/>
          </w:tcPr>
          <w:p w14:paraId="79B16EA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东</w:t>
            </w:r>
          </w:p>
        </w:tc>
        <w:tc>
          <w:tcPr>
            <w:tcW w:w="932" w:type="dxa"/>
            <w:vAlign w:val="center"/>
          </w:tcPr>
          <w:p w14:paraId="26EEAA0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w:t>
            </w:r>
          </w:p>
        </w:tc>
        <w:tc>
          <w:tcPr>
            <w:tcW w:w="1266" w:type="dxa"/>
            <w:vAlign w:val="center"/>
          </w:tcPr>
          <w:p w14:paraId="2CFC97CB">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27.4</w:t>
            </w:r>
          </w:p>
        </w:tc>
        <w:tc>
          <w:tcPr>
            <w:tcW w:w="1667" w:type="dxa"/>
            <w:vAlign w:val="center"/>
          </w:tcPr>
          <w:p w14:paraId="71581FC2">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5CC74D96">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40D9C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74A23E3C">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Align w:val="center"/>
          </w:tcPr>
          <w:p w14:paraId="0F3A8C3F">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车用乙醇汽油</w:t>
            </w:r>
            <w:r>
              <w:rPr>
                <w:rFonts w:ascii="Times New Roman" w:hAnsi="Times New Roman" w:eastAsia="宋体" w:cs="Times New Roman"/>
                <w:sz w:val="21"/>
                <w:szCs w:val="21"/>
                <w:highlight w:val="none"/>
                <w14:ligatures w14:val="none"/>
              </w:rPr>
              <w:t>加油机</w:t>
            </w:r>
            <w:r>
              <w:rPr>
                <w:rFonts w:hint="eastAsia" w:ascii="Times New Roman" w:hAnsi="Times New Roman" w:eastAsia="宋体" w:cs="Times New Roman"/>
                <w:sz w:val="21"/>
                <w:szCs w:val="21"/>
                <w:highlight w:val="none"/>
                <w14:ligatures w14:val="none"/>
              </w:rPr>
              <w:t>（柴油加油机）</w:t>
            </w:r>
          </w:p>
        </w:tc>
        <w:tc>
          <w:tcPr>
            <w:tcW w:w="1383" w:type="dxa"/>
            <w:vAlign w:val="center"/>
          </w:tcPr>
          <w:p w14:paraId="5422F78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宋体" w:eastAsia="宋体" w:cs="Times New Roman"/>
                <w:sz w:val="21"/>
                <w:szCs w:val="21"/>
                <w:highlight w:val="none"/>
                <w14:ligatures w14:val="none"/>
              </w:rPr>
              <w:t>站房</w:t>
            </w:r>
          </w:p>
        </w:tc>
        <w:tc>
          <w:tcPr>
            <w:tcW w:w="752" w:type="dxa"/>
            <w:vAlign w:val="center"/>
          </w:tcPr>
          <w:p w14:paraId="5C7E90B7">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南</w:t>
            </w:r>
          </w:p>
        </w:tc>
        <w:tc>
          <w:tcPr>
            <w:tcW w:w="932" w:type="dxa"/>
            <w:vAlign w:val="center"/>
          </w:tcPr>
          <w:p w14:paraId="7E82AFC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5（4）</w:t>
            </w:r>
          </w:p>
        </w:tc>
        <w:tc>
          <w:tcPr>
            <w:tcW w:w="1266" w:type="dxa"/>
            <w:vAlign w:val="center"/>
          </w:tcPr>
          <w:p w14:paraId="769EED7D">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5（1</w:t>
            </w:r>
            <w:r>
              <w:rPr>
                <w:rFonts w:hint="eastAsia" w:ascii="Times New Roman" w:hAnsi="Times New Roman" w:eastAsia="宋体" w:cs="Times New Roman"/>
                <w:sz w:val="21"/>
                <w:szCs w:val="21"/>
                <w:highlight w:val="none"/>
                <w:lang w:val="en-US" w:eastAsia="zh-CN"/>
                <w14:ligatures w14:val="none"/>
              </w:rPr>
              <w:t>5</w:t>
            </w:r>
            <w:r>
              <w:rPr>
                <w:rFonts w:hint="eastAsia" w:ascii="Times New Roman" w:hAnsi="Times New Roman" w:eastAsia="宋体" w:cs="Times New Roman"/>
                <w:sz w:val="21"/>
                <w:szCs w:val="21"/>
                <w:highlight w:val="none"/>
                <w14:ligatures w14:val="none"/>
              </w:rPr>
              <w:t>）</w:t>
            </w:r>
          </w:p>
        </w:tc>
        <w:tc>
          <w:tcPr>
            <w:tcW w:w="1667" w:type="dxa"/>
            <w:vAlign w:val="center"/>
          </w:tcPr>
          <w:p w14:paraId="4A09C03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73207FF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0704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445E39FF">
            <w:pPr>
              <w:pStyle w:val="46"/>
              <w:numPr>
                <w:ilvl w:val="0"/>
                <w:numId w:val="7"/>
              </w:numPr>
              <w:spacing w:line="240" w:lineRule="auto"/>
              <w:ind w:firstLineChars="0"/>
              <w:jc w:val="center"/>
              <w:rPr>
                <w:rFonts w:ascii="Times New Roman" w:hAnsi="Times New Roman" w:eastAsia="宋体" w:cs="Times New Roman"/>
                <w:sz w:val="21"/>
                <w:szCs w:val="21"/>
                <w:highlight w:val="none"/>
                <w14:ligatures w14:val="none"/>
              </w:rPr>
            </w:pPr>
          </w:p>
        </w:tc>
        <w:tc>
          <w:tcPr>
            <w:tcW w:w="1346" w:type="dxa"/>
            <w:vAlign w:val="center"/>
          </w:tcPr>
          <w:p w14:paraId="6DE3B6A3">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密闭卸油口</w:t>
            </w:r>
          </w:p>
        </w:tc>
        <w:tc>
          <w:tcPr>
            <w:tcW w:w="1383" w:type="dxa"/>
            <w:vAlign w:val="center"/>
          </w:tcPr>
          <w:p w14:paraId="53E28499">
            <w:pPr>
              <w:spacing w:line="240" w:lineRule="auto"/>
              <w:ind w:firstLine="0" w:firstLineChars="0"/>
              <w:jc w:val="center"/>
              <w:rPr>
                <w:rFonts w:hint="eastAsia" w:ascii="Times New Roman" w:hAnsi="宋体" w:eastAsia="宋体" w:cs="Times New Roman"/>
                <w:sz w:val="21"/>
                <w:szCs w:val="21"/>
                <w:highlight w:val="none"/>
                <w14:ligatures w14:val="none"/>
              </w:rPr>
            </w:pPr>
            <w:r>
              <w:rPr>
                <w:rFonts w:hint="eastAsia" w:ascii="Times New Roman" w:hAnsi="宋体" w:eastAsia="宋体" w:cs="Times New Roman"/>
                <w:sz w:val="21"/>
                <w:szCs w:val="21"/>
                <w:highlight w:val="none"/>
                <w14:ligatures w14:val="none"/>
              </w:rPr>
              <w:t>站房</w:t>
            </w:r>
          </w:p>
        </w:tc>
        <w:tc>
          <w:tcPr>
            <w:tcW w:w="752" w:type="dxa"/>
            <w:vAlign w:val="center"/>
          </w:tcPr>
          <w:p w14:paraId="3405C55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西南</w:t>
            </w:r>
          </w:p>
        </w:tc>
        <w:tc>
          <w:tcPr>
            <w:tcW w:w="932" w:type="dxa"/>
            <w:vAlign w:val="center"/>
          </w:tcPr>
          <w:p w14:paraId="5C6F5ED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5</w:t>
            </w:r>
          </w:p>
        </w:tc>
        <w:tc>
          <w:tcPr>
            <w:tcW w:w="1266" w:type="dxa"/>
            <w:vAlign w:val="center"/>
          </w:tcPr>
          <w:p w14:paraId="37960A3D">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19.8</w:t>
            </w:r>
          </w:p>
        </w:tc>
        <w:tc>
          <w:tcPr>
            <w:tcW w:w="1667" w:type="dxa"/>
            <w:vAlign w:val="center"/>
          </w:tcPr>
          <w:p w14:paraId="12139F7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GB50156-2021第5.0.13</w:t>
            </w:r>
            <w:r>
              <w:rPr>
                <w:rFonts w:hint="eastAsia" w:ascii="Times New Roman" w:hAnsi="Times New Roman" w:eastAsia="宋体" w:cs="Times New Roman"/>
                <w:sz w:val="21"/>
                <w:szCs w:val="21"/>
                <w:highlight w:val="none"/>
                <w14:ligatures w14:val="none"/>
              </w:rPr>
              <w:t>-1</w:t>
            </w:r>
            <w:r>
              <w:rPr>
                <w:rFonts w:ascii="Times New Roman" w:hAnsi="Times New Roman" w:eastAsia="宋体" w:cs="Times New Roman"/>
                <w:sz w:val="21"/>
                <w:szCs w:val="21"/>
                <w:highlight w:val="none"/>
                <w14:ligatures w14:val="none"/>
              </w:rPr>
              <w:t>条</w:t>
            </w:r>
          </w:p>
        </w:tc>
        <w:tc>
          <w:tcPr>
            <w:tcW w:w="1074" w:type="dxa"/>
            <w:vAlign w:val="center"/>
          </w:tcPr>
          <w:p w14:paraId="15D9D29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bl>
    <w:p w14:paraId="61B13C9B">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小结：站内加油部分工艺设备的建（构）筑物间的防火间距均符合《汽车加油加气加氢站技术标准》GB50156-2021表5.0.13-</w:t>
      </w:r>
      <w:r>
        <w:rPr>
          <w:rFonts w:hint="eastAsia" w:ascii="Times New Roman" w:hAnsi="Times New Roman" w:eastAsia="宋体" w:cs="Times New Roman"/>
          <w:szCs w:val="20"/>
          <w:highlight w:val="none"/>
          <w14:ligatures w14:val="none"/>
        </w:rPr>
        <w:t>1</w:t>
      </w:r>
      <w:r>
        <w:rPr>
          <w:rFonts w:ascii="Times New Roman" w:hAnsi="Times New Roman" w:eastAsia="宋体" w:cs="Times New Roman"/>
          <w:szCs w:val="20"/>
          <w:highlight w:val="none"/>
          <w14:ligatures w14:val="none"/>
        </w:rPr>
        <w:t>的要求。</w:t>
      </w:r>
    </w:p>
    <w:p w14:paraId="6C844D07">
      <w:pPr>
        <w:ind w:firstLine="560"/>
        <w:rPr>
          <w:rFonts w:ascii="Times New Roman" w:hAnsi="Times New Roman" w:eastAsia="宋体" w:cs="Times New Roman"/>
          <w:szCs w:val="20"/>
          <w:highlight w:val="none"/>
          <w:lang w:val="zh-CN"/>
          <w14:ligatures w14:val="none"/>
        </w:rPr>
      </w:pPr>
      <w:r>
        <w:rPr>
          <w:rFonts w:ascii="Times New Roman" w:hAnsi="Times New Roman" w:eastAsia="宋体" w:cs="Times New Roman"/>
          <w:szCs w:val="20"/>
          <w:highlight w:val="none"/>
          <w14:ligatures w14:val="none"/>
        </w:rPr>
        <w:t>安全检查表的检查结果为五个评价单元总检查项目共</w:t>
      </w:r>
      <w:r>
        <w:rPr>
          <w:rFonts w:hint="eastAsia" w:ascii="Times New Roman" w:hAnsi="Times New Roman" w:eastAsia="宋体" w:cs="Times New Roman"/>
          <w:szCs w:val="20"/>
          <w:highlight w:val="none"/>
          <w14:ligatures w14:val="none"/>
        </w:rPr>
        <w:t>133</w:t>
      </w:r>
      <w:r>
        <w:rPr>
          <w:rFonts w:ascii="Times New Roman" w:hAnsi="Times New Roman" w:eastAsia="宋体" w:cs="Times New Roman"/>
          <w:szCs w:val="20"/>
          <w:highlight w:val="none"/>
          <w14:ligatures w14:val="none"/>
        </w:rPr>
        <w:t>项，其中符合项为</w:t>
      </w:r>
      <w:r>
        <w:rPr>
          <w:rFonts w:hint="eastAsia" w:ascii="Times New Roman" w:hAnsi="Times New Roman" w:eastAsia="宋体" w:cs="Times New Roman"/>
          <w:szCs w:val="20"/>
          <w:highlight w:val="none"/>
          <w14:ligatures w14:val="none"/>
        </w:rPr>
        <w:t>126</w:t>
      </w:r>
      <w:r>
        <w:rPr>
          <w:rFonts w:ascii="Times New Roman" w:hAnsi="Times New Roman" w:eastAsia="宋体" w:cs="Times New Roman"/>
          <w:szCs w:val="20"/>
          <w:highlight w:val="none"/>
          <w14:ligatures w14:val="none"/>
        </w:rPr>
        <w:t>项，无关项为7项，检查结论汇总见下表。</w:t>
      </w:r>
    </w:p>
    <w:p w14:paraId="0CF06F5B">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附表4.1-5</w:t>
      </w:r>
      <w:r>
        <w:rPr>
          <w:rFonts w:hint="eastAsia" w:ascii="Times New Roman" w:hAnsi="Times New Roman" w:eastAsia="黑体"/>
          <w:sz w:val="24"/>
          <w:highlight w:val="none"/>
        </w:rPr>
        <w:t xml:space="preserve"> </w:t>
      </w:r>
      <w:r>
        <w:rPr>
          <w:rFonts w:ascii="Times New Roman" w:hAnsi="Times New Roman" w:eastAsia="黑体"/>
          <w:sz w:val="24"/>
          <w:highlight w:val="none"/>
        </w:rPr>
        <w:t xml:space="preserve"> 检查结论汇总表</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99"/>
        <w:gridCol w:w="1601"/>
        <w:gridCol w:w="1740"/>
        <w:gridCol w:w="1599"/>
        <w:gridCol w:w="1567"/>
      </w:tblGrid>
      <w:tr w14:paraId="0772E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exact"/>
        </w:trPr>
        <w:tc>
          <w:tcPr>
            <w:tcW w:w="1541" w:type="pct"/>
            <w:tcBorders>
              <w:top w:val="single" w:color="auto" w:sz="4" w:space="0"/>
              <w:left w:val="single" w:color="auto" w:sz="4" w:space="0"/>
              <w:bottom w:val="single" w:color="auto" w:sz="4" w:space="0"/>
              <w:right w:val="single" w:color="auto" w:sz="4" w:space="0"/>
              <w:tl2br w:val="single" w:color="auto" w:sz="4" w:space="0"/>
            </w:tcBorders>
            <w:vAlign w:val="center"/>
          </w:tcPr>
          <w:p w14:paraId="73D32CB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 xml:space="preserve">         </w:t>
            </w:r>
            <w:r>
              <w:rPr>
                <w:rFonts w:hint="eastAsia" w:ascii="Times New Roman" w:hAnsi="Times New Roman" w:eastAsia="宋体" w:cs="Times New Roman"/>
                <w:sz w:val="21"/>
                <w:szCs w:val="21"/>
                <w:highlight w:val="none"/>
                <w14:ligatures w14:val="none"/>
              </w:rPr>
              <w:t xml:space="preserve">    </w:t>
            </w:r>
            <w:r>
              <w:rPr>
                <w:rFonts w:ascii="Times New Roman" w:hAnsi="Times New Roman" w:eastAsia="宋体" w:cs="Times New Roman"/>
                <w:sz w:val="21"/>
                <w:szCs w:val="21"/>
                <w:highlight w:val="none"/>
                <w14:ligatures w14:val="none"/>
              </w:rPr>
              <w:t xml:space="preserve"> 类别</w:t>
            </w:r>
          </w:p>
          <w:p w14:paraId="7378265F">
            <w:pPr>
              <w:adjustRightInd/>
              <w:snapToGrid/>
              <w:spacing w:line="240" w:lineRule="auto"/>
              <w:ind w:firstLine="210" w:firstLineChars="10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单元</w:t>
            </w:r>
          </w:p>
        </w:tc>
        <w:tc>
          <w:tcPr>
            <w:tcW w:w="851" w:type="pct"/>
            <w:tcBorders>
              <w:top w:val="single" w:color="auto" w:sz="4" w:space="0"/>
              <w:left w:val="single" w:color="auto" w:sz="4" w:space="0"/>
              <w:bottom w:val="single" w:color="auto" w:sz="4" w:space="0"/>
              <w:right w:val="single" w:color="auto" w:sz="4" w:space="0"/>
            </w:tcBorders>
            <w:vAlign w:val="center"/>
          </w:tcPr>
          <w:p w14:paraId="1C2F7E5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总项</w:t>
            </w:r>
          </w:p>
        </w:tc>
        <w:tc>
          <w:tcPr>
            <w:tcW w:w="925" w:type="pct"/>
            <w:tcBorders>
              <w:top w:val="single" w:color="auto" w:sz="4" w:space="0"/>
              <w:left w:val="single" w:color="auto" w:sz="4" w:space="0"/>
              <w:bottom w:val="single" w:color="auto" w:sz="4" w:space="0"/>
              <w:right w:val="single" w:color="auto" w:sz="4" w:space="0"/>
            </w:tcBorders>
            <w:vAlign w:val="center"/>
          </w:tcPr>
          <w:p w14:paraId="17B7AE8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c>
          <w:tcPr>
            <w:tcW w:w="850" w:type="pct"/>
            <w:tcBorders>
              <w:top w:val="single" w:color="auto" w:sz="4" w:space="0"/>
              <w:left w:val="single" w:color="auto" w:sz="4" w:space="0"/>
              <w:bottom w:val="single" w:color="auto" w:sz="4" w:space="0"/>
              <w:right w:val="single" w:color="auto" w:sz="4" w:space="0"/>
            </w:tcBorders>
            <w:vAlign w:val="center"/>
          </w:tcPr>
          <w:p w14:paraId="690ED4D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不符合</w:t>
            </w:r>
          </w:p>
        </w:tc>
        <w:tc>
          <w:tcPr>
            <w:tcW w:w="833" w:type="pct"/>
            <w:tcBorders>
              <w:top w:val="single" w:color="auto" w:sz="4" w:space="0"/>
              <w:left w:val="single" w:color="auto" w:sz="4" w:space="0"/>
              <w:bottom w:val="single" w:color="auto" w:sz="4" w:space="0"/>
              <w:right w:val="single" w:color="auto" w:sz="4" w:space="0"/>
            </w:tcBorders>
            <w:vAlign w:val="center"/>
          </w:tcPr>
          <w:p w14:paraId="6CDE447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09DFD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5966599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安全管理单元</w:t>
            </w:r>
          </w:p>
        </w:tc>
        <w:tc>
          <w:tcPr>
            <w:tcW w:w="851" w:type="pct"/>
            <w:tcBorders>
              <w:top w:val="single" w:color="auto" w:sz="4" w:space="0"/>
              <w:left w:val="single" w:color="auto" w:sz="4" w:space="0"/>
              <w:bottom w:val="single" w:color="auto" w:sz="4" w:space="0"/>
              <w:right w:val="single" w:color="auto" w:sz="4" w:space="0"/>
            </w:tcBorders>
            <w:vAlign w:val="center"/>
          </w:tcPr>
          <w:p w14:paraId="48EEA26D">
            <w:pPr>
              <w:adjustRightInd/>
              <w:snapToGrid/>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15</w:t>
            </w:r>
          </w:p>
        </w:tc>
        <w:tc>
          <w:tcPr>
            <w:tcW w:w="925" w:type="pct"/>
            <w:tcBorders>
              <w:top w:val="single" w:color="auto" w:sz="4" w:space="0"/>
              <w:left w:val="single" w:color="auto" w:sz="4" w:space="0"/>
              <w:bottom w:val="single" w:color="auto" w:sz="4" w:space="0"/>
              <w:right w:val="single" w:color="auto" w:sz="4" w:space="0"/>
            </w:tcBorders>
            <w:vAlign w:val="center"/>
          </w:tcPr>
          <w:p w14:paraId="22DADF64">
            <w:pPr>
              <w:adjustRightInd/>
              <w:snapToGrid/>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15</w:t>
            </w:r>
          </w:p>
        </w:tc>
        <w:tc>
          <w:tcPr>
            <w:tcW w:w="850" w:type="pct"/>
            <w:tcBorders>
              <w:top w:val="single" w:color="auto" w:sz="4" w:space="0"/>
              <w:left w:val="single" w:color="auto" w:sz="4" w:space="0"/>
              <w:bottom w:val="single" w:color="auto" w:sz="4" w:space="0"/>
              <w:right w:val="single" w:color="auto" w:sz="4" w:space="0"/>
            </w:tcBorders>
            <w:vAlign w:val="center"/>
          </w:tcPr>
          <w:p w14:paraId="3D80963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0D85C13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1B5D0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1076AE9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选址</w:t>
            </w:r>
            <w:r>
              <w:rPr>
                <w:rFonts w:ascii="Times New Roman" w:hAnsi="Times New Roman" w:eastAsia="宋体" w:cs="Times New Roman"/>
                <w:sz w:val="21"/>
                <w:szCs w:val="21"/>
                <w:highlight w:val="none"/>
                <w14:ligatures w14:val="none"/>
              </w:rPr>
              <w:t>及总平面布置单元</w:t>
            </w:r>
          </w:p>
        </w:tc>
        <w:tc>
          <w:tcPr>
            <w:tcW w:w="851" w:type="pct"/>
            <w:tcBorders>
              <w:top w:val="single" w:color="auto" w:sz="4" w:space="0"/>
              <w:left w:val="single" w:color="auto" w:sz="4" w:space="0"/>
              <w:bottom w:val="single" w:color="auto" w:sz="4" w:space="0"/>
              <w:right w:val="single" w:color="auto" w:sz="4" w:space="0"/>
            </w:tcBorders>
            <w:vAlign w:val="center"/>
          </w:tcPr>
          <w:p w14:paraId="11DCFBA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8</w:t>
            </w:r>
          </w:p>
        </w:tc>
        <w:tc>
          <w:tcPr>
            <w:tcW w:w="925" w:type="pct"/>
            <w:tcBorders>
              <w:top w:val="single" w:color="auto" w:sz="4" w:space="0"/>
              <w:left w:val="single" w:color="auto" w:sz="4" w:space="0"/>
              <w:bottom w:val="single" w:color="auto" w:sz="4" w:space="0"/>
              <w:right w:val="single" w:color="auto" w:sz="4" w:space="0"/>
            </w:tcBorders>
            <w:vAlign w:val="center"/>
          </w:tcPr>
          <w:p w14:paraId="3CF77F6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8</w:t>
            </w:r>
          </w:p>
        </w:tc>
        <w:tc>
          <w:tcPr>
            <w:tcW w:w="850" w:type="pct"/>
            <w:tcBorders>
              <w:top w:val="single" w:color="auto" w:sz="4" w:space="0"/>
              <w:left w:val="single" w:color="auto" w:sz="4" w:space="0"/>
              <w:bottom w:val="single" w:color="auto" w:sz="4" w:space="0"/>
              <w:right w:val="single" w:color="auto" w:sz="4" w:space="0"/>
            </w:tcBorders>
            <w:vAlign w:val="center"/>
          </w:tcPr>
          <w:p w14:paraId="3446D8E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5FFAEF35">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0644C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5C1C448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加油工艺设备及设施单元</w:t>
            </w:r>
          </w:p>
        </w:tc>
        <w:tc>
          <w:tcPr>
            <w:tcW w:w="851" w:type="pct"/>
            <w:tcBorders>
              <w:top w:val="single" w:color="auto" w:sz="4" w:space="0"/>
              <w:left w:val="single" w:color="auto" w:sz="4" w:space="0"/>
              <w:bottom w:val="single" w:color="auto" w:sz="4" w:space="0"/>
              <w:right w:val="single" w:color="auto" w:sz="4" w:space="0"/>
            </w:tcBorders>
            <w:vAlign w:val="center"/>
          </w:tcPr>
          <w:p w14:paraId="7536B3B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39</w:t>
            </w:r>
          </w:p>
        </w:tc>
        <w:tc>
          <w:tcPr>
            <w:tcW w:w="925" w:type="pct"/>
            <w:tcBorders>
              <w:top w:val="single" w:color="auto" w:sz="4" w:space="0"/>
              <w:left w:val="single" w:color="auto" w:sz="4" w:space="0"/>
              <w:bottom w:val="single" w:color="auto" w:sz="4" w:space="0"/>
              <w:right w:val="single" w:color="auto" w:sz="4" w:space="0"/>
            </w:tcBorders>
            <w:vAlign w:val="center"/>
          </w:tcPr>
          <w:p w14:paraId="2986666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39</w:t>
            </w:r>
          </w:p>
        </w:tc>
        <w:tc>
          <w:tcPr>
            <w:tcW w:w="850" w:type="pct"/>
            <w:tcBorders>
              <w:top w:val="single" w:color="auto" w:sz="4" w:space="0"/>
              <w:left w:val="single" w:color="auto" w:sz="4" w:space="0"/>
              <w:bottom w:val="single" w:color="auto" w:sz="4" w:space="0"/>
              <w:right w:val="single" w:color="auto" w:sz="4" w:space="0"/>
            </w:tcBorders>
            <w:vAlign w:val="center"/>
          </w:tcPr>
          <w:p w14:paraId="7624D33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6BF600A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65C71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385CD39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公用工程及辅助单元</w:t>
            </w:r>
          </w:p>
        </w:tc>
        <w:tc>
          <w:tcPr>
            <w:tcW w:w="851" w:type="pct"/>
            <w:tcBorders>
              <w:top w:val="single" w:color="auto" w:sz="4" w:space="0"/>
              <w:left w:val="single" w:color="auto" w:sz="4" w:space="0"/>
              <w:bottom w:val="single" w:color="auto" w:sz="4" w:space="0"/>
              <w:right w:val="single" w:color="auto" w:sz="4" w:space="0"/>
            </w:tcBorders>
            <w:vAlign w:val="center"/>
          </w:tcPr>
          <w:p w14:paraId="37C3A040">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51</w:t>
            </w:r>
          </w:p>
        </w:tc>
        <w:tc>
          <w:tcPr>
            <w:tcW w:w="925" w:type="pct"/>
            <w:tcBorders>
              <w:top w:val="single" w:color="auto" w:sz="4" w:space="0"/>
              <w:left w:val="single" w:color="auto" w:sz="4" w:space="0"/>
              <w:bottom w:val="single" w:color="auto" w:sz="4" w:space="0"/>
              <w:right w:val="single" w:color="auto" w:sz="4" w:space="0"/>
            </w:tcBorders>
            <w:vAlign w:val="center"/>
          </w:tcPr>
          <w:p w14:paraId="22B5218E">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51</w:t>
            </w:r>
          </w:p>
        </w:tc>
        <w:tc>
          <w:tcPr>
            <w:tcW w:w="850" w:type="pct"/>
            <w:tcBorders>
              <w:top w:val="single" w:color="auto" w:sz="4" w:space="0"/>
              <w:left w:val="single" w:color="auto" w:sz="4" w:space="0"/>
              <w:bottom w:val="single" w:color="auto" w:sz="4" w:space="0"/>
              <w:right w:val="single" w:color="auto" w:sz="4" w:space="0"/>
            </w:tcBorders>
            <w:vAlign w:val="center"/>
          </w:tcPr>
          <w:p w14:paraId="1F71B04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0DEE4B1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1CBA2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53E1187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重大安全事故隐患判定单元</w:t>
            </w:r>
          </w:p>
        </w:tc>
        <w:tc>
          <w:tcPr>
            <w:tcW w:w="851" w:type="pct"/>
            <w:tcBorders>
              <w:top w:val="single" w:color="auto" w:sz="4" w:space="0"/>
              <w:left w:val="single" w:color="auto" w:sz="4" w:space="0"/>
              <w:bottom w:val="single" w:color="auto" w:sz="4" w:space="0"/>
              <w:right w:val="single" w:color="auto" w:sz="4" w:space="0"/>
            </w:tcBorders>
            <w:vAlign w:val="center"/>
          </w:tcPr>
          <w:p w14:paraId="1DC05F9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20</w:t>
            </w:r>
          </w:p>
        </w:tc>
        <w:tc>
          <w:tcPr>
            <w:tcW w:w="925" w:type="pct"/>
            <w:tcBorders>
              <w:top w:val="single" w:color="auto" w:sz="4" w:space="0"/>
              <w:left w:val="single" w:color="auto" w:sz="4" w:space="0"/>
              <w:bottom w:val="single" w:color="auto" w:sz="4" w:space="0"/>
              <w:right w:val="single" w:color="auto" w:sz="4" w:space="0"/>
            </w:tcBorders>
            <w:vAlign w:val="center"/>
          </w:tcPr>
          <w:p w14:paraId="7F3FD7E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13</w:t>
            </w:r>
          </w:p>
        </w:tc>
        <w:tc>
          <w:tcPr>
            <w:tcW w:w="850" w:type="pct"/>
            <w:tcBorders>
              <w:top w:val="single" w:color="auto" w:sz="4" w:space="0"/>
              <w:left w:val="single" w:color="auto" w:sz="4" w:space="0"/>
              <w:bottom w:val="single" w:color="auto" w:sz="4" w:space="0"/>
              <w:right w:val="single" w:color="auto" w:sz="4" w:space="0"/>
            </w:tcBorders>
            <w:vAlign w:val="center"/>
          </w:tcPr>
          <w:p w14:paraId="6328981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1C4C2C4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7</w:t>
            </w:r>
          </w:p>
        </w:tc>
      </w:tr>
      <w:tr w14:paraId="0BB76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7F42617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合计</w:t>
            </w:r>
          </w:p>
        </w:tc>
        <w:tc>
          <w:tcPr>
            <w:tcW w:w="851" w:type="pct"/>
            <w:tcBorders>
              <w:top w:val="single" w:color="auto" w:sz="4" w:space="0"/>
              <w:left w:val="single" w:color="auto" w:sz="4" w:space="0"/>
              <w:bottom w:val="single" w:color="auto" w:sz="4" w:space="0"/>
              <w:right w:val="single" w:color="auto" w:sz="4" w:space="0"/>
            </w:tcBorders>
            <w:vAlign w:val="center"/>
          </w:tcPr>
          <w:p w14:paraId="5D9B346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133</w:t>
            </w:r>
          </w:p>
        </w:tc>
        <w:tc>
          <w:tcPr>
            <w:tcW w:w="925" w:type="pct"/>
            <w:tcBorders>
              <w:top w:val="single" w:color="auto" w:sz="4" w:space="0"/>
              <w:left w:val="single" w:color="auto" w:sz="4" w:space="0"/>
              <w:bottom w:val="single" w:color="auto" w:sz="4" w:space="0"/>
              <w:right w:val="single" w:color="auto" w:sz="4" w:space="0"/>
            </w:tcBorders>
            <w:vAlign w:val="center"/>
          </w:tcPr>
          <w:p w14:paraId="1AF23BB5">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126</w:t>
            </w:r>
          </w:p>
        </w:tc>
        <w:tc>
          <w:tcPr>
            <w:tcW w:w="850" w:type="pct"/>
            <w:tcBorders>
              <w:top w:val="single" w:color="auto" w:sz="4" w:space="0"/>
              <w:left w:val="single" w:color="auto" w:sz="4" w:space="0"/>
              <w:bottom w:val="single" w:color="auto" w:sz="4" w:space="0"/>
              <w:right w:val="single" w:color="auto" w:sz="4" w:space="0"/>
            </w:tcBorders>
            <w:vAlign w:val="center"/>
          </w:tcPr>
          <w:p w14:paraId="01DFBC8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104EFFE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7</w:t>
            </w:r>
          </w:p>
        </w:tc>
      </w:tr>
      <w:bookmarkEnd w:id="116"/>
    </w:tbl>
    <w:p w14:paraId="7866F889">
      <w:pPr>
        <w:keepNext/>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17" w:name="_Toc1722"/>
      <w:bookmarkStart w:id="118" w:name="_Toc25787"/>
      <w:bookmarkStart w:id="119" w:name="_Toc187310036"/>
      <w:r>
        <w:rPr>
          <w:rFonts w:ascii="Times New Roman" w:hAnsi="Times New Roman" w:eastAsia="楷体" w:cs="Times New Roman"/>
          <w:b/>
          <w:bCs/>
          <w:sz w:val="32"/>
          <w:szCs w:val="32"/>
          <w:highlight w:val="none"/>
        </w:rPr>
        <w:t>F4.2作业条件危险性分析法定性评价过程</w:t>
      </w:r>
      <w:bookmarkEnd w:id="117"/>
      <w:bookmarkEnd w:id="118"/>
      <w:bookmarkEnd w:id="119"/>
    </w:p>
    <w:p w14:paraId="2159A6A5">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对</w:t>
      </w:r>
      <w:r>
        <w:rPr>
          <w:rFonts w:hint="eastAsia" w:ascii="Times New Roman" w:hAnsi="Times New Roman" w:eastAsia="宋体" w:cs="Times New Roman"/>
          <w:szCs w:val="20"/>
          <w:highlight w:val="none"/>
          <w14:ligatures w14:val="none"/>
        </w:rPr>
        <w:t>本项目工艺设备、设施</w:t>
      </w:r>
      <w:r>
        <w:rPr>
          <w:rFonts w:ascii="Times New Roman" w:hAnsi="Times New Roman" w:eastAsia="宋体" w:cs="Times New Roman"/>
          <w:szCs w:val="20"/>
          <w:highlight w:val="none"/>
          <w14:ligatures w14:val="none"/>
        </w:rPr>
        <w:t>采用作业条件危险性分析法进行危险度评价，评价过程及结果见附表F4.2-1。</w:t>
      </w:r>
    </w:p>
    <w:p w14:paraId="075AB99F">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附表4.2-1  作业条件危险性评价结果表</w:t>
      </w:r>
    </w:p>
    <w:tbl>
      <w:tblPr>
        <w:tblStyle w:val="32"/>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80"/>
        <w:gridCol w:w="782"/>
        <w:gridCol w:w="1415"/>
        <w:gridCol w:w="1099"/>
        <w:gridCol w:w="1415"/>
        <w:gridCol w:w="1413"/>
        <w:gridCol w:w="1371"/>
        <w:gridCol w:w="1131"/>
      </w:tblGrid>
      <w:tr w14:paraId="740C1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blHeader/>
        </w:trPr>
        <w:tc>
          <w:tcPr>
            <w:tcW w:w="415" w:type="pct"/>
            <w:vAlign w:val="center"/>
          </w:tcPr>
          <w:p w14:paraId="6D96BB92">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作业场所</w:t>
            </w:r>
          </w:p>
        </w:tc>
        <w:tc>
          <w:tcPr>
            <w:tcW w:w="416" w:type="pct"/>
            <w:vAlign w:val="center"/>
          </w:tcPr>
          <w:p w14:paraId="4AA6D2CA">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作业岗位</w:t>
            </w:r>
          </w:p>
        </w:tc>
        <w:tc>
          <w:tcPr>
            <w:tcW w:w="752" w:type="pct"/>
            <w:vAlign w:val="center"/>
          </w:tcPr>
          <w:p w14:paraId="7CF167DF">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危险、有害因素</w:t>
            </w:r>
          </w:p>
        </w:tc>
        <w:tc>
          <w:tcPr>
            <w:tcW w:w="584" w:type="pct"/>
            <w:vAlign w:val="center"/>
          </w:tcPr>
          <w:p w14:paraId="542AC3B5">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可能性（</w:t>
            </w:r>
            <w:r>
              <w:rPr>
                <w:rFonts w:ascii="Times New Roman" w:hAnsi="Times New Roman" w:eastAsia="宋体" w:cs="Times New Roman"/>
                <w:sz w:val="21"/>
                <w:highlight w:val="none"/>
                <w:lang w:val="zh-CN"/>
                <w14:ligatures w14:val="none"/>
              </w:rPr>
              <w:t>L</w:t>
            </w:r>
            <w:r>
              <w:rPr>
                <w:rFonts w:hint="eastAsia" w:ascii="Times New Roman" w:hAnsi="Times New Roman" w:eastAsia="宋体" w:cs="Times New Roman"/>
                <w:sz w:val="21"/>
                <w:highlight w:val="none"/>
                <w:lang w:val="zh-CN"/>
                <w14:ligatures w14:val="none"/>
              </w:rPr>
              <w:t>）</w:t>
            </w:r>
          </w:p>
        </w:tc>
        <w:tc>
          <w:tcPr>
            <w:tcW w:w="752" w:type="pct"/>
            <w:vAlign w:val="center"/>
          </w:tcPr>
          <w:p w14:paraId="07A2CD9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频繁程度（E）</w:t>
            </w:r>
          </w:p>
        </w:tc>
        <w:tc>
          <w:tcPr>
            <w:tcW w:w="751" w:type="pct"/>
            <w:vAlign w:val="center"/>
          </w:tcPr>
          <w:p w14:paraId="0BB62E1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事故后果（C）</w:t>
            </w:r>
          </w:p>
        </w:tc>
        <w:tc>
          <w:tcPr>
            <w:tcW w:w="729" w:type="pct"/>
            <w:vAlign w:val="center"/>
          </w:tcPr>
          <w:p w14:paraId="67120097">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危险性等级（D）</w:t>
            </w:r>
          </w:p>
        </w:tc>
        <w:tc>
          <w:tcPr>
            <w:tcW w:w="601" w:type="pct"/>
            <w:vAlign w:val="center"/>
          </w:tcPr>
          <w:p w14:paraId="38AD8676">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危险程度</w:t>
            </w:r>
          </w:p>
        </w:tc>
      </w:tr>
      <w:tr w14:paraId="105B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0F9C3D78">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卸油区</w:t>
            </w:r>
          </w:p>
        </w:tc>
        <w:tc>
          <w:tcPr>
            <w:tcW w:w="416" w:type="pct"/>
            <w:vMerge w:val="restart"/>
            <w:vAlign w:val="center"/>
          </w:tcPr>
          <w:p w14:paraId="77EEE10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卸油作业</w:t>
            </w:r>
          </w:p>
        </w:tc>
        <w:tc>
          <w:tcPr>
            <w:tcW w:w="752" w:type="pct"/>
            <w:vAlign w:val="center"/>
          </w:tcPr>
          <w:p w14:paraId="223CECB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1651200A">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4146DC06">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5673BB74">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29" w:type="pct"/>
            <w:vAlign w:val="center"/>
          </w:tcPr>
          <w:p w14:paraId="30EB32D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4A0A8347">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5BA42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F870FCC">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4B75B85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7E2E848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中毒和窒息</w:t>
            </w:r>
          </w:p>
        </w:tc>
        <w:tc>
          <w:tcPr>
            <w:tcW w:w="584" w:type="pct"/>
            <w:vAlign w:val="center"/>
          </w:tcPr>
          <w:p w14:paraId="599FFAF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696C1612">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729794C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3C340AE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33944EEA">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76B3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3938DD9">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6EB5796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42FF276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5197833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3C92BFC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64D448D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3EFAB971">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9</w:t>
            </w:r>
          </w:p>
        </w:tc>
        <w:tc>
          <w:tcPr>
            <w:tcW w:w="601" w:type="pct"/>
            <w:vAlign w:val="center"/>
          </w:tcPr>
          <w:p w14:paraId="33A9086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7FDB3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7C8D400">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1E7A014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498FF59B">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车辆伤害</w:t>
            </w:r>
          </w:p>
        </w:tc>
        <w:tc>
          <w:tcPr>
            <w:tcW w:w="584" w:type="pct"/>
            <w:vAlign w:val="center"/>
          </w:tcPr>
          <w:p w14:paraId="32CE1BF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2813B8B6">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3</w:t>
            </w:r>
          </w:p>
        </w:tc>
        <w:tc>
          <w:tcPr>
            <w:tcW w:w="751" w:type="pct"/>
            <w:vAlign w:val="center"/>
          </w:tcPr>
          <w:p w14:paraId="17A1D9C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372BD7C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9</w:t>
            </w:r>
          </w:p>
        </w:tc>
        <w:tc>
          <w:tcPr>
            <w:tcW w:w="601" w:type="pct"/>
            <w:vAlign w:val="center"/>
          </w:tcPr>
          <w:p w14:paraId="28026B4D">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570D2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B464F92">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restart"/>
            <w:vAlign w:val="center"/>
          </w:tcPr>
          <w:p w14:paraId="23674AA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检维修作业</w:t>
            </w:r>
          </w:p>
        </w:tc>
        <w:tc>
          <w:tcPr>
            <w:tcW w:w="752" w:type="pct"/>
            <w:vAlign w:val="center"/>
          </w:tcPr>
          <w:p w14:paraId="4CA81F31">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68C186E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6361E9B1">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3E4F22F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lang w:val="zh-CN"/>
                <w14:ligatures w14:val="none"/>
              </w:rPr>
              <w:t>1</w:t>
            </w:r>
          </w:p>
        </w:tc>
        <w:tc>
          <w:tcPr>
            <w:tcW w:w="729" w:type="pct"/>
            <w:vAlign w:val="center"/>
          </w:tcPr>
          <w:p w14:paraId="7CFD144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601" w:type="pct"/>
            <w:vAlign w:val="center"/>
          </w:tcPr>
          <w:p w14:paraId="13FFCAA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1F740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E7AB1D2">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340495F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2EFAD67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6801641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186AE683">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5819DC9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73319FF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51D2CFA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4AA36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6935A1A5">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加油作业区（罩棚、加油机附近）</w:t>
            </w:r>
          </w:p>
        </w:tc>
        <w:tc>
          <w:tcPr>
            <w:tcW w:w="416" w:type="pct"/>
            <w:vMerge w:val="restart"/>
            <w:vAlign w:val="center"/>
          </w:tcPr>
          <w:p w14:paraId="4987333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加油作业</w:t>
            </w:r>
          </w:p>
        </w:tc>
        <w:tc>
          <w:tcPr>
            <w:tcW w:w="752" w:type="pct"/>
            <w:vAlign w:val="center"/>
          </w:tcPr>
          <w:p w14:paraId="62C5DED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5C02A79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6CE4ECC7">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255C77B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6769973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36</w:t>
            </w:r>
          </w:p>
        </w:tc>
        <w:tc>
          <w:tcPr>
            <w:tcW w:w="601" w:type="pct"/>
            <w:vAlign w:val="center"/>
          </w:tcPr>
          <w:p w14:paraId="58DA52B2">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比较危险</w:t>
            </w:r>
          </w:p>
        </w:tc>
      </w:tr>
      <w:tr w14:paraId="2D10F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9E64D68">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1334886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616136A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中毒和窒息</w:t>
            </w:r>
          </w:p>
        </w:tc>
        <w:tc>
          <w:tcPr>
            <w:tcW w:w="584" w:type="pct"/>
            <w:vAlign w:val="center"/>
          </w:tcPr>
          <w:p w14:paraId="697B563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752" w:type="pct"/>
            <w:vAlign w:val="center"/>
          </w:tcPr>
          <w:p w14:paraId="3BA7BE92">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2D46B62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0CC73BE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36</w:t>
            </w:r>
          </w:p>
        </w:tc>
        <w:tc>
          <w:tcPr>
            <w:tcW w:w="601" w:type="pct"/>
            <w:vAlign w:val="center"/>
          </w:tcPr>
          <w:p w14:paraId="5251F42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比较危险</w:t>
            </w:r>
          </w:p>
        </w:tc>
      </w:tr>
      <w:tr w14:paraId="76BD6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F79FF9F">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065061B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54C0583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7204B6B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39E2F6B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532032D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154AF97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7851D74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4477A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FF4D593">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5EB23D2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76E09EF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车辆伤害</w:t>
            </w:r>
          </w:p>
        </w:tc>
        <w:tc>
          <w:tcPr>
            <w:tcW w:w="584" w:type="pct"/>
            <w:vAlign w:val="center"/>
          </w:tcPr>
          <w:p w14:paraId="224034F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143DA91A">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1C8D001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684974A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650D25FF">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304D8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D51F612">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0C59ECC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70DD58C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ascii="Times New Roman" w:hAnsi="Times New Roman" w:eastAsia="宋体" w:cs="Times New Roman"/>
                <w:sz w:val="21"/>
                <w:highlight w:val="none"/>
                <w14:ligatures w14:val="none"/>
              </w:rPr>
              <w:t>机械伤害</w:t>
            </w:r>
          </w:p>
        </w:tc>
        <w:tc>
          <w:tcPr>
            <w:tcW w:w="584" w:type="pct"/>
            <w:vAlign w:val="center"/>
          </w:tcPr>
          <w:p w14:paraId="76A36C8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76879E0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4BC77AA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3EB8D3A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601" w:type="pct"/>
            <w:vAlign w:val="center"/>
          </w:tcPr>
          <w:p w14:paraId="539C5AA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6D206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9022770">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52AFC7A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3C8C4FC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噪声与振动</w:t>
            </w:r>
          </w:p>
        </w:tc>
        <w:tc>
          <w:tcPr>
            <w:tcW w:w="584" w:type="pct"/>
            <w:vAlign w:val="center"/>
          </w:tcPr>
          <w:p w14:paraId="6DDE536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0532476D">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6</w:t>
            </w:r>
          </w:p>
        </w:tc>
        <w:tc>
          <w:tcPr>
            <w:tcW w:w="751" w:type="pct"/>
            <w:vAlign w:val="center"/>
          </w:tcPr>
          <w:p w14:paraId="74EACC4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6EABBC0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18</w:t>
            </w:r>
          </w:p>
        </w:tc>
        <w:tc>
          <w:tcPr>
            <w:tcW w:w="601" w:type="pct"/>
            <w:vAlign w:val="center"/>
          </w:tcPr>
          <w:p w14:paraId="4D591250">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2F74F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FA31DFC">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restart"/>
            <w:vAlign w:val="center"/>
          </w:tcPr>
          <w:p w14:paraId="3FC2355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ascii="Times New Roman" w:hAnsi="Times New Roman" w:eastAsia="宋体" w:cs="Times New Roman"/>
                <w:sz w:val="21"/>
                <w:highlight w:val="none"/>
                <w14:ligatures w14:val="none"/>
              </w:rPr>
              <w:t>检维修作业</w:t>
            </w:r>
          </w:p>
        </w:tc>
        <w:tc>
          <w:tcPr>
            <w:tcW w:w="752" w:type="pct"/>
            <w:vAlign w:val="center"/>
          </w:tcPr>
          <w:p w14:paraId="18865BC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757B81B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52" w:type="pct"/>
            <w:vAlign w:val="center"/>
          </w:tcPr>
          <w:p w14:paraId="1E2CFC17">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3ECFBC5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lang w:val="zh-CN"/>
                <w14:ligatures w14:val="none"/>
              </w:rPr>
              <w:t>1</w:t>
            </w:r>
          </w:p>
        </w:tc>
        <w:tc>
          <w:tcPr>
            <w:tcW w:w="729" w:type="pct"/>
            <w:vAlign w:val="center"/>
          </w:tcPr>
          <w:p w14:paraId="427877F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6</w:t>
            </w:r>
          </w:p>
        </w:tc>
        <w:tc>
          <w:tcPr>
            <w:tcW w:w="601" w:type="pct"/>
            <w:vAlign w:val="center"/>
          </w:tcPr>
          <w:p w14:paraId="229E56CF">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0C35D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586F841">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15EE9A1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7D9A8BAB">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触电</w:t>
            </w:r>
          </w:p>
        </w:tc>
        <w:tc>
          <w:tcPr>
            <w:tcW w:w="584" w:type="pct"/>
            <w:vAlign w:val="center"/>
          </w:tcPr>
          <w:p w14:paraId="2CED101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1D8FFF14">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3839743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0F2D171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4FDA7E8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稍有危险</w:t>
            </w:r>
          </w:p>
        </w:tc>
      </w:tr>
      <w:tr w14:paraId="2A354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FF0130D">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081788A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09E1571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物体打击</w:t>
            </w:r>
          </w:p>
        </w:tc>
        <w:tc>
          <w:tcPr>
            <w:tcW w:w="584" w:type="pct"/>
            <w:vAlign w:val="center"/>
          </w:tcPr>
          <w:p w14:paraId="24D6D59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60CCB93A">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28EAC8D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52272FE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446678C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367C3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D989A12">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225B73A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2971136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高处坠落</w:t>
            </w:r>
          </w:p>
        </w:tc>
        <w:tc>
          <w:tcPr>
            <w:tcW w:w="584" w:type="pct"/>
            <w:vAlign w:val="center"/>
          </w:tcPr>
          <w:p w14:paraId="72023DAB">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5B04AE7F">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5DA7353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72B0B10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7F854385">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0CA65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5D3BBA0">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06D1DEEB">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3C617F2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坍塌</w:t>
            </w:r>
          </w:p>
        </w:tc>
        <w:tc>
          <w:tcPr>
            <w:tcW w:w="584" w:type="pct"/>
            <w:vAlign w:val="center"/>
          </w:tcPr>
          <w:p w14:paraId="0358450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6C5CDE0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41BFA7FC">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709C53C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3846BBF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16219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3CB61F58">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站房</w:t>
            </w:r>
          </w:p>
        </w:tc>
        <w:tc>
          <w:tcPr>
            <w:tcW w:w="416" w:type="pct"/>
            <w:vMerge w:val="restart"/>
            <w:vAlign w:val="center"/>
          </w:tcPr>
          <w:p w14:paraId="31DD4F0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检维修作业</w:t>
            </w:r>
          </w:p>
        </w:tc>
        <w:tc>
          <w:tcPr>
            <w:tcW w:w="752" w:type="pct"/>
            <w:vAlign w:val="center"/>
          </w:tcPr>
          <w:p w14:paraId="122EAEFF">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火灾、爆炸</w:t>
            </w:r>
          </w:p>
        </w:tc>
        <w:tc>
          <w:tcPr>
            <w:tcW w:w="584" w:type="pct"/>
            <w:vAlign w:val="center"/>
          </w:tcPr>
          <w:p w14:paraId="23FC172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190FD9BB">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102089C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4B51EBD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20D13D19">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37A3C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2E0A88B">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1FAEB404">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0C3CB6E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物体打击</w:t>
            </w:r>
          </w:p>
        </w:tc>
        <w:tc>
          <w:tcPr>
            <w:tcW w:w="584" w:type="pct"/>
            <w:vAlign w:val="center"/>
          </w:tcPr>
          <w:p w14:paraId="104261CA">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5DAE44FE">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2</w:t>
            </w:r>
          </w:p>
        </w:tc>
        <w:tc>
          <w:tcPr>
            <w:tcW w:w="751" w:type="pct"/>
            <w:vAlign w:val="center"/>
          </w:tcPr>
          <w:p w14:paraId="0199B079">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29" w:type="pct"/>
            <w:vAlign w:val="center"/>
          </w:tcPr>
          <w:p w14:paraId="0013D087">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2</w:t>
            </w:r>
          </w:p>
        </w:tc>
        <w:tc>
          <w:tcPr>
            <w:tcW w:w="601" w:type="pct"/>
            <w:vAlign w:val="center"/>
          </w:tcPr>
          <w:p w14:paraId="133371DC">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0180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1235414">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635D541D">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0E70B601">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高处坠落</w:t>
            </w:r>
          </w:p>
        </w:tc>
        <w:tc>
          <w:tcPr>
            <w:tcW w:w="584" w:type="pct"/>
            <w:vAlign w:val="center"/>
          </w:tcPr>
          <w:p w14:paraId="1502F332">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2D388CCC">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6D7E3A75">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1E959E3B">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6CE3FD7F">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r w14:paraId="76F95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6B53699">
            <w:pPr>
              <w:autoSpaceDE w:val="0"/>
              <w:autoSpaceDN w:val="0"/>
              <w:spacing w:line="240" w:lineRule="auto"/>
              <w:ind w:firstLine="0" w:firstLineChars="0"/>
              <w:rPr>
                <w:rFonts w:ascii="Times New Roman" w:hAnsi="Times New Roman" w:eastAsia="宋体" w:cs="Times New Roman"/>
                <w:sz w:val="21"/>
                <w:highlight w:val="none"/>
                <w:lang w:val="zh-CN"/>
                <w14:ligatures w14:val="none"/>
              </w:rPr>
            </w:pPr>
          </w:p>
        </w:tc>
        <w:tc>
          <w:tcPr>
            <w:tcW w:w="416" w:type="pct"/>
            <w:vMerge w:val="continue"/>
            <w:vAlign w:val="center"/>
          </w:tcPr>
          <w:p w14:paraId="30FC59F6">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p>
        </w:tc>
        <w:tc>
          <w:tcPr>
            <w:tcW w:w="752" w:type="pct"/>
            <w:vAlign w:val="center"/>
          </w:tcPr>
          <w:p w14:paraId="5C13F128">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坍塌</w:t>
            </w:r>
          </w:p>
        </w:tc>
        <w:tc>
          <w:tcPr>
            <w:tcW w:w="584" w:type="pct"/>
            <w:vAlign w:val="center"/>
          </w:tcPr>
          <w:p w14:paraId="04176D9E">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1</w:t>
            </w:r>
          </w:p>
        </w:tc>
        <w:tc>
          <w:tcPr>
            <w:tcW w:w="752" w:type="pct"/>
            <w:vAlign w:val="center"/>
          </w:tcPr>
          <w:p w14:paraId="11D4F0F6">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hint="eastAsia" w:ascii="Times New Roman" w:hAnsi="Times New Roman" w:eastAsia="宋体" w:cs="Times New Roman"/>
                <w:sz w:val="21"/>
                <w:highlight w:val="none"/>
                <w:lang w:val="zh-CN"/>
                <w14:ligatures w14:val="none"/>
              </w:rPr>
              <w:t>1</w:t>
            </w:r>
          </w:p>
        </w:tc>
        <w:tc>
          <w:tcPr>
            <w:tcW w:w="751" w:type="pct"/>
            <w:vAlign w:val="center"/>
          </w:tcPr>
          <w:p w14:paraId="312CC770">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729" w:type="pct"/>
            <w:vAlign w:val="center"/>
          </w:tcPr>
          <w:p w14:paraId="1DEBE4C3">
            <w:pPr>
              <w:autoSpaceDE w:val="0"/>
              <w:autoSpaceDN w:val="0"/>
              <w:spacing w:line="240" w:lineRule="auto"/>
              <w:ind w:firstLine="0" w:firstLineChars="0"/>
              <w:jc w:val="center"/>
              <w:rPr>
                <w:rFonts w:ascii="Times New Roman" w:hAnsi="Times New Roman" w:eastAsia="宋体" w:cs="Times New Roman"/>
                <w:sz w:val="21"/>
                <w:highlight w:val="none"/>
                <w14:ligatures w14:val="none"/>
              </w:rPr>
            </w:pPr>
            <w:r>
              <w:rPr>
                <w:rFonts w:hint="eastAsia" w:ascii="Times New Roman" w:hAnsi="Times New Roman" w:eastAsia="宋体" w:cs="Times New Roman"/>
                <w:sz w:val="21"/>
                <w:highlight w:val="none"/>
                <w14:ligatures w14:val="none"/>
              </w:rPr>
              <w:t>3</w:t>
            </w:r>
          </w:p>
        </w:tc>
        <w:tc>
          <w:tcPr>
            <w:tcW w:w="601" w:type="pct"/>
            <w:vAlign w:val="center"/>
          </w:tcPr>
          <w:p w14:paraId="7DB3D4D8">
            <w:pPr>
              <w:autoSpaceDE w:val="0"/>
              <w:autoSpaceDN w:val="0"/>
              <w:spacing w:line="240" w:lineRule="auto"/>
              <w:ind w:firstLine="0" w:firstLineChars="0"/>
              <w:jc w:val="center"/>
              <w:rPr>
                <w:rFonts w:ascii="Times New Roman" w:hAnsi="Times New Roman" w:eastAsia="宋体" w:cs="Times New Roman"/>
                <w:sz w:val="21"/>
                <w:highlight w:val="none"/>
                <w:lang w:val="zh-CN"/>
                <w14:ligatures w14:val="none"/>
              </w:rPr>
            </w:pPr>
            <w:r>
              <w:rPr>
                <w:rFonts w:ascii="Times New Roman" w:hAnsi="Times New Roman" w:eastAsia="宋体" w:cs="Times New Roman"/>
                <w:sz w:val="21"/>
                <w:highlight w:val="none"/>
                <w:lang w:val="zh-CN"/>
                <w14:ligatures w14:val="none"/>
              </w:rPr>
              <w:t>稍有危险</w:t>
            </w:r>
          </w:p>
        </w:tc>
      </w:tr>
    </w:tbl>
    <w:p w14:paraId="5BF85DAE">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评价小结：通过作业条件危险性评价可知，该</w:t>
      </w:r>
      <w:r>
        <w:rPr>
          <w:rFonts w:hint="eastAsia" w:ascii="Times New Roman" w:hAnsi="Times New Roman" w:eastAsia="宋体" w:cs="Times New Roman"/>
          <w:szCs w:val="20"/>
          <w:highlight w:val="none"/>
          <w14:ligatures w14:val="none"/>
        </w:rPr>
        <w:t>站在卸油区进行卸油作业时发生</w:t>
      </w:r>
      <w:r>
        <w:rPr>
          <w:rFonts w:ascii="Times New Roman" w:hAnsi="Times New Roman" w:eastAsia="宋体" w:cs="Times New Roman"/>
          <w:szCs w:val="20"/>
          <w:highlight w:val="none"/>
          <w14:ligatures w14:val="none"/>
        </w:rPr>
        <w:t>火灾、爆炸</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中毒和窒息</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触电</w:t>
      </w:r>
      <w:r>
        <w:rPr>
          <w:rFonts w:hint="eastAsia" w:ascii="Times New Roman" w:hAnsi="Times New Roman" w:eastAsia="宋体" w:cs="Times New Roman"/>
          <w:szCs w:val="20"/>
          <w:highlight w:val="none"/>
          <w14:ligatures w14:val="none"/>
        </w:rPr>
        <w:t>及</w:t>
      </w:r>
      <w:r>
        <w:rPr>
          <w:rFonts w:ascii="Times New Roman" w:hAnsi="Times New Roman" w:eastAsia="宋体" w:cs="Times New Roman"/>
          <w:szCs w:val="20"/>
          <w:highlight w:val="none"/>
          <w14:ligatures w14:val="none"/>
        </w:rPr>
        <w:t>车辆伤害的危险程度为</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稍有危险</w:t>
      </w:r>
      <w:r>
        <w:rPr>
          <w:rFonts w:hint="eastAsia" w:ascii="Times New Roman" w:hAnsi="Times New Roman" w:eastAsia="宋体" w:cs="Times New Roman"/>
          <w:szCs w:val="20"/>
          <w:highlight w:val="none"/>
          <w14:ligatures w14:val="none"/>
        </w:rPr>
        <w:t>”；进行检维修作业时发生</w:t>
      </w:r>
      <w:r>
        <w:rPr>
          <w:rFonts w:ascii="Times New Roman" w:hAnsi="Times New Roman" w:eastAsia="宋体" w:cs="Times New Roman"/>
          <w:szCs w:val="20"/>
          <w:highlight w:val="none"/>
          <w14:ligatures w14:val="none"/>
        </w:rPr>
        <w:t>火灾、爆炸</w:t>
      </w:r>
      <w:r>
        <w:rPr>
          <w:rFonts w:hint="eastAsia" w:ascii="Times New Roman" w:hAnsi="Times New Roman" w:eastAsia="宋体" w:cs="Times New Roman"/>
          <w:szCs w:val="20"/>
          <w:highlight w:val="none"/>
          <w14:ligatures w14:val="none"/>
        </w:rPr>
        <w:t>及</w:t>
      </w:r>
      <w:r>
        <w:rPr>
          <w:rFonts w:ascii="Times New Roman" w:hAnsi="Times New Roman" w:eastAsia="宋体" w:cs="Times New Roman"/>
          <w:szCs w:val="20"/>
          <w:highlight w:val="none"/>
          <w14:ligatures w14:val="none"/>
        </w:rPr>
        <w:t>触电的危险程度</w:t>
      </w:r>
      <w:r>
        <w:rPr>
          <w:rFonts w:hint="eastAsia" w:ascii="Times New Roman" w:hAnsi="Times New Roman" w:eastAsia="宋体" w:cs="Times New Roman"/>
          <w:szCs w:val="20"/>
          <w:highlight w:val="none"/>
          <w14:ligatures w14:val="none"/>
        </w:rPr>
        <w:t>为“</w:t>
      </w:r>
      <w:r>
        <w:rPr>
          <w:rFonts w:ascii="Times New Roman" w:hAnsi="Times New Roman" w:eastAsia="宋体" w:cs="Times New Roman"/>
          <w:szCs w:val="20"/>
          <w:highlight w:val="none"/>
          <w14:ligatures w14:val="none"/>
        </w:rPr>
        <w:t>稍有危险</w:t>
      </w:r>
      <w:r>
        <w:rPr>
          <w:rFonts w:hint="eastAsia" w:ascii="Times New Roman" w:hAnsi="Times New Roman" w:eastAsia="宋体" w:cs="Times New Roman"/>
          <w:szCs w:val="20"/>
          <w:highlight w:val="none"/>
          <w14:ligatures w14:val="none"/>
        </w:rPr>
        <w:t>”；在</w:t>
      </w:r>
      <w:r>
        <w:rPr>
          <w:rFonts w:ascii="Times New Roman" w:hAnsi="Times New Roman" w:eastAsia="宋体" w:cs="Times New Roman"/>
          <w:szCs w:val="20"/>
          <w:highlight w:val="none"/>
          <w14:ligatures w14:val="none"/>
        </w:rPr>
        <w:t>加油作业区</w:t>
      </w:r>
      <w:r>
        <w:rPr>
          <w:rFonts w:hint="eastAsia" w:ascii="Times New Roman" w:hAnsi="Times New Roman" w:eastAsia="宋体" w:cs="Times New Roman"/>
          <w:szCs w:val="20"/>
          <w:highlight w:val="none"/>
          <w14:ligatures w14:val="none"/>
        </w:rPr>
        <w:t>进行加油作业时发生</w:t>
      </w:r>
      <w:r>
        <w:rPr>
          <w:rFonts w:ascii="Times New Roman" w:hAnsi="Times New Roman" w:eastAsia="宋体" w:cs="Times New Roman"/>
          <w:szCs w:val="20"/>
          <w:highlight w:val="none"/>
          <w14:ligatures w14:val="none"/>
        </w:rPr>
        <w:t>火灾、爆炸</w:t>
      </w:r>
      <w:r>
        <w:rPr>
          <w:rFonts w:hint="eastAsia" w:ascii="Times New Roman" w:hAnsi="Times New Roman" w:eastAsia="宋体" w:cs="Times New Roman"/>
          <w:szCs w:val="20"/>
          <w:highlight w:val="none"/>
          <w14:ligatures w14:val="none"/>
        </w:rPr>
        <w:t>及</w:t>
      </w:r>
      <w:r>
        <w:rPr>
          <w:rFonts w:ascii="Times New Roman" w:hAnsi="Times New Roman" w:eastAsia="宋体" w:cs="Times New Roman"/>
          <w:szCs w:val="20"/>
          <w:highlight w:val="none"/>
          <w14:ligatures w14:val="none"/>
        </w:rPr>
        <w:t>中毒和窒息的危险程度</w:t>
      </w:r>
      <w:r>
        <w:rPr>
          <w:rFonts w:hint="eastAsia" w:ascii="Times New Roman" w:hAnsi="Times New Roman" w:eastAsia="宋体" w:cs="Times New Roman"/>
          <w:szCs w:val="20"/>
          <w:highlight w:val="none"/>
          <w14:ligatures w14:val="none"/>
        </w:rPr>
        <w:t>为“比较危险”、发生</w:t>
      </w:r>
      <w:r>
        <w:rPr>
          <w:rFonts w:ascii="Times New Roman" w:hAnsi="Times New Roman" w:eastAsia="宋体" w:cs="Times New Roman"/>
          <w:szCs w:val="20"/>
          <w:highlight w:val="none"/>
          <w14:ligatures w14:val="none"/>
        </w:rPr>
        <w:t>触电</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车辆伤害</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机械伤害</w:t>
      </w:r>
      <w:r>
        <w:rPr>
          <w:rFonts w:hint="eastAsia" w:ascii="Times New Roman" w:hAnsi="Times New Roman" w:eastAsia="宋体" w:cs="Times New Roman"/>
          <w:szCs w:val="20"/>
          <w:highlight w:val="none"/>
          <w14:ligatures w14:val="none"/>
        </w:rPr>
        <w:t>及</w:t>
      </w:r>
      <w:r>
        <w:rPr>
          <w:rFonts w:ascii="Times New Roman" w:hAnsi="Times New Roman" w:eastAsia="宋体" w:cs="Times New Roman"/>
          <w:szCs w:val="20"/>
          <w:highlight w:val="none"/>
          <w14:ligatures w14:val="none"/>
        </w:rPr>
        <w:t>噪声与振动的危险程度</w:t>
      </w:r>
      <w:r>
        <w:rPr>
          <w:rFonts w:hint="eastAsia" w:ascii="Times New Roman" w:hAnsi="Times New Roman" w:eastAsia="宋体" w:cs="Times New Roman"/>
          <w:szCs w:val="20"/>
          <w:highlight w:val="none"/>
          <w14:ligatures w14:val="none"/>
        </w:rPr>
        <w:t>为“</w:t>
      </w:r>
      <w:r>
        <w:rPr>
          <w:rFonts w:ascii="Times New Roman" w:hAnsi="Times New Roman" w:eastAsia="宋体" w:cs="Times New Roman"/>
          <w:szCs w:val="20"/>
          <w:highlight w:val="none"/>
          <w14:ligatures w14:val="none"/>
        </w:rPr>
        <w:t>稍有危险</w:t>
      </w:r>
      <w:r>
        <w:rPr>
          <w:rFonts w:hint="eastAsia" w:ascii="Times New Roman" w:hAnsi="Times New Roman" w:eastAsia="宋体" w:cs="Times New Roman"/>
          <w:szCs w:val="20"/>
          <w:highlight w:val="none"/>
          <w14:ligatures w14:val="none"/>
        </w:rPr>
        <w:t>”；进行</w:t>
      </w:r>
      <w:r>
        <w:rPr>
          <w:rFonts w:ascii="Times New Roman" w:hAnsi="Times New Roman" w:eastAsia="宋体" w:cs="Times New Roman"/>
          <w:szCs w:val="20"/>
          <w:highlight w:val="none"/>
          <w14:ligatures w14:val="none"/>
        </w:rPr>
        <w:t>检维修作业</w:t>
      </w:r>
      <w:r>
        <w:rPr>
          <w:rFonts w:hint="eastAsia" w:ascii="Times New Roman" w:hAnsi="Times New Roman" w:eastAsia="宋体" w:cs="Times New Roman"/>
          <w:szCs w:val="20"/>
          <w:highlight w:val="none"/>
          <w14:ligatures w14:val="none"/>
        </w:rPr>
        <w:t>时发生</w:t>
      </w:r>
      <w:r>
        <w:rPr>
          <w:rFonts w:ascii="Times New Roman" w:hAnsi="Times New Roman" w:eastAsia="宋体" w:cs="Times New Roman"/>
          <w:szCs w:val="20"/>
          <w:highlight w:val="none"/>
          <w14:ligatures w14:val="none"/>
        </w:rPr>
        <w:t>火灾、爆炸</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触电</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物体打击</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高处坠落</w:t>
      </w:r>
      <w:r>
        <w:rPr>
          <w:rFonts w:hint="eastAsia" w:ascii="Times New Roman" w:hAnsi="Times New Roman" w:eastAsia="宋体" w:cs="Times New Roman"/>
          <w:szCs w:val="20"/>
          <w:highlight w:val="none"/>
          <w14:ligatures w14:val="none"/>
        </w:rPr>
        <w:t>及</w:t>
      </w:r>
      <w:r>
        <w:rPr>
          <w:rFonts w:ascii="Times New Roman" w:hAnsi="Times New Roman" w:eastAsia="宋体" w:cs="Times New Roman"/>
          <w:szCs w:val="20"/>
          <w:highlight w:val="none"/>
          <w14:ligatures w14:val="none"/>
        </w:rPr>
        <w:t>坍塌的危险程度为</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稍有危险</w:t>
      </w:r>
      <w:r>
        <w:rPr>
          <w:rFonts w:hint="eastAsia" w:ascii="Times New Roman" w:hAnsi="Times New Roman" w:eastAsia="宋体" w:cs="Times New Roman"/>
          <w:szCs w:val="20"/>
          <w:highlight w:val="none"/>
          <w14:ligatures w14:val="none"/>
        </w:rPr>
        <w:t>”；在站房进行检维修作业时发生</w:t>
      </w:r>
      <w:r>
        <w:rPr>
          <w:rFonts w:ascii="Times New Roman" w:hAnsi="Times New Roman" w:eastAsia="宋体" w:cs="Times New Roman"/>
          <w:szCs w:val="20"/>
          <w:highlight w:val="none"/>
          <w14:ligatures w14:val="none"/>
        </w:rPr>
        <w:t>火灾、爆炸</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物体打击</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高处坠落</w:t>
      </w:r>
      <w:r>
        <w:rPr>
          <w:rFonts w:hint="eastAsia" w:ascii="Times New Roman" w:hAnsi="Times New Roman" w:eastAsia="宋体" w:cs="Times New Roman"/>
          <w:szCs w:val="20"/>
          <w:highlight w:val="none"/>
          <w14:ligatures w14:val="none"/>
        </w:rPr>
        <w:t>及</w:t>
      </w:r>
      <w:r>
        <w:rPr>
          <w:rFonts w:ascii="Times New Roman" w:hAnsi="Times New Roman" w:eastAsia="宋体" w:cs="Times New Roman"/>
          <w:szCs w:val="20"/>
          <w:highlight w:val="none"/>
          <w14:ligatures w14:val="none"/>
        </w:rPr>
        <w:t>坍塌的危险程度为</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稍有危险</w:t>
      </w:r>
      <w:r>
        <w:rPr>
          <w:rFonts w:hint="eastAsia" w:ascii="Times New Roman" w:hAnsi="Times New Roman" w:eastAsia="宋体" w:cs="Times New Roman"/>
          <w:szCs w:val="20"/>
          <w:highlight w:val="none"/>
          <w14:ligatures w14:val="none"/>
        </w:rPr>
        <w:t>”，企业</w:t>
      </w:r>
      <w:r>
        <w:rPr>
          <w:rFonts w:ascii="Times New Roman" w:hAnsi="Times New Roman" w:eastAsia="宋体" w:cs="Times New Roman"/>
          <w:szCs w:val="20"/>
          <w:highlight w:val="none"/>
          <w14:ligatures w14:val="none"/>
        </w:rPr>
        <w:t>在对以上岗位事故风险采取相应的安全对策措施后，事故风险可控制在可接受的范围内。</w:t>
      </w:r>
    </w:p>
    <w:p w14:paraId="622ECF86">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20" w:name="_Toc1691"/>
      <w:bookmarkStart w:id="121" w:name="_Toc13815"/>
      <w:bookmarkStart w:id="122" w:name="_Toc8035"/>
      <w:bookmarkStart w:id="123" w:name="_Toc187310037"/>
      <w:r>
        <w:rPr>
          <w:rFonts w:ascii="Times New Roman" w:hAnsi="Times New Roman" w:eastAsia="楷体" w:cs="Times New Roman"/>
          <w:b/>
          <w:bCs/>
          <w:sz w:val="32"/>
          <w:szCs w:val="32"/>
          <w:highlight w:val="none"/>
        </w:rPr>
        <w:t>F4.3定量分析具有可燃性化学品的</w:t>
      </w:r>
      <w:bookmarkEnd w:id="120"/>
      <w:bookmarkEnd w:id="121"/>
      <w:r>
        <w:rPr>
          <w:rFonts w:ascii="Times New Roman" w:hAnsi="Times New Roman" w:eastAsia="楷体" w:cs="Times New Roman"/>
          <w:b/>
          <w:bCs/>
          <w:sz w:val="32"/>
          <w:szCs w:val="32"/>
          <w:highlight w:val="none"/>
        </w:rPr>
        <w:t>固有风险程度</w:t>
      </w:r>
      <w:bookmarkEnd w:id="122"/>
      <w:bookmarkEnd w:id="123"/>
    </w:p>
    <w:p w14:paraId="49135B9F">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站内储罐区物质泄漏后形成蒸汽云，蒸汽云爆炸的能量常用TNT当量描述，即将参与爆炸的可燃气体释放的能量折合为能释放相同能量的TNT炸药描述。</w:t>
      </w:r>
    </w:p>
    <w:p w14:paraId="05D45514">
      <w:pPr>
        <w:ind w:firstLine="560"/>
        <w:rPr>
          <w:rFonts w:ascii="Times New Roman" w:hAnsi="Times New Roman" w:eastAsia="宋体" w:cs="Times New Roman"/>
          <w:szCs w:val="28"/>
          <w:highlight w:val="none"/>
          <w14:ligatures w14:val="none"/>
        </w:rPr>
      </w:pPr>
      <w:r>
        <w:rPr>
          <w:rFonts w:hint="eastAsia" w:ascii="Times New Roman" w:hAnsi="Times New Roman" w:eastAsia="宋体" w:cs="Times New Roman"/>
          <w:szCs w:val="28"/>
          <w:highlight w:val="none"/>
          <w14:ligatures w14:val="none"/>
        </w:rPr>
        <w:t>本项目涉及</w:t>
      </w:r>
      <w:r>
        <w:rPr>
          <w:rFonts w:ascii="Times New Roman" w:hAnsi="Times New Roman" w:eastAsia="宋体" w:cs="Times New Roman"/>
          <w:szCs w:val="28"/>
          <w:highlight w:val="none"/>
          <w14:ligatures w14:val="none"/>
        </w:rPr>
        <w:t>物质的固有危险程度</w:t>
      </w:r>
      <w:r>
        <w:rPr>
          <w:rFonts w:hint="eastAsia" w:ascii="Times New Roman" w:hAnsi="Times New Roman" w:eastAsia="宋体" w:cs="Times New Roman"/>
          <w:szCs w:val="28"/>
          <w:highlight w:val="none"/>
          <w14:ligatures w14:val="none"/>
        </w:rPr>
        <w:t>表详见附表4.3-1，</w:t>
      </w:r>
      <w:r>
        <w:rPr>
          <w:rFonts w:ascii="Times New Roman" w:hAnsi="Times New Roman" w:eastAsia="宋体" w:cs="Times New Roman"/>
          <w:szCs w:val="28"/>
          <w:highlight w:val="none"/>
          <w14:ligatures w14:val="none"/>
        </w:rPr>
        <w:t>TNT当量</w:t>
      </w:r>
      <w:r>
        <w:rPr>
          <w:rFonts w:hint="eastAsia" w:ascii="Times New Roman" w:hAnsi="Times New Roman" w:eastAsia="宋体" w:cs="Times New Roman"/>
          <w:szCs w:val="28"/>
          <w:highlight w:val="none"/>
          <w14:ligatures w14:val="none"/>
        </w:rPr>
        <w:t>计算过程详见如下：</w:t>
      </w:r>
    </w:p>
    <w:p w14:paraId="33193810">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hint="eastAsia" w:ascii="Times New Roman" w:hAnsi="Times New Roman" w:eastAsia="黑体"/>
          <w:sz w:val="24"/>
          <w:highlight w:val="none"/>
        </w:rPr>
        <w:t>附</w:t>
      </w:r>
      <w:r>
        <w:rPr>
          <w:rFonts w:ascii="Times New Roman" w:hAnsi="Times New Roman" w:eastAsia="黑体"/>
          <w:sz w:val="24"/>
          <w:highlight w:val="none"/>
        </w:rPr>
        <w:t>表4.3-1  可燃性物质的固有危险程度情况表</w:t>
      </w:r>
    </w:p>
    <w:tbl>
      <w:tblPr>
        <w:tblStyle w:val="32"/>
        <w:tblW w:w="95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9"/>
        <w:gridCol w:w="879"/>
        <w:gridCol w:w="884"/>
        <w:gridCol w:w="862"/>
        <w:gridCol w:w="1720"/>
        <w:gridCol w:w="1950"/>
        <w:gridCol w:w="1105"/>
        <w:gridCol w:w="1648"/>
      </w:tblGrid>
      <w:tr w14:paraId="6A838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539" w:type="dxa"/>
            <w:vAlign w:val="center"/>
          </w:tcPr>
          <w:p w14:paraId="7D9CCC94">
            <w:pPr>
              <w:adjustRightInd/>
              <w:snapToGrid/>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序号</w:t>
            </w:r>
          </w:p>
        </w:tc>
        <w:tc>
          <w:tcPr>
            <w:tcW w:w="879" w:type="dxa"/>
            <w:vAlign w:val="center"/>
          </w:tcPr>
          <w:p w14:paraId="15D819C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物质</w:t>
            </w:r>
          </w:p>
          <w:p w14:paraId="5E42DF0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名称</w:t>
            </w:r>
          </w:p>
        </w:tc>
        <w:tc>
          <w:tcPr>
            <w:tcW w:w="884" w:type="dxa"/>
            <w:vAlign w:val="center"/>
          </w:tcPr>
          <w:p w14:paraId="6C0E3B20">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单</w:t>
            </w:r>
            <w:r>
              <w:rPr>
                <w:rFonts w:hint="eastAsia" w:ascii="Times New Roman" w:hAnsi="Times New Roman" w:eastAsia="宋体" w:cs="Times New Roman"/>
                <w:sz w:val="21"/>
                <w:szCs w:val="21"/>
                <w:highlight w:val="none"/>
                <w14:ligatures w14:val="none"/>
              </w:rPr>
              <w:t>座储罐</w:t>
            </w:r>
            <w:r>
              <w:rPr>
                <w:rFonts w:ascii="Times New Roman" w:hAnsi="Times New Roman" w:eastAsia="宋体" w:cs="Times New Roman"/>
                <w:sz w:val="21"/>
                <w:szCs w:val="21"/>
                <w:highlight w:val="none"/>
                <w14:ligatures w14:val="none"/>
              </w:rPr>
              <w:t>最大储存量</w:t>
            </w:r>
          </w:p>
        </w:tc>
        <w:tc>
          <w:tcPr>
            <w:tcW w:w="862" w:type="dxa"/>
            <w:vAlign w:val="center"/>
          </w:tcPr>
          <w:p w14:paraId="25C4BE5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相对</w:t>
            </w:r>
          </w:p>
          <w:p w14:paraId="350B842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分子量</w:t>
            </w:r>
          </w:p>
        </w:tc>
        <w:tc>
          <w:tcPr>
            <w:tcW w:w="1720" w:type="dxa"/>
            <w:vAlign w:val="center"/>
          </w:tcPr>
          <w:p w14:paraId="0CF1831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物质燃烧热</w:t>
            </w:r>
          </w:p>
        </w:tc>
        <w:tc>
          <w:tcPr>
            <w:tcW w:w="1950" w:type="dxa"/>
            <w:vAlign w:val="center"/>
          </w:tcPr>
          <w:p w14:paraId="25339BB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燃烧后放出的热量</w:t>
            </w:r>
          </w:p>
        </w:tc>
        <w:tc>
          <w:tcPr>
            <w:tcW w:w="1105" w:type="dxa"/>
            <w:vAlign w:val="center"/>
          </w:tcPr>
          <w:p w14:paraId="57F7292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W</w:t>
            </w:r>
            <w:r>
              <w:rPr>
                <w:rFonts w:ascii="Times New Roman" w:hAnsi="Times New Roman" w:eastAsia="宋体" w:cs="Times New Roman"/>
                <w:sz w:val="21"/>
                <w:szCs w:val="21"/>
                <w:highlight w:val="none"/>
                <w:vertAlign w:val="subscript"/>
                <w14:ligatures w14:val="none"/>
              </w:rPr>
              <w:t>TNT</w:t>
            </w:r>
          </w:p>
        </w:tc>
        <w:tc>
          <w:tcPr>
            <w:tcW w:w="1648" w:type="dxa"/>
            <w:vAlign w:val="center"/>
          </w:tcPr>
          <w:p w14:paraId="67BB1D1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相当于TNT的</w:t>
            </w:r>
          </w:p>
          <w:p w14:paraId="3DD0C6A5">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摩尔量</w:t>
            </w:r>
          </w:p>
        </w:tc>
      </w:tr>
      <w:tr w14:paraId="2A409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39" w:type="dxa"/>
            <w:vAlign w:val="center"/>
          </w:tcPr>
          <w:p w14:paraId="04545E5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w:t>
            </w:r>
          </w:p>
        </w:tc>
        <w:tc>
          <w:tcPr>
            <w:tcW w:w="879" w:type="dxa"/>
            <w:vAlign w:val="center"/>
          </w:tcPr>
          <w:p w14:paraId="6449195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车用乙醇</w:t>
            </w:r>
            <w:r>
              <w:rPr>
                <w:rFonts w:ascii="Times New Roman" w:hAnsi="Times New Roman" w:eastAsia="宋体" w:cs="Times New Roman"/>
                <w:sz w:val="21"/>
                <w:szCs w:val="21"/>
                <w:highlight w:val="none"/>
                <w14:ligatures w14:val="none"/>
              </w:rPr>
              <w:t>汽油</w:t>
            </w:r>
          </w:p>
        </w:tc>
        <w:tc>
          <w:tcPr>
            <w:tcW w:w="884" w:type="dxa"/>
            <w:vAlign w:val="center"/>
          </w:tcPr>
          <w:p w14:paraId="352E417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24</w:t>
            </w:r>
            <w:r>
              <w:rPr>
                <w:rFonts w:ascii="Times New Roman" w:hAnsi="Times New Roman" w:eastAsia="宋体" w:cs="Times New Roman"/>
                <w:sz w:val="21"/>
                <w:szCs w:val="21"/>
                <w:highlight w:val="none"/>
                <w14:ligatures w14:val="none"/>
              </w:rPr>
              <w:t>t</w:t>
            </w:r>
          </w:p>
        </w:tc>
        <w:tc>
          <w:tcPr>
            <w:tcW w:w="862" w:type="dxa"/>
            <w:vAlign w:val="center"/>
          </w:tcPr>
          <w:p w14:paraId="766D931E">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112</w:t>
            </w:r>
          </w:p>
        </w:tc>
        <w:tc>
          <w:tcPr>
            <w:tcW w:w="1720" w:type="dxa"/>
            <w:vAlign w:val="center"/>
          </w:tcPr>
          <w:p w14:paraId="5C31A48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bCs/>
                <w:sz w:val="21"/>
                <w:szCs w:val="21"/>
                <w:highlight w:val="none"/>
                <w:lang w:val="en-US" w:eastAsia="zh-CN"/>
                <w14:ligatures w14:val="none"/>
              </w:rPr>
              <w:t>45980</w:t>
            </w:r>
            <w:r>
              <w:rPr>
                <w:rFonts w:ascii="Times New Roman" w:hAnsi="Times New Roman" w:eastAsia="宋体" w:cs="Times New Roman"/>
                <w:bCs/>
                <w:sz w:val="21"/>
                <w:szCs w:val="21"/>
                <w:highlight w:val="none"/>
                <w14:ligatures w14:val="none"/>
              </w:rPr>
              <w:t>KJ/Kg</w:t>
            </w:r>
          </w:p>
        </w:tc>
        <w:tc>
          <w:tcPr>
            <w:tcW w:w="1950" w:type="dxa"/>
            <w:vAlign w:val="center"/>
          </w:tcPr>
          <w:p w14:paraId="0902CCB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bCs/>
                <w:sz w:val="21"/>
                <w:szCs w:val="21"/>
                <w:highlight w:val="none"/>
                <w:lang w:val="en-US" w:eastAsia="zh-CN"/>
                <w14:ligatures w14:val="none"/>
              </w:rPr>
              <w:t>1.1</w:t>
            </w:r>
            <w:r>
              <w:rPr>
                <w:rFonts w:ascii="Times New Roman" w:hAnsi="Times New Roman" w:eastAsia="宋体" w:cs="Times New Roman"/>
                <w:bCs/>
                <w:sz w:val="21"/>
                <w:szCs w:val="21"/>
                <w:highlight w:val="none"/>
                <w14:ligatures w14:val="none"/>
              </w:rPr>
              <w:t>×10</w:t>
            </w:r>
            <w:r>
              <w:rPr>
                <w:rFonts w:ascii="Times New Roman" w:hAnsi="Times New Roman" w:eastAsia="宋体" w:cs="Times New Roman"/>
                <w:bCs/>
                <w:sz w:val="21"/>
                <w:szCs w:val="21"/>
                <w:highlight w:val="none"/>
                <w:vertAlign w:val="superscript"/>
                <w14:ligatures w14:val="none"/>
              </w:rPr>
              <w:t>9</w:t>
            </w:r>
            <w:r>
              <w:rPr>
                <w:rFonts w:ascii="Times New Roman" w:hAnsi="Times New Roman" w:eastAsia="宋体" w:cs="Times New Roman"/>
                <w:bCs/>
                <w:sz w:val="21"/>
                <w:szCs w:val="21"/>
                <w:highlight w:val="none"/>
                <w14:ligatures w14:val="none"/>
              </w:rPr>
              <w:t>KJ</w:t>
            </w:r>
          </w:p>
        </w:tc>
        <w:tc>
          <w:tcPr>
            <w:tcW w:w="1105" w:type="dxa"/>
            <w:vAlign w:val="center"/>
          </w:tcPr>
          <w:p w14:paraId="548D78D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1.7</w:t>
            </w:r>
            <w:r>
              <w:rPr>
                <w:rFonts w:hint="eastAsia" w:ascii="Times New Roman" w:hAnsi="Times New Roman" w:eastAsia="宋体" w:cs="Times New Roman"/>
                <w:sz w:val="21"/>
                <w:szCs w:val="21"/>
                <w:highlight w:val="none"/>
                <w:lang w:val="en-US" w:eastAsia="zh-CN"/>
                <w14:ligatures w14:val="none"/>
              </w:rPr>
              <w:t>58</w:t>
            </w:r>
            <w:r>
              <w:rPr>
                <w:rFonts w:ascii="Times New Roman" w:hAnsi="Times New Roman" w:eastAsia="宋体" w:cs="Times New Roman"/>
                <w:sz w:val="21"/>
                <w:szCs w:val="21"/>
                <w:highlight w:val="none"/>
                <w14:ligatures w14:val="none"/>
              </w:rPr>
              <w:t>t</w:t>
            </w:r>
          </w:p>
        </w:tc>
        <w:tc>
          <w:tcPr>
            <w:tcW w:w="1648" w:type="dxa"/>
            <w:vAlign w:val="center"/>
          </w:tcPr>
          <w:p w14:paraId="2AA9B02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7.7</w:t>
            </w:r>
            <w:r>
              <w:rPr>
                <w:rFonts w:hint="eastAsia" w:ascii="Times New Roman" w:hAnsi="Times New Roman" w:eastAsia="宋体" w:cs="Times New Roman"/>
                <w:sz w:val="21"/>
                <w:szCs w:val="21"/>
                <w:highlight w:val="none"/>
                <w:lang w:val="en-US" w:eastAsia="zh-CN"/>
                <w14:ligatures w14:val="none"/>
              </w:rPr>
              <w:t>4</w:t>
            </w:r>
            <w:r>
              <w:rPr>
                <w:rFonts w:ascii="Times New Roman" w:hAnsi="Times New Roman" w:eastAsia="宋体" w:cs="Times New Roman"/>
                <w:sz w:val="21"/>
                <w:szCs w:val="21"/>
                <w:highlight w:val="none"/>
                <w14:ligatures w14:val="none"/>
              </w:rPr>
              <w:t>Kmol</w:t>
            </w:r>
          </w:p>
        </w:tc>
      </w:tr>
    </w:tbl>
    <w:p w14:paraId="1D59B596">
      <w:pPr>
        <w:ind w:firstLine="560"/>
        <w:rPr>
          <w:rFonts w:ascii="Times New Roman" w:hAnsi="Times New Roman" w:eastAsia="宋体" w:cs="Times New Roman"/>
          <w:szCs w:val="28"/>
          <w:highlight w:val="none"/>
          <w14:ligatures w14:val="none"/>
        </w:rPr>
      </w:pPr>
      <w:r>
        <w:rPr>
          <w:rFonts w:hint="eastAsia" w:ascii="Times New Roman" w:hAnsi="Times New Roman" w:eastAsia="宋体" w:cs="Times New Roman"/>
          <w:szCs w:val="28"/>
          <w:highlight w:val="none"/>
          <w14:ligatures w14:val="none"/>
        </w:rPr>
        <w:t>（1）</w:t>
      </w:r>
      <w:r>
        <w:rPr>
          <w:rFonts w:ascii="Times New Roman" w:hAnsi="Times New Roman" w:eastAsia="宋体" w:cs="Times New Roman"/>
          <w:szCs w:val="28"/>
          <w:highlight w:val="none"/>
          <w14:ligatures w14:val="none"/>
        </w:rPr>
        <w:t>TNT当量计算公式如下：</w:t>
      </w:r>
    </w:p>
    <w:p w14:paraId="2B0E3956">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=βAW</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Q</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/Q</w:t>
      </w:r>
      <w:r>
        <w:rPr>
          <w:rFonts w:ascii="Times New Roman" w:hAnsi="Times New Roman" w:eastAsia="宋体" w:cs="Times New Roman"/>
          <w:szCs w:val="28"/>
          <w:highlight w:val="none"/>
          <w:vertAlign w:val="subscript"/>
          <w14:ligatures w14:val="none"/>
        </w:rPr>
        <w:t>TNT</w:t>
      </w:r>
    </w:p>
    <w:p w14:paraId="558A503E">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式中：W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——蒸气云的TNT当量，kg；</w:t>
      </w:r>
    </w:p>
    <w:p w14:paraId="24CB7EEC">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 xml:space="preserve"> β——地面爆炸系数，取β=1.8；</w:t>
      </w:r>
    </w:p>
    <w:p w14:paraId="348D69DD">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 xml:space="preserve"> A——蒸气云的TNT当量系数，A=4%； </w:t>
      </w:r>
    </w:p>
    <w:p w14:paraId="44813241">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 xml:space="preserve"> W</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——蒸气云中燃料的总质量：kg；</w:t>
      </w:r>
    </w:p>
    <w:p w14:paraId="59D08562">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 xml:space="preserve"> Q</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——燃料的燃烧热，kJ/kg；</w:t>
      </w:r>
    </w:p>
    <w:p w14:paraId="3E1FFED4">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 xml:space="preserve"> </w:t>
      </w:r>
      <w:r>
        <w:rPr>
          <w:rFonts w:hint="eastAsia" w:ascii="Times New Roman" w:hAnsi="Times New Roman" w:eastAsia="宋体" w:cs="Times New Roman"/>
          <w:szCs w:val="28"/>
          <w:highlight w:val="none"/>
          <w14:ligatures w14:val="none"/>
        </w:rPr>
        <w:t xml:space="preserve">    </w:t>
      </w:r>
      <w:r>
        <w:rPr>
          <w:rFonts w:ascii="Times New Roman" w:hAnsi="Times New Roman" w:eastAsia="宋体" w:cs="Times New Roman"/>
          <w:szCs w:val="28"/>
          <w:highlight w:val="none"/>
          <w14:ligatures w14:val="none"/>
        </w:rPr>
        <w:t xml:space="preserve"> Q</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——TNT的爆热，QTNT=4520kJ/kg。</w:t>
      </w:r>
    </w:p>
    <w:p w14:paraId="46C2A286">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以</w:t>
      </w:r>
      <w:r>
        <w:rPr>
          <w:rFonts w:hint="eastAsia" w:ascii="Times New Roman" w:hAnsi="Times New Roman" w:eastAsia="宋体" w:cs="Times New Roman"/>
          <w:szCs w:val="28"/>
          <w:highlight w:val="none"/>
          <w14:ligatures w14:val="none"/>
        </w:rPr>
        <w:t>车用乙醇</w:t>
      </w:r>
      <w:r>
        <w:rPr>
          <w:rFonts w:ascii="Times New Roman" w:hAnsi="Times New Roman" w:eastAsia="宋体" w:cs="Times New Roman"/>
          <w:szCs w:val="28"/>
          <w:highlight w:val="none"/>
          <w14:ligatures w14:val="none"/>
        </w:rPr>
        <w:t>汽油储罐蒸汽云爆炸的TNT当量计算为例：</w:t>
      </w:r>
    </w:p>
    <w:p w14:paraId="793004BE">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本项目一</w:t>
      </w:r>
      <w:r>
        <w:rPr>
          <w:rFonts w:hint="eastAsia" w:ascii="Times New Roman" w:hAnsi="Times New Roman" w:eastAsia="宋体" w:cs="Times New Roman"/>
          <w:szCs w:val="28"/>
          <w:highlight w:val="none"/>
          <w14:ligatures w14:val="none"/>
        </w:rPr>
        <w:t>座</w:t>
      </w:r>
      <w:r>
        <w:rPr>
          <w:rFonts w:ascii="Times New Roman" w:hAnsi="Times New Roman" w:eastAsia="宋体" w:cs="Times New Roman"/>
          <w:szCs w:val="28"/>
          <w:highlight w:val="none"/>
          <w14:ligatures w14:val="none"/>
        </w:rPr>
        <w:t>埋地汽油罐</w:t>
      </w:r>
      <w:r>
        <w:rPr>
          <w:rFonts w:hint="eastAsia" w:ascii="Times New Roman" w:hAnsi="Times New Roman" w:eastAsia="宋体" w:cs="Times New Roman"/>
          <w:szCs w:val="28"/>
          <w:highlight w:val="none"/>
          <w14:ligatures w14:val="none"/>
        </w:rPr>
        <w:t>最大</w:t>
      </w:r>
      <w:r>
        <w:rPr>
          <w:rFonts w:ascii="Times New Roman" w:hAnsi="Times New Roman" w:eastAsia="宋体" w:cs="Times New Roman"/>
          <w:szCs w:val="28"/>
          <w:highlight w:val="none"/>
          <w14:ligatures w14:val="none"/>
        </w:rPr>
        <w:t>储存的质量为</w:t>
      </w:r>
      <w:r>
        <w:rPr>
          <w:rFonts w:hint="eastAsia" w:ascii="Times New Roman" w:hAnsi="Times New Roman" w:eastAsia="宋体" w:cs="Times New Roman"/>
          <w:szCs w:val="28"/>
          <w:highlight w:val="none"/>
          <w14:ligatures w14:val="none"/>
        </w:rPr>
        <w:t>24</w:t>
      </w:r>
      <w:r>
        <w:rPr>
          <w:rFonts w:ascii="Times New Roman" w:hAnsi="Times New Roman" w:eastAsia="宋体" w:cs="Times New Roman"/>
          <w:szCs w:val="28"/>
          <w:highlight w:val="none"/>
          <w14:ligatures w14:val="none"/>
        </w:rPr>
        <w:t>t，假设参加蒸气云爆炸的量为10%，则W</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w:t>
      </w:r>
      <w:r>
        <w:rPr>
          <w:rFonts w:hint="eastAsia" w:ascii="Times New Roman" w:hAnsi="Times New Roman" w:eastAsia="宋体" w:cs="Times New Roman"/>
          <w:szCs w:val="28"/>
          <w:highlight w:val="none"/>
          <w14:ligatures w14:val="none"/>
        </w:rPr>
        <w:t>4</w:t>
      </w:r>
      <w:r>
        <w:rPr>
          <w:rFonts w:ascii="Times New Roman" w:hAnsi="Times New Roman" w:eastAsia="宋体" w:cs="Times New Roman"/>
          <w:szCs w:val="28"/>
          <w:highlight w:val="none"/>
          <w14:ligatures w14:val="none"/>
        </w:rPr>
        <w:t>t。</w:t>
      </w:r>
    </w:p>
    <w:p w14:paraId="128F51EB">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=βAW</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Q</w:t>
      </w:r>
      <w:r>
        <w:rPr>
          <w:rFonts w:ascii="Times New Roman" w:hAnsi="Times New Roman" w:eastAsia="宋体" w:cs="Times New Roman"/>
          <w:szCs w:val="28"/>
          <w:highlight w:val="none"/>
          <w:vertAlign w:val="subscript"/>
          <w14:ligatures w14:val="none"/>
        </w:rPr>
        <w:t>f</w:t>
      </w:r>
      <w:r>
        <w:rPr>
          <w:rFonts w:ascii="Times New Roman" w:hAnsi="Times New Roman" w:eastAsia="宋体" w:cs="Times New Roman"/>
          <w:szCs w:val="28"/>
          <w:highlight w:val="none"/>
          <w14:ligatures w14:val="none"/>
        </w:rPr>
        <w:t>/Q</w:t>
      </w:r>
      <w:r>
        <w:rPr>
          <w:rFonts w:ascii="Times New Roman" w:hAnsi="Times New Roman" w:eastAsia="宋体" w:cs="Times New Roman"/>
          <w:szCs w:val="28"/>
          <w:highlight w:val="none"/>
          <w:vertAlign w:val="subscript"/>
          <w14:ligatures w14:val="none"/>
        </w:rPr>
        <w:t xml:space="preserve">TNT </w:t>
      </w:r>
      <w:r>
        <w:rPr>
          <w:rFonts w:ascii="Times New Roman" w:hAnsi="Times New Roman" w:eastAsia="宋体" w:cs="Times New Roman"/>
          <w:szCs w:val="28"/>
          <w:highlight w:val="none"/>
          <w14:ligatures w14:val="none"/>
        </w:rPr>
        <w:t>=1.8×0.04×</w:t>
      </w:r>
      <w:r>
        <w:rPr>
          <w:rFonts w:hint="eastAsia" w:ascii="Times New Roman" w:hAnsi="Times New Roman" w:eastAsia="宋体" w:cs="Times New Roman"/>
          <w:szCs w:val="28"/>
          <w:highlight w:val="none"/>
          <w14:ligatures w14:val="none"/>
        </w:rPr>
        <w:t>2.4</w:t>
      </w:r>
      <w:r>
        <w:rPr>
          <w:rFonts w:ascii="Times New Roman" w:hAnsi="Times New Roman" w:eastAsia="宋体" w:cs="Times New Roman"/>
          <w:szCs w:val="28"/>
          <w:highlight w:val="none"/>
          <w14:ligatures w14:val="none"/>
        </w:rPr>
        <w:t>×10</w:t>
      </w:r>
      <w:r>
        <w:rPr>
          <w:rFonts w:ascii="Times New Roman" w:hAnsi="Times New Roman" w:eastAsia="宋体" w:cs="Times New Roman"/>
          <w:szCs w:val="28"/>
          <w:highlight w:val="none"/>
          <w:vertAlign w:val="superscript"/>
          <w14:ligatures w14:val="none"/>
        </w:rPr>
        <w:t>3</w:t>
      </w:r>
      <w:r>
        <w:rPr>
          <w:rFonts w:ascii="Times New Roman" w:hAnsi="Times New Roman" w:eastAsia="宋体" w:cs="Times New Roman"/>
          <w:szCs w:val="28"/>
          <w:highlight w:val="none"/>
          <w14:ligatures w14:val="none"/>
        </w:rPr>
        <w:t>×</w:t>
      </w:r>
      <w:r>
        <w:rPr>
          <w:rFonts w:hint="eastAsia" w:ascii="Times New Roman" w:hAnsi="Times New Roman" w:eastAsia="宋体" w:cs="Times New Roman"/>
          <w:szCs w:val="28"/>
          <w:highlight w:val="none"/>
          <w:lang w:val="en-US" w:eastAsia="zh-CN"/>
          <w14:ligatures w14:val="none"/>
        </w:rPr>
        <w:t>45980</w:t>
      </w:r>
      <w:r>
        <w:rPr>
          <w:rFonts w:ascii="Times New Roman" w:hAnsi="Times New Roman" w:eastAsia="宋体" w:cs="Times New Roman"/>
          <w:szCs w:val="28"/>
          <w:highlight w:val="none"/>
          <w14:ligatures w14:val="none"/>
        </w:rPr>
        <w:t>0/4520</w:t>
      </w:r>
    </w:p>
    <w:p w14:paraId="586732A8">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w:t>
      </w:r>
      <w:r>
        <w:rPr>
          <w:rFonts w:hint="eastAsia" w:ascii="Times New Roman" w:hAnsi="Times New Roman" w:eastAsia="宋体" w:cs="Times New Roman"/>
          <w:szCs w:val="28"/>
          <w:highlight w:val="none"/>
          <w14:ligatures w14:val="none"/>
        </w:rPr>
        <w:t>1.7</w:t>
      </w:r>
      <w:r>
        <w:rPr>
          <w:rFonts w:hint="eastAsia" w:ascii="Times New Roman" w:hAnsi="Times New Roman" w:eastAsia="宋体" w:cs="Times New Roman"/>
          <w:szCs w:val="28"/>
          <w:highlight w:val="none"/>
          <w:lang w:val="en-US" w:eastAsia="zh-CN"/>
          <w14:ligatures w14:val="none"/>
        </w:rPr>
        <w:t>58</w:t>
      </w:r>
      <w:r>
        <w:rPr>
          <w:rFonts w:ascii="Times New Roman" w:hAnsi="Times New Roman" w:eastAsia="宋体" w:cs="Times New Roman"/>
          <w:szCs w:val="28"/>
          <w:highlight w:val="none"/>
          <w14:ligatures w14:val="none"/>
        </w:rPr>
        <w:t>×10</w:t>
      </w:r>
      <w:r>
        <w:rPr>
          <w:rFonts w:ascii="Times New Roman" w:hAnsi="Times New Roman" w:eastAsia="宋体" w:cs="Times New Roman"/>
          <w:szCs w:val="28"/>
          <w:highlight w:val="none"/>
          <w:vertAlign w:val="superscript"/>
          <w14:ligatures w14:val="none"/>
        </w:rPr>
        <w:t>3</w:t>
      </w:r>
      <w:r>
        <w:rPr>
          <w:rFonts w:ascii="Times New Roman" w:hAnsi="Times New Roman" w:eastAsia="宋体" w:cs="Times New Roman"/>
          <w:szCs w:val="28"/>
          <w:highlight w:val="none"/>
          <w14:ligatures w14:val="none"/>
        </w:rPr>
        <w:t>kg</w:t>
      </w:r>
    </w:p>
    <w:p w14:paraId="563A79FB">
      <w:pPr>
        <w:ind w:firstLine="560"/>
        <w:rPr>
          <w:rFonts w:ascii="Times New Roman" w:hAnsi="Times New Roman" w:eastAsia="宋体" w:cs="Times New Roman"/>
          <w:szCs w:val="28"/>
          <w:highlight w:val="none"/>
          <w14:ligatures w14:val="none"/>
        </w:rPr>
      </w:pPr>
      <w:r>
        <w:rPr>
          <w:rFonts w:ascii="Times New Roman" w:hAnsi="Times New Roman" w:eastAsia="宋体" w:cs="Times New Roman"/>
          <w:szCs w:val="28"/>
          <w:highlight w:val="none"/>
          <w14:ligatures w14:val="none"/>
        </w:rPr>
        <w:t>相当于梯恩梯（TNT）的摩尔量：</w:t>
      </w:r>
      <w:r>
        <w:rPr>
          <w:rFonts w:hint="eastAsia" w:ascii="Times New Roman" w:hAnsi="Times New Roman" w:eastAsia="宋体" w:cs="Times New Roman"/>
          <w:szCs w:val="28"/>
          <w:highlight w:val="none"/>
          <w14:ligatures w14:val="none"/>
        </w:rPr>
        <w:t>17</w:t>
      </w:r>
      <w:r>
        <w:rPr>
          <w:rFonts w:hint="eastAsia" w:ascii="Times New Roman" w:hAnsi="Times New Roman" w:eastAsia="宋体" w:cs="Times New Roman"/>
          <w:szCs w:val="28"/>
          <w:highlight w:val="none"/>
          <w:lang w:val="en-US" w:eastAsia="zh-CN"/>
          <w14:ligatures w14:val="none"/>
        </w:rPr>
        <w:t>58</w:t>
      </w:r>
      <w:r>
        <w:rPr>
          <w:rFonts w:ascii="Times New Roman" w:hAnsi="Times New Roman" w:eastAsia="宋体" w:cs="Times New Roman"/>
          <w:szCs w:val="28"/>
          <w:highlight w:val="none"/>
          <w14:ligatures w14:val="none"/>
        </w:rPr>
        <w:t>/227=</w:t>
      </w:r>
      <w:r>
        <w:rPr>
          <w:rFonts w:hint="eastAsia" w:ascii="Times New Roman" w:hAnsi="Times New Roman" w:eastAsia="宋体" w:cs="Times New Roman"/>
          <w:szCs w:val="28"/>
          <w:highlight w:val="none"/>
          <w14:ligatures w14:val="none"/>
        </w:rPr>
        <w:t>7.7</w:t>
      </w:r>
      <w:r>
        <w:rPr>
          <w:rFonts w:hint="eastAsia" w:ascii="Times New Roman" w:hAnsi="Times New Roman" w:eastAsia="宋体" w:cs="Times New Roman"/>
          <w:szCs w:val="28"/>
          <w:highlight w:val="none"/>
          <w:lang w:val="en-US" w:eastAsia="zh-CN"/>
          <w14:ligatures w14:val="none"/>
        </w:rPr>
        <w:t>4</w:t>
      </w:r>
      <w:r>
        <w:rPr>
          <w:rFonts w:ascii="Times New Roman" w:hAnsi="Times New Roman" w:eastAsia="宋体" w:cs="Times New Roman"/>
          <w:szCs w:val="28"/>
          <w:highlight w:val="none"/>
          <w14:ligatures w14:val="none"/>
        </w:rPr>
        <w:t>kmol</w:t>
      </w:r>
    </w:p>
    <w:p w14:paraId="42375A7B">
      <w:pPr>
        <w:ind w:firstLine="560"/>
        <w:rPr>
          <w:rFonts w:ascii="Times New Roman" w:hAnsi="Times New Roman" w:eastAsia="宋体" w:cs="Times New Roman"/>
          <w:szCs w:val="28"/>
          <w:highlight w:val="none"/>
          <w14:ligatures w14:val="none"/>
        </w:rPr>
      </w:pPr>
      <w:r>
        <w:rPr>
          <w:rFonts w:hint="eastAsia" w:ascii="Times New Roman" w:hAnsi="Times New Roman" w:eastAsia="宋体" w:cs="Times New Roman"/>
          <w:szCs w:val="28"/>
          <w:highlight w:val="none"/>
          <w14:ligatures w14:val="none"/>
        </w:rPr>
        <w:t>（2）</w:t>
      </w:r>
      <w:r>
        <w:rPr>
          <w:rFonts w:ascii="Times New Roman" w:hAnsi="Times New Roman" w:eastAsia="宋体" w:cs="Times New Roman"/>
          <w:szCs w:val="28"/>
          <w:highlight w:val="none"/>
          <w14:ligatures w14:val="none"/>
        </w:rPr>
        <w:t>死亡半径计算根据超压-冲量准则和概率模型得出的死亡半径公式R</w:t>
      </w:r>
      <w:r>
        <w:rPr>
          <w:rFonts w:ascii="Times New Roman" w:hAnsi="Times New Roman" w:eastAsia="宋体" w:cs="Times New Roman"/>
          <w:szCs w:val="28"/>
          <w:highlight w:val="none"/>
          <w:vertAlign w:val="subscript"/>
          <w14:ligatures w14:val="none"/>
        </w:rPr>
        <w:t>0.5</w:t>
      </w:r>
      <w:r>
        <w:rPr>
          <w:rFonts w:ascii="Times New Roman" w:hAnsi="Times New Roman" w:eastAsia="宋体" w:cs="Times New Roman"/>
          <w:szCs w:val="28"/>
          <w:highlight w:val="none"/>
          <w14:ligatures w14:val="none"/>
        </w:rPr>
        <w:t>=13.6</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/1000</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vertAlign w:val="superscript"/>
          <w14:ligatures w14:val="none"/>
        </w:rPr>
        <w:t>0.37</w:t>
      </w:r>
    </w:p>
    <w:p w14:paraId="3DE1A366">
      <w:p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8"/>
          <w:highlight w:val="none"/>
          <w14:ligatures w14:val="none"/>
        </w:rPr>
        <w:t>R</w:t>
      </w:r>
      <w:r>
        <w:rPr>
          <w:rFonts w:ascii="Times New Roman" w:hAnsi="Times New Roman" w:eastAsia="宋体" w:cs="Times New Roman"/>
          <w:szCs w:val="28"/>
          <w:highlight w:val="none"/>
          <w:vertAlign w:val="subscript"/>
          <w14:ligatures w14:val="none"/>
        </w:rPr>
        <w:t>0.5</w:t>
      </w:r>
      <w:r>
        <w:rPr>
          <w:rFonts w:ascii="Times New Roman" w:hAnsi="Times New Roman" w:eastAsia="宋体" w:cs="Times New Roman"/>
          <w:szCs w:val="28"/>
          <w:highlight w:val="none"/>
          <w14:ligatures w14:val="none"/>
        </w:rPr>
        <w:t>=13.6</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14:ligatures w14:val="none"/>
        </w:rPr>
        <w:t>W</w:t>
      </w:r>
      <w:r>
        <w:rPr>
          <w:rFonts w:ascii="Times New Roman" w:hAnsi="Times New Roman" w:eastAsia="宋体" w:cs="Times New Roman"/>
          <w:szCs w:val="28"/>
          <w:highlight w:val="none"/>
          <w:vertAlign w:val="subscript"/>
          <w14:ligatures w14:val="none"/>
        </w:rPr>
        <w:t>TNT</w:t>
      </w:r>
      <w:r>
        <w:rPr>
          <w:rFonts w:ascii="Times New Roman" w:hAnsi="Times New Roman" w:eastAsia="宋体" w:cs="Times New Roman"/>
          <w:szCs w:val="28"/>
          <w:highlight w:val="none"/>
          <w14:ligatures w14:val="none"/>
        </w:rPr>
        <w:t>/1000</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vertAlign w:val="superscript"/>
          <w14:ligatures w14:val="none"/>
        </w:rPr>
        <w:t>0.37</w:t>
      </w:r>
      <w:r>
        <w:rPr>
          <w:rFonts w:ascii="Times New Roman" w:hAnsi="Times New Roman" w:eastAsia="宋体" w:cs="Times New Roman"/>
          <w:szCs w:val="28"/>
          <w:highlight w:val="none"/>
          <w14:ligatures w14:val="none"/>
        </w:rPr>
        <w:t>=13.6</w:t>
      </w:r>
      <w:r>
        <w:rPr>
          <w:rFonts w:hint="eastAsia" w:ascii="Times New Roman" w:hAnsi="Times New Roman" w:eastAsia="宋体" w:cs="Times New Roman"/>
          <w:szCs w:val="28"/>
          <w:highlight w:val="none"/>
          <w14:ligatures w14:val="none"/>
        </w:rPr>
        <w:t>（17</w:t>
      </w:r>
      <w:r>
        <w:rPr>
          <w:rFonts w:hint="eastAsia" w:ascii="Times New Roman" w:hAnsi="Times New Roman" w:eastAsia="宋体" w:cs="Times New Roman"/>
          <w:szCs w:val="28"/>
          <w:highlight w:val="none"/>
          <w:lang w:val="en-US" w:eastAsia="zh-CN"/>
          <w14:ligatures w14:val="none"/>
        </w:rPr>
        <w:t>58</w:t>
      </w:r>
      <w:r>
        <w:rPr>
          <w:rFonts w:ascii="Times New Roman" w:hAnsi="Times New Roman" w:eastAsia="宋体" w:cs="Times New Roman"/>
          <w:szCs w:val="28"/>
          <w:highlight w:val="none"/>
          <w14:ligatures w14:val="none"/>
        </w:rPr>
        <w:t>/1000</w:t>
      </w:r>
      <w:r>
        <w:rPr>
          <w:rFonts w:hint="eastAsia" w:ascii="Times New Roman" w:hAnsi="Times New Roman" w:eastAsia="宋体" w:cs="Times New Roman"/>
          <w:szCs w:val="28"/>
          <w:highlight w:val="none"/>
          <w14:ligatures w14:val="none"/>
        </w:rPr>
        <w:t>）</w:t>
      </w:r>
      <w:r>
        <w:rPr>
          <w:rFonts w:ascii="Times New Roman" w:hAnsi="Times New Roman" w:eastAsia="宋体" w:cs="Times New Roman"/>
          <w:szCs w:val="28"/>
          <w:highlight w:val="none"/>
          <w:vertAlign w:val="superscript"/>
          <w14:ligatures w14:val="none"/>
        </w:rPr>
        <w:t>0.37</w:t>
      </w:r>
      <w:r>
        <w:rPr>
          <w:rFonts w:ascii="Times New Roman" w:hAnsi="Times New Roman" w:eastAsia="宋体" w:cs="Times New Roman"/>
          <w:szCs w:val="28"/>
          <w:highlight w:val="none"/>
          <w14:ligatures w14:val="none"/>
        </w:rPr>
        <w:t>=</w:t>
      </w:r>
      <w:r>
        <w:rPr>
          <w:rFonts w:hint="eastAsia" w:ascii="Times New Roman" w:hAnsi="Times New Roman" w:eastAsia="宋体" w:cs="Times New Roman"/>
          <w:szCs w:val="28"/>
          <w:highlight w:val="none"/>
          <w14:ligatures w14:val="none"/>
        </w:rPr>
        <w:t>16.7</w:t>
      </w:r>
      <w:r>
        <w:rPr>
          <w:rFonts w:hint="eastAsia" w:ascii="Times New Roman" w:hAnsi="Times New Roman" w:eastAsia="宋体" w:cs="Times New Roman"/>
          <w:szCs w:val="28"/>
          <w:highlight w:val="none"/>
          <w:lang w:val="en-US" w:eastAsia="zh-CN"/>
          <w14:ligatures w14:val="none"/>
        </w:rPr>
        <w:t>6</w:t>
      </w:r>
      <w:r>
        <w:rPr>
          <w:rFonts w:ascii="Times New Roman" w:hAnsi="Times New Roman" w:eastAsia="宋体" w:cs="Times New Roman"/>
          <w:szCs w:val="28"/>
          <w:highlight w:val="none"/>
          <w14:ligatures w14:val="none"/>
        </w:rPr>
        <w:t>m</w:t>
      </w:r>
    </w:p>
    <w:p w14:paraId="3B7D6ADE">
      <w:pPr>
        <w:ind w:firstLine="560"/>
        <w:rPr>
          <w:rFonts w:ascii="Times New Roman" w:hAnsi="Times New Roman" w:eastAsia="宋体"/>
          <w:highlight w:val="none"/>
        </w:rPr>
      </w:pPr>
      <w:r>
        <w:rPr>
          <w:rFonts w:ascii="Times New Roman" w:hAnsi="Times New Roman" w:eastAsia="宋体"/>
          <w:highlight w:val="none"/>
        </w:rPr>
        <w:br w:type="page"/>
      </w:r>
    </w:p>
    <w:p w14:paraId="3A2AA8D9">
      <w:pPr>
        <w:spacing w:before="468" w:beforeLines="150" w:after="468" w:afterLines="150"/>
        <w:ind w:firstLine="0" w:firstLineChars="0"/>
        <w:jc w:val="center"/>
        <w:outlineLvl w:val="0"/>
        <w:rPr>
          <w:rFonts w:ascii="Times New Roman" w:hAnsi="Times New Roman" w:eastAsia="黑体" w:cs="Times New Roman"/>
          <w:b/>
          <w:bCs/>
          <w:sz w:val="32"/>
          <w:szCs w:val="32"/>
          <w:highlight w:val="none"/>
        </w:rPr>
      </w:pPr>
      <w:bookmarkStart w:id="124" w:name="_Toc187310038"/>
      <w:bookmarkStart w:id="125" w:name="_Toc8041"/>
      <w:r>
        <w:rPr>
          <w:rFonts w:ascii="Times New Roman" w:hAnsi="Times New Roman" w:eastAsia="黑体" w:cs="Times New Roman"/>
          <w:b/>
          <w:bCs/>
          <w:sz w:val="32"/>
          <w:szCs w:val="32"/>
          <w:highlight w:val="none"/>
        </w:rPr>
        <w:t>附件5安全评价依据</w:t>
      </w:r>
      <w:bookmarkEnd w:id="124"/>
      <w:bookmarkEnd w:id="125"/>
    </w:p>
    <w:p w14:paraId="119C6F4A">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26" w:name="_Toc187310039"/>
      <w:bookmarkStart w:id="127" w:name="_Toc3401"/>
      <w:bookmarkStart w:id="128" w:name="_Toc17267"/>
      <w:bookmarkStart w:id="129" w:name="_Toc17077"/>
      <w:bookmarkStart w:id="130" w:name="_Toc19166"/>
      <w:bookmarkStart w:id="131" w:name="_Toc18056"/>
      <w:r>
        <w:rPr>
          <w:rFonts w:ascii="Times New Roman" w:hAnsi="Times New Roman" w:eastAsia="楷体" w:cs="Times New Roman"/>
          <w:b/>
          <w:bCs/>
          <w:sz w:val="32"/>
          <w:szCs w:val="32"/>
          <w:highlight w:val="none"/>
        </w:rPr>
        <w:t>F5.1法律</w:t>
      </w:r>
      <w:bookmarkEnd w:id="126"/>
      <w:bookmarkEnd w:id="127"/>
      <w:bookmarkEnd w:id="128"/>
      <w:bookmarkEnd w:id="129"/>
      <w:bookmarkEnd w:id="130"/>
      <w:bookmarkEnd w:id="131"/>
    </w:p>
    <w:p w14:paraId="0C8D9A4A">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bookmarkStart w:id="132" w:name="_Toc30587"/>
      <w:bookmarkStart w:id="133" w:name="_Toc3607"/>
      <w:bookmarkStart w:id="134" w:name="_Toc8671"/>
      <w:r>
        <w:rPr>
          <w:rFonts w:ascii="Times New Roman" w:hAnsi="Times New Roman" w:eastAsia="宋体" w:cs="Times New Roman"/>
          <w:kern w:val="2"/>
          <w:sz w:val="28"/>
          <w:szCs w:val="20"/>
          <w:highlight w:val="none"/>
          <w:lang w:val="en-US" w:eastAsia="zh-CN" w:bidi="ar-SA"/>
          <w14:ligatures w14:val="none"/>
        </w:rPr>
        <w:t>《中华人民共和国安全生产法》（国家主席令第八十八号，2021年09月01日施行）</w:t>
      </w:r>
    </w:p>
    <w:p w14:paraId="5D1E8FAE">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《中华人民共和国消防法》（国家主席令第八十一号，2021年04月29日施行）</w:t>
      </w:r>
    </w:p>
    <w:p w14:paraId="3B3012F5">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《中华人民共和国职业病防治法》（国家主席令第二十四号，2018年12月29日施行）</w:t>
      </w:r>
    </w:p>
    <w:p w14:paraId="0D7E3ADF">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《中华人民共和国劳动法》（国家主席令第二十四号，2018年12月29日施行）</w:t>
      </w:r>
    </w:p>
    <w:p w14:paraId="6F94C48B">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《中华人民共和国劳动合同法》（国</w:t>
      </w:r>
      <w:r>
        <w:rPr>
          <w:rFonts w:hint="eastAsia" w:ascii="Times New Roman" w:hAnsi="Times New Roman" w:eastAsia="宋体" w:cs="Times New Roman"/>
          <w:kern w:val="2"/>
          <w:sz w:val="28"/>
          <w:szCs w:val="20"/>
          <w:highlight w:val="none"/>
          <w:lang w:val="en-US" w:eastAsia="zh-CN" w:bidi="ar-SA"/>
          <w14:ligatures w14:val="none"/>
        </w:rPr>
        <w:t>家</w:t>
      </w:r>
      <w:r>
        <w:rPr>
          <w:rFonts w:ascii="Times New Roman" w:hAnsi="Times New Roman" w:eastAsia="宋体" w:cs="Times New Roman"/>
          <w:kern w:val="2"/>
          <w:sz w:val="28"/>
          <w:szCs w:val="20"/>
          <w:highlight w:val="none"/>
          <w:lang w:val="en-US" w:eastAsia="zh-CN" w:bidi="ar-SA"/>
          <w14:ligatures w14:val="none"/>
        </w:rPr>
        <w:t>主席令第</w:t>
      </w:r>
      <w:r>
        <w:rPr>
          <w:rFonts w:hint="eastAsia" w:ascii="Times New Roman" w:hAnsi="Times New Roman" w:eastAsia="宋体" w:cs="Times New Roman"/>
          <w:kern w:val="2"/>
          <w:sz w:val="28"/>
          <w:szCs w:val="20"/>
          <w:highlight w:val="none"/>
          <w:lang w:val="en-US" w:eastAsia="zh-CN" w:bidi="ar-SA"/>
          <w14:ligatures w14:val="none"/>
        </w:rPr>
        <w:t>七十三</w:t>
      </w:r>
      <w:r>
        <w:rPr>
          <w:rFonts w:ascii="Times New Roman" w:hAnsi="Times New Roman" w:eastAsia="宋体" w:cs="Times New Roman"/>
          <w:kern w:val="2"/>
          <w:sz w:val="28"/>
          <w:szCs w:val="20"/>
          <w:highlight w:val="none"/>
          <w:lang w:val="en-US" w:eastAsia="zh-CN" w:bidi="ar-SA"/>
          <w14:ligatures w14:val="none"/>
        </w:rPr>
        <w:t>号，2012年12月28日施行）</w:t>
      </w:r>
    </w:p>
    <w:p w14:paraId="50BD31E5">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《中华人民共和国环境保护法》（国家主席令第九号，2015年01月01日施行）</w:t>
      </w:r>
    </w:p>
    <w:p w14:paraId="0B0DF108">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《中华人民共和国突发事件应对法》（国家主席令第二十五号，2024年11月01日施行）</w:t>
      </w:r>
    </w:p>
    <w:p w14:paraId="20EFCBB3">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《中华人民共和国气象法》（国家主席令第五十七号，2016年11月07日施行）</w:t>
      </w:r>
    </w:p>
    <w:p w14:paraId="48F48E24">
      <w:pPr>
        <w:widowControl w:val="0"/>
        <w:numPr>
          <w:ilvl w:val="0"/>
          <w:numId w:val="8"/>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《中华人民共和国防震减灾法》（国家主席令第七号，2009年05月01日施行）</w:t>
      </w:r>
    </w:p>
    <w:p w14:paraId="0AC9AEF5">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35" w:name="_Toc207368073"/>
      <w:bookmarkStart w:id="136" w:name="_Toc22167"/>
      <w:bookmarkStart w:id="137" w:name="_Toc3078"/>
      <w:r>
        <w:rPr>
          <w:rFonts w:ascii="Times New Roman" w:hAnsi="Times New Roman" w:eastAsia="楷体" w:cs="Times New Roman"/>
          <w:b/>
          <w:bCs/>
          <w:sz w:val="32"/>
          <w:szCs w:val="32"/>
          <w:highlight w:val="none"/>
        </w:rPr>
        <w:t>F5.2法规</w:t>
      </w:r>
      <w:bookmarkEnd w:id="132"/>
      <w:bookmarkEnd w:id="133"/>
      <w:bookmarkEnd w:id="134"/>
      <w:bookmarkEnd w:id="135"/>
      <w:bookmarkEnd w:id="136"/>
      <w:bookmarkEnd w:id="137"/>
    </w:p>
    <w:p w14:paraId="06787D73">
      <w:pPr>
        <w:numPr>
          <w:ilvl w:val="0"/>
          <w:numId w:val="9"/>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《生产安全事故应急条例》（国务院令[2019]第708号，2019年4月1日实施）</w:t>
      </w:r>
    </w:p>
    <w:p w14:paraId="0D29D89A">
      <w:pPr>
        <w:numPr>
          <w:ilvl w:val="0"/>
          <w:numId w:val="9"/>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《危险化学品安全管理条例》（国务院令第344号，中华人民共和国国务院令[2013]第645号修订，2013年12月7日实施）</w:t>
      </w:r>
    </w:p>
    <w:p w14:paraId="1DE1F74F">
      <w:pPr>
        <w:numPr>
          <w:ilvl w:val="0"/>
          <w:numId w:val="9"/>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《工伤保险条例》（国务院令第375号公布，中华人民共和国国务院令[2010]第586号修订，2011年1月1日实施）</w:t>
      </w:r>
    </w:p>
    <w:p w14:paraId="24F4EB96">
      <w:pPr>
        <w:numPr>
          <w:ilvl w:val="0"/>
          <w:numId w:val="9"/>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《建设工程安全生产管理条例》（国务院令[2003]第393号，2004年2月1日实施）</w:t>
      </w:r>
    </w:p>
    <w:p w14:paraId="45D8DFB5">
      <w:pPr>
        <w:numPr>
          <w:ilvl w:val="0"/>
          <w:numId w:val="9"/>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《气象灾害防御条例》（国务院令[2010]第570号，中华人民共和国国务院令[2017]第687号修订，2017年10月7日实施）</w:t>
      </w:r>
    </w:p>
    <w:p w14:paraId="79553AAC">
      <w:pPr>
        <w:numPr>
          <w:ilvl w:val="0"/>
          <w:numId w:val="9"/>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生产安全事故报告和调查处理条例</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国务院令第493号</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2007</w:t>
      </w:r>
      <w:r>
        <w:rPr>
          <w:rFonts w:hint="eastAsia" w:ascii="Times New Roman" w:hAnsi="Times New Roman" w:eastAsia="宋体" w:cs="Times New Roman"/>
          <w:szCs w:val="20"/>
          <w:highlight w:val="none"/>
          <w14:ligatures w14:val="none"/>
        </w:rPr>
        <w:t>年</w:t>
      </w:r>
      <w:r>
        <w:rPr>
          <w:rFonts w:ascii="Times New Roman" w:hAnsi="Times New Roman" w:eastAsia="宋体" w:cs="Times New Roman"/>
          <w:szCs w:val="20"/>
          <w:highlight w:val="none"/>
          <w14:ligatures w14:val="none"/>
        </w:rPr>
        <w:t>6</w:t>
      </w:r>
      <w:r>
        <w:rPr>
          <w:rFonts w:hint="eastAsia" w:ascii="Times New Roman" w:hAnsi="Times New Roman" w:eastAsia="宋体" w:cs="Times New Roman"/>
          <w:szCs w:val="20"/>
          <w:highlight w:val="none"/>
          <w14:ligatures w14:val="none"/>
        </w:rPr>
        <w:t>月</w:t>
      </w:r>
      <w:r>
        <w:rPr>
          <w:rFonts w:ascii="Times New Roman" w:hAnsi="Times New Roman" w:eastAsia="宋体" w:cs="Times New Roman"/>
          <w:szCs w:val="20"/>
          <w:highlight w:val="none"/>
          <w14:ligatures w14:val="none"/>
        </w:rPr>
        <w:t>1</w:t>
      </w:r>
      <w:r>
        <w:rPr>
          <w:rFonts w:hint="eastAsia" w:ascii="Times New Roman" w:hAnsi="Times New Roman" w:eastAsia="宋体" w:cs="Times New Roman"/>
          <w:szCs w:val="20"/>
          <w:highlight w:val="none"/>
          <w14:ligatures w14:val="none"/>
        </w:rPr>
        <w:t>日实施）</w:t>
      </w:r>
    </w:p>
    <w:p w14:paraId="4876D04E">
      <w:pPr>
        <w:numPr>
          <w:ilvl w:val="0"/>
          <w:numId w:val="9"/>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安全生产事故隐患排查治理暂行规定</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国家安全生产监督管理总局令第16号</w:t>
      </w:r>
      <w:r>
        <w:rPr>
          <w:rFonts w:hint="eastAsia" w:ascii="Times New Roman" w:hAnsi="Times New Roman" w:eastAsia="宋体" w:cs="Times New Roman"/>
          <w:szCs w:val="20"/>
          <w:highlight w:val="none"/>
          <w14:ligatures w14:val="none"/>
        </w:rPr>
        <w:t>，</w:t>
      </w:r>
      <w:r>
        <w:rPr>
          <w:rFonts w:ascii="Times New Roman" w:hAnsi="Times New Roman" w:eastAsia="宋体" w:cs="Times New Roman"/>
          <w:szCs w:val="20"/>
          <w:highlight w:val="none"/>
          <w14:ligatures w14:val="none"/>
        </w:rPr>
        <w:t>2008</w:t>
      </w:r>
      <w:r>
        <w:rPr>
          <w:rFonts w:hint="eastAsia" w:ascii="Times New Roman" w:hAnsi="Times New Roman" w:eastAsia="宋体" w:cs="Times New Roman"/>
          <w:szCs w:val="20"/>
          <w:highlight w:val="none"/>
          <w14:ligatures w14:val="none"/>
        </w:rPr>
        <w:t>年</w:t>
      </w:r>
      <w:r>
        <w:rPr>
          <w:rFonts w:ascii="Times New Roman" w:hAnsi="Times New Roman" w:eastAsia="宋体" w:cs="Times New Roman"/>
          <w:szCs w:val="20"/>
          <w:highlight w:val="none"/>
          <w14:ligatures w14:val="none"/>
        </w:rPr>
        <w:t>2</w:t>
      </w:r>
      <w:r>
        <w:rPr>
          <w:rFonts w:hint="eastAsia" w:ascii="Times New Roman" w:hAnsi="Times New Roman" w:eastAsia="宋体" w:cs="Times New Roman"/>
          <w:szCs w:val="20"/>
          <w:highlight w:val="none"/>
          <w14:ligatures w14:val="none"/>
        </w:rPr>
        <w:t>月</w:t>
      </w:r>
      <w:r>
        <w:rPr>
          <w:rFonts w:ascii="Times New Roman" w:hAnsi="Times New Roman" w:eastAsia="宋体" w:cs="Times New Roman"/>
          <w:szCs w:val="20"/>
          <w:highlight w:val="none"/>
          <w14:ligatures w14:val="none"/>
        </w:rPr>
        <w:t>1</w:t>
      </w:r>
      <w:r>
        <w:rPr>
          <w:rFonts w:hint="eastAsia" w:ascii="Times New Roman" w:hAnsi="Times New Roman" w:eastAsia="宋体" w:cs="Times New Roman"/>
          <w:szCs w:val="20"/>
          <w:highlight w:val="none"/>
          <w14:ligatures w14:val="none"/>
        </w:rPr>
        <w:t>日实施）</w:t>
      </w:r>
    </w:p>
    <w:p w14:paraId="606E1DD5">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38" w:name="_Toc207368074"/>
      <w:bookmarkStart w:id="139" w:name="_Toc27088"/>
      <w:bookmarkStart w:id="140" w:name="_Toc14760"/>
      <w:bookmarkStart w:id="141" w:name="_Toc2718"/>
      <w:bookmarkStart w:id="142" w:name="_Toc15510"/>
      <w:bookmarkStart w:id="143" w:name="_Toc3659"/>
      <w:r>
        <w:rPr>
          <w:rFonts w:ascii="Times New Roman" w:hAnsi="Times New Roman" w:eastAsia="楷体" w:cs="Times New Roman"/>
          <w:b/>
          <w:bCs/>
          <w:sz w:val="32"/>
          <w:szCs w:val="32"/>
          <w:highlight w:val="none"/>
        </w:rPr>
        <w:t>F5.3规章和文件</w:t>
      </w:r>
      <w:bookmarkEnd w:id="138"/>
      <w:bookmarkEnd w:id="139"/>
      <w:bookmarkEnd w:id="140"/>
      <w:bookmarkEnd w:id="141"/>
      <w:bookmarkEnd w:id="142"/>
      <w:bookmarkEnd w:id="143"/>
    </w:p>
    <w:p w14:paraId="6EE9960E">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bookmarkStart w:id="144" w:name="_Toc11035"/>
      <w:bookmarkStart w:id="145" w:name="_Toc17502"/>
      <w:bookmarkStart w:id="146" w:name="_Toc5224"/>
      <w:r>
        <w:rPr>
          <w:rFonts w:ascii="Times New Roman" w:hAnsi="Times New Roman" w:eastAsia="宋体" w:cs="Times New Roman"/>
          <w:kern w:val="2"/>
          <w:sz w:val="28"/>
          <w:szCs w:val="20"/>
          <w:highlight w:val="none"/>
          <w:lang w:val="en-US" w:eastAsia="zh-CN" w:bidi="ar-SA"/>
          <w14:ligatures w14:val="none"/>
        </w:rPr>
        <w:t>《危险化学品建设项目安全监督管理办法》（原国家安全生产督监管理总局令[2012]第45号，原国家安全监督管理局令[2015]第79号修订，2015年07月01日实施）</w:t>
      </w:r>
    </w:p>
    <w:p w14:paraId="073E83D2">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《国家安全监管总局关于印发&lt;危险化学品建设项目安全评价细则（试行）&gt;的通知》（安监总危化[2007]255号，2008年1月1日实施）</w:t>
      </w:r>
    </w:p>
    <w:p w14:paraId="1881606E">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《应急管理部、国家发展改革委、工业和信息化部、市场监管总局关于印发&lt;危险化学品生产建设项目安全风险防控指南（试行）&gt;的通知》（应急[2022]52号，2022年6月10日实施）</w:t>
      </w:r>
    </w:p>
    <w:p w14:paraId="5B54B157">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《危险化学品经营许可证管理办法》（原国家安全监管总局令[2012]第55号，原国家安全监管总局令[2015]第79号修正，应急部公告[2018]12号修正，应急部公告[2019]11号修正，2019年4月13日实施）</w:t>
      </w:r>
    </w:p>
    <w:p w14:paraId="63B1A3C6">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《生产安全事故应急预案管理办法》（国家安全生产监督管理总局令第88号公布，应急管理部令[2019]第2号修订，2019年9月1日实施）</w:t>
      </w:r>
    </w:p>
    <w:p w14:paraId="11148BA2">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《生产经营单位安全培训规定》（原国家安全生产监督管理总局令[2006]第3号，原国家安全生产监督管理总局令[2015]第80号修订，2015年7月1日实施）</w:t>
      </w:r>
    </w:p>
    <w:p w14:paraId="27F7E55D">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《安全生产培训管理办法》（原国家安全生产监督管理局令[2011]第44号，原国家安全监督管理局令[2015]第80号修订，2015年7月1日实施）</w:t>
      </w:r>
    </w:p>
    <w:p w14:paraId="3FB95E5E">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《危险化学品目录（2015版）》（原国家安全生产监督管理总局等十部门公告[2015]第5号，2015年5月1日实施）</w:t>
      </w:r>
    </w:p>
    <w:p w14:paraId="18F4254D">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《国家安全监管总局办公厅关于印发危险化学品目录（2015版）实施指南（试行）的通知》（安监总厅管三[2015]80号，2015年8月19日实施）</w:t>
      </w:r>
    </w:p>
    <w:p w14:paraId="0E52C088">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《关于调整危险化学品目录（2015版）的公告》（中华人民共和国应急管理部等十部门公告2022年第8号，2023年1月1日实施）</w:t>
      </w:r>
    </w:p>
    <w:p w14:paraId="180CED28">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《应急管理部办公厅关于修改&lt;危险化学品目录（2015版）实施指南（试行）涉及柴油部分内容的通知》（应急厅函[2022]300号，2023年1月1日实施）</w:t>
      </w:r>
    </w:p>
    <w:p w14:paraId="13377C66">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《应急管理部办公厅关于认真做好柴油安全许可有关工作的通知》（应急厅函〔2022〕317号，2022年12月26日实施）</w:t>
      </w:r>
    </w:p>
    <w:p w14:paraId="4FA3EE42">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《特别管控危险化学品目录（第一版）》（应急管理部工业和信息化部公安部交通运输部公告[2020]第1号，2020年5月30日实施）</w:t>
      </w:r>
    </w:p>
    <w:p w14:paraId="014ED63A">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《国家安全监管总局关于公布首批重点监管的危险化学品名录的通知》（安监总管三[2011]95号，2011年6月21日实施）</w:t>
      </w:r>
    </w:p>
    <w:p w14:paraId="7D485B2B">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《首批重点监管的危险化学品安全措施和应急处置原则》（安监总厅管三[2011]142号，2011年7月1日实施）</w:t>
      </w:r>
    </w:p>
    <w:p w14:paraId="54147C11">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《国家安全监管总局关于公布第二批重点监管危险化学品名录的通知》（安监总管三[2013]12号，2013年2月5日实施）</w:t>
      </w:r>
    </w:p>
    <w:p w14:paraId="5964F170">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《国家安全监管总局关于公布首批重点监管的危险化工工艺目录的通知》（安监总管三[2009]第116号，2009年6月12日实施）</w:t>
      </w:r>
    </w:p>
    <w:p w14:paraId="17CA717B">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《国家安全监管总局关于公布第二批重点监管危险化工工艺目录和调整首批重点监管危险化工工艺中部分典型工艺的通知》（安监总管三[2013]3号，2013年1月15日实施）</w:t>
      </w:r>
    </w:p>
    <w:p w14:paraId="4D0F1FC2">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《国家安全监管总局办公厅关于进一步加强加油站安全生产工作的通知》（安监总厅管三[2016]8号，2016年2月5日实施）</w:t>
      </w:r>
    </w:p>
    <w:p w14:paraId="2148DBA9">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《化工和危险化学品安全生产治本攻坚三年行动方案（2024-2026年）》（安委办[2024]1号）</w:t>
      </w:r>
    </w:p>
    <w:p w14:paraId="3BC75243">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《国务院安全生产委员会关于印发&lt;全国危险化学品安全风险集中治理方案&gt;的通知》（安委[2021]12号，2021年12月31日实施）</w:t>
      </w:r>
    </w:p>
    <w:p w14:paraId="5156529D">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《国务院安全生产委员会印发&lt;关于进一步强化安全生产责任落实坚决防范遏制重特大事故的若干措施&gt;》的通知（安委[2022]6号，2022年4月2日实施）</w:t>
      </w:r>
    </w:p>
    <w:p w14:paraId="38377596">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《关于印发&lt;企业安全生产费用提取和使用管理办法&gt;的通知》（财政部 应急部 财资〔2022〕136号，2022年11月21日起实施）</w:t>
      </w:r>
    </w:p>
    <w:p w14:paraId="702876A0">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《产业结构调整指导目录（2024年本）》（中华人民共和国国家发展和改革委员会令[2023]第7号，2024年2月1日起实施）</w:t>
      </w:r>
    </w:p>
    <w:p w14:paraId="38DA1BBA">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《应急管理部办公厅关于印发&lt;淘汏落后危险化学品安全生产工艺设备目录（第一批）&gt;的通知》（应急[2020]38号）</w:t>
      </w:r>
    </w:p>
    <w:p w14:paraId="5F85B901">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《应急管理部办公厅关于印发淘汰落后危险化学品安全生产工艺技术设备目录（第二批）的通知》（应急厅[2024]86号）</w:t>
      </w:r>
    </w:p>
    <w:p w14:paraId="4DDFF99D">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《关于进一步加强企业安全生产工作的通知》（国务院国发[2010]23号，2010年7月19日实施）</w:t>
      </w:r>
    </w:p>
    <w:p w14:paraId="069E57E1">
      <w:pPr>
        <w:widowControl w:val="0"/>
        <w:numPr>
          <w:ilvl w:val="0"/>
          <w:numId w:val="10"/>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《国务院办公厅关于进一步做好防雷减灾工作的通知》（国办发明电[2006]28号）</w:t>
      </w:r>
    </w:p>
    <w:p w14:paraId="48E44C6F">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47" w:name="_Toc24134"/>
      <w:bookmarkStart w:id="148" w:name="_Toc207368075"/>
      <w:bookmarkStart w:id="149" w:name="_Toc27229"/>
      <w:r>
        <w:rPr>
          <w:rFonts w:ascii="Times New Roman" w:hAnsi="Times New Roman" w:eastAsia="楷体" w:cs="Times New Roman"/>
          <w:b/>
          <w:bCs/>
          <w:sz w:val="32"/>
          <w:szCs w:val="32"/>
          <w:highlight w:val="none"/>
        </w:rPr>
        <w:t>F5.4地方法规、规章和文件</w:t>
      </w:r>
      <w:bookmarkEnd w:id="144"/>
      <w:bookmarkEnd w:id="145"/>
      <w:bookmarkEnd w:id="146"/>
      <w:bookmarkEnd w:id="147"/>
      <w:bookmarkEnd w:id="148"/>
      <w:bookmarkEnd w:id="149"/>
    </w:p>
    <w:p w14:paraId="6555B284">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《辽宁省安全生产条例》（辽宁省人民代表大会常务委员会公告〔2025〕34号，2025年05月29日起施行）</w:t>
      </w:r>
    </w:p>
    <w:p w14:paraId="555C7BD5">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《辽宁省消防条例》（辽宁省人民代表大会常务委员会公告[2022]103号，2022年11月9日实施）</w:t>
      </w:r>
    </w:p>
    <w:p w14:paraId="7AC02532">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《辽宁省突发事件应对条例》（辽宁省人民代表大会常务委员会公告[2020]47号，2020年3月30日实施）</w:t>
      </w:r>
    </w:p>
    <w:p w14:paraId="7C2DF8A8">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《辽宁省企业安全生产主体责任规定》（辽宁省人民政府令[2021]第341号，2021年5月18日实施）</w:t>
      </w:r>
    </w:p>
    <w:p w14:paraId="0C7A40C2">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《辽宁省建设项目安全设施监督管理办法》（辽宁省人民政府令[2021]第341号，2021年5月18日实施）</w:t>
      </w:r>
    </w:p>
    <w:p w14:paraId="77536BC2">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《辽宁省雷电灾害防御管理规定》（辽宁省人民政府令[2018]第324号，2018年12月4日实施）</w:t>
      </w:r>
    </w:p>
    <w:p w14:paraId="399723D2">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《辽宁省建设项目选址规划管理办法》（辽宁省人民政府令[2016]第300号，2016年4月17日实施）</w:t>
      </w:r>
    </w:p>
    <w:p w14:paraId="767545C5">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《辽宁省危险化学品建设项目安全监督管理实施细则》（辽宁省安全生产监督管理局辽安监管三[2016]24号）</w:t>
      </w:r>
    </w:p>
    <w:p w14:paraId="1F51D21A">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《关于印发辽宁省安全生产监督管理局贯彻落实〈生产安全事故应急预案管理办法〉实施细则的通知》（辽安监应急[2017]5号，2017年9月13日实施）</w:t>
      </w:r>
    </w:p>
    <w:p w14:paraId="5311EDE2">
      <w:pPr>
        <w:widowControl w:val="0"/>
        <w:numPr>
          <w:ilvl w:val="0"/>
          <w:numId w:val="11"/>
        </w:numPr>
        <w:adjustRightInd w:val="0"/>
        <w:snapToGrid w:val="0"/>
        <w:spacing w:after="0" w:line="360" w:lineRule="auto"/>
        <w:ind w:left="0" w:firstLine="560" w:firstLineChars="200"/>
        <w:jc w:val="both"/>
        <w:rPr>
          <w:rFonts w:ascii="Times New Roman" w:hAnsi="Times New Roman" w:eastAsia="宋体" w:cs="Times New Roman"/>
          <w:kern w:val="2"/>
          <w:sz w:val="28"/>
          <w:szCs w:val="20"/>
          <w:highlight w:val="none"/>
          <w:lang w:val="en-US" w:eastAsia="zh-CN" w:bidi="ar-SA"/>
          <w14:ligatures w14:val="none"/>
        </w:rPr>
      </w:pPr>
      <w:r>
        <w:rPr>
          <w:rFonts w:ascii="Times New Roman" w:hAnsi="Times New Roman" w:eastAsia="宋体" w:cs="Times New Roman"/>
          <w:kern w:val="2"/>
          <w:sz w:val="28"/>
          <w:szCs w:val="20"/>
          <w:highlight w:val="none"/>
          <w:lang w:val="en-US" w:eastAsia="zh-CN" w:bidi="ar-SA"/>
          <w14:ligatures w14:val="none"/>
        </w:rPr>
        <w:t>《关于做好危险化学品经营许可证颁发管理有关工作的通知》（辽安监管三[2012]144号，2012年8月30日实施）</w:t>
      </w:r>
    </w:p>
    <w:p w14:paraId="29FDD186">
      <w:pPr>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50" w:name="_Toc12804"/>
      <w:bookmarkStart w:id="151" w:name="_Toc16685"/>
      <w:bookmarkStart w:id="152" w:name="_Toc207368076"/>
      <w:bookmarkStart w:id="153" w:name="_Toc18759"/>
      <w:bookmarkStart w:id="154" w:name="_Toc12582"/>
      <w:bookmarkStart w:id="155" w:name="_Toc20381"/>
      <w:r>
        <w:rPr>
          <w:rFonts w:ascii="Times New Roman" w:hAnsi="Times New Roman" w:eastAsia="楷体" w:cs="Times New Roman"/>
          <w:b/>
          <w:bCs/>
          <w:sz w:val="32"/>
          <w:szCs w:val="32"/>
          <w:highlight w:val="none"/>
        </w:rPr>
        <w:t>F5.5国家及行业标准、规范</w:t>
      </w:r>
      <w:bookmarkEnd w:id="150"/>
      <w:bookmarkEnd w:id="151"/>
      <w:bookmarkEnd w:id="152"/>
      <w:bookmarkEnd w:id="153"/>
      <w:bookmarkEnd w:id="154"/>
      <w:bookmarkEnd w:id="155"/>
    </w:p>
    <w:p w14:paraId="425F4A73">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《安全评价通则》（AQ 8001-2007）</w:t>
      </w:r>
    </w:p>
    <w:p w14:paraId="7D94D9D9">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《安全验收评价导则》（AQ 8003-2007）</w:t>
      </w:r>
    </w:p>
    <w:p w14:paraId="44C6B76E">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《汽车加油加气加氢站技术标准》（GB 50156-2021）</w:t>
      </w:r>
    </w:p>
    <w:p w14:paraId="21818C02">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《建筑防火通用规范》（GB 55037-2022）</w:t>
      </w:r>
    </w:p>
    <w:p w14:paraId="2DBED7EC">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《建筑设计防火规范（2018年版）》（GB 50016-2014）</w:t>
      </w:r>
    </w:p>
    <w:p w14:paraId="2D01DEA3">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《加油站作业安全规范》（AQ 3010-2022）</w:t>
      </w:r>
    </w:p>
    <w:p w14:paraId="32CA1352">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《汽车加油加气站消防安全管理》（XF/T 3004-2020）</w:t>
      </w:r>
    </w:p>
    <w:p w14:paraId="20524FA2">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《视频安防监控系统工程设计规范》（GB 50395-2007）</w:t>
      </w:r>
    </w:p>
    <w:p w14:paraId="56544AB0">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《建筑物电子信息系统防雷技术规范》（GB 50343-2012）</w:t>
      </w:r>
    </w:p>
    <w:p w14:paraId="09E33D3E">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《建筑物防雷设计规范》（GB 50057-2010）</w:t>
      </w:r>
    </w:p>
    <w:p w14:paraId="4DC5EE8B">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《建筑照明设计标准》（GB 50034-2024）</w:t>
      </w:r>
    </w:p>
    <w:p w14:paraId="08173D03">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《建筑灭火器配置设计规范》（GB 50140-2005）</w:t>
      </w:r>
    </w:p>
    <w:p w14:paraId="3BAC64E0">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《建筑抗震设计标准（2024年版）》（GB/T 50011-2010）</w:t>
      </w:r>
    </w:p>
    <w:p w14:paraId="1466E9CD">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《消防设施通用规范》（GB 55036-2022）</w:t>
      </w:r>
    </w:p>
    <w:p w14:paraId="3F133BAC">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《消防应急照明和疏散指示系统》（GB 17945-2024）</w:t>
      </w:r>
    </w:p>
    <w:p w14:paraId="2F276C4D">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《危险化学品重大危险源辨识》（GB 18218-2018）</w:t>
      </w:r>
    </w:p>
    <w:p w14:paraId="1E64DD0E">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《易燃易爆性商品储存养护技术条件》（GB 17914-2013）</w:t>
      </w:r>
    </w:p>
    <w:p w14:paraId="0294D332">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《危险化学品仓库储存通则》（GB 15603-2022）</w:t>
      </w:r>
    </w:p>
    <w:p w14:paraId="319175E6">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《供配电系统设计规范》（GB 50052-2009）</w:t>
      </w:r>
    </w:p>
    <w:p w14:paraId="24AED2E4">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《低压配电设计规范》（GB 50054-2011）</w:t>
      </w:r>
    </w:p>
    <w:p w14:paraId="7516110A">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《防止静电事故通用</w:t>
      </w:r>
      <w:r>
        <w:rPr>
          <w:rFonts w:hint="eastAsia" w:ascii="Times New Roman" w:hAnsi="Times New Roman" w:eastAsia="宋体" w:cs="Times New Roman"/>
          <w:szCs w:val="20"/>
          <w:highlight w:val="none"/>
          <w14:ligatures w14:val="none"/>
        </w:rPr>
        <w:t>要求</w:t>
      </w:r>
      <w:r>
        <w:rPr>
          <w:rFonts w:ascii="Times New Roman" w:hAnsi="Times New Roman" w:eastAsia="宋体" w:cs="Times New Roman"/>
          <w:szCs w:val="20"/>
          <w:highlight w:val="none"/>
          <w14:ligatures w14:val="none"/>
        </w:rPr>
        <w:t>》（GB 12158-20</w:t>
      </w:r>
      <w:r>
        <w:rPr>
          <w:rFonts w:hint="eastAsia" w:ascii="Times New Roman" w:hAnsi="Times New Roman" w:eastAsia="宋体" w:cs="Times New Roman"/>
          <w:szCs w:val="20"/>
          <w:highlight w:val="none"/>
          <w14:ligatures w14:val="none"/>
        </w:rPr>
        <w:t>24</w:t>
      </w:r>
      <w:r>
        <w:rPr>
          <w:rFonts w:ascii="Times New Roman" w:hAnsi="Times New Roman" w:eastAsia="宋体" w:cs="Times New Roman"/>
          <w:szCs w:val="20"/>
          <w:highlight w:val="none"/>
          <w14:ligatures w14:val="none"/>
        </w:rPr>
        <w:t>）</w:t>
      </w:r>
    </w:p>
    <w:p w14:paraId="006D02C4">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《用电安全导则》（GB/T 13869-2017）</w:t>
      </w:r>
    </w:p>
    <w:p w14:paraId="21E06B54">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《电气装置安装工程接地装置施工及验收规范》（GB 50169-2016）</w:t>
      </w:r>
    </w:p>
    <w:p w14:paraId="0B1E17CA">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《系统接地的型式及安全技术要求》（GB 14050-2008）</w:t>
      </w:r>
    </w:p>
    <w:p w14:paraId="6E413BE0">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《外壳防护等级（IP代码）》（GB/T 4208-2017）</w:t>
      </w:r>
    </w:p>
    <w:p w14:paraId="6CE991F7">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《剩余电流动作保护装置安装和运行》（GB/T 13955-2017）</w:t>
      </w:r>
    </w:p>
    <w:p w14:paraId="23DB9DA6">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《爆炸危险环境电力装置设计规范》（GB 50058-2014）</w:t>
      </w:r>
    </w:p>
    <w:p w14:paraId="79B5322D">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《危险场所电气防爆安全规范》（AQ 3009-2007）</w:t>
      </w:r>
    </w:p>
    <w:p w14:paraId="1966A80A">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《高处作业分级》（GB/T 3608-2008）</w:t>
      </w:r>
    </w:p>
    <w:p w14:paraId="28A4A644">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《车用汽油》（GB 17930-2016）</w:t>
      </w:r>
    </w:p>
    <w:p w14:paraId="5C25E5FE">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《车用乙醇汽油（E10）》（GB 18351-2017）</w:t>
      </w:r>
    </w:p>
    <w:p w14:paraId="7EFF35C3">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《车用柴油（国家标准第1号修改单）》（GB 19147-2016/XG1-2018）</w:t>
      </w:r>
    </w:p>
    <w:p w14:paraId="007631CA">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《车用乙醇汽油储运设计规范》（GB/T 50610-2010）</w:t>
      </w:r>
    </w:p>
    <w:p w14:paraId="42DDA0BF">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《加油站大气污染物排放标准》（GB 20952-2020）</w:t>
      </w:r>
    </w:p>
    <w:p w14:paraId="53B84AE6">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《加油站用埋地钢-玻璃纤维增强塑料双层油罐工程技术规范》（SH/T 3178-2015）</w:t>
      </w:r>
    </w:p>
    <w:p w14:paraId="23EDCE9B">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《钢制常压储罐 第1部分：储存对水有污染的易燃和不易燃液体的埋地卧式圆筒形单层和双层储罐》（AQ 3020-2008）</w:t>
      </w:r>
    </w:p>
    <w:p w14:paraId="4E13D50E">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《燃油加油站防爆安全技术第1部分：燃油加油机防爆安全技术要求》（GB/T 22380.1-2017）</w:t>
      </w:r>
    </w:p>
    <w:p w14:paraId="49508927">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《燃油加油站防爆安全技术 第3部分：剪切阀结构和性能的安全要求》（GB/T 22380.3-2019）</w:t>
      </w:r>
    </w:p>
    <w:p w14:paraId="58B6B8A4">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《油气回收处理设施技术标准》（GB/T 50759-2022）</w:t>
      </w:r>
    </w:p>
    <w:p w14:paraId="6DB3B1AB">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《油气回收系统防爆技术要求》（GB/T 34661-2017）</w:t>
      </w:r>
    </w:p>
    <w:p w14:paraId="0269D017">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《油气回收装置通用技术条件》（GB/T 35579-2017）</w:t>
      </w:r>
    </w:p>
    <w:p w14:paraId="4013DE06">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《双层罐渗漏检测系统 第1部分：通则》（GB/T 30040.1-2013）</w:t>
      </w:r>
    </w:p>
    <w:p w14:paraId="2B351CC3">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《双层罐渗漏检测系统 第2部分：压力和真空系统》（GB/T 30040.2-2013）</w:t>
      </w:r>
    </w:p>
    <w:p w14:paraId="7A38AD53">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《双层罐渗漏检测系统 第3部分：储罐的液体媒介系统》（GB/T 30040.3-2013）</w:t>
      </w:r>
    </w:p>
    <w:p w14:paraId="3AB8DD86">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《双层罐渗漏检测系统 第4部分：应用于防渗漏设施或双层间隙的液体或蒸气传感器系统》（GB/T 30040.4-2013）</w:t>
      </w:r>
    </w:p>
    <w:p w14:paraId="5C3F7FF4">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《双层罐渗漏检测系统 第5部分：储罐液位仪测漏系统》（GB/T 30040.5-2013）</w:t>
      </w:r>
    </w:p>
    <w:p w14:paraId="0E4CCD5A">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《双层罐渗漏检测系统 第6部分：监测井用传感器显示系统》（GB/T 30040.6-2013）</w:t>
      </w:r>
    </w:p>
    <w:p w14:paraId="71B0DB9D">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《双层罐渗漏检测系统 第7部分：双层间隙、防渗漏衬里及防渗漏外套的一般要求和试验方法》（GB/T 30040.7-2013）</w:t>
      </w:r>
    </w:p>
    <w:p w14:paraId="326FA695">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《企业职工伤亡事故分类》（GB 6441-1986）</w:t>
      </w:r>
    </w:p>
    <w:p w14:paraId="2BE44F07">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《生产过程危险和有害因素分类与代码》（GB/T 13861-2022）</w:t>
      </w:r>
    </w:p>
    <w:p w14:paraId="1CBDCA4B">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《化学品分类和危险性公示通则》（GB 13690-2009）</w:t>
      </w:r>
    </w:p>
    <w:p w14:paraId="3CE20505">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《危险货物运输包装通用技术条件》（GB 12463-2009）</w:t>
      </w:r>
    </w:p>
    <w:p w14:paraId="342AEAA0">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《危险货物运输包装类别划分方法》（GB/T 15098-2008）</w:t>
      </w:r>
    </w:p>
    <w:p w14:paraId="366B0132">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《危险货物分类和品名编号》（GB 6944-2012）</w:t>
      </w:r>
    </w:p>
    <w:p w14:paraId="4219AAF7">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《危险货物品名表》（GB 12268-2012）</w:t>
      </w:r>
    </w:p>
    <w:p w14:paraId="6CBAE40F">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《安全色和安全标志 第1部分：安全标志和安全标记设计原则》（GB/T 2893.1-2013）</w:t>
      </w:r>
    </w:p>
    <w:p w14:paraId="74219AF9">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《安全色和安全标志 第5部分：安全标志使用原则与要求》（GB/T 2893.5-2020）</w:t>
      </w:r>
    </w:p>
    <w:p w14:paraId="22C2E27C">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《消防安全标志第1部分：标志》（GB 13495.1-2015）</w:t>
      </w:r>
    </w:p>
    <w:p w14:paraId="13B4E16F">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《职业性接触毒物危害程度分级》（GBZ 230-2010）</w:t>
      </w:r>
    </w:p>
    <w:p w14:paraId="41357783">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《工作场所有害因素职业接触限值第1部分化学有害因素》（GBZ 2.1-2019/XG1-2022）</w:t>
      </w:r>
    </w:p>
    <w:p w14:paraId="132B0C00">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《工作场所有害因素职业接触限值第2部分物理因素》（GBZ 2.2-2007）</w:t>
      </w:r>
    </w:p>
    <w:p w14:paraId="174B145F">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《个体防护装备配备规范第1部分：总则》（GB 39800.1-2020）</w:t>
      </w:r>
    </w:p>
    <w:p w14:paraId="1DF134A2">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《个体防护装备配备规范第2部分：石油、化工、天然气》（GB 39800.2-2020）</w:t>
      </w:r>
    </w:p>
    <w:p w14:paraId="5017E945">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《生产经营单位生产安全事故应急预案编制导则》（GB/T 29639-2020）</w:t>
      </w:r>
    </w:p>
    <w:p w14:paraId="3D68986D">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《生产安全事故应急演练基本规范》（</w:t>
      </w:r>
      <w:r>
        <w:rPr>
          <w:rFonts w:hint="eastAsia" w:ascii="Times New Roman" w:hAnsi="Times New Roman" w:eastAsia="宋体" w:cs="Times New Roman"/>
          <w:szCs w:val="20"/>
          <w:highlight w:val="none"/>
          <w14:ligatures w14:val="none"/>
        </w:rPr>
        <w:t>YJ</w:t>
      </w:r>
      <w:r>
        <w:rPr>
          <w:rFonts w:ascii="Times New Roman" w:hAnsi="Times New Roman" w:eastAsia="宋体" w:cs="Times New Roman"/>
          <w:szCs w:val="20"/>
          <w:highlight w:val="none"/>
          <w14:ligatures w14:val="none"/>
        </w:rPr>
        <w:t>/T 9007-2019）</w:t>
      </w:r>
    </w:p>
    <w:p w14:paraId="5712EDA6">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《生产经营单位生产安全事故应急预案评估指南》（</w:t>
      </w:r>
      <w:r>
        <w:rPr>
          <w:rFonts w:hint="eastAsia" w:ascii="Times New Roman" w:hAnsi="Times New Roman" w:eastAsia="宋体" w:cs="Times New Roman"/>
          <w:szCs w:val="20"/>
          <w:highlight w:val="none"/>
          <w14:ligatures w14:val="none"/>
        </w:rPr>
        <w:t>YJ</w:t>
      </w:r>
      <w:r>
        <w:rPr>
          <w:rFonts w:ascii="Times New Roman" w:hAnsi="Times New Roman" w:eastAsia="宋体" w:cs="Times New Roman"/>
          <w:szCs w:val="20"/>
          <w:highlight w:val="none"/>
          <w14:ligatures w14:val="none"/>
        </w:rPr>
        <w:t>/T 9011-2019）</w:t>
      </w:r>
    </w:p>
    <w:p w14:paraId="375B0014">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《危险化学品单位应急救援物资配备要求》（GB 30077-2023）</w:t>
      </w:r>
    </w:p>
    <w:p w14:paraId="44446D9E">
      <w:pPr>
        <w:numPr>
          <w:ilvl w:val="0"/>
          <w:numId w:val="12"/>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《危险化学品企业特殊作业安全规范》（GB 30871-2022）</w:t>
      </w:r>
    </w:p>
    <w:p w14:paraId="5D031AD0">
      <w:pPr>
        <w:keepNext/>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156" w:name="_Toc187310044"/>
      <w:bookmarkStart w:id="157" w:name="_Toc3378"/>
      <w:bookmarkStart w:id="158" w:name="_Toc12523"/>
      <w:r>
        <w:rPr>
          <w:rFonts w:ascii="Times New Roman" w:hAnsi="Times New Roman" w:eastAsia="楷体" w:cs="Times New Roman"/>
          <w:b/>
          <w:bCs/>
          <w:sz w:val="32"/>
          <w:szCs w:val="32"/>
          <w:highlight w:val="none"/>
        </w:rPr>
        <w:t>F5.6参考资料</w:t>
      </w:r>
      <w:bookmarkEnd w:id="156"/>
      <w:bookmarkEnd w:id="157"/>
      <w:bookmarkEnd w:id="158"/>
    </w:p>
    <w:p w14:paraId="5B287993">
      <w:pPr>
        <w:adjustRightInd/>
        <w:snapToGrid/>
        <w:spacing w:line="240" w:lineRule="auto"/>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（1）《安全评价》（国家安全生产监督管理总局 2005年4月）</w:t>
      </w:r>
    </w:p>
    <w:p w14:paraId="3ACCE3CE">
      <w:pPr>
        <w:adjustRightInd/>
        <w:snapToGrid/>
        <w:spacing w:line="240" w:lineRule="auto"/>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w:t>
      </w:r>
      <w:r>
        <w:rPr>
          <w:rFonts w:hint="eastAsia" w:ascii="Times New Roman" w:hAnsi="Times New Roman" w:eastAsia="宋体" w:cs="Times New Roman"/>
          <w:szCs w:val="20"/>
          <w:highlight w:val="none"/>
          <w14:ligatures w14:val="none"/>
        </w:rPr>
        <w:t>2</w:t>
      </w:r>
      <w:r>
        <w:rPr>
          <w:rFonts w:ascii="Times New Roman" w:hAnsi="Times New Roman" w:eastAsia="宋体" w:cs="Times New Roman"/>
          <w:szCs w:val="20"/>
          <w:highlight w:val="none"/>
          <w14:ligatures w14:val="none"/>
        </w:rPr>
        <w:t>）《</w:t>
      </w:r>
      <w:r>
        <w:rPr>
          <w:rFonts w:hint="eastAsia" w:ascii="Times New Roman" w:hAnsi="Times New Roman" w:eastAsia="宋体" w:cs="Times New Roman"/>
          <w:szCs w:val="20"/>
          <w:highlight w:val="none"/>
          <w14:ligatures w14:val="none"/>
        </w:rPr>
        <w:t>中铁（辽宁）本桓高速公路有限公司八里甸子服务区北侧加油站新建项目安全条件评价报告</w:t>
      </w:r>
      <w:r>
        <w:rPr>
          <w:rFonts w:ascii="Times New Roman" w:hAnsi="Times New Roman" w:eastAsia="宋体" w:cs="Times New Roman"/>
          <w:szCs w:val="20"/>
          <w:highlight w:val="none"/>
          <w14:ligatures w14:val="none"/>
        </w:rPr>
        <w:t>》</w:t>
      </w:r>
      <w:r>
        <w:rPr>
          <w:rFonts w:hint="eastAsia" w:ascii="Times New Roman" w:hAnsi="Times New Roman" w:eastAsia="宋体" w:cs="Times New Roman"/>
          <w:szCs w:val="20"/>
          <w:highlight w:val="none"/>
          <w14:ligatures w14:val="none"/>
        </w:rPr>
        <w:t>（辽宁东安安全技术咨询服务有限公司）</w:t>
      </w:r>
    </w:p>
    <w:p w14:paraId="614C22C9">
      <w:pPr>
        <w:adjustRightInd/>
        <w:snapToGrid/>
        <w:spacing w:line="240" w:lineRule="auto"/>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w:t>
      </w:r>
      <w:r>
        <w:rPr>
          <w:rFonts w:hint="eastAsia" w:ascii="Times New Roman" w:hAnsi="Times New Roman" w:eastAsia="宋体" w:cs="Times New Roman"/>
          <w:szCs w:val="20"/>
          <w:highlight w:val="none"/>
          <w14:ligatures w14:val="none"/>
        </w:rPr>
        <w:t>3</w:t>
      </w:r>
      <w:r>
        <w:rPr>
          <w:rFonts w:ascii="Times New Roman" w:hAnsi="Times New Roman" w:eastAsia="宋体" w:cs="Times New Roman"/>
          <w:szCs w:val="20"/>
          <w:highlight w:val="none"/>
          <w14:ligatures w14:val="none"/>
        </w:rPr>
        <w:t>）《</w:t>
      </w:r>
      <w:r>
        <w:rPr>
          <w:rFonts w:hint="eastAsia" w:ascii="Times New Roman" w:hAnsi="Times New Roman" w:eastAsia="宋体" w:cs="Times New Roman"/>
          <w:szCs w:val="28"/>
          <w:highlight w:val="none"/>
          <w:lang w:val="zh-CN"/>
          <w14:ligatures w14:val="none"/>
        </w:rPr>
        <w:t>中铁（辽宁）本桓高速公路有限公司八里甸子服务区北侧加油站新建项目</w:t>
      </w:r>
      <w:r>
        <w:rPr>
          <w:rFonts w:ascii="Times New Roman" w:hAnsi="Times New Roman" w:eastAsia="宋体" w:cs="Times New Roman"/>
          <w:szCs w:val="28"/>
          <w:highlight w:val="none"/>
          <w:lang w:val="zh-CN"/>
          <w14:ligatures w14:val="none"/>
        </w:rPr>
        <w:t>安全设施设计专篇</w:t>
      </w:r>
      <w:r>
        <w:rPr>
          <w:rFonts w:ascii="Times New Roman" w:hAnsi="Times New Roman" w:eastAsia="宋体" w:cs="Times New Roman"/>
          <w:szCs w:val="20"/>
          <w:highlight w:val="none"/>
          <w14:ligatures w14:val="none"/>
        </w:rPr>
        <w:t>》</w:t>
      </w:r>
      <w:r>
        <w:rPr>
          <w:rFonts w:hint="eastAsia" w:ascii="Times New Roman" w:hAnsi="Times New Roman" w:eastAsia="宋体" w:cs="Times New Roman"/>
          <w:szCs w:val="20"/>
          <w:highlight w:val="none"/>
          <w14:ligatures w14:val="none"/>
        </w:rPr>
        <w:t>（中交城市能源研究设计院有限公司）</w:t>
      </w:r>
    </w:p>
    <w:p w14:paraId="40DF67C4">
      <w:pPr>
        <w:adjustRightInd/>
        <w:snapToGrid/>
        <w:spacing w:line="240" w:lineRule="auto"/>
        <w:ind w:firstLine="560"/>
        <w:rPr>
          <w:rFonts w:ascii="Times New Roman" w:hAnsi="Times New Roman" w:eastAsia="宋体" w:cs="Times New Roman"/>
          <w:szCs w:val="20"/>
          <w:highlight w:val="none"/>
          <w14:ligatures w14:val="none"/>
        </w:rPr>
        <w:sectPr>
          <w:pgSz w:w="11906" w:h="16838"/>
          <w:pgMar w:top="1701" w:right="1106" w:bottom="1134" w:left="1610" w:header="1191" w:footer="850" w:gutter="0"/>
          <w:pgBorders>
            <w:top w:val="none" w:sz="0" w:space="0"/>
            <w:left w:val="none" w:sz="0" w:space="0"/>
            <w:bottom w:val="none" w:sz="0" w:space="0"/>
            <w:right w:val="none" w:sz="0" w:space="0"/>
          </w:pgBorders>
          <w:pgNumType w:fmt="decimal"/>
          <w:cols w:space="720" w:num="1"/>
          <w:docGrid w:type="lines" w:linePitch="312" w:charSpace="0"/>
        </w:sectPr>
      </w:pPr>
    </w:p>
    <w:p w14:paraId="559C8F83">
      <w:pPr>
        <w:spacing w:before="571" w:beforeLines="150" w:after="571" w:afterLines="150"/>
        <w:ind w:firstLine="0" w:firstLineChars="0"/>
        <w:jc w:val="center"/>
        <w:outlineLvl w:val="0"/>
        <w:rPr>
          <w:rFonts w:ascii="Times New Roman" w:hAnsi="Times New Roman" w:eastAsia="黑体" w:cs="Times New Roman"/>
          <w:b/>
          <w:bCs/>
          <w:sz w:val="32"/>
          <w:szCs w:val="32"/>
          <w:highlight w:val="none"/>
        </w:rPr>
      </w:pPr>
      <w:bookmarkStart w:id="159" w:name="_Toc21026"/>
      <w:bookmarkStart w:id="160" w:name="_Toc13889"/>
      <w:bookmarkStart w:id="161" w:name="_Toc187310045"/>
      <w:bookmarkStart w:id="162" w:name="_Toc24736"/>
      <w:r>
        <w:rPr>
          <w:rFonts w:ascii="Times New Roman" w:hAnsi="Times New Roman" w:eastAsia="黑体" w:cs="Times New Roman"/>
          <w:b/>
          <w:bCs/>
          <w:sz w:val="32"/>
          <w:szCs w:val="32"/>
          <w:highlight w:val="none"/>
        </w:rPr>
        <w:t>附件6相关文件及附图目录</w:t>
      </w:r>
      <w:bookmarkEnd w:id="159"/>
      <w:bookmarkEnd w:id="160"/>
      <w:bookmarkEnd w:id="161"/>
      <w:bookmarkEnd w:id="162"/>
    </w:p>
    <w:p w14:paraId="723A6F1A">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营业执照</w:t>
      </w:r>
    </w:p>
    <w:p w14:paraId="46C52278">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立项批复</w:t>
      </w:r>
    </w:p>
    <w:p w14:paraId="0A062CEE">
      <w:pPr>
        <w:numPr>
          <w:ilvl w:val="0"/>
          <w:numId w:val="13"/>
        </w:numPr>
        <w:ind w:firstLine="560"/>
        <w:rPr>
          <w:rFonts w:hint="eastAsia"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土地成交确认书</w:t>
      </w:r>
    </w:p>
    <w:p w14:paraId="3A7A92D3">
      <w:pPr>
        <w:numPr>
          <w:ilvl w:val="0"/>
          <w:numId w:val="13"/>
        </w:numPr>
        <w:ind w:firstLine="560"/>
        <w:rPr>
          <w:rFonts w:hint="eastAsia"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消防</w:t>
      </w:r>
      <w:r>
        <w:rPr>
          <w:rFonts w:hint="eastAsia" w:ascii="Times New Roman" w:hAnsi="Times New Roman" w:eastAsia="宋体" w:cs="Times New Roman"/>
          <w:szCs w:val="20"/>
          <w:highlight w:val="none"/>
          <w:lang w:val="en-US" w:eastAsia="zh-CN"/>
          <w14:ligatures w14:val="none"/>
        </w:rPr>
        <w:t>验收</w:t>
      </w:r>
      <w:r>
        <w:rPr>
          <w:rFonts w:hint="eastAsia" w:ascii="Times New Roman" w:hAnsi="Times New Roman" w:eastAsia="宋体" w:cs="Times New Roman"/>
          <w:szCs w:val="20"/>
          <w:highlight w:val="none"/>
          <w14:ligatures w14:val="none"/>
        </w:rPr>
        <w:t>意见书</w:t>
      </w:r>
    </w:p>
    <w:p w14:paraId="6324B4B6">
      <w:pPr>
        <w:numPr>
          <w:ilvl w:val="0"/>
          <w:numId w:val="13"/>
        </w:numPr>
        <w:ind w:firstLine="560"/>
        <w:rPr>
          <w:rFonts w:hint="eastAsia"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设计单位、施工单位资质证书</w:t>
      </w:r>
    </w:p>
    <w:p w14:paraId="1235A335">
      <w:pPr>
        <w:numPr>
          <w:ilvl w:val="0"/>
          <w:numId w:val="13"/>
        </w:numPr>
        <w:ind w:firstLine="560"/>
        <w:rPr>
          <w:rFonts w:hint="eastAsia"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危险化学品建设项目安全条件审查意见书</w:t>
      </w:r>
    </w:p>
    <w:p w14:paraId="2EC2E0C0">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危险化学品建设项目安全设施设</w:t>
      </w:r>
      <w:r>
        <w:rPr>
          <w:rFonts w:ascii="Times New Roman" w:hAnsi="Times New Roman" w:eastAsia="宋体" w:cs="Times New Roman"/>
          <w:szCs w:val="20"/>
          <w:highlight w:val="none"/>
          <w14:ligatures w14:val="none"/>
        </w:rPr>
        <w:t>计审查意见书</w:t>
      </w:r>
    </w:p>
    <w:p w14:paraId="33EC6D0D">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主要负责人及安全管理人员任命文件</w:t>
      </w:r>
    </w:p>
    <w:p w14:paraId="74DC1071">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主要负责人及安全管理人员安全资格证</w:t>
      </w:r>
    </w:p>
    <w:p w14:paraId="4A1154BE">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从业人员培训证明</w:t>
      </w:r>
    </w:p>
    <w:p w14:paraId="5CFED85F">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双层罐、双层管道合格证</w:t>
      </w:r>
    </w:p>
    <w:p w14:paraId="265862B1">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雷电防护装置检测报告</w:t>
      </w:r>
    </w:p>
    <w:p w14:paraId="14350785">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安全生产职责、安全生产规章制度、安全操作规程清单</w:t>
      </w:r>
    </w:p>
    <w:p w14:paraId="689E5EA0">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应急预案备案登记表</w:t>
      </w:r>
    </w:p>
    <w:p w14:paraId="20A28611">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工程竣工验收表、油罐、管线施工、检测记录</w:t>
      </w:r>
    </w:p>
    <w:p w14:paraId="375BD05C">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应急物资配备清单</w:t>
      </w:r>
    </w:p>
    <w:p w14:paraId="508B34BA">
      <w:pPr>
        <w:numPr>
          <w:ilvl w:val="0"/>
          <w:numId w:val="13"/>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总平面布置图</w:t>
      </w:r>
    </w:p>
    <w:p w14:paraId="23640654">
      <w:pPr>
        <w:numPr>
          <w:ilvl w:val="0"/>
          <w:numId w:val="13"/>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工艺流程图</w:t>
      </w:r>
    </w:p>
    <w:p w14:paraId="55E0A0D6">
      <w:pPr>
        <w:numPr>
          <w:ilvl w:val="0"/>
          <w:numId w:val="13"/>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爆炸危险区域划分图</w:t>
      </w:r>
    </w:p>
    <w:p w14:paraId="4E555A60">
      <w:pPr>
        <w:numPr>
          <w:ilvl w:val="0"/>
          <w:numId w:val="13"/>
        </w:numPr>
        <w:ind w:firstLine="560"/>
        <w:rPr>
          <w:rFonts w:hint="eastAsia"/>
          <w:highlight w:val="none"/>
          <w:lang w:val="en-US" w:eastAsia="zh-CN"/>
        </w:rPr>
      </w:pPr>
      <w:r>
        <w:rPr>
          <w:rFonts w:hint="eastAsia"/>
          <w:highlight w:val="none"/>
          <w:lang w:val="en-US" w:eastAsia="zh-CN"/>
        </w:rPr>
        <w:t>评审意见</w:t>
      </w:r>
    </w:p>
    <w:p w14:paraId="33086C5A">
      <w:pPr>
        <w:numPr>
          <w:ilvl w:val="0"/>
          <w:numId w:val="13"/>
        </w:numPr>
        <w:ind w:left="0" w:leftChars="0" w:firstLine="560" w:firstLineChars="200"/>
        <w:rPr>
          <w:rFonts w:hint="eastAsia"/>
          <w:highlight w:val="none"/>
          <w:lang w:val="en-US" w:eastAsia="zh-CN"/>
        </w:rPr>
      </w:pPr>
      <w:r>
        <w:rPr>
          <w:rFonts w:hint="eastAsia"/>
          <w:highlight w:val="none"/>
          <w:lang w:val="en-US" w:eastAsia="zh-CN"/>
        </w:rPr>
        <w:t>报告修改说明</w:t>
      </w:r>
    </w:p>
    <w:p w14:paraId="1A0D23D5">
      <w:pPr>
        <w:pStyle w:val="2"/>
        <w:numPr>
          <w:ilvl w:val="0"/>
          <w:numId w:val="13"/>
        </w:numPr>
        <w:ind w:left="0" w:leftChars="0" w:firstLine="560" w:firstLineChars="200"/>
        <w:rPr>
          <w:rFonts w:hint="default"/>
          <w:highlight w:val="none"/>
          <w:lang w:val="en-US" w:eastAsia="zh-CN"/>
        </w:rPr>
      </w:pPr>
      <w:r>
        <w:rPr>
          <w:rFonts w:hint="eastAsia"/>
          <w:highlight w:val="none"/>
          <w:lang w:val="en-US" w:eastAsia="zh-CN"/>
        </w:rPr>
        <w:t>整改确认报告</w:t>
      </w:r>
    </w:p>
    <w:p w14:paraId="5EB0A805">
      <w:pPr>
        <w:ind w:firstLine="560"/>
        <w:rPr>
          <w:rFonts w:ascii="Times New Roman" w:hAnsi="Times New Roman" w:eastAsia="宋体"/>
          <w:highlight w:val="none"/>
        </w:rPr>
      </w:pPr>
    </w:p>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1BDDF">
    <w:pPr>
      <w:pStyle w:val="2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B04E3">
    <w:pPr>
      <w:pStyle w:val="2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CFF71">
    <w:pPr>
      <w:pStyle w:val="21"/>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E0476">
    <w:pPr>
      <w:pStyle w:val="21"/>
      <w:pBdr>
        <w:top w:val="single" w:color="auto" w:sz="4" w:space="1"/>
      </w:pBdr>
      <w:ind w:left="9030" w:hanging="9030" w:hangingChars="4300"/>
      <w:rPr>
        <w:rFonts w:ascii="Times New Roman" w:hAnsi="Times New Roman" w:eastAsia="楷体" w:cs="Times New Roman"/>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B58031">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GtRywzAgAAZQ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GtRywzAgAAZQQAAA4AAAAAAAAAAQAgAAAAHwEAAGRycy9lMm9Eb2MueG1sUEsF&#10;BgAAAAAGAAYAWQEAAMQFAAAAAA==&#10;">
              <v:fill on="f" focussize="0,0"/>
              <v:stroke on="f" weight="0.5pt"/>
              <v:imagedata o:title=""/>
              <o:lock v:ext="edit" aspectratio="f"/>
              <v:textbox inset="0mm,0mm,0mm,0mm" style="mso-fit-shape-to-text:t;">
                <w:txbxContent>
                  <w:p w14:paraId="58B58031">
                    <w:pPr>
                      <w:pStyle w:val="21"/>
                    </w:pPr>
                    <w:r>
                      <w:fldChar w:fldCharType="begin"/>
                    </w:r>
                    <w:r>
                      <w:instrText xml:space="preserve"> PAGE  \* MERGEFORMAT </w:instrText>
                    </w:r>
                    <w:r>
                      <w:fldChar w:fldCharType="separate"/>
                    </w:r>
                    <w:r>
                      <w:t>1</w:t>
                    </w:r>
                    <w:r>
                      <w:fldChar w:fldCharType="end"/>
                    </w:r>
                  </w:p>
                </w:txbxContent>
              </v:textbox>
            </v:shape>
          </w:pict>
        </mc:Fallback>
      </mc:AlternateContent>
    </w:r>
    <w:r>
      <w:rPr>
        <w:rFonts w:ascii="Times New Roman" w:hAnsi="Times New Roman" w:eastAsia="楷体" w:cs="Times New Roman"/>
        <w:sz w:val="21"/>
        <w:szCs w:val="21"/>
        <w14:ligatures w14:val="none"/>
      </w:rPr>
      <w:drawing>
        <wp:inline distT="0" distB="0" distL="114300" distR="114300">
          <wp:extent cx="361315" cy="136525"/>
          <wp:effectExtent l="0" t="0" r="0" b="15875"/>
          <wp:docPr id="2121421224"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421224"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ascii="Times New Roman" w:hAnsi="Times New Roman" w:eastAsia="楷体" w:cs="Times New Roman"/>
        <w:sz w:val="21"/>
        <w:szCs w:val="21"/>
      </w:rPr>
      <w:t>辽宁诺诚安全科技有限公司</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B58E96">
    <w:pPr>
      <w:pStyle w:val="21"/>
      <w:pBdr>
        <w:top w:val="single" w:color="auto" w:sz="4" w:space="1"/>
      </w:pBdr>
      <w:ind w:left="9030" w:hanging="9030" w:hangingChars="4300"/>
      <w:rPr>
        <w:rFonts w:ascii="Times New Roman" w:hAnsi="Times New Roman" w:eastAsia="楷体" w:cs="Times New Roman"/>
        <w:sz w:val="21"/>
        <w:szCs w:val="21"/>
      </w:rPr>
    </w:pPr>
    <w:r>
      <w:rPr>
        <w:sz w:val="21"/>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10" name="文本框 1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D611D5">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jB9lUyAgAAZ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SMH2VTICAABlBAAADgAAAAAAAAABACAAAAAfAQAAZHJzL2Uyb0RvYy54bWxQSwUG&#10;AAAAAAYABgBZAQAAwwUAAAAA&#10;">
              <v:fill on="f" focussize="0,0"/>
              <v:stroke on="f" weight="0.5pt"/>
              <v:imagedata o:title=""/>
              <o:lock v:ext="edit" aspectratio="f"/>
              <v:textbox inset="0mm,0mm,0mm,0mm" style="mso-fit-shape-to-text:t;">
                <w:txbxContent>
                  <w:p w14:paraId="4AD611D5">
                    <w:pPr>
                      <w:pStyle w:val="21"/>
                    </w:pPr>
                    <w:r>
                      <w:fldChar w:fldCharType="begin"/>
                    </w:r>
                    <w:r>
                      <w:instrText xml:space="preserve"> PAGE  \* MERGEFORMAT </w:instrText>
                    </w:r>
                    <w:r>
                      <w:fldChar w:fldCharType="separate"/>
                    </w:r>
                    <w:r>
                      <w:t>1</w:t>
                    </w:r>
                    <w:r>
                      <w:fldChar w:fldCharType="end"/>
                    </w:r>
                  </w:p>
                </w:txbxContent>
              </v:textbox>
            </v:shape>
          </w:pict>
        </mc:Fallback>
      </mc:AlternateContent>
    </w:r>
    <w:r>
      <w:rPr>
        <w:rFonts w:ascii="Times New Roman" w:hAnsi="Times New Roman" w:eastAsia="楷体" w:cs="Times New Roman"/>
        <w:sz w:val="21"/>
        <w:szCs w:val="21"/>
        <w14:ligatures w14:val="none"/>
      </w:rPr>
      <w:drawing>
        <wp:inline distT="0" distB="0" distL="114300" distR="114300">
          <wp:extent cx="361315" cy="136525"/>
          <wp:effectExtent l="0" t="0" r="0" b="15875"/>
          <wp:docPr id="111"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ascii="Times New Roman" w:hAnsi="Times New Roman" w:eastAsia="楷体" w:cs="Times New Roman"/>
        <w:sz w:val="21"/>
        <w:szCs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ind w:firstLine="560"/>
      </w:pPr>
      <w:r>
        <w:separator/>
      </w:r>
    </w:p>
  </w:footnote>
  <w:footnote w:type="continuationSeparator" w:id="1">
    <w:p>
      <w:pPr>
        <w:spacing w:before="0" w:after="0"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26AE2">
    <w:pPr>
      <w:pStyle w:val="22"/>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6B5FF4">
    <w:pPr>
      <w:pStyle w:val="22"/>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676C6">
    <w:pPr>
      <w:pStyle w:val="22"/>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A9192">
    <w:pPr>
      <w:pStyle w:val="22"/>
      <w:pBdr>
        <w:bottom w:val="single" w:color="auto" w:sz="4" w:space="1"/>
      </w:pBdr>
      <w:ind w:firstLine="0" w:firstLineChars="0"/>
      <w:rPr>
        <w:rFonts w:ascii="楷体" w:hAnsi="楷体" w:eastAsia="楷体"/>
        <w:sz w:val="21"/>
        <w:szCs w:val="21"/>
      </w:rPr>
    </w:pPr>
    <w:r>
      <w:rPr>
        <w:rFonts w:ascii="楷体" w:hAnsi="楷体" w:eastAsia="楷体"/>
        <w:sz w:val="21"/>
        <w:szCs w:val="21"/>
      </w:rPr>
      <w:t>中铁（辽宁）本桓高速公路有限公司</w:t>
    </w:r>
    <w:r>
      <w:rPr>
        <w:rFonts w:hint="eastAsia" w:ascii="楷体" w:hAnsi="楷体" w:eastAsia="楷体"/>
        <w:sz w:val="21"/>
        <w:szCs w:val="21"/>
        <w:lang w:eastAsia="zh-CN"/>
      </w:rPr>
      <w:t>八里甸子</w:t>
    </w:r>
    <w:r>
      <w:rPr>
        <w:rFonts w:ascii="楷体" w:hAnsi="楷体" w:eastAsia="楷体"/>
        <w:sz w:val="21"/>
        <w:szCs w:val="21"/>
      </w:rPr>
      <w:t>服务区</w:t>
    </w:r>
    <w:r>
      <w:rPr>
        <w:rFonts w:hint="eastAsia" w:ascii="楷体" w:hAnsi="楷体" w:eastAsia="楷体"/>
        <w:sz w:val="21"/>
        <w:szCs w:val="21"/>
        <w:lang w:val="en-US" w:eastAsia="zh-CN"/>
      </w:rPr>
      <w:t>北</w:t>
    </w:r>
    <w:r>
      <w:rPr>
        <w:rFonts w:ascii="楷体" w:hAnsi="楷体" w:eastAsia="楷体"/>
        <w:sz w:val="21"/>
        <w:szCs w:val="21"/>
      </w:rPr>
      <w:t>侧加油站新建项目</w:t>
    </w:r>
  </w:p>
  <w:p w14:paraId="2DC8DD28">
    <w:pPr>
      <w:pStyle w:val="22"/>
      <w:pBdr>
        <w:bottom w:val="single" w:color="auto" w:sz="4" w:space="1"/>
      </w:pBdr>
      <w:ind w:firstLine="0" w:firstLineChars="0"/>
      <w:rPr>
        <w:rFonts w:hint="eastAsia" w:ascii="楷体" w:hAnsi="楷体" w:eastAsia="楷体"/>
        <w:sz w:val="21"/>
        <w:szCs w:val="21"/>
      </w:rPr>
    </w:pPr>
    <w:r>
      <w:rPr>
        <w:rFonts w:ascii="楷体" w:hAnsi="楷体" w:eastAsia="楷体"/>
        <w:sz w:val="21"/>
        <w:szCs w:val="21"/>
      </w:rPr>
      <w:t>安全设施竣工验收安全评价报</w:t>
    </w:r>
    <w:r>
      <w:rPr>
        <w:rFonts w:hint="eastAsia" w:ascii="楷体" w:hAnsi="楷体" w:eastAsia="楷体"/>
        <w:sz w:val="21"/>
        <w:szCs w:val="21"/>
      </w:rPr>
      <w:t>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4F318A"/>
    <w:multiLevelType w:val="singleLevel"/>
    <w:tmpl w:val="964F318A"/>
    <w:lvl w:ilvl="0" w:tentative="0">
      <w:start w:val="1"/>
      <w:numFmt w:val="decimal"/>
      <w:suff w:val="nothing"/>
      <w:lvlText w:val="（%1）"/>
      <w:lvlJc w:val="left"/>
    </w:lvl>
  </w:abstractNum>
  <w:abstractNum w:abstractNumId="1">
    <w:nsid w:val="ED390F9A"/>
    <w:multiLevelType w:val="singleLevel"/>
    <w:tmpl w:val="ED390F9A"/>
    <w:lvl w:ilvl="0" w:tentative="0">
      <w:start w:val="1"/>
      <w:numFmt w:val="decimal"/>
      <w:suff w:val="nothing"/>
      <w:lvlText w:val="（%1）"/>
      <w:lvlJc w:val="left"/>
    </w:lvl>
  </w:abstractNum>
  <w:abstractNum w:abstractNumId="2">
    <w:nsid w:val="F3136BFA"/>
    <w:multiLevelType w:val="singleLevel"/>
    <w:tmpl w:val="F3136BFA"/>
    <w:lvl w:ilvl="0" w:tentative="0">
      <w:start w:val="1"/>
      <w:numFmt w:val="decimal"/>
      <w:suff w:val="nothing"/>
      <w:lvlText w:val="%1"/>
      <w:lvlJc w:val="left"/>
      <w:pPr>
        <w:tabs>
          <w:tab w:val="left" w:pos="0"/>
        </w:tabs>
        <w:ind w:left="454" w:hanging="454"/>
      </w:pPr>
      <w:rPr>
        <w:rFonts w:hint="default"/>
      </w:rPr>
    </w:lvl>
  </w:abstractNum>
  <w:abstractNum w:abstractNumId="3">
    <w:nsid w:val="083B617F"/>
    <w:multiLevelType w:val="multilevel"/>
    <w:tmpl w:val="083B617F"/>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
    <w:nsid w:val="0AEB9E36"/>
    <w:multiLevelType w:val="singleLevel"/>
    <w:tmpl w:val="0AEB9E36"/>
    <w:lvl w:ilvl="0" w:tentative="0">
      <w:start w:val="1"/>
      <w:numFmt w:val="decimal"/>
      <w:suff w:val="nothing"/>
      <w:lvlText w:val="（%1）"/>
      <w:lvlJc w:val="left"/>
      <w:rPr>
        <w:rFonts w:hint="default" w:ascii="Times New Roman" w:hAnsi="Times New Roman" w:cs="Times New Roman"/>
      </w:rPr>
    </w:lvl>
  </w:abstractNum>
  <w:abstractNum w:abstractNumId="5">
    <w:nsid w:val="1150624F"/>
    <w:multiLevelType w:val="multilevel"/>
    <w:tmpl w:val="1150624F"/>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34304144"/>
    <w:multiLevelType w:val="multilevel"/>
    <w:tmpl w:val="34304144"/>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3A8D7FE9"/>
    <w:multiLevelType w:val="multilevel"/>
    <w:tmpl w:val="3A8D7FE9"/>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8">
    <w:nsid w:val="47F2F6A2"/>
    <w:multiLevelType w:val="singleLevel"/>
    <w:tmpl w:val="47F2F6A2"/>
    <w:lvl w:ilvl="0" w:tentative="0">
      <w:start w:val="1"/>
      <w:numFmt w:val="decimal"/>
      <w:suff w:val="nothing"/>
      <w:lvlText w:val="%1."/>
      <w:lvlJc w:val="left"/>
      <w:pPr>
        <w:ind w:left="454" w:hanging="454"/>
      </w:pPr>
      <w:rPr>
        <w:rFonts w:hint="default"/>
      </w:rPr>
    </w:lvl>
  </w:abstractNum>
  <w:abstractNum w:abstractNumId="9">
    <w:nsid w:val="4D8E144C"/>
    <w:multiLevelType w:val="multilevel"/>
    <w:tmpl w:val="4D8E144C"/>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0">
    <w:nsid w:val="613B62C2"/>
    <w:multiLevelType w:val="multilevel"/>
    <w:tmpl w:val="613B62C2"/>
    <w:lvl w:ilvl="0" w:tentative="0">
      <w:start w:val="1"/>
      <w:numFmt w:val="decimal"/>
      <w:suff w:val="nothing"/>
      <w:lvlText w:val="%1"/>
      <w:lvlJc w:val="left"/>
      <w:pPr>
        <w:ind w:left="420" w:hanging="420"/>
      </w:pPr>
      <w:rPr>
        <w:rFonts w:hint="default" w:ascii="Times New Roman" w:hAnsi="Times New Roman"/>
        <w:sz w:val="21"/>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6C6368F3"/>
    <w:multiLevelType w:val="multilevel"/>
    <w:tmpl w:val="6C6368F3"/>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2">
    <w:nsid w:val="7F65E024"/>
    <w:multiLevelType w:val="singleLevel"/>
    <w:tmpl w:val="7F65E024"/>
    <w:lvl w:ilvl="0" w:tentative="0">
      <w:start w:val="1"/>
      <w:numFmt w:val="decimal"/>
      <w:suff w:val="nothing"/>
      <w:lvlText w:val="（%1）"/>
      <w:lvlJc w:val="left"/>
    </w:lvl>
  </w:abstractNum>
  <w:num w:numId="1">
    <w:abstractNumId w:val="12"/>
  </w:num>
  <w:num w:numId="2">
    <w:abstractNumId w:val="5"/>
  </w:num>
  <w:num w:numId="3">
    <w:abstractNumId w:val="10"/>
  </w:num>
  <w:num w:numId="4">
    <w:abstractNumId w:val="6"/>
  </w:num>
  <w:num w:numId="5">
    <w:abstractNumId w:val="2"/>
  </w:num>
  <w:num w:numId="6">
    <w:abstractNumId w:val="8"/>
  </w:num>
  <w:num w:numId="7">
    <w:abstractNumId w:val="3"/>
  </w:num>
  <w:num w:numId="8">
    <w:abstractNumId w:val="9"/>
  </w:num>
  <w:num w:numId="9">
    <w:abstractNumId w:val="0"/>
  </w:num>
  <w:num w:numId="10">
    <w:abstractNumId w:val="7"/>
  </w:num>
  <w:num w:numId="11">
    <w:abstractNumId w:val="11"/>
  </w:num>
  <w:num w:numId="12">
    <w:abstractNumId w:val="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40"/>
  <w:drawingGridVerticalSpacing w:val="381"/>
  <w:displayHorizontalDrawingGridEvery w:val="0"/>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A1A"/>
    <w:rsid w:val="00023234"/>
    <w:rsid w:val="00034B89"/>
    <w:rsid w:val="000355A1"/>
    <w:rsid w:val="000510B1"/>
    <w:rsid w:val="00051E1A"/>
    <w:rsid w:val="00053299"/>
    <w:rsid w:val="000604CA"/>
    <w:rsid w:val="00062060"/>
    <w:rsid w:val="000628E4"/>
    <w:rsid w:val="00062972"/>
    <w:rsid w:val="000645D7"/>
    <w:rsid w:val="0007278A"/>
    <w:rsid w:val="00075190"/>
    <w:rsid w:val="000766EA"/>
    <w:rsid w:val="00083284"/>
    <w:rsid w:val="00087FB8"/>
    <w:rsid w:val="000A5BEB"/>
    <w:rsid w:val="000B6B71"/>
    <w:rsid w:val="000C7058"/>
    <w:rsid w:val="000D7C7C"/>
    <w:rsid w:val="000E2F1F"/>
    <w:rsid w:val="000E323D"/>
    <w:rsid w:val="000E7AAC"/>
    <w:rsid w:val="000F4E8F"/>
    <w:rsid w:val="000F7AE9"/>
    <w:rsid w:val="00106A06"/>
    <w:rsid w:val="00107A08"/>
    <w:rsid w:val="00112BA4"/>
    <w:rsid w:val="00112F40"/>
    <w:rsid w:val="00117F06"/>
    <w:rsid w:val="001240BA"/>
    <w:rsid w:val="001266D2"/>
    <w:rsid w:val="00136BD9"/>
    <w:rsid w:val="001445BA"/>
    <w:rsid w:val="00144A65"/>
    <w:rsid w:val="00146458"/>
    <w:rsid w:val="001470B2"/>
    <w:rsid w:val="001530A7"/>
    <w:rsid w:val="00160EC2"/>
    <w:rsid w:val="0016407E"/>
    <w:rsid w:val="00167F00"/>
    <w:rsid w:val="00170617"/>
    <w:rsid w:val="00174CD7"/>
    <w:rsid w:val="00177E9C"/>
    <w:rsid w:val="0018043E"/>
    <w:rsid w:val="00183765"/>
    <w:rsid w:val="00192678"/>
    <w:rsid w:val="0019674A"/>
    <w:rsid w:val="0019748A"/>
    <w:rsid w:val="001A16CB"/>
    <w:rsid w:val="001A1AA9"/>
    <w:rsid w:val="001A45DB"/>
    <w:rsid w:val="001A7151"/>
    <w:rsid w:val="001D0EE4"/>
    <w:rsid w:val="001D79F0"/>
    <w:rsid w:val="001F79D4"/>
    <w:rsid w:val="00203815"/>
    <w:rsid w:val="00222AB4"/>
    <w:rsid w:val="00223EAB"/>
    <w:rsid w:val="002249DC"/>
    <w:rsid w:val="00225AD6"/>
    <w:rsid w:val="00240E88"/>
    <w:rsid w:val="00256890"/>
    <w:rsid w:val="002569F3"/>
    <w:rsid w:val="002649DA"/>
    <w:rsid w:val="00271363"/>
    <w:rsid w:val="00275E6E"/>
    <w:rsid w:val="002849F5"/>
    <w:rsid w:val="002868B8"/>
    <w:rsid w:val="00292E1E"/>
    <w:rsid w:val="00297425"/>
    <w:rsid w:val="002A2ED6"/>
    <w:rsid w:val="002A3FFD"/>
    <w:rsid w:val="002A6B3E"/>
    <w:rsid w:val="002C13A0"/>
    <w:rsid w:val="002E252D"/>
    <w:rsid w:val="002E2823"/>
    <w:rsid w:val="002E3D7F"/>
    <w:rsid w:val="002F66D9"/>
    <w:rsid w:val="003031CF"/>
    <w:rsid w:val="00311B55"/>
    <w:rsid w:val="00311C7E"/>
    <w:rsid w:val="00316A27"/>
    <w:rsid w:val="00317EBA"/>
    <w:rsid w:val="00320BC4"/>
    <w:rsid w:val="003230CC"/>
    <w:rsid w:val="00325EFA"/>
    <w:rsid w:val="00334725"/>
    <w:rsid w:val="00340301"/>
    <w:rsid w:val="003452F4"/>
    <w:rsid w:val="00345D11"/>
    <w:rsid w:val="00346868"/>
    <w:rsid w:val="00351F8A"/>
    <w:rsid w:val="003647D7"/>
    <w:rsid w:val="0037446D"/>
    <w:rsid w:val="00390F05"/>
    <w:rsid w:val="00391BA3"/>
    <w:rsid w:val="003A2DF0"/>
    <w:rsid w:val="003B35EB"/>
    <w:rsid w:val="003B5575"/>
    <w:rsid w:val="003B606C"/>
    <w:rsid w:val="003B7362"/>
    <w:rsid w:val="003B76EA"/>
    <w:rsid w:val="003D4C5C"/>
    <w:rsid w:val="003F28C4"/>
    <w:rsid w:val="003F2BFB"/>
    <w:rsid w:val="003F325E"/>
    <w:rsid w:val="003F39EC"/>
    <w:rsid w:val="003F4BD6"/>
    <w:rsid w:val="00407A93"/>
    <w:rsid w:val="00407B2D"/>
    <w:rsid w:val="004166FD"/>
    <w:rsid w:val="00423D5B"/>
    <w:rsid w:val="0042465E"/>
    <w:rsid w:val="004346B3"/>
    <w:rsid w:val="00435C50"/>
    <w:rsid w:val="00442F45"/>
    <w:rsid w:val="0044332D"/>
    <w:rsid w:val="00453B89"/>
    <w:rsid w:val="004560A7"/>
    <w:rsid w:val="00461337"/>
    <w:rsid w:val="00466F5B"/>
    <w:rsid w:val="0047368E"/>
    <w:rsid w:val="0048236B"/>
    <w:rsid w:val="00486C46"/>
    <w:rsid w:val="004A2E1E"/>
    <w:rsid w:val="004B0CE7"/>
    <w:rsid w:val="004C3FCD"/>
    <w:rsid w:val="004C64DD"/>
    <w:rsid w:val="004E0D12"/>
    <w:rsid w:val="004E23A3"/>
    <w:rsid w:val="004E7A66"/>
    <w:rsid w:val="004F4127"/>
    <w:rsid w:val="004F4923"/>
    <w:rsid w:val="00506B9F"/>
    <w:rsid w:val="0051182E"/>
    <w:rsid w:val="005314FE"/>
    <w:rsid w:val="00543908"/>
    <w:rsid w:val="005507C3"/>
    <w:rsid w:val="00576EBF"/>
    <w:rsid w:val="00581065"/>
    <w:rsid w:val="00582E4E"/>
    <w:rsid w:val="00583DC9"/>
    <w:rsid w:val="00594A99"/>
    <w:rsid w:val="005C3B9B"/>
    <w:rsid w:val="005D06F8"/>
    <w:rsid w:val="005E3443"/>
    <w:rsid w:val="005F08B1"/>
    <w:rsid w:val="005F54E8"/>
    <w:rsid w:val="005F6ECA"/>
    <w:rsid w:val="0061233B"/>
    <w:rsid w:val="00615716"/>
    <w:rsid w:val="00616CCD"/>
    <w:rsid w:val="006345CC"/>
    <w:rsid w:val="006436E4"/>
    <w:rsid w:val="00644852"/>
    <w:rsid w:val="006559AC"/>
    <w:rsid w:val="006619E4"/>
    <w:rsid w:val="00661BBD"/>
    <w:rsid w:val="00665D6B"/>
    <w:rsid w:val="006679A8"/>
    <w:rsid w:val="00671333"/>
    <w:rsid w:val="006766A8"/>
    <w:rsid w:val="00682FC9"/>
    <w:rsid w:val="00691A9E"/>
    <w:rsid w:val="006A7BC6"/>
    <w:rsid w:val="006C1530"/>
    <w:rsid w:val="006C1AB1"/>
    <w:rsid w:val="006C61AA"/>
    <w:rsid w:val="006C7C8A"/>
    <w:rsid w:val="006E1100"/>
    <w:rsid w:val="006E5873"/>
    <w:rsid w:val="006F6E4A"/>
    <w:rsid w:val="006F6F94"/>
    <w:rsid w:val="00707BD5"/>
    <w:rsid w:val="0071055A"/>
    <w:rsid w:val="007126F5"/>
    <w:rsid w:val="0073610C"/>
    <w:rsid w:val="0074016D"/>
    <w:rsid w:val="00753F74"/>
    <w:rsid w:val="00757C16"/>
    <w:rsid w:val="007620E5"/>
    <w:rsid w:val="00771135"/>
    <w:rsid w:val="00771BBF"/>
    <w:rsid w:val="00773138"/>
    <w:rsid w:val="00775E47"/>
    <w:rsid w:val="00786FA7"/>
    <w:rsid w:val="00790B2F"/>
    <w:rsid w:val="007910B0"/>
    <w:rsid w:val="00796FD9"/>
    <w:rsid w:val="007A230C"/>
    <w:rsid w:val="007A6015"/>
    <w:rsid w:val="007B45E1"/>
    <w:rsid w:val="007C116C"/>
    <w:rsid w:val="007C457C"/>
    <w:rsid w:val="007E1FFB"/>
    <w:rsid w:val="008065EE"/>
    <w:rsid w:val="008177F2"/>
    <w:rsid w:val="00817A96"/>
    <w:rsid w:val="00822EF7"/>
    <w:rsid w:val="00831BCC"/>
    <w:rsid w:val="00863D8F"/>
    <w:rsid w:val="00876BA7"/>
    <w:rsid w:val="00877FD9"/>
    <w:rsid w:val="00885B19"/>
    <w:rsid w:val="00886380"/>
    <w:rsid w:val="008A104D"/>
    <w:rsid w:val="008C1211"/>
    <w:rsid w:val="008C15AC"/>
    <w:rsid w:val="008D3C36"/>
    <w:rsid w:val="008D5CF1"/>
    <w:rsid w:val="008D5F06"/>
    <w:rsid w:val="008D6E34"/>
    <w:rsid w:val="008F2662"/>
    <w:rsid w:val="008F6808"/>
    <w:rsid w:val="009058CC"/>
    <w:rsid w:val="00907F09"/>
    <w:rsid w:val="00917789"/>
    <w:rsid w:val="00921840"/>
    <w:rsid w:val="00933275"/>
    <w:rsid w:val="00940F91"/>
    <w:rsid w:val="00943AD3"/>
    <w:rsid w:val="00945F06"/>
    <w:rsid w:val="009470D4"/>
    <w:rsid w:val="00957814"/>
    <w:rsid w:val="0095789B"/>
    <w:rsid w:val="009625F8"/>
    <w:rsid w:val="0096462A"/>
    <w:rsid w:val="00964795"/>
    <w:rsid w:val="00992314"/>
    <w:rsid w:val="00992FEC"/>
    <w:rsid w:val="009947EA"/>
    <w:rsid w:val="00996264"/>
    <w:rsid w:val="009A2446"/>
    <w:rsid w:val="009A26B7"/>
    <w:rsid w:val="009C2960"/>
    <w:rsid w:val="009D45AB"/>
    <w:rsid w:val="009D651D"/>
    <w:rsid w:val="009E0D2F"/>
    <w:rsid w:val="009F4EF9"/>
    <w:rsid w:val="009F6389"/>
    <w:rsid w:val="009F6E26"/>
    <w:rsid w:val="00A13B58"/>
    <w:rsid w:val="00A34EB1"/>
    <w:rsid w:val="00A37B2B"/>
    <w:rsid w:val="00A40D46"/>
    <w:rsid w:val="00A5753F"/>
    <w:rsid w:val="00A57816"/>
    <w:rsid w:val="00A637F2"/>
    <w:rsid w:val="00A6768A"/>
    <w:rsid w:val="00A7003A"/>
    <w:rsid w:val="00A73451"/>
    <w:rsid w:val="00A83A0C"/>
    <w:rsid w:val="00A962DC"/>
    <w:rsid w:val="00AC18C0"/>
    <w:rsid w:val="00AC26C9"/>
    <w:rsid w:val="00AC28B0"/>
    <w:rsid w:val="00AC5BA6"/>
    <w:rsid w:val="00AD15F0"/>
    <w:rsid w:val="00AF49AE"/>
    <w:rsid w:val="00AF70EF"/>
    <w:rsid w:val="00B056C4"/>
    <w:rsid w:val="00B10EE7"/>
    <w:rsid w:val="00B15D16"/>
    <w:rsid w:val="00B15F18"/>
    <w:rsid w:val="00B27EEF"/>
    <w:rsid w:val="00B42B00"/>
    <w:rsid w:val="00B5313D"/>
    <w:rsid w:val="00B571DE"/>
    <w:rsid w:val="00B65A27"/>
    <w:rsid w:val="00B83672"/>
    <w:rsid w:val="00B836F3"/>
    <w:rsid w:val="00B95C17"/>
    <w:rsid w:val="00BB17A3"/>
    <w:rsid w:val="00BB59AD"/>
    <w:rsid w:val="00BB7DA1"/>
    <w:rsid w:val="00BC265F"/>
    <w:rsid w:val="00BC330A"/>
    <w:rsid w:val="00BD00A5"/>
    <w:rsid w:val="00BD6003"/>
    <w:rsid w:val="00BF0A00"/>
    <w:rsid w:val="00BF59D2"/>
    <w:rsid w:val="00C062E1"/>
    <w:rsid w:val="00C07162"/>
    <w:rsid w:val="00C10D7C"/>
    <w:rsid w:val="00C11503"/>
    <w:rsid w:val="00C12527"/>
    <w:rsid w:val="00C16003"/>
    <w:rsid w:val="00C238B6"/>
    <w:rsid w:val="00C347E0"/>
    <w:rsid w:val="00C3492A"/>
    <w:rsid w:val="00C375B2"/>
    <w:rsid w:val="00C401A2"/>
    <w:rsid w:val="00C415B0"/>
    <w:rsid w:val="00C46E6C"/>
    <w:rsid w:val="00C475AC"/>
    <w:rsid w:val="00C579D6"/>
    <w:rsid w:val="00C66086"/>
    <w:rsid w:val="00C7219C"/>
    <w:rsid w:val="00C7279E"/>
    <w:rsid w:val="00C75EEF"/>
    <w:rsid w:val="00C90092"/>
    <w:rsid w:val="00C91EE9"/>
    <w:rsid w:val="00CA7993"/>
    <w:rsid w:val="00CB419A"/>
    <w:rsid w:val="00CC45E2"/>
    <w:rsid w:val="00CD2135"/>
    <w:rsid w:val="00CE3F44"/>
    <w:rsid w:val="00CE4C52"/>
    <w:rsid w:val="00CF1CB1"/>
    <w:rsid w:val="00CF279D"/>
    <w:rsid w:val="00CF443D"/>
    <w:rsid w:val="00D01390"/>
    <w:rsid w:val="00D018E3"/>
    <w:rsid w:val="00D01C85"/>
    <w:rsid w:val="00D0286D"/>
    <w:rsid w:val="00D060BD"/>
    <w:rsid w:val="00D14BA3"/>
    <w:rsid w:val="00D207EE"/>
    <w:rsid w:val="00D20FD1"/>
    <w:rsid w:val="00D21ABC"/>
    <w:rsid w:val="00D238CB"/>
    <w:rsid w:val="00D35E4F"/>
    <w:rsid w:val="00D3715A"/>
    <w:rsid w:val="00D41A4B"/>
    <w:rsid w:val="00D52756"/>
    <w:rsid w:val="00D54932"/>
    <w:rsid w:val="00D55EDF"/>
    <w:rsid w:val="00D57DFA"/>
    <w:rsid w:val="00DA0597"/>
    <w:rsid w:val="00DA1B90"/>
    <w:rsid w:val="00DA2F71"/>
    <w:rsid w:val="00DA3DCB"/>
    <w:rsid w:val="00DB1217"/>
    <w:rsid w:val="00DB4573"/>
    <w:rsid w:val="00DB5415"/>
    <w:rsid w:val="00DC2ABF"/>
    <w:rsid w:val="00DC550C"/>
    <w:rsid w:val="00DF641D"/>
    <w:rsid w:val="00E06B02"/>
    <w:rsid w:val="00E12BB2"/>
    <w:rsid w:val="00E16225"/>
    <w:rsid w:val="00E25155"/>
    <w:rsid w:val="00E35EF5"/>
    <w:rsid w:val="00E5028A"/>
    <w:rsid w:val="00E530F1"/>
    <w:rsid w:val="00E57B9A"/>
    <w:rsid w:val="00E64249"/>
    <w:rsid w:val="00E70836"/>
    <w:rsid w:val="00E75D19"/>
    <w:rsid w:val="00E76816"/>
    <w:rsid w:val="00E77CD7"/>
    <w:rsid w:val="00E908DC"/>
    <w:rsid w:val="00E95AD4"/>
    <w:rsid w:val="00EB2979"/>
    <w:rsid w:val="00EB2ABC"/>
    <w:rsid w:val="00EB4492"/>
    <w:rsid w:val="00EB4BBE"/>
    <w:rsid w:val="00EB60A9"/>
    <w:rsid w:val="00EC6B44"/>
    <w:rsid w:val="00ED5CA2"/>
    <w:rsid w:val="00EE53F5"/>
    <w:rsid w:val="00EF128E"/>
    <w:rsid w:val="00F11E9E"/>
    <w:rsid w:val="00F26218"/>
    <w:rsid w:val="00F53E2E"/>
    <w:rsid w:val="00F56A1A"/>
    <w:rsid w:val="00F70362"/>
    <w:rsid w:val="00F7568D"/>
    <w:rsid w:val="00F77D69"/>
    <w:rsid w:val="00F862E7"/>
    <w:rsid w:val="00FA0963"/>
    <w:rsid w:val="00FC7080"/>
    <w:rsid w:val="03453A3C"/>
    <w:rsid w:val="041C6491"/>
    <w:rsid w:val="04A0745C"/>
    <w:rsid w:val="075C57EB"/>
    <w:rsid w:val="07697D31"/>
    <w:rsid w:val="095625F4"/>
    <w:rsid w:val="0C4A24B1"/>
    <w:rsid w:val="0D3114C8"/>
    <w:rsid w:val="0D7F6A0E"/>
    <w:rsid w:val="0EF5508C"/>
    <w:rsid w:val="11CB5C18"/>
    <w:rsid w:val="13C71048"/>
    <w:rsid w:val="144063E7"/>
    <w:rsid w:val="148003FA"/>
    <w:rsid w:val="14FA6643"/>
    <w:rsid w:val="16330AC1"/>
    <w:rsid w:val="16531A11"/>
    <w:rsid w:val="17BA28E8"/>
    <w:rsid w:val="1AA26819"/>
    <w:rsid w:val="1B725185"/>
    <w:rsid w:val="1C8C2F12"/>
    <w:rsid w:val="1DC85684"/>
    <w:rsid w:val="203B43A3"/>
    <w:rsid w:val="21256D5B"/>
    <w:rsid w:val="23EB3CC6"/>
    <w:rsid w:val="24103EE7"/>
    <w:rsid w:val="24462605"/>
    <w:rsid w:val="289469A9"/>
    <w:rsid w:val="2D12214D"/>
    <w:rsid w:val="2F866DDE"/>
    <w:rsid w:val="323D5101"/>
    <w:rsid w:val="34B3368B"/>
    <w:rsid w:val="3815253D"/>
    <w:rsid w:val="391A3CD0"/>
    <w:rsid w:val="3B4719A8"/>
    <w:rsid w:val="3F8A46DD"/>
    <w:rsid w:val="415647FE"/>
    <w:rsid w:val="435A354E"/>
    <w:rsid w:val="444709B0"/>
    <w:rsid w:val="45EA45B3"/>
    <w:rsid w:val="45F76A21"/>
    <w:rsid w:val="47E95D4E"/>
    <w:rsid w:val="482427BB"/>
    <w:rsid w:val="48E113B4"/>
    <w:rsid w:val="51B01DB1"/>
    <w:rsid w:val="51F005D7"/>
    <w:rsid w:val="52BC3FC0"/>
    <w:rsid w:val="56F2094D"/>
    <w:rsid w:val="58FA3857"/>
    <w:rsid w:val="592712C6"/>
    <w:rsid w:val="596F6605"/>
    <w:rsid w:val="599B0ABE"/>
    <w:rsid w:val="59DE4F5B"/>
    <w:rsid w:val="5AAD5DFF"/>
    <w:rsid w:val="5B264B02"/>
    <w:rsid w:val="5BC34C2E"/>
    <w:rsid w:val="5D7D5421"/>
    <w:rsid w:val="5FF13CC0"/>
    <w:rsid w:val="637C03A0"/>
    <w:rsid w:val="64520AA6"/>
    <w:rsid w:val="65567FD8"/>
    <w:rsid w:val="6585393C"/>
    <w:rsid w:val="67F979BD"/>
    <w:rsid w:val="6B282B66"/>
    <w:rsid w:val="6C6B4C90"/>
    <w:rsid w:val="706E5090"/>
    <w:rsid w:val="70852D97"/>
    <w:rsid w:val="727025FE"/>
    <w:rsid w:val="75D21E78"/>
    <w:rsid w:val="76AE03FA"/>
    <w:rsid w:val="789C6513"/>
    <w:rsid w:val="7AC06271"/>
    <w:rsid w:val="7C5F4D08"/>
    <w:rsid w:val="7D2A67B7"/>
    <w:rsid w:val="7D647FE7"/>
    <w:rsid w:val="7FA503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napToGrid w:val="0"/>
      <w:spacing w:after="0" w:line="360" w:lineRule="auto"/>
      <w:ind w:firstLine="200" w:firstLineChars="200"/>
      <w:jc w:val="both"/>
    </w:pPr>
    <w:rPr>
      <w:rFonts w:eastAsia="Times New Roman" w:asciiTheme="minorHAnsi" w:hAnsiTheme="minorHAnsi" w:cstheme="minorBidi"/>
      <w:kern w:val="2"/>
      <w:sz w:val="28"/>
      <w:szCs w:val="24"/>
      <w:lang w:val="en-US" w:eastAsia="zh-CN" w:bidi="ar-SA"/>
      <w14:ligatures w14:val="standardContextual"/>
    </w:rPr>
  </w:style>
  <w:style w:type="paragraph" w:styleId="3">
    <w:name w:val="heading 1"/>
    <w:basedOn w:val="1"/>
    <w:next w:val="1"/>
    <w:link w:val="47"/>
    <w:qFormat/>
    <w:uiPriority w:val="0"/>
    <w:pPr>
      <w:keepNext/>
      <w:keepLines/>
      <w:adjustRightInd/>
      <w:snapToGrid/>
      <w:spacing w:before="50" w:beforeLines="50" w:after="10" w:line="240" w:lineRule="auto"/>
      <w:ind w:firstLine="0" w:firstLineChars="0"/>
      <w:jc w:val="center"/>
      <w:outlineLvl w:val="0"/>
    </w:pPr>
    <w:rPr>
      <w:rFonts w:ascii="Times New Roman" w:hAnsi="Times New Roman" w:eastAsia="黑体" w:cs="Times New Roman"/>
      <w:kern w:val="44"/>
      <w:sz w:val="32"/>
      <w:szCs w:val="20"/>
      <w14:ligatures w14:val="none"/>
    </w:rPr>
  </w:style>
  <w:style w:type="paragraph" w:styleId="4">
    <w:name w:val="heading 2"/>
    <w:basedOn w:val="1"/>
    <w:next w:val="1"/>
    <w:link w:val="48"/>
    <w:qFormat/>
    <w:uiPriority w:val="0"/>
    <w:pPr>
      <w:keepNext/>
      <w:adjustRightInd/>
      <w:snapToGrid/>
      <w:spacing w:before="50" w:beforeLines="50" w:after="50" w:afterLines="50" w:line="240" w:lineRule="auto"/>
      <w:ind w:firstLine="0" w:firstLineChars="0"/>
      <w:jc w:val="center"/>
      <w:outlineLvl w:val="1"/>
    </w:pPr>
    <w:rPr>
      <w:rFonts w:ascii="Times New Roman" w:hAnsi="Times New Roman" w:eastAsia="楷体_GB2312" w:cs="Times New Roman"/>
      <w:color w:val="000000"/>
      <w:sz w:val="32"/>
      <w:szCs w:val="20"/>
      <w14:ligatures w14:val="none"/>
    </w:rPr>
  </w:style>
  <w:style w:type="paragraph" w:styleId="5">
    <w:name w:val="heading 3"/>
    <w:basedOn w:val="1"/>
    <w:next w:val="1"/>
    <w:link w:val="49"/>
    <w:qFormat/>
    <w:uiPriority w:val="0"/>
    <w:pPr>
      <w:keepNext/>
      <w:keepLines/>
      <w:adjustRightInd/>
      <w:snapToGrid/>
      <w:spacing w:before="20" w:beforeLines="20" w:after="20" w:afterLines="20" w:line="240" w:lineRule="auto"/>
      <w:ind w:firstLine="560"/>
      <w:jc w:val="left"/>
      <w:outlineLvl w:val="2"/>
    </w:pPr>
    <w:rPr>
      <w:rFonts w:ascii="Times New Roman" w:hAnsi="Times New Roman" w:eastAsia="黑体" w:cs="Times New Roman"/>
      <w:kern w:val="0"/>
      <w:szCs w:val="20"/>
      <w14:ligatures w14:val="none"/>
    </w:rPr>
  </w:style>
  <w:style w:type="paragraph" w:styleId="6">
    <w:name w:val="heading 4"/>
    <w:basedOn w:val="1"/>
    <w:next w:val="1"/>
    <w:link w:val="50"/>
    <w:qFormat/>
    <w:uiPriority w:val="0"/>
    <w:pPr>
      <w:keepNext/>
      <w:adjustRightInd/>
      <w:snapToGrid/>
      <w:spacing w:before="50" w:beforeLines="50" w:after="50" w:afterLines="50" w:line="240" w:lineRule="auto"/>
      <w:ind w:firstLine="560"/>
      <w:jc w:val="left"/>
      <w:outlineLvl w:val="3"/>
    </w:pPr>
    <w:rPr>
      <w:rFonts w:ascii="Times New Roman" w:hAnsi="Times New Roman" w:eastAsia="宋体" w:cs="Times New Roman"/>
      <w:kern w:val="0"/>
      <w:szCs w:val="20"/>
      <w14:ligatures w14:val="none"/>
    </w:rPr>
  </w:style>
  <w:style w:type="paragraph" w:styleId="7">
    <w:name w:val="heading 5"/>
    <w:basedOn w:val="1"/>
    <w:next w:val="1"/>
    <w:link w:val="51"/>
    <w:qFormat/>
    <w:uiPriority w:val="0"/>
    <w:pPr>
      <w:keepNext/>
      <w:adjustRightInd/>
      <w:snapToGrid/>
      <w:spacing w:line="240" w:lineRule="auto"/>
      <w:ind w:firstLine="720"/>
      <w:jc w:val="center"/>
      <w:outlineLvl w:val="4"/>
    </w:pPr>
    <w:rPr>
      <w:rFonts w:ascii="Times New Roman" w:hAnsi="Times New Roman" w:eastAsia="宋体" w:cs="Times New Roman"/>
      <w:color w:val="000000"/>
      <w:szCs w:val="20"/>
      <w14:ligatures w14:val="none"/>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spacing w:line="240" w:lineRule="auto"/>
      <w:ind w:firstLine="420"/>
    </w:pPr>
    <w:rPr>
      <w:rFonts w:ascii="Times New Roman" w:hAnsi="Times New Roman" w:eastAsia="宋体" w:cs="Times New Roman"/>
      <w:szCs w:val="20"/>
      <w14:ligatures w14:val="none"/>
    </w:rPr>
  </w:style>
  <w:style w:type="paragraph" w:styleId="8">
    <w:name w:val="toc 7"/>
    <w:basedOn w:val="1"/>
    <w:next w:val="1"/>
    <w:qFormat/>
    <w:uiPriority w:val="39"/>
    <w:pPr>
      <w:adjustRightInd/>
      <w:snapToGrid/>
      <w:spacing w:line="240" w:lineRule="auto"/>
      <w:ind w:left="2520" w:leftChars="1200" w:firstLine="0" w:firstLineChars="0"/>
    </w:pPr>
    <w:rPr>
      <w:rFonts w:ascii="Times New Roman" w:hAnsi="Times New Roman" w:eastAsia="宋体" w:cs="Times New Roman"/>
      <w:sz w:val="21"/>
      <w14:ligatures w14:val="none"/>
    </w:rPr>
  </w:style>
  <w:style w:type="paragraph" w:styleId="9">
    <w:name w:val="Document Map"/>
    <w:basedOn w:val="1"/>
    <w:link w:val="53"/>
    <w:qFormat/>
    <w:uiPriority w:val="0"/>
    <w:pPr>
      <w:adjustRightInd/>
      <w:snapToGrid/>
      <w:spacing w:line="240" w:lineRule="auto"/>
      <w:ind w:firstLine="720"/>
    </w:pPr>
    <w:rPr>
      <w:rFonts w:ascii="宋体" w:hAnsi="Times New Roman" w:eastAsia="宋体" w:cs="Times New Roman"/>
      <w:sz w:val="18"/>
      <w:szCs w:val="18"/>
      <w14:ligatures w14:val="none"/>
    </w:rPr>
  </w:style>
  <w:style w:type="paragraph" w:styleId="10">
    <w:name w:val="annotation text"/>
    <w:basedOn w:val="1"/>
    <w:link w:val="54"/>
    <w:qFormat/>
    <w:uiPriority w:val="0"/>
    <w:pPr>
      <w:adjustRightInd/>
      <w:snapToGrid/>
      <w:spacing w:line="240" w:lineRule="auto"/>
      <w:ind w:firstLine="720"/>
      <w:jc w:val="left"/>
    </w:pPr>
    <w:rPr>
      <w:rFonts w:ascii="Times New Roman" w:hAnsi="Times New Roman" w:eastAsia="宋体" w:cs="Times New Roman"/>
      <w:szCs w:val="20"/>
      <w14:ligatures w14:val="none"/>
    </w:rPr>
  </w:style>
  <w:style w:type="paragraph" w:styleId="11">
    <w:name w:val="Body Text"/>
    <w:basedOn w:val="1"/>
    <w:next w:val="12"/>
    <w:link w:val="55"/>
    <w:qFormat/>
    <w:uiPriority w:val="0"/>
    <w:pPr>
      <w:adjustRightInd/>
      <w:snapToGrid/>
      <w:spacing w:line="240" w:lineRule="auto"/>
      <w:ind w:firstLine="720"/>
    </w:pPr>
    <w:rPr>
      <w:rFonts w:ascii="Times New Roman" w:hAnsi="Times New Roman" w:eastAsia="宋体" w:cs="Times New Roman"/>
      <w:kern w:val="0"/>
      <w:szCs w:val="20"/>
      <w14:ligatures w14:val="none"/>
    </w:rPr>
  </w:style>
  <w:style w:type="paragraph" w:styleId="12">
    <w:name w:val="toc 1"/>
    <w:basedOn w:val="1"/>
    <w:next w:val="1"/>
    <w:qFormat/>
    <w:uiPriority w:val="39"/>
    <w:pPr>
      <w:adjustRightInd/>
      <w:snapToGrid/>
      <w:spacing w:line="240" w:lineRule="auto"/>
      <w:ind w:firstLine="0" w:firstLineChars="0"/>
      <w:jc w:val="left"/>
    </w:pPr>
    <w:rPr>
      <w:rFonts w:ascii="Times New Roman" w:hAnsi="Times New Roman" w:eastAsia="宋体" w:cs="Times New Roman"/>
      <w:b/>
      <w:szCs w:val="20"/>
      <w14:ligatures w14:val="none"/>
    </w:rPr>
  </w:style>
  <w:style w:type="paragraph" w:styleId="13">
    <w:name w:val="Body Text Indent"/>
    <w:basedOn w:val="1"/>
    <w:link w:val="56"/>
    <w:qFormat/>
    <w:uiPriority w:val="0"/>
    <w:pPr>
      <w:adjustRightInd/>
      <w:snapToGrid/>
      <w:spacing w:before="156" w:beforeLines="50" w:after="156" w:afterLines="50" w:line="240" w:lineRule="auto"/>
      <w:ind w:firstLine="0" w:firstLineChars="0"/>
      <w:jc w:val="center"/>
    </w:pPr>
    <w:rPr>
      <w:rFonts w:ascii="Times New Roman" w:hAnsi="Times New Roman" w:eastAsia="宋体" w:cs="Times New Roman"/>
      <w:b/>
      <w:bCs/>
      <w:kern w:val="0"/>
      <w:sz w:val="21"/>
      <w:szCs w:val="21"/>
      <w14:ligatures w14:val="none"/>
    </w:rPr>
  </w:style>
  <w:style w:type="paragraph" w:styleId="14">
    <w:name w:val="toc 5"/>
    <w:basedOn w:val="1"/>
    <w:next w:val="1"/>
    <w:qFormat/>
    <w:uiPriority w:val="39"/>
    <w:pPr>
      <w:adjustRightInd/>
      <w:snapToGrid/>
      <w:spacing w:line="240" w:lineRule="auto"/>
      <w:ind w:left="1680" w:leftChars="800" w:firstLine="0" w:firstLineChars="0"/>
    </w:pPr>
    <w:rPr>
      <w:rFonts w:ascii="Times New Roman" w:hAnsi="Times New Roman" w:eastAsia="宋体" w:cs="Times New Roman"/>
      <w:sz w:val="21"/>
      <w14:ligatures w14:val="none"/>
    </w:rPr>
  </w:style>
  <w:style w:type="paragraph" w:styleId="15">
    <w:name w:val="toc 3"/>
    <w:basedOn w:val="1"/>
    <w:next w:val="1"/>
    <w:qFormat/>
    <w:uiPriority w:val="39"/>
    <w:pPr>
      <w:adjustRightInd/>
      <w:snapToGrid/>
      <w:spacing w:line="240" w:lineRule="auto"/>
    </w:pPr>
    <w:rPr>
      <w:rFonts w:ascii="宋体" w:hAnsi="宋体" w:eastAsia="黑体" w:cs="Times New Roman"/>
      <w:sz w:val="24"/>
      <w:szCs w:val="20"/>
      <w14:ligatures w14:val="none"/>
    </w:rPr>
  </w:style>
  <w:style w:type="paragraph" w:styleId="16">
    <w:name w:val="Plain Text"/>
    <w:basedOn w:val="1"/>
    <w:link w:val="57"/>
    <w:qFormat/>
    <w:uiPriority w:val="0"/>
    <w:pPr>
      <w:adjustRightInd/>
      <w:snapToGrid/>
      <w:spacing w:line="240" w:lineRule="auto"/>
      <w:ind w:firstLine="0" w:firstLineChars="0"/>
      <w:jc w:val="center"/>
    </w:pPr>
    <w:rPr>
      <w:rFonts w:ascii="Times New Roman" w:hAnsi="Times New Roman" w:eastAsia="宋体" w:cs="Times New Roman"/>
      <w:sz w:val="21"/>
      <w:szCs w:val="21"/>
      <w14:ligatures w14:val="none"/>
    </w:rPr>
  </w:style>
  <w:style w:type="paragraph" w:styleId="17">
    <w:name w:val="toc 8"/>
    <w:basedOn w:val="1"/>
    <w:next w:val="1"/>
    <w:qFormat/>
    <w:uiPriority w:val="39"/>
    <w:pPr>
      <w:adjustRightInd/>
      <w:snapToGrid/>
      <w:spacing w:line="240" w:lineRule="auto"/>
      <w:ind w:left="2940" w:leftChars="1400" w:firstLine="0" w:firstLineChars="0"/>
    </w:pPr>
    <w:rPr>
      <w:rFonts w:ascii="Times New Roman" w:hAnsi="Times New Roman" w:eastAsia="宋体" w:cs="Times New Roman"/>
      <w:sz w:val="21"/>
      <w14:ligatures w14:val="none"/>
    </w:rPr>
  </w:style>
  <w:style w:type="paragraph" w:styleId="18">
    <w:name w:val="Date"/>
    <w:basedOn w:val="1"/>
    <w:next w:val="1"/>
    <w:link w:val="58"/>
    <w:qFormat/>
    <w:uiPriority w:val="0"/>
    <w:pPr>
      <w:adjustRightInd/>
      <w:snapToGrid/>
      <w:spacing w:line="240" w:lineRule="auto"/>
      <w:ind w:left="100" w:leftChars="2500" w:firstLine="720"/>
    </w:pPr>
    <w:rPr>
      <w:rFonts w:ascii="宋体" w:hAnsi="宋体" w:eastAsia="宋体" w:cs="Times New Roman"/>
      <w:szCs w:val="20"/>
      <w14:ligatures w14:val="none"/>
    </w:rPr>
  </w:style>
  <w:style w:type="paragraph" w:styleId="19">
    <w:name w:val="Body Text Indent 2"/>
    <w:basedOn w:val="1"/>
    <w:next w:val="1"/>
    <w:link w:val="59"/>
    <w:qFormat/>
    <w:uiPriority w:val="0"/>
    <w:pPr>
      <w:adjustRightInd/>
      <w:snapToGrid/>
      <w:spacing w:after="120" w:line="480" w:lineRule="auto"/>
      <w:ind w:left="420" w:leftChars="200" w:firstLine="720"/>
    </w:pPr>
    <w:rPr>
      <w:rFonts w:ascii="Times New Roman" w:hAnsi="Times New Roman" w:eastAsia="宋体" w:cs="Times New Roman"/>
      <w:szCs w:val="20"/>
      <w14:ligatures w14:val="none"/>
    </w:rPr>
  </w:style>
  <w:style w:type="paragraph" w:styleId="20">
    <w:name w:val="Balloon Text"/>
    <w:basedOn w:val="1"/>
    <w:link w:val="60"/>
    <w:qFormat/>
    <w:uiPriority w:val="0"/>
    <w:pPr>
      <w:adjustRightInd/>
      <w:snapToGrid/>
      <w:spacing w:line="240" w:lineRule="auto"/>
      <w:ind w:firstLine="720"/>
    </w:pPr>
    <w:rPr>
      <w:rFonts w:ascii="Times New Roman" w:hAnsi="Times New Roman" w:eastAsia="宋体" w:cs="Times New Roman"/>
      <w:sz w:val="18"/>
      <w:szCs w:val="20"/>
      <w14:ligatures w14:val="none"/>
    </w:rPr>
  </w:style>
  <w:style w:type="paragraph" w:styleId="21">
    <w:name w:val="footer"/>
    <w:basedOn w:val="1"/>
    <w:link w:val="41"/>
    <w:unhideWhenUsed/>
    <w:qFormat/>
    <w:uiPriority w:val="0"/>
    <w:pPr>
      <w:tabs>
        <w:tab w:val="center" w:pos="4153"/>
        <w:tab w:val="right" w:pos="8306"/>
      </w:tabs>
      <w:spacing w:line="240" w:lineRule="auto"/>
    </w:pPr>
    <w:rPr>
      <w:sz w:val="18"/>
      <w:szCs w:val="18"/>
    </w:rPr>
  </w:style>
  <w:style w:type="paragraph" w:styleId="22">
    <w:name w:val="header"/>
    <w:basedOn w:val="1"/>
    <w:link w:val="40"/>
    <w:unhideWhenUsed/>
    <w:qFormat/>
    <w:uiPriority w:val="0"/>
    <w:pPr>
      <w:tabs>
        <w:tab w:val="center" w:pos="4153"/>
        <w:tab w:val="right" w:pos="8306"/>
      </w:tabs>
      <w:spacing w:line="240" w:lineRule="auto"/>
      <w:jc w:val="center"/>
    </w:pPr>
    <w:rPr>
      <w:sz w:val="18"/>
      <w:szCs w:val="18"/>
    </w:rPr>
  </w:style>
  <w:style w:type="paragraph" w:styleId="23">
    <w:name w:val="toc 4"/>
    <w:basedOn w:val="1"/>
    <w:next w:val="1"/>
    <w:qFormat/>
    <w:uiPriority w:val="39"/>
    <w:pPr>
      <w:adjustRightInd/>
      <w:snapToGrid/>
      <w:spacing w:line="240" w:lineRule="auto"/>
      <w:ind w:left="630" w:firstLine="720"/>
      <w:jc w:val="left"/>
    </w:pPr>
    <w:rPr>
      <w:rFonts w:ascii="Times New Roman" w:hAnsi="Times New Roman" w:eastAsia="宋体" w:cs="Times New Roman"/>
      <w:sz w:val="24"/>
      <w:szCs w:val="20"/>
      <w14:ligatures w14:val="none"/>
    </w:rPr>
  </w:style>
  <w:style w:type="paragraph" w:styleId="24">
    <w:name w:val="List"/>
    <w:basedOn w:val="1"/>
    <w:next w:val="1"/>
    <w:qFormat/>
    <w:uiPriority w:val="0"/>
    <w:pPr>
      <w:adjustRightInd/>
      <w:snapToGrid/>
      <w:spacing w:line="240" w:lineRule="auto"/>
      <w:ind w:left="200" w:hanging="200"/>
    </w:pPr>
    <w:rPr>
      <w:rFonts w:ascii="Times New Roman" w:hAnsi="Times New Roman" w:eastAsia="宋体" w:cs="Times New Roman"/>
      <w:szCs w:val="20"/>
      <w14:ligatures w14:val="none"/>
    </w:rPr>
  </w:style>
  <w:style w:type="paragraph" w:styleId="25">
    <w:name w:val="toc 6"/>
    <w:basedOn w:val="1"/>
    <w:next w:val="1"/>
    <w:qFormat/>
    <w:uiPriority w:val="39"/>
    <w:pPr>
      <w:adjustRightInd/>
      <w:snapToGrid/>
      <w:spacing w:line="240" w:lineRule="auto"/>
      <w:ind w:left="2100" w:leftChars="1000" w:firstLine="0" w:firstLineChars="0"/>
    </w:pPr>
    <w:rPr>
      <w:rFonts w:ascii="Times New Roman" w:hAnsi="Times New Roman" w:eastAsia="宋体" w:cs="Times New Roman"/>
      <w:sz w:val="21"/>
      <w14:ligatures w14:val="none"/>
    </w:rPr>
  </w:style>
  <w:style w:type="paragraph" w:styleId="26">
    <w:name w:val="Body Text Indent 3"/>
    <w:basedOn w:val="1"/>
    <w:link w:val="61"/>
    <w:qFormat/>
    <w:uiPriority w:val="0"/>
    <w:pPr>
      <w:adjustRightInd/>
      <w:snapToGrid/>
      <w:spacing w:after="120" w:line="240" w:lineRule="auto"/>
      <w:ind w:left="420" w:leftChars="200" w:firstLine="720"/>
    </w:pPr>
    <w:rPr>
      <w:rFonts w:ascii="Times New Roman" w:hAnsi="Times New Roman" w:eastAsia="宋体" w:cs="Times New Roman"/>
      <w:sz w:val="16"/>
      <w:szCs w:val="16"/>
      <w14:ligatures w14:val="none"/>
    </w:rPr>
  </w:style>
  <w:style w:type="paragraph" w:styleId="27">
    <w:name w:val="toc 2"/>
    <w:basedOn w:val="1"/>
    <w:next w:val="1"/>
    <w:qFormat/>
    <w:uiPriority w:val="39"/>
    <w:pPr>
      <w:adjustRightInd/>
      <w:snapToGrid/>
      <w:spacing w:line="240" w:lineRule="auto"/>
      <w:ind w:firstLine="360" w:firstLineChars="100"/>
    </w:pPr>
    <w:rPr>
      <w:rFonts w:ascii="Times New Roman" w:hAnsi="Times New Roman" w:eastAsia="宋体" w:cs="Times New Roman"/>
      <w:szCs w:val="20"/>
      <w14:ligatures w14:val="none"/>
    </w:rPr>
  </w:style>
  <w:style w:type="paragraph" w:styleId="28">
    <w:name w:val="toc 9"/>
    <w:basedOn w:val="1"/>
    <w:next w:val="1"/>
    <w:qFormat/>
    <w:uiPriority w:val="39"/>
    <w:pPr>
      <w:adjustRightInd/>
      <w:snapToGrid/>
      <w:spacing w:line="240" w:lineRule="auto"/>
      <w:ind w:left="3360" w:leftChars="1600" w:firstLine="0" w:firstLineChars="0"/>
    </w:pPr>
    <w:rPr>
      <w:rFonts w:ascii="Times New Roman" w:hAnsi="Times New Roman" w:eastAsia="宋体" w:cs="Times New Roman"/>
      <w:sz w:val="21"/>
      <w14:ligatures w14:val="none"/>
    </w:rPr>
  </w:style>
  <w:style w:type="paragraph" w:styleId="29">
    <w:name w:val="Normal (Web)"/>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Times New Roman"/>
      <w:kern w:val="0"/>
      <w:sz w:val="24"/>
      <w14:ligatures w14:val="none"/>
    </w:rPr>
  </w:style>
  <w:style w:type="paragraph" w:styleId="30">
    <w:name w:val="annotation subject"/>
    <w:basedOn w:val="10"/>
    <w:next w:val="10"/>
    <w:link w:val="62"/>
    <w:qFormat/>
    <w:uiPriority w:val="0"/>
    <w:rPr>
      <w:b/>
    </w:rPr>
  </w:style>
  <w:style w:type="paragraph" w:styleId="31">
    <w:name w:val="Body Text First Indent"/>
    <w:basedOn w:val="11"/>
    <w:link w:val="63"/>
    <w:qFormat/>
    <w:uiPriority w:val="0"/>
    <w:pPr>
      <w:spacing w:after="120"/>
      <w:ind w:firstLine="420" w:firstLineChars="100"/>
    </w:pPr>
    <w:rPr>
      <w:sz w:val="21"/>
      <w:szCs w:val="24"/>
    </w:rPr>
  </w:style>
  <w:style w:type="table" w:styleId="33">
    <w:name w:val="Table Grid"/>
    <w:basedOn w:val="32"/>
    <w:qFormat/>
    <w:uiPriority w:val="0"/>
    <w:pPr>
      <w:widowControl w:val="0"/>
      <w:spacing w:after="0" w:line="240" w:lineRule="auto"/>
      <w:jc w:val="both"/>
    </w:pPr>
    <w:rPr>
      <w:rFonts w:ascii="Times New Roman" w:hAnsi="Times New Roman" w:eastAsia="宋体" w:cs="Times New Roman"/>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qFormat/>
    <w:uiPriority w:val="0"/>
  </w:style>
  <w:style w:type="character" w:styleId="37">
    <w:name w:val="Emphasis"/>
    <w:qFormat/>
    <w:uiPriority w:val="0"/>
    <w:rPr>
      <w:color w:val="CC0000"/>
    </w:rPr>
  </w:style>
  <w:style w:type="character" w:styleId="38">
    <w:name w:val="Hyperlink"/>
    <w:qFormat/>
    <w:uiPriority w:val="99"/>
    <w:rPr>
      <w:color w:val="0033CC"/>
      <w:u w:val="single"/>
    </w:rPr>
  </w:style>
  <w:style w:type="character" w:styleId="39">
    <w:name w:val="annotation reference"/>
    <w:qFormat/>
    <w:uiPriority w:val="0"/>
    <w:rPr>
      <w:sz w:val="21"/>
    </w:rPr>
  </w:style>
  <w:style w:type="character" w:customStyle="1" w:styleId="40">
    <w:name w:val="页眉 字符"/>
    <w:basedOn w:val="34"/>
    <w:link w:val="22"/>
    <w:qFormat/>
    <w:uiPriority w:val="0"/>
    <w:rPr>
      <w:sz w:val="18"/>
      <w:szCs w:val="18"/>
    </w:rPr>
  </w:style>
  <w:style w:type="character" w:customStyle="1" w:styleId="41">
    <w:name w:val="页脚 字符"/>
    <w:basedOn w:val="34"/>
    <w:link w:val="21"/>
    <w:qFormat/>
    <w:uiPriority w:val="0"/>
    <w:rPr>
      <w:sz w:val="18"/>
      <w:szCs w:val="18"/>
    </w:rPr>
  </w:style>
  <w:style w:type="paragraph" w:customStyle="1" w:styleId="42">
    <w:name w:val="画图"/>
    <w:basedOn w:val="1"/>
    <w:link w:val="43"/>
    <w:qFormat/>
    <w:uiPriority w:val="0"/>
    <w:pPr>
      <w:spacing w:line="240" w:lineRule="auto"/>
      <w:ind w:firstLine="0" w:firstLineChars="0"/>
      <w:jc w:val="center"/>
    </w:pPr>
    <w:rPr>
      <w:rFonts w:ascii="Times New Roman" w:hAnsi="Times New Roman" w:eastAsia="宋体" w:cs="Times New Roman"/>
      <w:sz w:val="21"/>
      <w:szCs w:val="28"/>
    </w:rPr>
  </w:style>
  <w:style w:type="character" w:customStyle="1" w:styleId="43">
    <w:name w:val="画图 字符"/>
    <w:basedOn w:val="34"/>
    <w:link w:val="42"/>
    <w:qFormat/>
    <w:uiPriority w:val="0"/>
    <w:rPr>
      <w:rFonts w:ascii="Times New Roman" w:hAnsi="Times New Roman" w:eastAsia="宋体" w:cs="Times New Roman"/>
      <w:sz w:val="21"/>
      <w:szCs w:val="28"/>
    </w:rPr>
  </w:style>
  <w:style w:type="paragraph" w:customStyle="1" w:styleId="44">
    <w:name w:val="画图样式"/>
    <w:basedOn w:val="1"/>
    <w:link w:val="45"/>
    <w:qFormat/>
    <w:uiPriority w:val="0"/>
    <w:pPr>
      <w:spacing w:line="240" w:lineRule="auto"/>
      <w:ind w:firstLine="0" w:firstLineChars="0"/>
      <w:jc w:val="center"/>
    </w:pPr>
    <w:rPr>
      <w:rFonts w:ascii="Times New Roman" w:hAnsi="Times New Roman" w:eastAsia="宋体"/>
      <w:sz w:val="21"/>
    </w:rPr>
  </w:style>
  <w:style w:type="character" w:customStyle="1" w:styleId="45">
    <w:name w:val="画图样式 字符"/>
    <w:basedOn w:val="34"/>
    <w:link w:val="44"/>
    <w:qFormat/>
    <w:uiPriority w:val="0"/>
    <w:rPr>
      <w:rFonts w:ascii="Times New Roman" w:hAnsi="Times New Roman" w:eastAsia="宋体"/>
      <w:sz w:val="21"/>
    </w:rPr>
  </w:style>
  <w:style w:type="paragraph" w:styleId="46">
    <w:name w:val="List Paragraph"/>
    <w:basedOn w:val="1"/>
    <w:qFormat/>
    <w:uiPriority w:val="0"/>
    <w:pPr>
      <w:ind w:firstLine="420"/>
    </w:pPr>
  </w:style>
  <w:style w:type="character" w:customStyle="1" w:styleId="47">
    <w:name w:val="标题 1 字符"/>
    <w:basedOn w:val="34"/>
    <w:link w:val="3"/>
    <w:qFormat/>
    <w:uiPriority w:val="0"/>
    <w:rPr>
      <w:rFonts w:ascii="Times New Roman" w:hAnsi="Times New Roman" w:eastAsia="黑体" w:cs="Times New Roman"/>
      <w:kern w:val="44"/>
      <w:sz w:val="32"/>
      <w:szCs w:val="20"/>
      <w14:ligatures w14:val="none"/>
    </w:rPr>
  </w:style>
  <w:style w:type="character" w:customStyle="1" w:styleId="48">
    <w:name w:val="标题 2 字符"/>
    <w:basedOn w:val="34"/>
    <w:link w:val="4"/>
    <w:qFormat/>
    <w:uiPriority w:val="0"/>
    <w:rPr>
      <w:rFonts w:ascii="Times New Roman" w:hAnsi="Times New Roman" w:eastAsia="楷体_GB2312" w:cs="Times New Roman"/>
      <w:color w:val="000000"/>
      <w:sz w:val="32"/>
      <w:szCs w:val="20"/>
      <w14:ligatures w14:val="none"/>
    </w:rPr>
  </w:style>
  <w:style w:type="character" w:customStyle="1" w:styleId="49">
    <w:name w:val="标题 3 字符"/>
    <w:basedOn w:val="34"/>
    <w:link w:val="5"/>
    <w:qFormat/>
    <w:uiPriority w:val="0"/>
    <w:rPr>
      <w:rFonts w:ascii="Times New Roman" w:hAnsi="Times New Roman" w:eastAsia="黑体" w:cs="Times New Roman"/>
      <w:kern w:val="0"/>
      <w:sz w:val="28"/>
      <w:szCs w:val="20"/>
      <w14:ligatures w14:val="none"/>
    </w:rPr>
  </w:style>
  <w:style w:type="character" w:customStyle="1" w:styleId="50">
    <w:name w:val="标题 4 字符"/>
    <w:basedOn w:val="34"/>
    <w:link w:val="6"/>
    <w:qFormat/>
    <w:uiPriority w:val="0"/>
    <w:rPr>
      <w:rFonts w:ascii="Times New Roman" w:hAnsi="Times New Roman" w:eastAsia="宋体" w:cs="Times New Roman"/>
      <w:kern w:val="0"/>
      <w:sz w:val="28"/>
      <w:szCs w:val="20"/>
      <w14:ligatures w14:val="none"/>
    </w:rPr>
  </w:style>
  <w:style w:type="character" w:customStyle="1" w:styleId="51">
    <w:name w:val="标题 5 字符"/>
    <w:basedOn w:val="34"/>
    <w:link w:val="7"/>
    <w:qFormat/>
    <w:uiPriority w:val="0"/>
    <w:rPr>
      <w:rFonts w:ascii="Times New Roman" w:hAnsi="Times New Roman" w:eastAsia="宋体" w:cs="Times New Roman"/>
      <w:color w:val="000000"/>
      <w:sz w:val="28"/>
      <w:szCs w:val="20"/>
      <w14:ligatures w14:val="none"/>
    </w:rPr>
  </w:style>
  <w:style w:type="paragraph" w:customStyle="1" w:styleId="52">
    <w:name w:val="正文首行缩进 21"/>
    <w:qFormat/>
    <w:uiPriority w:val="0"/>
    <w:pPr>
      <w:widowControl w:val="0"/>
      <w:autoSpaceDE w:val="0"/>
      <w:autoSpaceDN w:val="0"/>
      <w:spacing w:after="120" w:line="240" w:lineRule="auto"/>
      <w:ind w:left="420" w:leftChars="200" w:firstLine="420" w:firstLineChars="200"/>
    </w:pPr>
    <w:rPr>
      <w:rFonts w:ascii="Times New Roman" w:hAnsi="Times New Roman" w:eastAsia="宋体" w:cs="宋体"/>
      <w:kern w:val="0"/>
      <w:sz w:val="21"/>
      <w:szCs w:val="24"/>
      <w:lang w:val="zh-CN" w:eastAsia="zh-CN" w:bidi="zh-CN"/>
      <w14:ligatures w14:val="none"/>
    </w:rPr>
  </w:style>
  <w:style w:type="character" w:customStyle="1" w:styleId="53">
    <w:name w:val="文档结构图 字符"/>
    <w:basedOn w:val="34"/>
    <w:link w:val="9"/>
    <w:qFormat/>
    <w:uiPriority w:val="0"/>
    <w:rPr>
      <w:rFonts w:ascii="宋体" w:hAnsi="Times New Roman" w:eastAsia="宋体" w:cs="Times New Roman"/>
      <w:sz w:val="18"/>
      <w:szCs w:val="18"/>
      <w14:ligatures w14:val="none"/>
    </w:rPr>
  </w:style>
  <w:style w:type="character" w:customStyle="1" w:styleId="54">
    <w:name w:val="批注文字 字符"/>
    <w:basedOn w:val="34"/>
    <w:link w:val="10"/>
    <w:qFormat/>
    <w:uiPriority w:val="0"/>
    <w:rPr>
      <w:rFonts w:ascii="Times New Roman" w:hAnsi="Times New Roman" w:eastAsia="宋体" w:cs="Times New Roman"/>
      <w:sz w:val="28"/>
      <w:szCs w:val="20"/>
      <w14:ligatures w14:val="none"/>
    </w:rPr>
  </w:style>
  <w:style w:type="character" w:customStyle="1" w:styleId="55">
    <w:name w:val="正文文本 字符"/>
    <w:basedOn w:val="34"/>
    <w:link w:val="11"/>
    <w:qFormat/>
    <w:uiPriority w:val="0"/>
    <w:rPr>
      <w:rFonts w:ascii="Times New Roman" w:hAnsi="Times New Roman" w:eastAsia="宋体" w:cs="Times New Roman"/>
      <w:kern w:val="0"/>
      <w:sz w:val="28"/>
      <w:szCs w:val="20"/>
      <w14:ligatures w14:val="none"/>
    </w:rPr>
  </w:style>
  <w:style w:type="character" w:customStyle="1" w:styleId="56">
    <w:name w:val="正文文本缩进 字符"/>
    <w:basedOn w:val="34"/>
    <w:link w:val="13"/>
    <w:qFormat/>
    <w:uiPriority w:val="0"/>
    <w:rPr>
      <w:rFonts w:ascii="Times New Roman" w:hAnsi="Times New Roman" w:eastAsia="宋体" w:cs="Times New Roman"/>
      <w:b/>
      <w:bCs/>
      <w:kern w:val="0"/>
      <w:sz w:val="21"/>
      <w:szCs w:val="21"/>
      <w14:ligatures w14:val="none"/>
    </w:rPr>
  </w:style>
  <w:style w:type="character" w:customStyle="1" w:styleId="57">
    <w:name w:val="纯文本 字符"/>
    <w:basedOn w:val="34"/>
    <w:link w:val="16"/>
    <w:qFormat/>
    <w:uiPriority w:val="0"/>
    <w:rPr>
      <w:rFonts w:ascii="Times New Roman" w:hAnsi="Times New Roman" w:eastAsia="宋体" w:cs="Times New Roman"/>
      <w:sz w:val="21"/>
      <w:szCs w:val="21"/>
      <w14:ligatures w14:val="none"/>
    </w:rPr>
  </w:style>
  <w:style w:type="character" w:customStyle="1" w:styleId="58">
    <w:name w:val="日期 字符"/>
    <w:basedOn w:val="34"/>
    <w:link w:val="18"/>
    <w:qFormat/>
    <w:uiPriority w:val="0"/>
    <w:rPr>
      <w:rFonts w:ascii="宋体" w:hAnsi="宋体" w:eastAsia="宋体" w:cs="Times New Roman"/>
      <w:sz w:val="28"/>
      <w:szCs w:val="20"/>
      <w14:ligatures w14:val="none"/>
    </w:rPr>
  </w:style>
  <w:style w:type="character" w:customStyle="1" w:styleId="59">
    <w:name w:val="正文文本缩进 2 字符"/>
    <w:basedOn w:val="34"/>
    <w:link w:val="19"/>
    <w:qFormat/>
    <w:uiPriority w:val="0"/>
    <w:rPr>
      <w:rFonts w:ascii="Times New Roman" w:hAnsi="Times New Roman" w:eastAsia="宋体" w:cs="Times New Roman"/>
      <w:sz w:val="28"/>
      <w:szCs w:val="20"/>
      <w14:ligatures w14:val="none"/>
    </w:rPr>
  </w:style>
  <w:style w:type="character" w:customStyle="1" w:styleId="60">
    <w:name w:val="批注框文本 字符"/>
    <w:basedOn w:val="34"/>
    <w:link w:val="20"/>
    <w:qFormat/>
    <w:uiPriority w:val="0"/>
    <w:rPr>
      <w:rFonts w:ascii="Times New Roman" w:hAnsi="Times New Roman" w:eastAsia="宋体" w:cs="Times New Roman"/>
      <w:sz w:val="18"/>
      <w:szCs w:val="20"/>
      <w14:ligatures w14:val="none"/>
    </w:rPr>
  </w:style>
  <w:style w:type="character" w:customStyle="1" w:styleId="61">
    <w:name w:val="正文文本缩进 3 字符"/>
    <w:basedOn w:val="34"/>
    <w:link w:val="26"/>
    <w:qFormat/>
    <w:uiPriority w:val="0"/>
    <w:rPr>
      <w:rFonts w:ascii="Times New Roman" w:hAnsi="Times New Roman" w:eastAsia="宋体" w:cs="Times New Roman"/>
      <w:sz w:val="16"/>
      <w:szCs w:val="16"/>
      <w14:ligatures w14:val="none"/>
    </w:rPr>
  </w:style>
  <w:style w:type="character" w:customStyle="1" w:styleId="62">
    <w:name w:val="批注主题 字符"/>
    <w:basedOn w:val="54"/>
    <w:link w:val="30"/>
    <w:qFormat/>
    <w:uiPriority w:val="0"/>
    <w:rPr>
      <w:rFonts w:ascii="Times New Roman" w:hAnsi="Times New Roman" w:eastAsia="宋体" w:cs="Times New Roman"/>
      <w:b/>
      <w:sz w:val="28"/>
      <w:szCs w:val="20"/>
      <w14:ligatures w14:val="none"/>
    </w:rPr>
  </w:style>
  <w:style w:type="character" w:customStyle="1" w:styleId="63">
    <w:name w:val="正文文本首行缩进 字符"/>
    <w:basedOn w:val="55"/>
    <w:link w:val="31"/>
    <w:qFormat/>
    <w:uiPriority w:val="0"/>
    <w:rPr>
      <w:rFonts w:ascii="Times New Roman" w:hAnsi="Times New Roman" w:eastAsia="宋体" w:cs="Times New Roman"/>
      <w:kern w:val="0"/>
      <w:sz w:val="21"/>
      <w:szCs w:val="20"/>
      <w14:ligatures w14:val="none"/>
    </w:rPr>
  </w:style>
  <w:style w:type="character" w:customStyle="1" w:styleId="64">
    <w:name w:val="10"/>
    <w:qFormat/>
    <w:uiPriority w:val="0"/>
    <w:rPr>
      <w:rFonts w:hint="default" w:ascii="Times New Roman" w:hAnsi="Times New Roman" w:cs="Times New Roman"/>
    </w:rPr>
  </w:style>
  <w:style w:type="character" w:customStyle="1" w:styleId="65">
    <w:name w:val="样式 Char Char Char Char + 宋体 四号 Char"/>
    <w:link w:val="66"/>
    <w:qFormat/>
    <w:uiPriority w:val="0"/>
    <w:rPr>
      <w:rFonts w:ascii="宋体" w:hAnsi="宋体"/>
      <w:sz w:val="28"/>
    </w:rPr>
  </w:style>
  <w:style w:type="paragraph" w:customStyle="1" w:styleId="66">
    <w:name w:val="样式 Char Char Char Char + 宋体 四号"/>
    <w:basedOn w:val="1"/>
    <w:link w:val="65"/>
    <w:qFormat/>
    <w:uiPriority w:val="0"/>
    <w:pPr>
      <w:widowControl/>
      <w:adjustRightInd/>
      <w:snapToGrid/>
      <w:spacing w:line="240" w:lineRule="auto"/>
      <w:jc w:val="left"/>
    </w:pPr>
    <w:rPr>
      <w:rFonts w:ascii="宋体" w:hAnsi="宋体" w:eastAsiaTheme="minorEastAsia"/>
    </w:rPr>
  </w:style>
  <w:style w:type="character" w:customStyle="1" w:styleId="67">
    <w:name w:val="正文 Char Char"/>
    <w:link w:val="68"/>
    <w:qFormat/>
    <w:uiPriority w:val="0"/>
    <w:rPr>
      <w:rFonts w:ascii="宋体" w:hAnsi="宋体"/>
      <w:sz w:val="28"/>
    </w:rPr>
  </w:style>
  <w:style w:type="paragraph" w:customStyle="1" w:styleId="68">
    <w:name w:val="正文2"/>
    <w:basedOn w:val="1"/>
    <w:link w:val="67"/>
    <w:qFormat/>
    <w:uiPriority w:val="0"/>
    <w:pPr>
      <w:adjustRightInd/>
      <w:snapToGrid/>
    </w:pPr>
    <w:rPr>
      <w:rFonts w:ascii="宋体" w:hAnsi="宋体" w:eastAsiaTheme="minorEastAsia"/>
    </w:rPr>
  </w:style>
  <w:style w:type="character" w:customStyle="1" w:styleId="69">
    <w:name w:val="headline-content2"/>
    <w:qFormat/>
    <w:uiPriority w:val="0"/>
  </w:style>
  <w:style w:type="character" w:customStyle="1" w:styleId="70">
    <w:name w:val="ca-1"/>
    <w:qFormat/>
    <w:uiPriority w:val="0"/>
  </w:style>
  <w:style w:type="character" w:customStyle="1" w:styleId="71">
    <w:name w:val="text"/>
    <w:qFormat/>
    <w:uiPriority w:val="0"/>
  </w:style>
  <w:style w:type="character" w:customStyle="1" w:styleId="72">
    <w:name w:val="zw1"/>
    <w:qFormat/>
    <w:uiPriority w:val="0"/>
    <w:rPr>
      <w:rFonts w:hint="eastAsia" w:ascii="宋体" w:hAnsi="宋体" w:eastAsia="宋体"/>
      <w:sz w:val="22"/>
      <w:szCs w:val="22"/>
    </w:rPr>
  </w:style>
  <w:style w:type="character" w:customStyle="1" w:styleId="73">
    <w:name w:val="px14"/>
    <w:qFormat/>
    <w:uiPriority w:val="0"/>
  </w:style>
  <w:style w:type="character" w:customStyle="1" w:styleId="74">
    <w:name w:val="unnamed113"/>
    <w:qFormat/>
    <w:uiPriority w:val="0"/>
    <w:rPr>
      <w:sz w:val="18"/>
      <w:szCs w:val="18"/>
      <w:u w:val="none"/>
    </w:rPr>
  </w:style>
  <w:style w:type="character" w:customStyle="1" w:styleId="75">
    <w:name w:val="apple-converted-space"/>
    <w:qFormat/>
    <w:uiPriority w:val="0"/>
  </w:style>
  <w:style w:type="character" w:customStyle="1" w:styleId="76">
    <w:name w:val="h2 Char"/>
    <w:qFormat/>
    <w:uiPriority w:val="0"/>
    <w:rPr>
      <w:rFonts w:ascii="Arial" w:hAnsi="Arial" w:eastAsia="黑体"/>
      <w:b/>
      <w:kern w:val="2"/>
      <w:sz w:val="32"/>
      <w:lang w:val="en-US" w:eastAsia="zh-CN"/>
    </w:rPr>
  </w:style>
  <w:style w:type="character" w:customStyle="1" w:styleId="77">
    <w:name w:val="IPE_正文 Char1"/>
    <w:link w:val="78"/>
    <w:qFormat/>
    <w:uiPriority w:val="0"/>
    <w:rPr>
      <w:sz w:val="24"/>
    </w:rPr>
  </w:style>
  <w:style w:type="paragraph" w:customStyle="1" w:styleId="78">
    <w:name w:val="IPE_正文"/>
    <w:link w:val="77"/>
    <w:qFormat/>
    <w:uiPriority w:val="0"/>
    <w:pPr>
      <w:widowControl w:val="0"/>
      <w:spacing w:after="0" w:line="480" w:lineRule="exact"/>
      <w:ind w:firstLine="200" w:firstLineChars="200"/>
      <w:jc w:val="both"/>
      <w:textAlignment w:val="bottom"/>
    </w:pPr>
    <w:rPr>
      <w:rFonts w:asciiTheme="minorHAnsi" w:hAnsiTheme="minorHAnsi" w:eastAsiaTheme="minorEastAsia" w:cstheme="minorBidi"/>
      <w:kern w:val="2"/>
      <w:sz w:val="24"/>
      <w:szCs w:val="24"/>
      <w:lang w:val="en-US" w:eastAsia="zh-CN" w:bidi="ar-SA"/>
      <w14:ligatures w14:val="standardContextual"/>
    </w:rPr>
  </w:style>
  <w:style w:type="paragraph" w:customStyle="1" w:styleId="79">
    <w:name w:val="reader-word-layer reader-word-s1-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80">
    <w:name w:val="样式1"/>
    <w:basedOn w:val="1"/>
    <w:qFormat/>
    <w:uiPriority w:val="0"/>
    <w:pPr>
      <w:shd w:val="clear" w:color="auto" w:fill="FFFFFF"/>
      <w:autoSpaceDE w:val="0"/>
      <w:autoSpaceDN w:val="0"/>
      <w:snapToGrid/>
      <w:spacing w:line="240" w:lineRule="auto"/>
      <w:ind w:firstLine="0" w:firstLineChars="0"/>
      <w:jc w:val="center"/>
    </w:pPr>
    <w:rPr>
      <w:rFonts w:ascii="Times New Roman" w:hAnsi="Times New Roman" w:eastAsia="宋体" w:cs="Times New Roman"/>
      <w:color w:val="000000"/>
      <w:position w:val="-6"/>
      <w:sz w:val="21"/>
      <w:szCs w:val="20"/>
      <w14:ligatures w14:val="none"/>
    </w:rPr>
  </w:style>
  <w:style w:type="paragraph" w:customStyle="1" w:styleId="81">
    <w:name w:val="unnamed112"/>
    <w:basedOn w:val="1"/>
    <w:qFormat/>
    <w:uiPriority w:val="0"/>
    <w:pPr>
      <w:widowControl/>
      <w:adjustRightInd/>
      <w:snapToGrid/>
      <w:spacing w:before="100" w:beforeAutospacing="1" w:after="100" w:afterAutospacing="1" w:line="375" w:lineRule="atLeast"/>
      <w:ind w:firstLine="0" w:firstLineChars="0"/>
      <w:jc w:val="left"/>
    </w:pPr>
    <w:rPr>
      <w:rFonts w:ascii="宋体" w:hAnsi="宋体" w:eastAsia="宋体" w:cs="宋体"/>
      <w:color w:val="000000"/>
      <w:kern w:val="0"/>
      <w:sz w:val="18"/>
      <w:szCs w:val="18"/>
      <w14:ligatures w14:val="none"/>
    </w:rPr>
  </w:style>
  <w:style w:type="paragraph" w:customStyle="1" w:styleId="82">
    <w:name w:val="xl2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720"/>
      <w:jc w:val="center"/>
      <w:textAlignment w:val="top"/>
    </w:pPr>
    <w:rPr>
      <w:rFonts w:ascii="宋体" w:hAnsi="宋体" w:eastAsia="宋体" w:cs="Times New Roman"/>
      <w:kern w:val="0"/>
      <w:szCs w:val="21"/>
      <w14:ligatures w14:val="none"/>
    </w:rPr>
  </w:style>
  <w:style w:type="paragraph" w:customStyle="1" w:styleId="83">
    <w:name w:val="Char Char Char Char"/>
    <w:basedOn w:val="1"/>
    <w:qFormat/>
    <w:uiPriority w:val="0"/>
    <w:pPr>
      <w:widowControl/>
      <w:adjustRightInd/>
      <w:snapToGrid/>
      <w:spacing w:after="160" w:line="240" w:lineRule="exact"/>
      <w:ind w:firstLine="0" w:firstLineChars="0"/>
      <w:jc w:val="left"/>
    </w:pPr>
    <w:rPr>
      <w:rFonts w:ascii="Times New Roman" w:hAnsi="Times New Roman" w:eastAsia="宋体" w:cs="Times New Roman"/>
      <w:sz w:val="21"/>
      <w:szCs w:val="20"/>
      <w14:ligatures w14:val="none"/>
    </w:rPr>
  </w:style>
  <w:style w:type="paragraph" w:customStyle="1" w:styleId="84">
    <w:name w:val="reader-word-layer reader-word-s1-10 reader-word-s1-11"/>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85">
    <w:name w:val="p0"/>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86">
    <w:name w:val="一级条标题"/>
    <w:next w:val="87"/>
    <w:qFormat/>
    <w:uiPriority w:val="0"/>
    <w:pPr>
      <w:spacing w:after="0" w:line="240" w:lineRule="auto"/>
      <w:ind w:left="840"/>
      <w:outlineLvl w:val="2"/>
    </w:pPr>
    <w:rPr>
      <w:rFonts w:ascii="Times New Roman" w:hAnsi="Times New Roman" w:eastAsia="黑体" w:cs="Times New Roman"/>
      <w:kern w:val="0"/>
      <w:sz w:val="21"/>
      <w:szCs w:val="20"/>
      <w:lang w:val="en-US" w:eastAsia="zh-CN" w:bidi="ar-SA"/>
      <w14:ligatures w14:val="none"/>
    </w:rPr>
  </w:style>
  <w:style w:type="paragraph" w:customStyle="1" w:styleId="87">
    <w:name w:val="段"/>
    <w:qFormat/>
    <w:uiPriority w:val="0"/>
    <w:pPr>
      <w:autoSpaceDE w:val="0"/>
      <w:autoSpaceDN w:val="0"/>
      <w:spacing w:after="0" w:line="240" w:lineRule="auto"/>
      <w:ind w:left="525"/>
      <w:jc w:val="both"/>
    </w:pPr>
    <w:rPr>
      <w:rFonts w:ascii="宋体" w:hAnsi="Times New Roman" w:eastAsia="宋体" w:cs="Times New Roman"/>
      <w:kern w:val="0"/>
      <w:sz w:val="21"/>
      <w:szCs w:val="20"/>
      <w:lang w:val="en-US" w:eastAsia="zh-CN" w:bidi="ar-SA"/>
      <w14:ligatures w14:val="none"/>
    </w:rPr>
  </w:style>
  <w:style w:type="paragraph" w:customStyle="1" w:styleId="88">
    <w:name w:val="reader-word-layer reader-word-s1-1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89">
    <w:name w:val="reader-word-layer reader-word-s1-20"/>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0">
    <w:name w:val="表格内"/>
    <w:basedOn w:val="1"/>
    <w:qFormat/>
    <w:uiPriority w:val="0"/>
    <w:pPr>
      <w:adjustRightInd/>
      <w:snapToGrid/>
      <w:spacing w:line="360" w:lineRule="exact"/>
      <w:ind w:firstLine="0" w:firstLineChars="0"/>
      <w:jc w:val="center"/>
    </w:pPr>
    <w:rPr>
      <w:rFonts w:ascii="Times New Roman" w:hAnsi="Times New Roman" w:cs="Times New Roman"/>
      <w:sz w:val="21"/>
      <w:szCs w:val="21"/>
      <w14:ligatures w14:val="none"/>
    </w:rPr>
  </w:style>
  <w:style w:type="paragraph" w:customStyle="1" w:styleId="91">
    <w:name w:val="reader-word-layer reader-word-s1-9"/>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2">
    <w:name w:val="报告书表格"/>
    <w:basedOn w:val="1"/>
    <w:qFormat/>
    <w:uiPriority w:val="0"/>
    <w:pPr>
      <w:snapToGrid/>
      <w:spacing w:before="60" w:after="60" w:line="240" w:lineRule="atLeast"/>
      <w:ind w:firstLine="0" w:firstLineChars="0"/>
      <w:jc w:val="center"/>
      <w:textAlignment w:val="baseline"/>
    </w:pPr>
    <w:rPr>
      <w:rFonts w:ascii="Times New Roman" w:hAnsi="Times New Roman" w:eastAsia="宋体" w:cs="Times New Roman"/>
      <w:kern w:val="0"/>
      <w:sz w:val="21"/>
      <w:szCs w:val="20"/>
      <w14:ligatures w14:val="none"/>
    </w:rPr>
  </w:style>
  <w:style w:type="paragraph" w:customStyle="1" w:styleId="93">
    <w:name w:val="表格图标"/>
    <w:basedOn w:val="1"/>
    <w:qFormat/>
    <w:uiPriority w:val="0"/>
    <w:pPr>
      <w:adjustRightInd/>
      <w:snapToGrid/>
      <w:spacing w:after="50" w:afterLines="50" w:line="240" w:lineRule="auto"/>
      <w:ind w:firstLine="0" w:firstLineChars="0"/>
      <w:jc w:val="center"/>
    </w:pPr>
    <w:rPr>
      <w:rFonts w:ascii="Times New Roman" w:hAnsi="Times New Roman" w:eastAsia="宋体" w:cs="Times New Roman"/>
      <w:sz w:val="21"/>
      <w:szCs w:val="20"/>
      <w14:ligatures w14:val="none"/>
    </w:rPr>
  </w:style>
  <w:style w:type="paragraph" w:customStyle="1" w:styleId="94">
    <w:name w:val="style31"/>
    <w:basedOn w:val="1"/>
    <w:qFormat/>
    <w:uiPriority w:val="0"/>
    <w:pPr>
      <w:widowControl/>
      <w:adjustRightInd/>
      <w:snapToGrid/>
      <w:spacing w:before="100" w:beforeAutospacing="1" w:after="100" w:afterAutospacing="1" w:line="240" w:lineRule="auto"/>
      <w:ind w:firstLine="720"/>
      <w:jc w:val="left"/>
    </w:pPr>
    <w:rPr>
      <w:rFonts w:ascii="宋体" w:hAnsi="宋体" w:eastAsia="宋体" w:cs="宋体"/>
      <w:kern w:val="0"/>
      <w:sz w:val="24"/>
      <w:szCs w:val="20"/>
      <w14:ligatures w14:val="none"/>
    </w:rPr>
  </w:style>
  <w:style w:type="paragraph" w:customStyle="1" w:styleId="95">
    <w:name w:val="正文样式11"/>
    <w:basedOn w:val="1"/>
    <w:qFormat/>
    <w:uiPriority w:val="0"/>
    <w:pPr>
      <w:adjustRightInd/>
      <w:snapToGrid/>
      <w:ind w:firstLine="560"/>
    </w:pPr>
    <w:rPr>
      <w:rFonts w:ascii="宋体" w:hAnsi="宋体" w:eastAsia="宋体" w:cs="Arial"/>
      <w:bCs/>
      <w:color w:val="000000"/>
      <w:szCs w:val="28"/>
      <w14:ligatures w14:val="none"/>
    </w:rPr>
  </w:style>
  <w:style w:type="paragraph" w:customStyle="1" w:styleId="96">
    <w:name w:val="reader-word-layer reader-word-s1-6"/>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7">
    <w:name w:val="章标题"/>
    <w:next w:val="87"/>
    <w:qFormat/>
    <w:uiPriority w:val="0"/>
    <w:pPr>
      <w:spacing w:before="156" w:beforeLines="50" w:after="156" w:afterLines="50" w:line="240" w:lineRule="auto"/>
      <w:jc w:val="both"/>
      <w:outlineLvl w:val="1"/>
    </w:pPr>
    <w:rPr>
      <w:rFonts w:ascii="黑体" w:hAnsi="Times New Roman" w:eastAsia="黑体" w:cs="Times New Roman"/>
      <w:kern w:val="0"/>
      <w:sz w:val="21"/>
      <w:szCs w:val="20"/>
      <w:lang w:val="en-US" w:eastAsia="zh-CN" w:bidi="ar-SA"/>
      <w14:ligatures w14:val="none"/>
    </w:rPr>
  </w:style>
  <w:style w:type="paragraph" w:customStyle="1" w:styleId="98">
    <w:name w:val="表格文字"/>
    <w:basedOn w:val="13"/>
    <w:qFormat/>
    <w:uiPriority w:val="0"/>
    <w:pPr>
      <w:spacing w:before="50" w:after="100" w:afterLines="100"/>
    </w:pPr>
    <w:rPr>
      <w:b w:val="0"/>
    </w:rPr>
  </w:style>
  <w:style w:type="paragraph" w:customStyle="1" w:styleId="99">
    <w:name w:val="zw"/>
    <w:basedOn w:val="1"/>
    <w:qFormat/>
    <w:uiPriority w:val="0"/>
    <w:pPr>
      <w:widowControl/>
      <w:adjustRightInd/>
      <w:snapToGrid/>
      <w:spacing w:before="100" w:beforeAutospacing="1" w:after="100" w:afterAutospacing="1" w:line="440" w:lineRule="atLeast"/>
      <w:ind w:firstLine="0" w:firstLineChars="0"/>
      <w:jc w:val="left"/>
    </w:pPr>
    <w:rPr>
      <w:rFonts w:ascii="宋体" w:hAnsi="宋体" w:eastAsia="宋体" w:cs="宋体"/>
      <w:kern w:val="0"/>
      <w:sz w:val="22"/>
      <w:szCs w:val="22"/>
      <w14:ligatures w14:val="none"/>
    </w:rPr>
  </w:style>
  <w:style w:type="paragraph" w:customStyle="1" w:styleId="100">
    <w:name w:val="目次、标准名称标题"/>
    <w:basedOn w:val="1"/>
    <w:next w:val="87"/>
    <w:qFormat/>
    <w:uiPriority w:val="0"/>
    <w:pPr>
      <w:widowControl/>
      <w:shd w:val="clear" w:color="FFFFFF" w:fill="FFFFFF"/>
      <w:adjustRightInd/>
      <w:snapToGrid/>
      <w:spacing w:before="640" w:after="560" w:line="460" w:lineRule="exact"/>
      <w:ind w:firstLine="0" w:firstLineChars="0"/>
      <w:jc w:val="center"/>
      <w:outlineLvl w:val="0"/>
    </w:pPr>
    <w:rPr>
      <w:rFonts w:ascii="黑体" w:hAnsi="Times New Roman" w:eastAsia="黑体" w:cs="Times New Roman"/>
      <w:kern w:val="0"/>
      <w:sz w:val="32"/>
      <w:szCs w:val="20"/>
      <w14:ligatures w14:val="none"/>
    </w:rPr>
  </w:style>
  <w:style w:type="paragraph" w:customStyle="1" w:styleId="101">
    <w:name w:val="样式 标题 3 + 首行缩进:  2 字符"/>
    <w:basedOn w:val="5"/>
    <w:qFormat/>
    <w:uiPriority w:val="0"/>
    <w:pPr>
      <w:ind w:firstLine="0" w:firstLineChars="0"/>
    </w:pPr>
    <w:rPr>
      <w:b/>
    </w:rPr>
  </w:style>
  <w:style w:type="paragraph" w:customStyle="1" w:styleId="102">
    <w:name w:val="正文　2"/>
    <w:basedOn w:val="103"/>
    <w:qFormat/>
    <w:uiPriority w:val="0"/>
  </w:style>
  <w:style w:type="paragraph" w:customStyle="1" w:styleId="103">
    <w:name w:val="样式 宋体 黑色"/>
    <w:basedOn w:val="1"/>
    <w:qFormat/>
    <w:uiPriority w:val="0"/>
    <w:pPr>
      <w:adjustRightInd/>
      <w:snapToGrid/>
      <w:spacing w:line="240" w:lineRule="auto"/>
      <w:ind w:firstLine="0" w:firstLineChars="0"/>
    </w:pPr>
    <w:rPr>
      <w:rFonts w:ascii="宋体" w:hAnsi="宋体" w:eastAsia="宋体" w:cs="Times New Roman"/>
      <w:color w:val="000000"/>
      <w:sz w:val="21"/>
      <w:szCs w:val="20"/>
      <w14:ligatures w14:val="none"/>
    </w:rPr>
  </w:style>
  <w:style w:type="paragraph" w:customStyle="1" w:styleId="104">
    <w:name w:val="方框"/>
    <w:basedOn w:val="1"/>
    <w:qFormat/>
    <w:uiPriority w:val="0"/>
    <w:pPr>
      <w:widowControl/>
      <w:adjustRightInd/>
      <w:snapToGrid/>
      <w:spacing w:line="240" w:lineRule="atLeast"/>
      <w:ind w:firstLine="720"/>
    </w:pPr>
    <w:rPr>
      <w:rFonts w:ascii="宋体" w:hAnsi="Times New Roman" w:eastAsia="宋体" w:cs="Times New Roman"/>
      <w:kern w:val="0"/>
      <w:sz w:val="24"/>
      <w:szCs w:val="20"/>
      <w14:ligatures w14:val="none"/>
    </w:rPr>
  </w:style>
  <w:style w:type="paragraph" w:customStyle="1" w:styleId="105">
    <w:name w:val="样式 标题 1 + 加粗 居中"/>
    <w:basedOn w:val="3"/>
    <w:qFormat/>
    <w:uiPriority w:val="0"/>
    <w:pPr>
      <w:spacing w:after="240" w:line="440" w:lineRule="exact"/>
      <w:jc w:val="left"/>
    </w:pPr>
    <w:rPr>
      <w:rFonts w:ascii="宋体" w:hAnsi="宋体" w:eastAsia="宋体"/>
    </w:rPr>
  </w:style>
  <w:style w:type="paragraph" w:customStyle="1" w:styleId="106">
    <w:name w:val="标题1"/>
    <w:basedOn w:val="1"/>
    <w:qFormat/>
    <w:uiPriority w:val="0"/>
    <w:pPr>
      <w:widowControl/>
      <w:adjustRightInd/>
      <w:snapToGrid/>
      <w:spacing w:line="285" w:lineRule="atLeast"/>
      <w:ind w:right="150" w:firstLine="0" w:firstLineChars="0"/>
      <w:jc w:val="left"/>
    </w:pPr>
    <w:rPr>
      <w:rFonts w:ascii="宋体" w:hAnsi="宋体" w:eastAsia="宋体" w:cs="宋体"/>
      <w:b/>
      <w:bCs/>
      <w:color w:val="FF6600"/>
      <w:kern w:val="0"/>
      <w:sz w:val="21"/>
      <w:szCs w:val="21"/>
      <w14:ligatures w14:val="none"/>
    </w:rPr>
  </w:style>
  <w:style w:type="paragraph" w:customStyle="1" w:styleId="107">
    <w:name w:val="reader-word-layer reader-word-s1-10"/>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108">
    <w:name w:val="表头、图名"/>
    <w:basedOn w:val="1"/>
    <w:next w:val="1"/>
    <w:qFormat/>
    <w:uiPriority w:val="0"/>
    <w:pPr>
      <w:adjustRightInd/>
      <w:snapToGrid/>
      <w:spacing w:before="50" w:beforeLines="50" w:after="50" w:afterLines="50" w:line="240" w:lineRule="auto"/>
      <w:ind w:firstLine="0" w:firstLineChars="0"/>
      <w:jc w:val="center"/>
    </w:pPr>
    <w:rPr>
      <w:rFonts w:ascii="Times New Roman" w:hAnsi="Times New Roman" w:eastAsia="宋体" w:cs="Times New Roman"/>
      <w:sz w:val="21"/>
      <w:szCs w:val="20"/>
      <w14:ligatures w14:val="none"/>
    </w:rPr>
  </w:style>
  <w:style w:type="paragraph" w:customStyle="1" w:styleId="109">
    <w:name w:val="Char"/>
    <w:basedOn w:val="1"/>
    <w:qFormat/>
    <w:uiPriority w:val="0"/>
    <w:pPr>
      <w:adjustRightInd/>
      <w:snapToGrid/>
      <w:spacing w:line="240" w:lineRule="auto"/>
      <w:ind w:firstLine="720"/>
    </w:pPr>
    <w:rPr>
      <w:rFonts w:ascii="Times New Roman" w:hAnsi="Times New Roman" w:eastAsia="宋体" w:cs="Times New Roman"/>
      <w:szCs w:val="20"/>
      <w14:ligatures w14:val="none"/>
    </w:rPr>
  </w:style>
  <w:style w:type="paragraph" w:customStyle="1" w:styleId="110">
    <w:name w:val="reader-word-layer reader-word-s46-15"/>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111">
    <w:name w:val="Default"/>
    <w:qFormat/>
    <w:uiPriority w:val="0"/>
    <w:pPr>
      <w:widowControl w:val="0"/>
      <w:autoSpaceDE w:val="0"/>
      <w:autoSpaceDN w:val="0"/>
      <w:adjustRightInd w:val="0"/>
      <w:spacing w:after="0" w:line="240" w:lineRule="auto"/>
    </w:pPr>
    <w:rPr>
      <w:rFonts w:ascii="仿宋_GB2312" w:hAnsi="Times New Roman" w:eastAsia="仿宋_GB2312" w:cs="仿宋_GB2312"/>
      <w:color w:val="000000"/>
      <w:kern w:val="0"/>
      <w:sz w:val="24"/>
      <w:szCs w:val="24"/>
      <w:lang w:val="en-US" w:eastAsia="zh-CN" w:bidi="ar-SA"/>
      <w14:ligatures w14:val="none"/>
    </w:rPr>
  </w:style>
  <w:style w:type="paragraph" w:customStyle="1" w:styleId="112">
    <w:name w:val="样式 标题 2 + 黑体 三号"/>
    <w:basedOn w:val="4"/>
    <w:qFormat/>
    <w:uiPriority w:val="0"/>
    <w:rPr>
      <w:rFonts w:ascii="黑体" w:hAnsi="黑体"/>
      <w:b/>
    </w:rPr>
  </w:style>
  <w:style w:type="paragraph" w:customStyle="1" w:styleId="113">
    <w:name w:val="reader-word-layer reader-word-s46-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114">
    <w:name w:val="Char Char Char Char Char Char Char"/>
    <w:basedOn w:val="1"/>
    <w:qFormat/>
    <w:uiPriority w:val="0"/>
    <w:pPr>
      <w:widowControl/>
      <w:adjustRightInd/>
      <w:snapToGrid/>
      <w:spacing w:after="160" w:line="240" w:lineRule="exact"/>
      <w:ind w:firstLine="0" w:firstLineChars="0"/>
      <w:jc w:val="left"/>
    </w:pPr>
    <w:rPr>
      <w:rFonts w:ascii="Arial" w:hAnsi="Arial" w:cs="Verdana"/>
      <w:b/>
      <w:kern w:val="0"/>
      <w:sz w:val="24"/>
      <w:lang w:eastAsia="en-US"/>
      <w14:ligatures w14:val="none"/>
    </w:rPr>
  </w:style>
  <w:style w:type="paragraph" w:customStyle="1" w:styleId="115">
    <w:name w:val="样式3"/>
    <w:basedOn w:val="6"/>
    <w:qFormat/>
    <w:uiPriority w:val="0"/>
    <w:rPr>
      <w:rFonts w:ascii="黑体"/>
      <w:b/>
    </w:rPr>
  </w:style>
  <w:style w:type="paragraph" w:customStyle="1" w:styleId="116">
    <w:name w:val="Char1"/>
    <w:basedOn w:val="1"/>
    <w:next w:val="3"/>
    <w:qFormat/>
    <w:uiPriority w:val="0"/>
    <w:pPr>
      <w:adjustRightInd/>
      <w:snapToGrid/>
      <w:spacing w:line="240" w:lineRule="auto"/>
      <w:ind w:firstLine="0" w:firstLineChars="0"/>
    </w:pPr>
    <w:rPr>
      <w:rFonts w:ascii="Times New Roman" w:hAnsi="Times New Roman" w:eastAsia="宋体" w:cs="Times New Roman"/>
      <w:sz w:val="44"/>
      <w14:ligatures w14:val="none"/>
    </w:rPr>
  </w:style>
  <w:style w:type="paragraph" w:customStyle="1" w:styleId="117">
    <w:name w:val="实施日期"/>
    <w:basedOn w:val="1"/>
    <w:qFormat/>
    <w:uiPriority w:val="0"/>
    <w:pPr>
      <w:widowControl/>
      <w:adjustRightInd/>
      <w:snapToGrid/>
      <w:spacing w:line="240" w:lineRule="auto"/>
      <w:ind w:firstLine="0" w:firstLineChars="0"/>
      <w:jc w:val="right"/>
    </w:pPr>
    <w:rPr>
      <w:rFonts w:ascii="Times New Roman" w:hAnsi="Times New Roman" w:eastAsia="黑体" w:cs="Times New Roman"/>
      <w:kern w:val="0"/>
      <w:szCs w:val="20"/>
      <w14:ligatures w14:val="none"/>
    </w:rPr>
  </w:style>
  <w:style w:type="paragraph" w:customStyle="1" w:styleId="118">
    <w:name w:val="reader-word-layer reader-word-s1-21"/>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character" w:customStyle="1" w:styleId="119">
    <w:name w:val="font21"/>
    <w:qFormat/>
    <w:uiPriority w:val="0"/>
    <w:rPr>
      <w:rFonts w:hint="eastAsia" w:ascii="宋体" w:hAnsi="宋体" w:eastAsia="宋体" w:cs="宋体"/>
      <w:color w:val="000000"/>
      <w:sz w:val="28"/>
      <w:szCs w:val="28"/>
      <w:u w:val="none"/>
    </w:rPr>
  </w:style>
  <w:style w:type="paragraph" w:customStyle="1" w:styleId="120">
    <w:name w:val="表格内容样式"/>
    <w:qFormat/>
    <w:uiPriority w:val="0"/>
    <w:pPr>
      <w:widowControl w:val="0"/>
      <w:tabs>
        <w:tab w:val="left" w:pos="540"/>
      </w:tabs>
      <w:spacing w:after="0" w:line="360" w:lineRule="auto"/>
      <w:jc w:val="center"/>
    </w:pPr>
    <w:rPr>
      <w:rFonts w:ascii="Times New Roman" w:hAnsi="Times New Roman" w:eastAsia="宋体" w:cs="Times New Roman"/>
      <w:kern w:val="2"/>
      <w:sz w:val="21"/>
      <w:szCs w:val="21"/>
      <w:lang w:val="en-US" w:eastAsia="zh-CN" w:bidi="ar-SA"/>
      <w14:ligatures w14:val="none"/>
    </w:rPr>
  </w:style>
  <w:style w:type="paragraph" w:customStyle="1" w:styleId="121">
    <w:name w:val="表格内容"/>
    <w:next w:val="11"/>
    <w:qFormat/>
    <w:uiPriority w:val="0"/>
    <w:pPr>
      <w:widowControl w:val="0"/>
      <w:spacing w:after="0" w:line="340" w:lineRule="exact"/>
      <w:jc w:val="center"/>
    </w:pPr>
    <w:rPr>
      <w:rFonts w:ascii="Times New Roman" w:hAnsi="Times New Roman" w:eastAsia="宋体" w:cs="Times New Roman"/>
      <w:bCs/>
      <w:kern w:val="44"/>
      <w:sz w:val="21"/>
      <w:szCs w:val="21"/>
      <w:lang w:val="en-US" w:eastAsia="zh-CN" w:bidi="ar-SA"/>
      <w14:ligatures w14:val="none"/>
    </w:rPr>
  </w:style>
  <w:style w:type="paragraph" w:customStyle="1" w:styleId="122">
    <w:name w:val="WPSOffice手动目录 1"/>
    <w:qFormat/>
    <w:uiPriority w:val="0"/>
    <w:pPr>
      <w:spacing w:after="0" w:line="240" w:lineRule="auto"/>
    </w:pPr>
    <w:rPr>
      <w:rFonts w:ascii="Times New Roman" w:hAnsi="Times New Roman" w:eastAsia="宋体" w:cs="Times New Roman"/>
      <w:kern w:val="0"/>
      <w:sz w:val="20"/>
      <w:szCs w:val="20"/>
      <w:lang w:val="en-US" w:eastAsia="zh-CN" w:bidi="ar-SA"/>
      <w14:ligatures w14:val="none"/>
    </w:rPr>
  </w:style>
  <w:style w:type="paragraph" w:customStyle="1" w:styleId="123">
    <w:name w:val="WPSOffice手动目录 2"/>
    <w:qFormat/>
    <w:uiPriority w:val="0"/>
    <w:pPr>
      <w:spacing w:after="0" w:line="240" w:lineRule="auto"/>
      <w:ind w:left="200" w:leftChars="200"/>
    </w:pPr>
    <w:rPr>
      <w:rFonts w:ascii="Times New Roman" w:hAnsi="Times New Roman" w:eastAsia="宋体" w:cs="Times New Roman"/>
      <w:kern w:val="0"/>
      <w:sz w:val="20"/>
      <w:szCs w:val="20"/>
      <w:lang w:val="en-US" w:eastAsia="zh-CN" w:bidi="ar-SA"/>
      <w14:ligatures w14:val="none"/>
    </w:rPr>
  </w:style>
  <w:style w:type="paragraph" w:customStyle="1" w:styleId="124">
    <w:name w:val="样式 样式 正文22 + 首行缩进:  2 字符 + 首行缩进:  2 字符"/>
    <w:basedOn w:val="125"/>
    <w:qFormat/>
    <w:uiPriority w:val="0"/>
    <w:rPr>
      <w:rFonts w:hAnsi="Times New Roman"/>
    </w:rPr>
  </w:style>
  <w:style w:type="paragraph" w:customStyle="1" w:styleId="125">
    <w:name w:val="样式 正文22 + 首行缩进:  2 字符"/>
    <w:basedOn w:val="126"/>
    <w:qFormat/>
    <w:uiPriority w:val="0"/>
    <w:rPr>
      <w:rFonts w:ascii="宋体" w:cs="宋体"/>
    </w:rPr>
  </w:style>
  <w:style w:type="paragraph" w:customStyle="1" w:styleId="126">
    <w:name w:val="正文22"/>
    <w:qFormat/>
    <w:uiPriority w:val="0"/>
    <w:pPr>
      <w:widowControl w:val="0"/>
      <w:adjustRightInd w:val="0"/>
      <w:snapToGrid w:val="0"/>
      <w:spacing w:after="0" w:line="360" w:lineRule="auto"/>
      <w:ind w:firstLine="560" w:firstLineChars="200"/>
    </w:pPr>
    <w:rPr>
      <w:rFonts w:ascii="Times New Roman" w:hAnsi="宋体" w:eastAsia="宋体" w:cs="Times New Roman"/>
      <w:kern w:val="28"/>
      <w:sz w:val="28"/>
      <w:szCs w:val="28"/>
      <w:lang w:val="en-US" w:eastAsia="zh-CN" w:bidi="ar-SA"/>
      <w14:ligatures w14:val="none"/>
    </w:rPr>
  </w:style>
  <w:style w:type="paragraph" w:customStyle="1" w:styleId="127">
    <w:name w:val="样式 正文22 + 首行缩进:  9 字符"/>
    <w:basedOn w:val="126"/>
    <w:next w:val="2"/>
    <w:qFormat/>
    <w:uiPriority w:val="0"/>
    <w:pPr>
      <w:ind w:firstLine="2520" w:firstLineChars="900"/>
    </w:pPr>
    <w:rPr>
      <w:rFonts w:ascii="黑体" w:eastAsia="黑体" w:cs="宋体"/>
      <w:kern w:val="21"/>
      <w:szCs w:val="20"/>
    </w:rPr>
  </w:style>
  <w:style w:type="character" w:customStyle="1" w:styleId="128">
    <w:name w:val="Unresolved Mention"/>
    <w:basedOn w:val="34"/>
    <w:semiHidden/>
    <w:unhideWhenUsed/>
    <w:qFormat/>
    <w:uiPriority w:val="99"/>
    <w:rPr>
      <w:color w:val="605E5C"/>
      <w:shd w:val="clear" w:color="auto" w:fill="E1DFDD"/>
    </w:rPr>
  </w:style>
  <w:style w:type="paragraph" w:customStyle="1" w:styleId="129">
    <w:name w:val="样式 宋体 居中 行距: 1.5 倍行距3"/>
    <w:qFormat/>
    <w:uiPriority w:val="0"/>
    <w:pPr>
      <w:widowControl w:val="0"/>
      <w:spacing w:line="360" w:lineRule="auto"/>
      <w:jc w:val="center"/>
    </w:pPr>
    <w:rPr>
      <w:rFonts w:ascii="Times New Roman" w:hAnsi="Times New Roman" w:eastAsia="宋体" w:cs="宋体"/>
      <w:kern w:val="2"/>
      <w:sz w:val="21"/>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F156BF-CDC4-48FB-85A9-D78F1C56FC41}">
  <ds:schemaRefs/>
</ds:datastoreItem>
</file>

<file path=docProps/app.xml><?xml version="1.0" encoding="utf-8"?>
<Properties xmlns="http://schemas.openxmlformats.org/officeDocument/2006/extended-properties" xmlns:vt="http://schemas.openxmlformats.org/officeDocument/2006/docPropsVTypes">
  <Template>Normal</Template>
  <Pages>122</Pages>
  <Words>10967</Words>
  <Characters>11987</Characters>
  <Lines>505</Lines>
  <Paragraphs>142</Paragraphs>
  <TotalTime>37</TotalTime>
  <ScaleCrop>false</ScaleCrop>
  <LinksUpToDate>false</LinksUpToDate>
  <CharactersWithSpaces>12083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2025-01-07T03:19:00Z</dcterms:created>
  <dc:creator>Administrator</dc:creator>
  <cp:lastModifiedBy>Y-</cp:lastModifiedBy>
  <cp:lastPrinted>2025-01-13T00:26:00Z</cp:lastPrinted>
  <dcterms:modified xsi:type="dcterms:W3CDTF">2025-11-26T04:19:08Z</dcterms:modified>
  <cp:revision>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2052-12.1.0.23542</vt:lpwstr>
  </property>
  <property fmtid="{D5CDD505-2E9C-101B-9397-08002B2CF9AE}" pid="4" name="ICV">
    <vt:lpwstr>3AD1E15962994D309D12A832B94A1275_13</vt:lpwstr>
  </property>
</Properties>
</file>